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93150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16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93150F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D867A8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D867A8">
        <w:rPr>
          <w:rFonts w:hint="cs"/>
          <w:b/>
          <w:bCs/>
          <w:sz w:val="30"/>
          <w:szCs w:val="30"/>
          <w:rtl/>
        </w:rPr>
        <w:t>5</w:t>
      </w:r>
      <w:r w:rsidR="0093150F">
        <w:rPr>
          <w:b/>
          <w:bCs/>
          <w:sz w:val="30"/>
          <w:szCs w:val="30"/>
          <w:rtl/>
        </w:rPr>
        <w:t xml:space="preserve"> سبتمبر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93150F" w:rsidP="0093150F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>
        <w:rPr>
          <w:rFonts w:ascii="Arial Black" w:hAnsi="Arial Black" w:cs="PT Bold Heading" w:hint="eastAsia"/>
          <w:sz w:val="26"/>
          <w:szCs w:val="26"/>
          <w:rtl/>
        </w:rPr>
        <w:t>مراجعة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معيار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/>
          <w:sz w:val="26"/>
          <w:szCs w:val="26"/>
        </w:rPr>
        <w:t>ST.26</w:t>
      </w:r>
      <w:bookmarkEnd w:id="3"/>
    </w:p>
    <w:p w:rsidR="003F7284" w:rsidRPr="00BB6440" w:rsidRDefault="0093150F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المكتب</w:t>
      </w:r>
      <w:r>
        <w:rPr>
          <w:i/>
          <w:iCs/>
          <w:rtl/>
        </w:rPr>
        <w:t xml:space="preserve"> الدولي</w:t>
      </w:r>
    </w:p>
    <w:p w:rsidR="00E3612C" w:rsidRDefault="0093150F" w:rsidP="0093150F">
      <w:pPr>
        <w:pStyle w:val="Heading2"/>
        <w:rPr>
          <w:rtl/>
        </w:rPr>
      </w:pPr>
      <w:r>
        <w:rPr>
          <w:rFonts w:hint="cs"/>
          <w:rtl/>
        </w:rPr>
        <w:t>المقدمة</w:t>
      </w:r>
    </w:p>
    <w:p w:rsidR="0093150F" w:rsidRDefault="007A354B" w:rsidP="007A354B">
      <w:pPr>
        <w:pStyle w:val="ONUMA"/>
      </w:pPr>
      <w:r>
        <w:rPr>
          <w:rFonts w:hint="cs"/>
          <w:rtl/>
          <w:lang w:bidi="ar-EG"/>
        </w:rPr>
        <w:t xml:space="preserve">وافقت اللجنة المعنية بمعايير الويبو (لجنة المعايير)، في دورتها الخامسة المعقودة في جنيف في عام 2017، على النسخة 1.1 من معيار الويبو 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 xml:space="preserve"> "ت</w:t>
      </w:r>
      <w:r w:rsidRPr="007A354B">
        <w:rPr>
          <w:rtl/>
          <w:lang w:bidi="ar-EG"/>
        </w:rPr>
        <w:t>وصية بشأن عرض قوائم تسلسل النوويدات والأحماض الأمينية باستخدام لغة الترميز الموسعة (</w:t>
      </w:r>
      <w:r w:rsidRPr="007A354B">
        <w:rPr>
          <w:lang w:bidi="ar-EG"/>
        </w:rPr>
        <w:t>XML</w:t>
      </w:r>
      <w:r w:rsidRPr="007A354B">
        <w:rPr>
          <w:rtl/>
          <w:lang w:bidi="ar-EG"/>
        </w:rPr>
        <w:t>)</w:t>
      </w:r>
      <w:r>
        <w:rPr>
          <w:rFonts w:hint="cs"/>
          <w:rtl/>
          <w:lang w:bidi="ar-EG"/>
        </w:rPr>
        <w:t xml:space="preserve">". </w:t>
      </w:r>
      <w:r w:rsidRPr="007A354B">
        <w:rPr>
          <w:rtl/>
          <w:lang w:bidi="ar-EG"/>
        </w:rPr>
        <w:t>وبناءً على ذلك، اتفقت لجنة المعايير على الوصف المعدّل للمهمة</w:t>
      </w:r>
      <w:r>
        <w:rPr>
          <w:rFonts w:hint="cs"/>
          <w:rtl/>
          <w:lang w:bidi="ar-EG"/>
        </w:rPr>
        <w:t xml:space="preserve"> رقم</w:t>
      </w:r>
      <w:r>
        <w:rPr>
          <w:rtl/>
          <w:lang w:bidi="ar-EG"/>
        </w:rPr>
        <w:t xml:space="preserve"> 44</w:t>
      </w:r>
      <w:r w:rsidRPr="007A354B">
        <w:rPr>
          <w:rtl/>
          <w:lang w:bidi="ar-EG"/>
        </w:rPr>
        <w:t xml:space="preserve"> "دعم المكتب الدولي عن طريق توفير متطلبات المستخدمين وتعليقاتهم بشأن البرنامج الحاسوبي للصياغة والتثبت وفقا للمعيار </w:t>
      </w:r>
      <w:r w:rsidRPr="007A354B">
        <w:rPr>
          <w:lang w:bidi="ar-EG"/>
        </w:rPr>
        <w:t>ST.26</w:t>
      </w:r>
      <w:r w:rsidRPr="007A354B">
        <w:rPr>
          <w:rtl/>
          <w:lang w:bidi="ar-EG"/>
        </w:rPr>
        <w:t xml:space="preserve">؛ ودعم المكتب الدولي في المراجعة اللاحقة للتعليمات الإدارية لمعاهدة التعاون بشأن البراءات؛ وإعداد المراجعات اللازمة </w:t>
      </w:r>
      <w:r w:rsidRPr="007A354B">
        <w:rPr>
          <w:rtl/>
          <w:lang w:bidi="ar-EG"/>
        </w:rPr>
        <w:lastRenderedPageBreak/>
        <w:t xml:space="preserve">لمعيار الويبو </w:t>
      </w:r>
      <w:r w:rsidRPr="007A354B">
        <w:rPr>
          <w:lang w:bidi="ar-EG"/>
        </w:rPr>
        <w:t>ST.26</w:t>
      </w:r>
      <w:r w:rsidRPr="007A354B">
        <w:rPr>
          <w:rtl/>
          <w:lang w:bidi="ar-EG"/>
        </w:rPr>
        <w:t xml:space="preserve"> بناء على طلب اللجنة"</w:t>
      </w:r>
      <w:r>
        <w:rPr>
          <w:rFonts w:hint="cs"/>
          <w:rtl/>
          <w:lang w:bidi="ar-EG"/>
        </w:rPr>
        <w:t xml:space="preserve"> (انظر الفقرتين 41 و45 من الوثيقة </w:t>
      </w:r>
      <w:r>
        <w:rPr>
          <w:lang w:bidi="ar-EG"/>
        </w:rPr>
        <w:t>CWS/5/22</w:t>
      </w:r>
      <w:r>
        <w:rPr>
          <w:rFonts w:hint="cs"/>
          <w:rtl/>
          <w:lang w:bidi="ar-EG"/>
        </w:rPr>
        <w:t>).</w:t>
      </w:r>
    </w:p>
    <w:p w:rsidR="007A354B" w:rsidRDefault="007A354B" w:rsidP="00AB25C4">
      <w:pPr>
        <w:pStyle w:val="ONUMA"/>
      </w:pPr>
      <w:r>
        <w:rPr>
          <w:rFonts w:hint="cs"/>
          <w:rtl/>
        </w:rPr>
        <w:t>و</w:t>
      </w:r>
      <w:r w:rsidRPr="007A354B">
        <w:rPr>
          <w:rtl/>
        </w:rPr>
        <w:t xml:space="preserve">في </w:t>
      </w:r>
      <w:r>
        <w:rPr>
          <w:rtl/>
        </w:rPr>
        <w:t>إطار الوصف الجديد للمهمة رقم 44</w:t>
      </w:r>
      <w:r w:rsidRPr="007A354B">
        <w:rPr>
          <w:rtl/>
        </w:rPr>
        <w:t xml:space="preserve">، أجرت فرقة العمل المعنية </w:t>
      </w:r>
      <w:r>
        <w:rPr>
          <w:rFonts w:hint="cs"/>
          <w:rtl/>
        </w:rPr>
        <w:t>بقوائم</w:t>
      </w:r>
      <w:r w:rsidRPr="007A354B">
        <w:rPr>
          <w:rtl/>
        </w:rPr>
        <w:t xml:space="preserve"> التسلسل مناقشات ووجدت بعض الأخطاء في المرفق الأول من </w:t>
      </w:r>
      <w:r>
        <w:rPr>
          <w:rFonts w:hint="cs"/>
          <w:rtl/>
        </w:rPr>
        <w:t xml:space="preserve">النسخة 1.1 من </w:t>
      </w:r>
      <w:r w:rsidRPr="007A354B">
        <w:rPr>
          <w:rtl/>
        </w:rPr>
        <w:t xml:space="preserve">المعيار </w:t>
      </w:r>
      <w:r w:rsidRPr="007A354B">
        <w:t>ST.26</w:t>
      </w:r>
      <w:r w:rsidRPr="007A354B">
        <w:rPr>
          <w:rtl/>
        </w:rPr>
        <w:t xml:space="preserve"> ينبغي تصحيحها في أ</w:t>
      </w:r>
      <w:r>
        <w:rPr>
          <w:rFonts w:hint="cs"/>
          <w:rtl/>
        </w:rPr>
        <w:t>سرع وقت ممكن</w:t>
      </w:r>
      <w:r w:rsidRPr="007A354B">
        <w:rPr>
          <w:rtl/>
        </w:rPr>
        <w:t xml:space="preserve">. ولذلك، قررت فرقة العمل إعداد مراجعة للمعيار </w:t>
      </w:r>
      <w:r w:rsidRPr="007A354B">
        <w:t>ST.26</w:t>
      </w:r>
      <w:r w:rsidRPr="007A354B">
        <w:rPr>
          <w:rtl/>
        </w:rPr>
        <w:t xml:space="preserve"> </w:t>
      </w:r>
      <w:r>
        <w:rPr>
          <w:rFonts w:hint="cs"/>
          <w:rtl/>
        </w:rPr>
        <w:t>عوضاً عن</w:t>
      </w:r>
      <w:r w:rsidRPr="007A354B">
        <w:rPr>
          <w:rtl/>
        </w:rPr>
        <w:t xml:space="preserve"> انتظار طلب </w:t>
      </w:r>
      <w:r>
        <w:rPr>
          <w:rFonts w:hint="cs"/>
          <w:rtl/>
        </w:rPr>
        <w:t>لجنة المعايير، وفضلاً عن</w:t>
      </w:r>
      <w:r w:rsidRPr="007A354B">
        <w:rPr>
          <w:rtl/>
        </w:rPr>
        <w:t xml:space="preserve"> ذلك، لاحظت فرقة العمل </w:t>
      </w:r>
      <w:r>
        <w:rPr>
          <w:rFonts w:hint="cs"/>
          <w:rtl/>
        </w:rPr>
        <w:t xml:space="preserve">تحديث </w:t>
      </w:r>
      <w:r w:rsidRPr="007A354B">
        <w:rPr>
          <w:rtl/>
        </w:rPr>
        <w:t xml:space="preserve">توصيات </w:t>
      </w:r>
      <w:r>
        <w:rPr>
          <w:rFonts w:hint="cs"/>
          <w:rtl/>
        </w:rPr>
        <w:t xml:space="preserve">قطاعية </w:t>
      </w:r>
      <w:r w:rsidR="00AB25C4">
        <w:rPr>
          <w:rFonts w:hint="cs"/>
          <w:rtl/>
        </w:rPr>
        <w:t>مهمة</w:t>
      </w:r>
      <w:r>
        <w:rPr>
          <w:rFonts w:hint="cs"/>
          <w:rtl/>
        </w:rPr>
        <w:t xml:space="preserve"> (مفاتيح السمات في </w:t>
      </w:r>
      <w:r w:rsidRPr="007A354B">
        <w:rPr>
          <w:rtl/>
        </w:rPr>
        <w:t>قاعدة البيانات الدولية لتسلسل النوويدات (</w:t>
      </w:r>
      <w:r w:rsidRPr="007A354B">
        <w:t>INSDC</w:t>
      </w:r>
      <w:r w:rsidRPr="007A354B">
        <w:rPr>
          <w:rtl/>
        </w:rPr>
        <w:t>)</w:t>
      </w:r>
      <w:r>
        <w:rPr>
          <w:rFonts w:hint="cs"/>
          <w:rtl/>
        </w:rPr>
        <w:t>) فاتفقت على إدماج المعلومات المحدَّثة في المراجعة المقترحة.</w:t>
      </w:r>
    </w:p>
    <w:p w:rsidR="007A354B" w:rsidRDefault="007A354B" w:rsidP="00AB25C4">
      <w:pPr>
        <w:pStyle w:val="ONUMA"/>
      </w:pPr>
      <w:r>
        <w:rPr>
          <w:rFonts w:hint="cs"/>
          <w:rtl/>
        </w:rPr>
        <w:t>وأفضت المناقشات المذكورة إلى</w:t>
      </w:r>
      <w:r w:rsidRPr="007A354B">
        <w:rPr>
          <w:rtl/>
        </w:rPr>
        <w:t xml:space="preserve"> اقتراح نهائي لمراجعة المعيار </w:t>
      </w:r>
      <w:r w:rsidRPr="007A354B">
        <w:t>ST.26</w:t>
      </w:r>
      <w:r w:rsidRPr="007A354B">
        <w:rPr>
          <w:rtl/>
        </w:rPr>
        <w:t xml:space="preserve"> يتضمن تعديلات على ال</w:t>
      </w:r>
      <w:r>
        <w:rPr>
          <w:rtl/>
        </w:rPr>
        <w:t xml:space="preserve">متن الرئيسي للمعيار ومرفقاته الأول </w:t>
      </w:r>
      <w:r>
        <w:rPr>
          <w:rFonts w:hint="cs"/>
          <w:rtl/>
        </w:rPr>
        <w:t>والثاني والثالث والرابع والسادس</w:t>
      </w:r>
      <w:r w:rsidRPr="007A354B">
        <w:rPr>
          <w:rtl/>
        </w:rPr>
        <w:t xml:space="preserve">، </w:t>
      </w:r>
      <w:r>
        <w:rPr>
          <w:rFonts w:hint="cs"/>
          <w:rtl/>
        </w:rPr>
        <w:t>و</w:t>
      </w:r>
      <w:r w:rsidRPr="007A354B">
        <w:rPr>
          <w:rtl/>
        </w:rPr>
        <w:t>إضافة</w:t>
      </w:r>
      <w:r>
        <w:rPr>
          <w:rFonts w:hint="cs"/>
          <w:rtl/>
        </w:rPr>
        <w:t xml:space="preserve"> </w:t>
      </w:r>
      <w:r>
        <w:rPr>
          <w:rtl/>
        </w:rPr>
        <w:t>مرفق سا</w:t>
      </w:r>
      <w:r>
        <w:rPr>
          <w:rFonts w:hint="cs"/>
          <w:rtl/>
        </w:rPr>
        <w:t>بع</w:t>
      </w:r>
      <w:r>
        <w:rPr>
          <w:rtl/>
        </w:rPr>
        <w:t xml:space="preserve"> جديد (</w:t>
      </w:r>
      <w:r>
        <w:rPr>
          <w:rFonts w:hint="cs"/>
          <w:rtl/>
        </w:rPr>
        <w:t xml:space="preserve">تحويل قائمة تسلسل من المعيار </w:t>
      </w:r>
      <w:r>
        <w:t>ST.25</w:t>
      </w:r>
      <w:r>
        <w:rPr>
          <w:rFonts w:hint="cs"/>
          <w:rtl/>
          <w:lang w:bidi="ar-EG"/>
        </w:rPr>
        <w:t xml:space="preserve"> إلى المعيار </w:t>
      </w:r>
      <w:r>
        <w:rPr>
          <w:lang w:bidi="ar-EG"/>
        </w:rPr>
        <w:t>ST.26</w:t>
      </w:r>
      <w:r w:rsidRPr="007A354B">
        <w:rPr>
          <w:rtl/>
        </w:rPr>
        <w:t>)، رفعته فرقة العمل إلى لجنة المعايير لتنظر فيه وتعتمده حسب الاقتضاء.</w:t>
      </w:r>
      <w:r w:rsidR="007E2472">
        <w:rPr>
          <w:rFonts w:hint="cs"/>
          <w:rtl/>
        </w:rPr>
        <w:t xml:space="preserve"> ومن الجدير بالذكر أن المرفق الخامس من المعيار </w:t>
      </w:r>
      <w:r w:rsidR="007E2472">
        <w:t>ST.26</w:t>
      </w:r>
      <w:r w:rsidR="007E2472">
        <w:rPr>
          <w:rFonts w:hint="cs"/>
          <w:rtl/>
          <w:lang w:bidi="ar-EG"/>
        </w:rPr>
        <w:t xml:space="preserve"> بقي كما هو دون تغيير (فلم يُرفق بهذه الوثيقة). وترد النسخة المراجَعة المقترحة في مرفقات هذه الوثيقة. ويذَّكر في هذا المقام </w:t>
      </w:r>
      <w:r w:rsidR="00AB25C4">
        <w:rPr>
          <w:rFonts w:hint="cs"/>
          <w:rtl/>
          <w:lang w:bidi="ar-EG"/>
        </w:rPr>
        <w:t>ب</w:t>
      </w:r>
      <w:r w:rsidR="007E2472">
        <w:rPr>
          <w:rFonts w:hint="cs"/>
          <w:rtl/>
          <w:lang w:bidi="ar-EG"/>
        </w:rPr>
        <w:t xml:space="preserve">أنه في حال اعتماد لجنة المعايير النسخة المراجَعة المقترحة، ستكون النسخة الجديدة من المعيار </w:t>
      </w:r>
      <w:r w:rsidR="007E2472">
        <w:rPr>
          <w:lang w:bidi="ar-EG"/>
        </w:rPr>
        <w:t>ST.26</w:t>
      </w:r>
      <w:r w:rsidR="007E2472">
        <w:rPr>
          <w:rFonts w:hint="cs"/>
          <w:rtl/>
          <w:lang w:bidi="ar-EG"/>
        </w:rPr>
        <w:t xml:space="preserve"> هي النسخة 2.1، بما في ذلك المحتوى غير المراجَع </w:t>
      </w:r>
      <w:r w:rsidR="007E2472">
        <w:rPr>
          <w:rtl/>
          <w:lang w:bidi="ar-EG"/>
        </w:rPr>
        <w:t>–</w:t>
      </w:r>
      <w:r w:rsidR="007E2472">
        <w:rPr>
          <w:rFonts w:hint="cs"/>
          <w:rtl/>
          <w:lang w:bidi="ar-EG"/>
        </w:rPr>
        <w:t xml:space="preserve"> أي المرفق الخامس والمرفق السابع الجديد.</w:t>
      </w:r>
    </w:p>
    <w:p w:rsidR="007E2472" w:rsidRDefault="007E2472" w:rsidP="00FA2BCF">
      <w:pPr>
        <w:pStyle w:val="Heading2"/>
      </w:pPr>
      <w:r>
        <w:rPr>
          <w:rFonts w:hint="cs"/>
          <w:rtl/>
          <w:lang w:bidi="ar-EG"/>
        </w:rPr>
        <w:lastRenderedPageBreak/>
        <w:t xml:space="preserve">ملخص </w:t>
      </w:r>
      <w:r w:rsidR="00FA2BCF">
        <w:rPr>
          <w:rFonts w:hint="cs"/>
          <w:rtl/>
          <w:lang w:bidi="ar-EG"/>
        </w:rPr>
        <w:t>النسخة المراجَعة</w:t>
      </w:r>
      <w:r>
        <w:rPr>
          <w:rFonts w:hint="cs"/>
          <w:rtl/>
          <w:lang w:bidi="ar-EG"/>
        </w:rPr>
        <w:t xml:space="preserve"> المقترحة</w:t>
      </w:r>
    </w:p>
    <w:p w:rsidR="007E2472" w:rsidRPr="009329B7" w:rsidRDefault="007E2472" w:rsidP="007E2472">
      <w:pPr>
        <w:pStyle w:val="Heading3"/>
        <w:rPr>
          <w:sz w:val="36"/>
          <w:szCs w:val="36"/>
          <w:u w:val="single"/>
        </w:rPr>
      </w:pPr>
      <w:r w:rsidRPr="009329B7">
        <w:rPr>
          <w:rFonts w:hint="cs"/>
          <w:sz w:val="36"/>
          <w:szCs w:val="36"/>
          <w:u w:val="single"/>
          <w:rtl/>
          <w:lang w:bidi="ar-EG"/>
        </w:rPr>
        <w:t>المتن الرئيسي</w:t>
      </w:r>
    </w:p>
    <w:p w:rsidR="007E2472" w:rsidRDefault="007E2472" w:rsidP="007E2472">
      <w:pPr>
        <w:pStyle w:val="ONUMA"/>
      </w:pPr>
      <w:r>
        <w:rPr>
          <w:rFonts w:hint="cs"/>
          <w:rtl/>
        </w:rPr>
        <w:t xml:space="preserve">يُقترح إدخال التعديلات التالية على المتن الرئيسي للمعيار </w:t>
      </w:r>
      <w:r>
        <w:t>ST.26</w:t>
      </w:r>
      <w:r>
        <w:rPr>
          <w:rFonts w:hint="cs"/>
          <w:rtl/>
          <w:lang w:bidi="ar-EG"/>
        </w:rPr>
        <w:t>:</w:t>
      </w:r>
    </w:p>
    <w:p w:rsidR="007E2472" w:rsidRDefault="007E2472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  <w:lang w:bidi="ar-EG"/>
        </w:rPr>
        <w:t>في الفقرات 7(ب) و15 و25 و27 و34 و95 لتوضيح متطلبات إدماج وتحشية مختلف التسلسلات في قوائم التسلسل؛</w:t>
      </w:r>
    </w:p>
    <w:p w:rsidR="007E2472" w:rsidRDefault="007E2472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</w:rPr>
        <w:t>في الفقرات 39 و43 و44 و46 لأغراض "معرِّف نوع الوثيقة" (</w:t>
      </w:r>
      <w:r>
        <w:t>DTD</w:t>
      </w:r>
      <w:r>
        <w:rPr>
          <w:rFonts w:hint="cs"/>
          <w:rtl/>
          <w:lang w:bidi="ar-EG"/>
        </w:rPr>
        <w:t>)</w:t>
      </w:r>
      <w:r>
        <w:rPr>
          <w:rFonts w:hint="cs"/>
          <w:rtl/>
        </w:rPr>
        <w:t xml:space="preserve"> المتعلق بالمعيار </w:t>
      </w:r>
      <w:r>
        <w:t>ST.26</w:t>
      </w:r>
      <w:r>
        <w:rPr>
          <w:rFonts w:hint="cs"/>
          <w:rtl/>
          <w:lang w:bidi="ar-EG"/>
        </w:rPr>
        <w:t>؛</w:t>
      </w:r>
    </w:p>
    <w:p w:rsidR="007E2472" w:rsidRDefault="007E2472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</w:rPr>
        <w:t xml:space="preserve">في الفقرتين 55 و56 لزيادة الدقة في وصف </w:t>
      </w:r>
      <w:r w:rsidRPr="007E2472">
        <w:rPr>
          <w:rtl/>
        </w:rPr>
        <w:t>شرائح النوكليوتيد</w:t>
      </w:r>
      <w:r>
        <w:rPr>
          <w:rFonts w:hint="cs"/>
          <w:rtl/>
        </w:rPr>
        <w:t xml:space="preserve"> وتوضيح الحواشي الإلزامية لها؛</w:t>
      </w:r>
    </w:p>
    <w:p w:rsidR="007E2472" w:rsidRDefault="00BB0536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</w:rPr>
        <w:t>في الفقرتين 81 و87 لتوضيح اللغة المستخدمة؛</w:t>
      </w:r>
    </w:p>
    <w:p w:rsidR="00BB0536" w:rsidRDefault="00BB0536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</w:rPr>
        <w:t>في الفقرة 90 لتصحيح خطأ.</w:t>
      </w:r>
    </w:p>
    <w:p w:rsidR="00BB0536" w:rsidRPr="009329B7" w:rsidRDefault="00BB0536" w:rsidP="00BB0536">
      <w:pPr>
        <w:pStyle w:val="Heading3"/>
        <w:rPr>
          <w:sz w:val="36"/>
          <w:szCs w:val="36"/>
          <w:u w:val="single"/>
        </w:rPr>
      </w:pPr>
      <w:r w:rsidRPr="009329B7">
        <w:rPr>
          <w:rFonts w:hint="cs"/>
          <w:sz w:val="36"/>
          <w:szCs w:val="36"/>
          <w:u w:val="single"/>
          <w:rtl/>
        </w:rPr>
        <w:t xml:space="preserve">المرفق الأول - </w:t>
      </w:r>
      <w:r w:rsidRPr="009329B7">
        <w:rPr>
          <w:sz w:val="36"/>
          <w:szCs w:val="36"/>
          <w:u w:val="single"/>
          <w:rtl/>
        </w:rPr>
        <w:t>المفردات الخاضعة للمراقبة</w:t>
      </w:r>
    </w:p>
    <w:p w:rsidR="00BB0536" w:rsidRDefault="00BB0536" w:rsidP="00BB0536">
      <w:pPr>
        <w:pStyle w:val="ONUMA"/>
      </w:pPr>
      <w:r>
        <w:rPr>
          <w:rFonts w:hint="cs"/>
          <w:rtl/>
        </w:rPr>
        <w:t xml:space="preserve">يُقترح مراجعة المرفق الأول من المعيار </w:t>
      </w:r>
      <w:r>
        <w:t>ST.26</w:t>
      </w:r>
      <w:r>
        <w:rPr>
          <w:rFonts w:hint="cs"/>
          <w:rtl/>
        </w:rPr>
        <w:t xml:space="preserve"> كما يلي:</w:t>
      </w:r>
    </w:p>
    <w:p w:rsidR="00BB0536" w:rsidRDefault="00BB0536" w:rsidP="00BB0536">
      <w:pPr>
        <w:pStyle w:val="ONUMA"/>
        <w:numPr>
          <w:ilvl w:val="2"/>
          <w:numId w:val="24"/>
        </w:numPr>
        <w:ind w:left="567"/>
      </w:pPr>
      <w:r>
        <w:rPr>
          <w:rFonts w:hint="cs"/>
          <w:rtl/>
        </w:rPr>
        <w:t>في القسم 4، تُحذف عبارتا "</w:t>
      </w:r>
      <w:r>
        <w:t>and unusual</w:t>
      </w:r>
      <w:r>
        <w:rPr>
          <w:rFonts w:hint="cs"/>
          <w:rtl/>
          <w:lang w:bidi="ar-EG"/>
        </w:rPr>
        <w:t>" (وغير المعتادة) و"</w:t>
      </w:r>
      <w:r>
        <w:rPr>
          <w:lang w:bidi="ar-EG"/>
        </w:rPr>
        <w:t>or unusual</w:t>
      </w:r>
      <w:r>
        <w:rPr>
          <w:rFonts w:hint="cs"/>
          <w:rtl/>
          <w:lang w:bidi="ar-EG"/>
        </w:rPr>
        <w:t>" (أو غير المعتادة) لأن تعريف "</w:t>
      </w:r>
      <w:r>
        <w:rPr>
          <w:lang w:bidi="ar-EG"/>
        </w:rPr>
        <w:t>modified amino acids</w:t>
      </w:r>
      <w:r>
        <w:rPr>
          <w:rFonts w:hint="cs"/>
          <w:rtl/>
          <w:lang w:bidi="ar-EG"/>
        </w:rPr>
        <w:t>" (الأحماض الأمينية المعدلة) الوارد في الفقرة 3(ه) من المتن الرئيسي يتضمن عبارة "الأحماض الأمينية غير المعتادة"؛</w:t>
      </w:r>
    </w:p>
    <w:p w:rsidR="00BB0536" w:rsidRDefault="00BB0536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  <w:lang w:bidi="ar-EG"/>
        </w:rPr>
        <w:t>في عنواني القسمين 5 و6، تغيير كلمة "</w:t>
      </w:r>
      <w:r>
        <w:rPr>
          <w:lang w:bidi="ar-EG"/>
        </w:rPr>
        <w:t>Nucleic</w:t>
      </w:r>
      <w:r>
        <w:rPr>
          <w:rFonts w:hint="cs"/>
          <w:rtl/>
          <w:lang w:bidi="ar-EG"/>
        </w:rPr>
        <w:t>" إلى "</w:t>
      </w:r>
      <w:r>
        <w:rPr>
          <w:lang w:bidi="ar-EG"/>
        </w:rPr>
        <w:t>Nucleotide</w:t>
      </w:r>
      <w:r>
        <w:rPr>
          <w:rFonts w:hint="cs"/>
          <w:rtl/>
          <w:lang w:bidi="ar-EG"/>
        </w:rPr>
        <w:t xml:space="preserve">" لغرض الاتساق مع المتن الرئيسي للمعيار 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>؛</w:t>
      </w:r>
    </w:p>
    <w:p w:rsidR="00BB0536" w:rsidRDefault="00BB0536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  <w:lang w:bidi="ar-EG"/>
        </w:rPr>
        <w:lastRenderedPageBreak/>
        <w:t>في مفاتيح السمات 22.5 و29.5 و31.5 و35.5 و46.5 و55.6 و56.6، تصحيح الأخطاء النصية المتبقية في النسخة الحالية؛</w:t>
      </w:r>
    </w:p>
    <w:p w:rsidR="00BB0536" w:rsidRDefault="00BB0536" w:rsidP="009329B7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</w:rPr>
        <w:t xml:space="preserve">في مفتاحي السمات 39.6 و55.6، تحديث المفتاحين على أساس تحديث جدول سمات </w:t>
      </w:r>
      <w:r w:rsidRPr="00BB0536">
        <w:rPr>
          <w:rtl/>
        </w:rPr>
        <w:t>قاعدة البيانات الدولية لتسلسل النوويدات (</w:t>
      </w:r>
      <w:r w:rsidRPr="00BB0536">
        <w:t>INSDC</w:t>
      </w:r>
      <w:r w:rsidRPr="00BB0536">
        <w:rPr>
          <w:rtl/>
        </w:rPr>
        <w:t>)</w:t>
      </w:r>
      <w:r>
        <w:rPr>
          <w:rFonts w:hint="cs"/>
          <w:rtl/>
        </w:rPr>
        <w:t>؛</w:t>
      </w:r>
    </w:p>
    <w:p w:rsidR="00BB0536" w:rsidRDefault="00BB0536" w:rsidP="007727BA">
      <w:pPr>
        <w:pStyle w:val="ONUMA"/>
        <w:numPr>
          <w:ilvl w:val="2"/>
          <w:numId w:val="24"/>
        </w:numPr>
        <w:spacing w:before="120"/>
        <w:ind w:left="567"/>
      </w:pPr>
      <w:r>
        <w:rPr>
          <w:rFonts w:hint="cs"/>
          <w:rtl/>
        </w:rPr>
        <w:t xml:space="preserve">في مفتاح السمة </w:t>
      </w:r>
      <w:r w:rsidR="007727BA">
        <w:rPr>
          <w:rFonts w:hint="cs"/>
          <w:rtl/>
        </w:rPr>
        <w:t>10.7،</w:t>
      </w:r>
      <w:r>
        <w:rPr>
          <w:rFonts w:hint="cs"/>
          <w:rtl/>
        </w:rPr>
        <w:t xml:space="preserve"> تصحيح خطأ غير مقصود.</w:t>
      </w:r>
    </w:p>
    <w:p w:rsidR="00BB0536" w:rsidRPr="009329B7" w:rsidRDefault="00BB0536" w:rsidP="00551D07">
      <w:pPr>
        <w:pStyle w:val="Heading3"/>
        <w:rPr>
          <w:sz w:val="36"/>
          <w:szCs w:val="36"/>
          <w:u w:val="single"/>
        </w:rPr>
      </w:pPr>
      <w:r w:rsidRPr="009329B7">
        <w:rPr>
          <w:rFonts w:hint="cs"/>
          <w:sz w:val="36"/>
          <w:szCs w:val="36"/>
          <w:u w:val="single"/>
          <w:rtl/>
        </w:rPr>
        <w:t xml:space="preserve">المرفق الثاني </w:t>
      </w:r>
      <w:r w:rsidRPr="009329B7">
        <w:rPr>
          <w:sz w:val="36"/>
          <w:szCs w:val="36"/>
          <w:u w:val="single"/>
          <w:rtl/>
        </w:rPr>
        <w:t>–</w:t>
      </w:r>
      <w:r w:rsidRPr="009329B7">
        <w:rPr>
          <w:rFonts w:hint="cs"/>
          <w:sz w:val="36"/>
          <w:szCs w:val="36"/>
          <w:u w:val="single"/>
          <w:rtl/>
        </w:rPr>
        <w:t xml:space="preserve"> معرف نوع الوثيقة (</w:t>
      </w:r>
      <w:r w:rsidRPr="009329B7">
        <w:rPr>
          <w:sz w:val="36"/>
          <w:szCs w:val="36"/>
          <w:u w:val="single"/>
        </w:rPr>
        <w:t>DTD</w:t>
      </w:r>
      <w:r w:rsidRPr="009329B7">
        <w:rPr>
          <w:rFonts w:hint="cs"/>
          <w:sz w:val="36"/>
          <w:szCs w:val="36"/>
          <w:u w:val="single"/>
          <w:rtl/>
          <w:lang w:bidi="ar-EG"/>
        </w:rPr>
        <w:t>)</w:t>
      </w:r>
    </w:p>
    <w:p w:rsidR="00BB0536" w:rsidRDefault="00551D07" w:rsidP="007727BA">
      <w:pPr>
        <w:pStyle w:val="ONUMA"/>
      </w:pPr>
      <w:r>
        <w:rPr>
          <w:rFonts w:hint="cs"/>
          <w:rtl/>
          <w:lang w:bidi="ar-EG"/>
        </w:rPr>
        <w:t xml:space="preserve">يُقترح تغيير العنصر الاختياري </w:t>
      </w:r>
      <w:r>
        <w:rPr>
          <w:lang w:bidi="ar-EG"/>
        </w:rPr>
        <w:t>INSDQualifier</w:t>
      </w:r>
      <w:r>
        <w:rPr>
          <w:rFonts w:hint="cs"/>
          <w:rtl/>
          <w:lang w:bidi="ar-EG"/>
        </w:rPr>
        <w:t xml:space="preserve"> الذي يستخدمه </w:t>
      </w:r>
      <w:r w:rsidR="007727BA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عنصر </w:t>
      </w:r>
      <w:r>
        <w:rPr>
          <w:lang w:bidi="ar-EG"/>
        </w:rPr>
        <w:t>INSDFeature_quals</w:t>
      </w:r>
      <w:r>
        <w:rPr>
          <w:rFonts w:hint="cs"/>
          <w:rtl/>
          <w:lang w:bidi="ar-EG"/>
        </w:rPr>
        <w:t xml:space="preserve"> إلى عنصر إلزامي لمواءمة احتياج العمل إلى أن يكون </w:t>
      </w:r>
      <w:r w:rsidR="007727BA">
        <w:rPr>
          <w:rFonts w:hint="cs"/>
          <w:rtl/>
          <w:lang w:bidi="ar-EG"/>
        </w:rPr>
        <w:t>في كل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INSDFeature_quals</w:t>
      </w:r>
      <w:r>
        <w:rPr>
          <w:rFonts w:hint="cs"/>
          <w:rtl/>
          <w:lang w:bidi="ar-EG"/>
        </w:rPr>
        <w:t xml:space="preserve"> عنصر واحد أو أكثر من </w:t>
      </w:r>
      <w:r w:rsidR="007727BA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عناصر </w:t>
      </w:r>
      <w:r>
        <w:rPr>
          <w:lang w:bidi="ar-EG"/>
        </w:rPr>
        <w:t>INSDQualifier</w:t>
      </w:r>
      <w:r>
        <w:rPr>
          <w:rFonts w:hint="cs"/>
          <w:rtl/>
          <w:lang w:bidi="ar-EG"/>
        </w:rPr>
        <w:t>.</w:t>
      </w:r>
    </w:p>
    <w:p w:rsidR="00551D07" w:rsidRPr="009329B7" w:rsidRDefault="00551D07" w:rsidP="00551D07">
      <w:pPr>
        <w:pStyle w:val="Heading3"/>
        <w:rPr>
          <w:sz w:val="36"/>
          <w:szCs w:val="36"/>
          <w:u w:val="single"/>
        </w:rPr>
      </w:pP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المرفق الثالث </w:t>
      </w:r>
      <w:r w:rsidRPr="009329B7">
        <w:rPr>
          <w:sz w:val="36"/>
          <w:szCs w:val="36"/>
          <w:u w:val="single"/>
          <w:rtl/>
          <w:lang w:bidi="ar-EG"/>
        </w:rPr>
        <w:t>–</w:t>
      </w: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 عينة من قوائم التسلسل</w:t>
      </w:r>
    </w:p>
    <w:p w:rsidR="00551D07" w:rsidRDefault="00551D07" w:rsidP="007727BA">
      <w:pPr>
        <w:pStyle w:val="ONUMA"/>
      </w:pPr>
      <w:r w:rsidRPr="00551D07">
        <w:rPr>
          <w:rFonts w:hint="cs"/>
          <w:rtl/>
        </w:rPr>
        <w:t>ينبغي تحديث العينة</w:t>
      </w:r>
      <w:r>
        <w:rPr>
          <w:rFonts w:hint="cs"/>
          <w:rtl/>
        </w:rPr>
        <w:t xml:space="preserve"> على أساس المرفق الثاني المقترح للمعيار </w:t>
      </w:r>
      <w:r>
        <w:t>ST.26</w:t>
      </w:r>
      <w:r>
        <w:rPr>
          <w:rFonts w:hint="cs"/>
          <w:rtl/>
          <w:lang w:bidi="ar-EG"/>
        </w:rPr>
        <w:t xml:space="preserve"> لغرض </w:t>
      </w:r>
      <w:r w:rsidR="007727BA">
        <w:rPr>
          <w:rFonts w:hint="cs"/>
          <w:rtl/>
          <w:lang w:bidi="ar-EG"/>
        </w:rPr>
        <w:t>الاتساق</w:t>
      </w:r>
      <w:r>
        <w:rPr>
          <w:rFonts w:hint="cs"/>
          <w:rtl/>
          <w:lang w:bidi="ar-EG"/>
        </w:rPr>
        <w:t xml:space="preserve"> مع المتن الرئيسي للمعيار</w:t>
      </w:r>
      <w:r w:rsidR="007727BA">
        <w:rPr>
          <w:rFonts w:hint="cs"/>
          <w:rtl/>
          <w:lang w:bidi="ar-EG"/>
        </w:rPr>
        <w:t> 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>.</w:t>
      </w:r>
    </w:p>
    <w:p w:rsidR="00551D07" w:rsidRPr="009329B7" w:rsidRDefault="00551D07" w:rsidP="007727BA">
      <w:pPr>
        <w:pStyle w:val="Heading3"/>
        <w:rPr>
          <w:sz w:val="36"/>
          <w:szCs w:val="36"/>
          <w:u w:val="single"/>
        </w:rPr>
      </w:pP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المرفق الرابع </w:t>
      </w:r>
      <w:r w:rsidRPr="009329B7">
        <w:rPr>
          <w:sz w:val="36"/>
          <w:szCs w:val="36"/>
          <w:u w:val="single"/>
          <w:rtl/>
          <w:lang w:bidi="ar-EG"/>
        </w:rPr>
        <w:t>–</w:t>
      </w: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 </w:t>
      </w:r>
      <w:r w:rsidR="007727BA">
        <w:rPr>
          <w:rFonts w:hint="cs"/>
          <w:sz w:val="36"/>
          <w:szCs w:val="36"/>
          <w:u w:val="single"/>
          <w:rtl/>
          <w:lang w:bidi="ar-EG"/>
        </w:rPr>
        <w:t>المجموعة الفرعية للمحارف</w:t>
      </w: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 من جدول الرموز اللاتينية الأساسية بالترميز الموحد (يونيكود)</w:t>
      </w:r>
    </w:p>
    <w:p w:rsidR="00551D07" w:rsidRDefault="00551D07" w:rsidP="007727BA">
      <w:pPr>
        <w:pStyle w:val="ONUMA"/>
      </w:pPr>
      <w:r>
        <w:rPr>
          <w:rFonts w:hint="cs"/>
          <w:rtl/>
          <w:lang w:bidi="ar-EG"/>
        </w:rPr>
        <w:t>يُقترح تحديث عنوان المرفق الرابع والفق</w:t>
      </w:r>
      <w:r w:rsidR="00BA3F3D">
        <w:rPr>
          <w:rFonts w:hint="cs"/>
          <w:rtl/>
          <w:lang w:bidi="ar-EG"/>
        </w:rPr>
        <w:t>رة التمهيدية منه لأغراض التوضيح. وفضلاً عن ذلك، ينبغي إضافة أربعة نقاط رموز أُغفل</w:t>
      </w:r>
      <w:r w:rsidR="007727BA">
        <w:rPr>
          <w:rFonts w:hint="cs"/>
          <w:rtl/>
          <w:lang w:bidi="ar-EG"/>
        </w:rPr>
        <w:t>ت</w:t>
      </w:r>
      <w:r w:rsidR="00BA3F3D">
        <w:rPr>
          <w:rFonts w:hint="cs"/>
          <w:rtl/>
          <w:lang w:bidi="ar-EG"/>
        </w:rPr>
        <w:t xml:space="preserve"> دون قصد.</w:t>
      </w:r>
    </w:p>
    <w:p w:rsidR="00BA3F3D" w:rsidRPr="009329B7" w:rsidRDefault="00BA3F3D" w:rsidP="00BA3F3D">
      <w:pPr>
        <w:pStyle w:val="Heading3"/>
        <w:rPr>
          <w:sz w:val="36"/>
          <w:szCs w:val="36"/>
          <w:u w:val="single"/>
        </w:rPr>
      </w:pP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المرفق السادس وملحقه </w:t>
      </w:r>
      <w:r w:rsidRPr="009329B7">
        <w:rPr>
          <w:sz w:val="36"/>
          <w:szCs w:val="36"/>
          <w:u w:val="single"/>
          <w:rtl/>
          <w:lang w:bidi="ar-EG"/>
        </w:rPr>
        <w:t>–</w:t>
      </w: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 وثيقة إرشادية</w:t>
      </w:r>
    </w:p>
    <w:p w:rsidR="00BA3F3D" w:rsidRDefault="00BA3F3D" w:rsidP="007727BA">
      <w:pPr>
        <w:pStyle w:val="ONUMA"/>
      </w:pPr>
      <w:r>
        <w:rPr>
          <w:rFonts w:hint="cs"/>
          <w:rtl/>
          <w:lang w:bidi="ar-EG"/>
        </w:rPr>
        <w:t xml:space="preserve">يُقترح إدراج أمثلة إضافية تبيِّن السيناريوهات الجديدة التي ينبغي للمودعين والمستخدمين الآخرين الانتباه إليها، وإضافة </w:t>
      </w:r>
      <w:r>
        <w:rPr>
          <w:rFonts w:hint="cs"/>
          <w:rtl/>
          <w:lang w:bidi="ar-EG"/>
        </w:rPr>
        <w:lastRenderedPageBreak/>
        <w:t>المزيد من الإرشادات بشأن الحواشي وتحسين الصياغة. ومن ثم، يُقترح تحديث الملحق</w:t>
      </w:r>
      <w:r w:rsidR="007727BA">
        <w:rPr>
          <w:rFonts w:hint="cs"/>
          <w:rtl/>
          <w:lang w:bidi="ar-EG"/>
        </w:rPr>
        <w:t xml:space="preserve"> -</w:t>
      </w:r>
      <w:r>
        <w:rPr>
          <w:rFonts w:hint="cs"/>
          <w:rtl/>
          <w:lang w:bidi="ar-EG"/>
        </w:rPr>
        <w:t xml:space="preserve"> </w:t>
      </w:r>
      <w:r w:rsidR="007727BA">
        <w:rPr>
          <w:rFonts w:hint="cs"/>
          <w:rtl/>
          <w:lang w:bidi="ar-EG"/>
        </w:rPr>
        <w:t>قوائم</w:t>
      </w:r>
      <w:r>
        <w:rPr>
          <w:rFonts w:hint="cs"/>
          <w:rtl/>
          <w:lang w:bidi="ar-EG"/>
        </w:rPr>
        <w:t xml:space="preserve"> التسلسل بلغة الترميز الموسعة (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>).</w:t>
      </w:r>
    </w:p>
    <w:p w:rsidR="00BA3F3D" w:rsidRPr="009329B7" w:rsidRDefault="00BA3F3D" w:rsidP="007727BA">
      <w:pPr>
        <w:pStyle w:val="Heading3"/>
        <w:rPr>
          <w:sz w:val="36"/>
          <w:szCs w:val="36"/>
          <w:u w:val="single"/>
        </w:rPr>
      </w:pPr>
      <w:r w:rsidRPr="009329B7">
        <w:rPr>
          <w:rFonts w:hint="cs"/>
          <w:sz w:val="36"/>
          <w:szCs w:val="36"/>
          <w:u w:val="single"/>
          <w:rtl/>
        </w:rPr>
        <w:t xml:space="preserve">المرفق السابع </w:t>
      </w:r>
      <w:r w:rsidRPr="009329B7">
        <w:rPr>
          <w:sz w:val="36"/>
          <w:szCs w:val="36"/>
          <w:u w:val="single"/>
          <w:rtl/>
        </w:rPr>
        <w:t>–</w:t>
      </w:r>
      <w:r w:rsidRPr="009329B7">
        <w:rPr>
          <w:rFonts w:hint="cs"/>
          <w:sz w:val="36"/>
          <w:szCs w:val="36"/>
          <w:u w:val="single"/>
          <w:rtl/>
        </w:rPr>
        <w:t xml:space="preserve"> تحويل </w:t>
      </w:r>
      <w:r w:rsidR="007727BA">
        <w:rPr>
          <w:rFonts w:hint="cs"/>
          <w:sz w:val="36"/>
          <w:szCs w:val="36"/>
          <w:u w:val="single"/>
          <w:rtl/>
        </w:rPr>
        <w:t>قوائم التسلسل</w:t>
      </w:r>
      <w:r w:rsidRPr="009329B7">
        <w:rPr>
          <w:rFonts w:hint="cs"/>
          <w:sz w:val="36"/>
          <w:szCs w:val="36"/>
          <w:u w:val="single"/>
          <w:rtl/>
        </w:rPr>
        <w:t xml:space="preserve"> من المعيار </w:t>
      </w:r>
      <w:r w:rsidRPr="009329B7">
        <w:rPr>
          <w:sz w:val="36"/>
          <w:szCs w:val="36"/>
          <w:u w:val="single"/>
        </w:rPr>
        <w:t>ST.25</w:t>
      </w: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 إل</w:t>
      </w:r>
      <w:r w:rsidR="007727BA">
        <w:rPr>
          <w:rFonts w:hint="cs"/>
          <w:sz w:val="36"/>
          <w:szCs w:val="36"/>
          <w:u w:val="single"/>
          <w:rtl/>
          <w:lang w:bidi="ar-EG"/>
        </w:rPr>
        <w:t>ى المعيار</w:t>
      </w:r>
      <w:r w:rsidRPr="009329B7">
        <w:rPr>
          <w:rFonts w:hint="cs"/>
          <w:sz w:val="36"/>
          <w:szCs w:val="36"/>
          <w:u w:val="single"/>
          <w:rtl/>
          <w:lang w:bidi="ar-EG"/>
        </w:rPr>
        <w:t xml:space="preserve"> </w:t>
      </w:r>
      <w:r w:rsidRPr="009329B7">
        <w:rPr>
          <w:sz w:val="36"/>
          <w:szCs w:val="36"/>
          <w:u w:val="single"/>
          <w:lang w:bidi="ar-EG"/>
        </w:rPr>
        <w:t>ST.26</w:t>
      </w:r>
    </w:p>
    <w:p w:rsidR="00BA3F3D" w:rsidRDefault="00BA3F3D" w:rsidP="00551D07">
      <w:pPr>
        <w:pStyle w:val="ONUMA"/>
      </w:pPr>
      <w:r>
        <w:rPr>
          <w:rFonts w:hint="cs"/>
          <w:rtl/>
        </w:rPr>
        <w:t xml:space="preserve">لاحظت لجنة المعايير، في دورتها الخامسة، أن محتوى الموضوعات المضافة أو المحذوفة المحتملة سيكون مهماً جداً لتحويل قوائم التسلسل من المعيار </w:t>
      </w:r>
      <w:r>
        <w:t>ST.25</w:t>
      </w:r>
      <w:r>
        <w:rPr>
          <w:rFonts w:hint="cs"/>
          <w:rtl/>
          <w:lang w:bidi="ar-EG"/>
        </w:rPr>
        <w:t xml:space="preserve"> إلى المعيار 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 xml:space="preserve"> (انظر الوثيقة </w:t>
      </w:r>
      <w:r>
        <w:rPr>
          <w:lang w:bidi="ar-EG"/>
        </w:rPr>
        <w:t>CWS/5/7 REV.1 ADD</w:t>
      </w:r>
      <w:r>
        <w:rPr>
          <w:rFonts w:hint="cs"/>
          <w:rtl/>
          <w:lang w:bidi="ar-EG"/>
        </w:rPr>
        <w:t xml:space="preserve"> والفقرة 44 من الوثيقة </w:t>
      </w:r>
      <w:r>
        <w:rPr>
          <w:lang w:bidi="ar-EG"/>
        </w:rPr>
        <w:t>CWS/5/22</w:t>
      </w:r>
      <w:r>
        <w:rPr>
          <w:rFonts w:hint="cs"/>
          <w:rtl/>
          <w:lang w:bidi="ar-EG"/>
        </w:rPr>
        <w:t>).</w:t>
      </w:r>
    </w:p>
    <w:p w:rsidR="00BA3F3D" w:rsidRDefault="00BA3F3D" w:rsidP="007727BA">
      <w:pPr>
        <w:pStyle w:val="ONUMA"/>
      </w:pPr>
      <w:r>
        <w:rPr>
          <w:rFonts w:hint="cs"/>
          <w:rtl/>
          <w:lang w:bidi="ar-EG"/>
        </w:rPr>
        <w:t xml:space="preserve">واتفقت </w:t>
      </w:r>
      <w:r w:rsidR="009329B7">
        <w:rPr>
          <w:rFonts w:hint="cs"/>
          <w:rtl/>
          <w:lang w:bidi="ar-EG"/>
        </w:rPr>
        <w:t xml:space="preserve">فرقة العمل على أنه ينبغي إضافة توصيات </w:t>
      </w:r>
      <w:r w:rsidR="007727BA">
        <w:rPr>
          <w:rFonts w:hint="cs"/>
          <w:rtl/>
          <w:lang w:bidi="ar-EG"/>
        </w:rPr>
        <w:t>بشأن التحويل</w:t>
      </w:r>
      <w:r w:rsidR="009329B7">
        <w:rPr>
          <w:rFonts w:hint="cs"/>
          <w:rtl/>
          <w:lang w:bidi="ar-EG"/>
        </w:rPr>
        <w:t xml:space="preserve"> كمرفق للمعيار </w:t>
      </w:r>
      <w:r w:rsidR="009329B7">
        <w:rPr>
          <w:lang w:bidi="ar-EG"/>
        </w:rPr>
        <w:t>ST.26</w:t>
      </w:r>
      <w:r w:rsidR="009329B7">
        <w:rPr>
          <w:rFonts w:hint="cs"/>
          <w:rtl/>
          <w:lang w:bidi="ar-EG"/>
        </w:rPr>
        <w:t xml:space="preserve"> من أجل إرشاد المودعين في تحويل قوائم التسلسل من المعيار </w:t>
      </w:r>
      <w:r w:rsidR="009329B7">
        <w:rPr>
          <w:lang w:bidi="ar-EG"/>
        </w:rPr>
        <w:t>ST.25</w:t>
      </w:r>
      <w:r w:rsidR="009329B7">
        <w:rPr>
          <w:rFonts w:hint="cs"/>
          <w:rtl/>
          <w:lang w:bidi="ar-EG"/>
        </w:rPr>
        <w:t xml:space="preserve"> إلى المعيار </w:t>
      </w:r>
      <w:r w:rsidR="009329B7">
        <w:rPr>
          <w:lang w:bidi="ar-EG"/>
        </w:rPr>
        <w:t>ST.26</w:t>
      </w:r>
      <w:r w:rsidR="009329B7">
        <w:rPr>
          <w:rFonts w:hint="cs"/>
          <w:rtl/>
          <w:lang w:bidi="ar-EG"/>
        </w:rPr>
        <w:t>. ويقَّدم المرفق السابع الجديد المقترح إلى لجنة المعايير كي تنظر فيه وتعتمده عند الاقتضاء.</w:t>
      </w:r>
    </w:p>
    <w:p w:rsidR="009329B7" w:rsidRDefault="009329B7" w:rsidP="009329B7">
      <w:pPr>
        <w:pStyle w:val="BodyText"/>
        <w:rPr>
          <w:rFonts w:eastAsia="SimSun"/>
          <w:rtl/>
          <w:lang w:eastAsia="zh-CN"/>
        </w:rPr>
      </w:pPr>
      <w:r>
        <w:rPr>
          <w:rtl/>
        </w:rPr>
        <w:br w:type="page"/>
      </w:r>
    </w:p>
    <w:p w:rsidR="009329B7" w:rsidRDefault="009329B7" w:rsidP="009329B7">
      <w:pPr>
        <w:pStyle w:val="Decision"/>
      </w:pPr>
      <w:r>
        <w:rPr>
          <w:rFonts w:hint="cs"/>
          <w:rtl/>
          <w:lang w:bidi="ar-EG"/>
        </w:rPr>
        <w:lastRenderedPageBreak/>
        <w:t>إن لجنة المعايير مدعوة إلى ما يلي:</w:t>
      </w:r>
    </w:p>
    <w:p w:rsidR="009329B7" w:rsidRPr="009329B7" w:rsidRDefault="009329B7" w:rsidP="007727BA">
      <w:pPr>
        <w:pStyle w:val="ONUMA"/>
        <w:numPr>
          <w:ilvl w:val="2"/>
          <w:numId w:val="24"/>
        </w:numPr>
        <w:ind w:left="5534" w:firstLine="567"/>
        <w:rPr>
          <w:i/>
          <w:iCs/>
        </w:rPr>
      </w:pPr>
      <w:r w:rsidRPr="009329B7">
        <w:rPr>
          <w:rFonts w:hint="cs"/>
          <w:i/>
          <w:iCs/>
          <w:rtl/>
        </w:rPr>
        <w:t>أن تحيط علماً بمضمون هذه</w:t>
      </w:r>
      <w:r w:rsidR="007727BA">
        <w:rPr>
          <w:rFonts w:hint="cs"/>
          <w:i/>
          <w:iCs/>
          <w:rtl/>
        </w:rPr>
        <w:t> </w:t>
      </w:r>
      <w:r w:rsidRPr="009329B7">
        <w:rPr>
          <w:rFonts w:hint="cs"/>
          <w:i/>
          <w:iCs/>
          <w:rtl/>
        </w:rPr>
        <w:t>الوثيقة؛</w:t>
      </w:r>
    </w:p>
    <w:p w:rsidR="009329B7" w:rsidRPr="009329B7" w:rsidRDefault="009329B7" w:rsidP="009329B7">
      <w:pPr>
        <w:pStyle w:val="ONUMA"/>
        <w:numPr>
          <w:ilvl w:val="2"/>
          <w:numId w:val="24"/>
        </w:numPr>
        <w:ind w:left="5534" w:firstLine="567"/>
        <w:rPr>
          <w:i/>
          <w:iCs/>
        </w:rPr>
      </w:pPr>
      <w:r w:rsidRPr="009329B7">
        <w:rPr>
          <w:rFonts w:hint="cs"/>
          <w:i/>
          <w:iCs/>
          <w:rtl/>
        </w:rPr>
        <w:t xml:space="preserve">وأن تنظر وتبت </w:t>
      </w:r>
      <w:r w:rsidRPr="009329B7">
        <w:rPr>
          <w:i/>
          <w:iCs/>
          <w:rtl/>
        </w:rPr>
        <w:t xml:space="preserve">في اعتماد المراجعة المقترحة لمعيار الويبو </w:t>
      </w:r>
      <w:r w:rsidRPr="009329B7">
        <w:rPr>
          <w:i/>
          <w:iCs/>
        </w:rPr>
        <w:t>ST.26</w:t>
      </w:r>
      <w:r w:rsidRPr="009329B7">
        <w:rPr>
          <w:i/>
          <w:iCs/>
          <w:rtl/>
        </w:rPr>
        <w:t xml:space="preserve">، </w:t>
      </w:r>
      <w:r w:rsidRPr="009329B7">
        <w:rPr>
          <w:rFonts w:hint="cs"/>
          <w:i/>
          <w:iCs/>
          <w:rtl/>
        </w:rPr>
        <w:t>وفقاً لما ورد في الفقرات 4 إلى 9 والمرفقات الأول إلى السادس من هذه الوثيقة؛</w:t>
      </w:r>
    </w:p>
    <w:p w:rsidR="009329B7" w:rsidRPr="009329B7" w:rsidRDefault="009329B7" w:rsidP="007727BA">
      <w:pPr>
        <w:pStyle w:val="ONUMA"/>
        <w:numPr>
          <w:ilvl w:val="2"/>
          <w:numId w:val="24"/>
        </w:numPr>
        <w:ind w:left="5534" w:firstLine="567"/>
        <w:rPr>
          <w:i/>
          <w:iCs/>
        </w:rPr>
      </w:pPr>
      <w:r w:rsidRPr="009329B7">
        <w:rPr>
          <w:rFonts w:hint="cs"/>
          <w:i/>
          <w:iCs/>
          <w:rtl/>
        </w:rPr>
        <w:t xml:space="preserve">وأن تنظر وتبت في اعتماد المرفق السابع الجديد لمعيار الويبو </w:t>
      </w:r>
      <w:r w:rsidRPr="009329B7">
        <w:rPr>
          <w:i/>
          <w:iCs/>
        </w:rPr>
        <w:t>ST.26</w:t>
      </w:r>
      <w:r w:rsidRPr="009329B7">
        <w:rPr>
          <w:rFonts w:hint="cs"/>
          <w:i/>
          <w:iCs/>
          <w:rtl/>
          <w:lang w:bidi="ar-EG"/>
        </w:rPr>
        <w:t xml:space="preserve">، وفقاً لما ورد في الفقرتين 10 و11 من هذه الوثيقة </w:t>
      </w:r>
      <w:r w:rsidR="007727BA">
        <w:rPr>
          <w:rFonts w:hint="cs"/>
          <w:i/>
          <w:iCs/>
          <w:rtl/>
          <w:lang w:bidi="ar-EG"/>
        </w:rPr>
        <w:t>وبالصيغة</w:t>
      </w:r>
      <w:r w:rsidRPr="009329B7">
        <w:rPr>
          <w:rFonts w:hint="cs"/>
          <w:i/>
          <w:iCs/>
          <w:rtl/>
          <w:lang w:bidi="ar-EG"/>
        </w:rPr>
        <w:t xml:space="preserve"> المبيَّنة في المرفق السابع من هذه الوثيقة.</w:t>
      </w:r>
    </w:p>
    <w:p w:rsidR="009329B7" w:rsidRDefault="009329B7" w:rsidP="00AB25C4">
      <w:pPr>
        <w:pStyle w:val="Endofdocument-Annex"/>
        <w:rPr>
          <w:rtl/>
          <w:lang w:bidi="ar-EG"/>
        </w:rPr>
      </w:pPr>
      <w:r>
        <w:rPr>
          <w:rFonts w:hint="cs"/>
          <w:rtl/>
          <w:lang w:bidi="ar-EG"/>
        </w:rPr>
        <w:t>[يلي ذلك المرفق الأول</w:t>
      </w:r>
      <w:r w:rsidR="00AB25C4">
        <w:rPr>
          <w:rtl/>
          <w:lang w:bidi="ar-EG"/>
        </w:rPr>
        <w:br/>
      </w:r>
      <w:r>
        <w:rPr>
          <w:rFonts w:hint="cs"/>
          <w:rtl/>
          <w:lang w:bidi="ar-EG"/>
        </w:rPr>
        <w:t xml:space="preserve">(المتن الرئيسي للمعيار 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>)]</w:t>
      </w:r>
    </w:p>
    <w:p w:rsidR="009329B7" w:rsidRPr="00FA2BCF" w:rsidRDefault="009329B7" w:rsidP="00FA2BCF">
      <w:pPr>
        <w:pStyle w:val="BodyText"/>
        <w:rPr>
          <w:rtl/>
        </w:rPr>
      </w:pPr>
    </w:p>
    <w:sectPr w:rsidR="009329B7" w:rsidRPr="00FA2BC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94" w:rsidRDefault="00CB7694">
      <w:r>
        <w:separator/>
      </w:r>
    </w:p>
  </w:endnote>
  <w:endnote w:type="continuationSeparator" w:id="0">
    <w:p w:rsidR="00CB7694" w:rsidRDefault="00CB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94" w:rsidRDefault="00CB769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B7694" w:rsidRDefault="00CB769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0F" w:rsidRDefault="0093150F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CWS/6/16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3709F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C1DA6916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i w:val="0"/>
        <w:iCs w:val="0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WIPOLDTERM"/>
    <w:docVar w:name="TermBaseURL" w:val="empty"/>
    <w:docVar w:name="TextBases" w:val="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93150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029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09F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1D07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9C8"/>
    <w:rsid w:val="00686E32"/>
    <w:rsid w:val="00687CF7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7BA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54B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72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093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50F"/>
    <w:rsid w:val="00931859"/>
    <w:rsid w:val="0093205C"/>
    <w:rsid w:val="009329B7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5C4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3F3D"/>
    <w:rsid w:val="00BA47CC"/>
    <w:rsid w:val="00BA524B"/>
    <w:rsid w:val="00BA54F7"/>
    <w:rsid w:val="00BA576C"/>
    <w:rsid w:val="00BA6205"/>
    <w:rsid w:val="00BA6CE5"/>
    <w:rsid w:val="00BA6F38"/>
    <w:rsid w:val="00BB0536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1E45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694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67A8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155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BCF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7DD0345-4407-4611-A347-823DBDCA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2E0B-0473-40B6-8FA7-1ED94AA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Arabic)</vt:lpstr>
    </vt:vector>
  </TitlesOfParts>
  <Company>WIPO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Arabic)</dc:title>
  <dc:subject>مراجعة معيار الويبو ST.26</dc:subject>
  <dc:creator>WIPO</dc:creator>
  <cp:keywords>CWS</cp:keywords>
  <cp:lastModifiedBy>DRAKE Sophie</cp:lastModifiedBy>
  <cp:revision>6</cp:revision>
  <cp:lastPrinted>2018-06-12T09:05:00Z</cp:lastPrinted>
  <dcterms:created xsi:type="dcterms:W3CDTF">2018-09-19T08:47:00Z</dcterms:created>
  <dcterms:modified xsi:type="dcterms:W3CDTF">2018-10-08T09:54:00Z</dcterms:modified>
  <cp:category>CWS (in Arabic)</cp:category>
</cp:coreProperties>
</file>