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6305CDA3" wp14:editId="70AEE451">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561BC4" w:rsidP="003132DE">
      <w:pPr>
        <w:pBdr>
          <w:top w:val="single" w:sz="4" w:space="10" w:color="auto"/>
        </w:pBdr>
        <w:bidi w:val="0"/>
        <w:rPr>
          <w:rFonts w:ascii="Arial Black" w:eastAsia="SimSun" w:hAnsi="Arial Black" w:cs="Arial"/>
          <w:b/>
          <w:caps/>
          <w:noProof/>
          <w:sz w:val="16"/>
          <w:szCs w:val="16"/>
          <w:rtl/>
          <w:lang w:eastAsia="zh-CN"/>
        </w:rPr>
      </w:pPr>
      <w:bookmarkStart w:id="2" w:name="Code2"/>
      <w:r>
        <w:rPr>
          <w:rFonts w:ascii="Arial Black" w:eastAsia="SimSun" w:hAnsi="Arial Black" w:cs="Arial"/>
          <w:b/>
          <w:caps/>
          <w:noProof/>
          <w:sz w:val="16"/>
          <w:szCs w:val="16"/>
          <w:lang w:eastAsia="zh-CN"/>
        </w:rPr>
        <w:t>CWS/6/</w:t>
      </w:r>
      <w:r w:rsidR="009C55C2">
        <w:rPr>
          <w:rFonts w:ascii="Arial Black" w:eastAsia="SimSun" w:hAnsi="Arial Black" w:cs="Arial"/>
          <w:b/>
          <w:caps/>
          <w:noProof/>
          <w:sz w:val="16"/>
          <w:szCs w:val="16"/>
          <w:lang w:eastAsia="zh-CN"/>
        </w:rPr>
        <w:t>13</w:t>
      </w:r>
    </w:p>
    <w:bookmarkEnd w:id="2"/>
    <w:p w:rsidR="003F7284" w:rsidRPr="00BB6440" w:rsidRDefault="003F7284" w:rsidP="005D79F6">
      <w:pPr>
        <w:jc w:val="right"/>
        <w:rPr>
          <w:b/>
          <w:bCs/>
          <w:sz w:val="30"/>
          <w:szCs w:val="30"/>
          <w:rtl/>
        </w:rPr>
      </w:pPr>
      <w:r w:rsidRPr="00BB6440">
        <w:rPr>
          <w:b/>
          <w:bCs/>
          <w:sz w:val="30"/>
          <w:szCs w:val="30"/>
          <w:rtl/>
        </w:rPr>
        <w:t xml:space="preserve">الأصل: </w:t>
      </w:r>
      <w:r w:rsidR="009C55C2">
        <w:rPr>
          <w:b/>
          <w:bCs/>
          <w:sz w:val="30"/>
          <w:szCs w:val="30"/>
          <w:rtl/>
        </w:rPr>
        <w:t>بالإنكليزية</w:t>
      </w:r>
    </w:p>
    <w:p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9C55C2">
        <w:rPr>
          <w:b/>
          <w:bCs/>
          <w:sz w:val="30"/>
          <w:szCs w:val="30"/>
          <w:rtl/>
        </w:rPr>
        <w:t>12 سبتمبر 2018</w:t>
      </w:r>
    </w:p>
    <w:p w:rsidR="002E7810" w:rsidRPr="00FD6D15" w:rsidRDefault="00561BC4" w:rsidP="009B7572">
      <w:pPr>
        <w:pStyle w:val="Heading1"/>
        <w:spacing w:after="600" w:line="240" w:lineRule="auto"/>
        <w:rPr>
          <w:rtl/>
        </w:rPr>
      </w:pPr>
      <w:r>
        <w:rPr>
          <w:rFonts w:hint="eastAsia"/>
          <w:rtl/>
        </w:rPr>
        <w:t>اللجنة</w:t>
      </w:r>
      <w:r>
        <w:rPr>
          <w:rtl/>
        </w:rPr>
        <w:t xml:space="preserve"> </w:t>
      </w:r>
      <w:r>
        <w:rPr>
          <w:rFonts w:hint="eastAsia"/>
          <w:rtl/>
        </w:rPr>
        <w:t>المعنية</w:t>
      </w:r>
      <w:r>
        <w:rPr>
          <w:rtl/>
        </w:rPr>
        <w:t xml:space="preserve"> </w:t>
      </w:r>
      <w:r>
        <w:rPr>
          <w:rFonts w:hint="eastAsia"/>
          <w:rtl/>
        </w:rPr>
        <w:t>بمعايير</w:t>
      </w:r>
      <w:r>
        <w:rPr>
          <w:rtl/>
        </w:rPr>
        <w:t xml:space="preserve"> </w:t>
      </w:r>
      <w:r>
        <w:rPr>
          <w:rFonts w:hint="eastAsia"/>
          <w:rtl/>
        </w:rPr>
        <w:t>الويبو</w:t>
      </w:r>
    </w:p>
    <w:p w:rsidR="002E7810" w:rsidRPr="002E7810" w:rsidRDefault="00561BC4" w:rsidP="00874721">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Pr>
          <w:rFonts w:ascii="Arial Black" w:hAnsi="Arial Black" w:cs="PT Bold Heading" w:hint="eastAsia"/>
          <w:sz w:val="30"/>
          <w:szCs w:val="30"/>
          <w:rtl/>
        </w:rPr>
        <w:t>السادسة</w:t>
      </w:r>
    </w:p>
    <w:p w:rsidR="002E7810" w:rsidRPr="002E7810" w:rsidRDefault="00561BC4" w:rsidP="00874721">
      <w:pPr>
        <w:spacing w:line="600" w:lineRule="auto"/>
        <w:rPr>
          <w:b/>
          <w:bCs/>
          <w:rtl/>
        </w:rPr>
      </w:pPr>
      <w:r>
        <w:rPr>
          <w:b/>
          <w:bCs/>
          <w:rtl/>
        </w:rPr>
        <w:t>جنيف، من 15 إلى 19 أكتوبر 2018</w:t>
      </w:r>
    </w:p>
    <w:p w:rsidR="002E7810" w:rsidRPr="002E7810" w:rsidRDefault="00A37544" w:rsidP="00A37544">
      <w:pPr>
        <w:rPr>
          <w:rFonts w:ascii="Arial Black" w:hAnsi="Arial Black" w:cs="PT Bold Heading"/>
          <w:sz w:val="26"/>
          <w:szCs w:val="26"/>
          <w:rtl/>
          <w:lang w:bidi="ar-EG"/>
        </w:rPr>
      </w:pPr>
      <w:bookmarkStart w:id="3" w:name="_GoBack"/>
      <w:r>
        <w:rPr>
          <w:rFonts w:ascii="Arial Black" w:hAnsi="Arial Black" w:cs="PT Bold Heading" w:hint="cs"/>
          <w:sz w:val="26"/>
          <w:szCs w:val="26"/>
          <w:rtl/>
        </w:rPr>
        <w:t xml:space="preserve">خطة مكاتب الملكية الفكرية لتنفيذ </w:t>
      </w:r>
      <w:r w:rsidR="009C55C2">
        <w:rPr>
          <w:rFonts w:ascii="Arial Black" w:hAnsi="Arial Black" w:cs="PT Bold Heading" w:hint="cs"/>
          <w:sz w:val="26"/>
          <w:szCs w:val="26"/>
          <w:rtl/>
        </w:rPr>
        <w:t xml:space="preserve">معيار الويبو </w:t>
      </w:r>
      <w:r w:rsidR="009C55C2">
        <w:rPr>
          <w:rFonts w:ascii="Arial Black" w:hAnsi="Arial Black" w:cs="PT Bold Heading"/>
          <w:sz w:val="26"/>
          <w:szCs w:val="26"/>
        </w:rPr>
        <w:t>ST.27</w:t>
      </w:r>
    </w:p>
    <w:bookmarkEnd w:id="3"/>
    <w:p w:rsidR="003F7284" w:rsidRPr="00BB6440" w:rsidRDefault="009C55C2" w:rsidP="00874721">
      <w:pPr>
        <w:spacing w:before="200" w:after="960"/>
        <w:rPr>
          <w:i/>
          <w:iCs/>
          <w:rtl/>
        </w:rPr>
      </w:pPr>
      <w:r>
        <w:rPr>
          <w:i/>
          <w:iCs/>
          <w:rtl/>
        </w:rPr>
        <w:t xml:space="preserve">وثيقة </w:t>
      </w:r>
      <w:r w:rsidR="003F7284" w:rsidRPr="00BB6440">
        <w:rPr>
          <w:i/>
          <w:iCs/>
          <w:rtl/>
        </w:rPr>
        <w:t>من إعداد</w:t>
      </w:r>
      <w:r w:rsidR="005D79F6" w:rsidRPr="00BB6440">
        <w:rPr>
          <w:rFonts w:hint="cs"/>
          <w:i/>
          <w:iCs/>
          <w:rtl/>
        </w:rPr>
        <w:t xml:space="preserve"> </w:t>
      </w:r>
      <w:r>
        <w:rPr>
          <w:rFonts w:hint="eastAsia"/>
          <w:i/>
          <w:iCs/>
          <w:rtl/>
        </w:rPr>
        <w:t>المكتب</w:t>
      </w:r>
      <w:r>
        <w:rPr>
          <w:i/>
          <w:iCs/>
          <w:rtl/>
        </w:rPr>
        <w:t xml:space="preserve"> الدولي</w:t>
      </w:r>
    </w:p>
    <w:p w:rsidR="00E3612C" w:rsidRPr="00FD6D15" w:rsidRDefault="009C55C2" w:rsidP="009C55C2">
      <w:pPr>
        <w:pStyle w:val="Heading2"/>
        <w:rPr>
          <w:rtl/>
        </w:rPr>
      </w:pPr>
      <w:r>
        <w:rPr>
          <w:rFonts w:hint="cs"/>
          <w:rtl/>
        </w:rPr>
        <w:t>المقدمة</w:t>
      </w:r>
    </w:p>
    <w:p w:rsidR="00C41AE0" w:rsidRDefault="009C55C2" w:rsidP="00B35459">
      <w:pPr>
        <w:pStyle w:val="ONUMA"/>
      </w:pPr>
      <w:r>
        <w:rPr>
          <w:rFonts w:hint="cs"/>
          <w:rtl/>
        </w:rPr>
        <w:t xml:space="preserve">اعتمدت اللجنة المعنية بمعايير الويبو (لجنة المعايير)، في دورتها الخامسة المعقودة في الفترة من 29 مايو إلى 2 يونيو 2017، معيار الويبو </w:t>
      </w:r>
      <w:r>
        <w:t>ST.27</w:t>
      </w:r>
      <w:r>
        <w:rPr>
          <w:rFonts w:hint="cs"/>
          <w:rtl/>
          <w:lang w:bidi="ar-EG"/>
        </w:rPr>
        <w:t xml:space="preserve"> "توصية بشأن تبادل بيانات الوضع القانوني للبراءات" (انظر الفقرة 50 من الوثيقة</w:t>
      </w:r>
      <w:r w:rsidR="00B35459">
        <w:rPr>
          <w:rFonts w:hint="eastAsia"/>
          <w:rtl/>
          <w:lang w:bidi="ar-EG"/>
        </w:rPr>
        <w:t> </w:t>
      </w:r>
      <w:r>
        <w:rPr>
          <w:lang w:bidi="ar-EG"/>
        </w:rPr>
        <w:t>CWS/5/22</w:t>
      </w:r>
      <w:r>
        <w:rPr>
          <w:rFonts w:hint="cs"/>
          <w:rtl/>
          <w:lang w:bidi="ar-EG"/>
        </w:rPr>
        <w:t>).</w:t>
      </w:r>
    </w:p>
    <w:p w:rsidR="009C55C2" w:rsidRDefault="009C55C2" w:rsidP="00B35459">
      <w:pPr>
        <w:pStyle w:val="ONUMA"/>
      </w:pPr>
      <w:r>
        <w:rPr>
          <w:rFonts w:hint="cs"/>
          <w:rtl/>
        </w:rPr>
        <w:t xml:space="preserve">وطلبت لجنة المعايير من الأمانة إصدار تعميم تدعو فيه مكاتب الملكية الفكرية إلى تقييم ممارسات عملها ونظمها المعلوماتية واستعراض الأحداث المفصّلة المؤقتة المدرجة في معيار الويبو الجديد </w:t>
      </w:r>
      <w:r>
        <w:t>ST.27</w:t>
      </w:r>
      <w:r>
        <w:rPr>
          <w:rFonts w:hint="cs"/>
          <w:rtl/>
          <w:lang w:bidi="ar-EG"/>
        </w:rPr>
        <w:t xml:space="preserve"> (انظر الفقرة 52 من الوثيقة</w:t>
      </w:r>
      <w:r w:rsidR="00B35459">
        <w:rPr>
          <w:rFonts w:hint="eastAsia"/>
          <w:rtl/>
          <w:lang w:bidi="ar-EG"/>
        </w:rPr>
        <w:t> </w:t>
      </w:r>
      <w:r>
        <w:rPr>
          <w:lang w:bidi="ar-EG"/>
        </w:rPr>
        <w:t>CWS/5/22</w:t>
      </w:r>
      <w:r>
        <w:rPr>
          <w:rFonts w:hint="cs"/>
          <w:rtl/>
          <w:lang w:bidi="ar-EG"/>
        </w:rPr>
        <w:t>).</w:t>
      </w:r>
    </w:p>
    <w:p w:rsidR="009C55C2" w:rsidRDefault="009C55C2" w:rsidP="009C55C2">
      <w:pPr>
        <w:pStyle w:val="ONUMA"/>
      </w:pPr>
      <w:r>
        <w:rPr>
          <w:rFonts w:hint="cs"/>
          <w:rtl/>
          <w:lang w:bidi="ar-EG"/>
        </w:rPr>
        <w:lastRenderedPageBreak/>
        <w:t xml:space="preserve">فأصدرت الأمانة التعميم </w:t>
      </w:r>
      <w:r>
        <w:rPr>
          <w:lang w:bidi="ar-EG"/>
        </w:rPr>
        <w:t>C. CWS 92</w:t>
      </w:r>
      <w:r>
        <w:rPr>
          <w:rFonts w:hint="cs"/>
          <w:rtl/>
          <w:lang w:bidi="ar-EG"/>
        </w:rPr>
        <w:t xml:space="preserve"> في 25 يناير 2018 ودعت فيه مكاتب الملكية الفكرية إلى موافاتها بنتائج ما</w:t>
      </w:r>
      <w:r>
        <w:rPr>
          <w:rFonts w:hint="eastAsia"/>
          <w:rtl/>
          <w:lang w:bidi="ar-EG"/>
        </w:rPr>
        <w:t> </w:t>
      </w:r>
      <w:r>
        <w:rPr>
          <w:rFonts w:hint="cs"/>
          <w:rtl/>
          <w:lang w:bidi="ar-EG"/>
        </w:rPr>
        <w:t>يلي:</w:t>
      </w:r>
    </w:p>
    <w:p w:rsidR="009C55C2" w:rsidRDefault="009C55C2" w:rsidP="009C55C2">
      <w:pPr>
        <w:pStyle w:val="ONUMA"/>
        <w:numPr>
          <w:ilvl w:val="2"/>
          <w:numId w:val="24"/>
        </w:numPr>
        <w:ind w:left="567"/>
      </w:pPr>
      <w:r>
        <w:rPr>
          <w:rFonts w:hint="cs"/>
          <w:rtl/>
        </w:rPr>
        <w:t xml:space="preserve">تقييم ممارسات عملها ونظمها المعلوماتية، بما في ذلك جدولها المؤقت لتنفيذ معيار الويبو </w:t>
      </w:r>
      <w:r>
        <w:t>ST.27</w:t>
      </w:r>
      <w:r>
        <w:rPr>
          <w:rFonts w:hint="cs"/>
          <w:rtl/>
          <w:lang w:bidi="ar-EG"/>
        </w:rPr>
        <w:t>؛</w:t>
      </w:r>
    </w:p>
    <w:p w:rsidR="009C55C2" w:rsidRDefault="009C55C2" w:rsidP="009C55C2">
      <w:pPr>
        <w:pStyle w:val="ONUMA"/>
        <w:numPr>
          <w:ilvl w:val="2"/>
          <w:numId w:val="24"/>
        </w:numPr>
        <w:ind w:left="567"/>
      </w:pPr>
      <w:r>
        <w:rPr>
          <w:rFonts w:hint="cs"/>
          <w:rtl/>
          <w:lang w:bidi="ar-EG"/>
        </w:rPr>
        <w:t>واستعراض الأحداث المفصّلة المؤقتة وفقاً لقوانينها وممارساتها الخاصة.</w:t>
      </w:r>
    </w:p>
    <w:p w:rsidR="009C55C2" w:rsidRDefault="009C55C2" w:rsidP="00B35459">
      <w:pPr>
        <w:pStyle w:val="ONUMA"/>
      </w:pPr>
      <w:r>
        <w:rPr>
          <w:rFonts w:hint="cs"/>
          <w:rtl/>
        </w:rPr>
        <w:t xml:space="preserve">ويوصي معيار الويبو </w:t>
      </w:r>
      <w:r>
        <w:t>ST.27</w:t>
      </w:r>
      <w:r>
        <w:rPr>
          <w:rFonts w:hint="cs"/>
          <w:rtl/>
          <w:lang w:bidi="ar-EG"/>
        </w:rPr>
        <w:t xml:space="preserve"> بأن يُصدر إعلان عند تنفيذ هذا المعيار وأن يُبلغ المكتب الدولي للويبو عن طريق </w:t>
      </w:r>
      <w:r w:rsidR="00B35459">
        <w:rPr>
          <w:rFonts w:hint="cs"/>
          <w:rtl/>
          <w:lang w:bidi="ar-EG"/>
        </w:rPr>
        <w:t>تزويده</w:t>
      </w:r>
      <w:r>
        <w:rPr>
          <w:rFonts w:hint="cs"/>
          <w:rtl/>
          <w:lang w:bidi="ar-EG"/>
        </w:rPr>
        <w:t xml:space="preserve"> </w:t>
      </w:r>
      <w:r w:rsidR="00B35459">
        <w:rPr>
          <w:rFonts w:hint="cs"/>
          <w:rtl/>
          <w:lang w:bidi="ar-EG"/>
        </w:rPr>
        <w:t>ب</w:t>
      </w:r>
      <w:r>
        <w:rPr>
          <w:rFonts w:hint="cs"/>
          <w:rtl/>
          <w:lang w:bidi="ar-EG"/>
        </w:rPr>
        <w:t xml:space="preserve">جدول للربط بين الأحداث الوطنية والإقليمية والأحداث المدرجة في ذلك المعيار على أساس النموذج المتاح في المرفق الرابع من المعيار </w:t>
      </w:r>
      <w:r>
        <w:rPr>
          <w:lang w:bidi="ar-EG"/>
        </w:rPr>
        <w:t>ST.27</w:t>
      </w:r>
      <w:r>
        <w:rPr>
          <w:rFonts w:hint="cs"/>
          <w:rtl/>
          <w:lang w:bidi="ar-EG"/>
        </w:rPr>
        <w:t xml:space="preserve">. ويقترح المعيار </w:t>
      </w:r>
      <w:r>
        <w:rPr>
          <w:lang w:bidi="ar-EG"/>
        </w:rPr>
        <w:t>ST.27</w:t>
      </w:r>
      <w:r>
        <w:rPr>
          <w:rFonts w:hint="cs"/>
          <w:rtl/>
          <w:lang w:bidi="ar-EG"/>
        </w:rPr>
        <w:t xml:space="preserve"> أن </w:t>
      </w:r>
      <w:r w:rsidRPr="009C55C2">
        <w:rPr>
          <w:rtl/>
          <w:lang w:bidi="ar-EG"/>
        </w:rPr>
        <w:t>تكون وتيرة تبادل بيانات الوضع القانوني شهرية على الأقل وأسبوعية في أفضل الحالات</w:t>
      </w:r>
      <w:r>
        <w:rPr>
          <w:rFonts w:hint="cs"/>
          <w:rtl/>
          <w:lang w:bidi="ar-EG"/>
        </w:rPr>
        <w:t xml:space="preserve"> (انظر الفقرتين 51 و53 من المعيار </w:t>
      </w:r>
      <w:r>
        <w:rPr>
          <w:lang w:bidi="ar-EG"/>
        </w:rPr>
        <w:t>ST.27</w:t>
      </w:r>
      <w:r>
        <w:rPr>
          <w:rFonts w:hint="cs"/>
          <w:rtl/>
          <w:lang w:bidi="ar-EG"/>
        </w:rPr>
        <w:t>).</w:t>
      </w:r>
    </w:p>
    <w:p w:rsidR="009C55C2" w:rsidRDefault="009C55C2" w:rsidP="009C55C2">
      <w:pPr>
        <w:pStyle w:val="Heading2"/>
        <w:rPr>
          <w:rtl/>
          <w:lang w:bidi="ar-EG"/>
        </w:rPr>
      </w:pPr>
      <w:r>
        <w:rPr>
          <w:rFonts w:hint="cs"/>
          <w:rtl/>
        </w:rPr>
        <w:t xml:space="preserve">خطة مكاتب الملكية الفكرية لتنفيذ معيار الويبو </w:t>
      </w:r>
      <w:r>
        <w:t>ST.27</w:t>
      </w:r>
    </w:p>
    <w:p w:rsidR="009C55C2" w:rsidRDefault="009C55C2" w:rsidP="00B35459">
      <w:pPr>
        <w:pStyle w:val="ONUMA"/>
      </w:pPr>
      <w:r>
        <w:rPr>
          <w:rFonts w:hint="cs"/>
          <w:rtl/>
        </w:rPr>
        <w:t xml:space="preserve">رداً على التعميم </w:t>
      </w:r>
      <w:r>
        <w:t>C. CWS 92</w:t>
      </w:r>
      <w:r w:rsidR="00B35459">
        <w:rPr>
          <w:rFonts w:hint="cs"/>
          <w:rtl/>
          <w:lang w:bidi="ar-EG"/>
        </w:rPr>
        <w:t xml:space="preserve">، وفرت مكاتب الملكية الفكرية الإحدى عشرة التالية </w:t>
      </w:r>
      <w:r>
        <w:rPr>
          <w:rFonts w:hint="cs"/>
          <w:rtl/>
          <w:lang w:bidi="ar-EG"/>
        </w:rPr>
        <w:t>خط</w:t>
      </w:r>
      <w:r w:rsidR="00B35459">
        <w:rPr>
          <w:rFonts w:hint="cs"/>
          <w:rtl/>
          <w:lang w:bidi="ar-EG"/>
        </w:rPr>
        <w:t>طها</w:t>
      </w:r>
      <w:r>
        <w:rPr>
          <w:rFonts w:hint="cs"/>
          <w:rtl/>
          <w:lang w:bidi="ar-EG"/>
        </w:rPr>
        <w:t xml:space="preserve"> لتنفيذ معيار الويبو</w:t>
      </w:r>
      <w:r w:rsidR="00B35459">
        <w:rPr>
          <w:rFonts w:hint="eastAsia"/>
          <w:rtl/>
          <w:lang w:bidi="ar-EG"/>
        </w:rPr>
        <w:t> </w:t>
      </w:r>
      <w:r>
        <w:rPr>
          <w:lang w:bidi="ar-EG"/>
        </w:rPr>
        <w:t>ST.27</w:t>
      </w:r>
      <w:r>
        <w:rPr>
          <w:rFonts w:hint="cs"/>
          <w:rtl/>
          <w:lang w:bidi="ar-EG"/>
        </w:rPr>
        <w:t>:</w:t>
      </w:r>
    </w:p>
    <w:p w:rsidR="009C55C2" w:rsidRDefault="009C55C2" w:rsidP="009C55C2">
      <w:pPr>
        <w:pStyle w:val="ONUMA"/>
        <w:numPr>
          <w:ilvl w:val="5"/>
          <w:numId w:val="24"/>
        </w:numPr>
        <w:ind w:left="567"/>
      </w:pPr>
      <w:r>
        <w:rPr>
          <w:rFonts w:hint="cs"/>
          <w:rtl/>
          <w:lang w:bidi="ar-EG"/>
        </w:rPr>
        <w:t>أستراليا (</w:t>
      </w:r>
      <w:r>
        <w:rPr>
          <w:lang w:bidi="ar-EG"/>
        </w:rPr>
        <w:t>AU</w:t>
      </w:r>
      <w:r>
        <w:rPr>
          <w:rFonts w:hint="cs"/>
          <w:rtl/>
          <w:lang w:bidi="ar-EG"/>
        </w:rPr>
        <w:t>)</w:t>
      </w:r>
    </w:p>
    <w:p w:rsidR="009C55C2" w:rsidRDefault="009C55C2" w:rsidP="009C55C2">
      <w:pPr>
        <w:pStyle w:val="ONUMA"/>
        <w:numPr>
          <w:ilvl w:val="5"/>
          <w:numId w:val="24"/>
        </w:numPr>
        <w:ind w:left="567"/>
      </w:pPr>
      <w:r>
        <w:rPr>
          <w:rFonts w:hint="cs"/>
          <w:rtl/>
          <w:lang w:bidi="ar-EG"/>
        </w:rPr>
        <w:t>الصين (</w:t>
      </w:r>
      <w:r>
        <w:rPr>
          <w:lang w:bidi="ar-EG"/>
        </w:rPr>
        <w:t>CN</w:t>
      </w:r>
      <w:r>
        <w:rPr>
          <w:rFonts w:hint="cs"/>
          <w:rtl/>
          <w:lang w:bidi="ar-EG"/>
        </w:rPr>
        <w:t>)</w:t>
      </w:r>
    </w:p>
    <w:p w:rsidR="009C55C2" w:rsidRDefault="009C55C2" w:rsidP="009C55C2">
      <w:pPr>
        <w:pStyle w:val="ONUMA"/>
        <w:numPr>
          <w:ilvl w:val="5"/>
          <w:numId w:val="24"/>
        </w:numPr>
        <w:ind w:left="567"/>
      </w:pPr>
      <w:r>
        <w:rPr>
          <w:rFonts w:hint="cs"/>
          <w:rtl/>
          <w:lang w:bidi="ar-EG"/>
        </w:rPr>
        <w:t>كولومبيا (</w:t>
      </w:r>
      <w:r>
        <w:rPr>
          <w:lang w:bidi="ar-EG"/>
        </w:rPr>
        <w:t>CO</w:t>
      </w:r>
      <w:r>
        <w:rPr>
          <w:rFonts w:hint="cs"/>
          <w:rtl/>
          <w:lang w:bidi="ar-EG"/>
        </w:rPr>
        <w:t>)</w:t>
      </w:r>
    </w:p>
    <w:p w:rsidR="009C55C2" w:rsidRDefault="009C55C2" w:rsidP="009C55C2">
      <w:pPr>
        <w:pStyle w:val="ONUMA"/>
        <w:numPr>
          <w:ilvl w:val="5"/>
          <w:numId w:val="24"/>
        </w:numPr>
        <w:ind w:left="567"/>
      </w:pPr>
      <w:r>
        <w:rPr>
          <w:rFonts w:hint="cs"/>
          <w:rtl/>
          <w:lang w:bidi="ar-EG"/>
        </w:rPr>
        <w:t>تشيكيا (</w:t>
      </w:r>
      <w:r>
        <w:rPr>
          <w:lang w:bidi="ar-EG"/>
        </w:rPr>
        <w:t>CZ</w:t>
      </w:r>
      <w:r>
        <w:rPr>
          <w:rFonts w:hint="cs"/>
          <w:rtl/>
          <w:lang w:bidi="ar-EG"/>
        </w:rPr>
        <w:t>)</w:t>
      </w:r>
    </w:p>
    <w:p w:rsidR="009C55C2" w:rsidRDefault="009C55C2" w:rsidP="009C55C2">
      <w:pPr>
        <w:pStyle w:val="ONUMA"/>
        <w:numPr>
          <w:ilvl w:val="5"/>
          <w:numId w:val="24"/>
        </w:numPr>
        <w:ind w:left="567"/>
      </w:pPr>
      <w:r>
        <w:rPr>
          <w:rFonts w:hint="cs"/>
          <w:rtl/>
          <w:lang w:bidi="ar-EG"/>
        </w:rPr>
        <w:t>ألمانيا (</w:t>
      </w:r>
      <w:r>
        <w:rPr>
          <w:lang w:bidi="ar-EG"/>
        </w:rPr>
        <w:t>DE</w:t>
      </w:r>
      <w:r>
        <w:rPr>
          <w:rFonts w:hint="cs"/>
          <w:rtl/>
          <w:lang w:bidi="ar-EG"/>
        </w:rPr>
        <w:t>)</w:t>
      </w:r>
    </w:p>
    <w:p w:rsidR="009C55C2" w:rsidRDefault="009C55C2" w:rsidP="009C55C2">
      <w:pPr>
        <w:pStyle w:val="ONUMA"/>
        <w:numPr>
          <w:ilvl w:val="5"/>
          <w:numId w:val="24"/>
        </w:numPr>
        <w:ind w:left="567"/>
      </w:pPr>
      <w:r>
        <w:rPr>
          <w:rFonts w:hint="cs"/>
          <w:rtl/>
        </w:rPr>
        <w:t xml:space="preserve">المنظمة </w:t>
      </w:r>
      <w:r w:rsidR="00C87EB0">
        <w:rPr>
          <w:rFonts w:hint="cs"/>
          <w:rtl/>
        </w:rPr>
        <w:t xml:space="preserve">الأوروبية </w:t>
      </w:r>
      <w:r>
        <w:rPr>
          <w:rFonts w:hint="cs"/>
          <w:rtl/>
        </w:rPr>
        <w:t>الآسيوية للبراءات (</w:t>
      </w:r>
      <w:r>
        <w:t>EA</w:t>
      </w:r>
      <w:r>
        <w:rPr>
          <w:rFonts w:hint="cs"/>
          <w:rtl/>
          <w:lang w:bidi="ar-EG"/>
        </w:rPr>
        <w:t>)</w:t>
      </w:r>
    </w:p>
    <w:p w:rsidR="009C55C2" w:rsidRDefault="009C55C2" w:rsidP="009C55C2">
      <w:pPr>
        <w:pStyle w:val="ONUMA"/>
        <w:numPr>
          <w:ilvl w:val="5"/>
          <w:numId w:val="24"/>
        </w:numPr>
        <w:ind w:left="567"/>
      </w:pPr>
      <w:r>
        <w:rPr>
          <w:rFonts w:hint="cs"/>
          <w:rtl/>
          <w:lang w:bidi="ar-EG"/>
        </w:rPr>
        <w:lastRenderedPageBreak/>
        <w:t>جمهورية كوريا (</w:t>
      </w:r>
      <w:r>
        <w:rPr>
          <w:lang w:bidi="ar-EG"/>
        </w:rPr>
        <w:t>KR</w:t>
      </w:r>
      <w:r>
        <w:rPr>
          <w:rFonts w:hint="cs"/>
          <w:rtl/>
          <w:lang w:bidi="ar-EG"/>
        </w:rPr>
        <w:t>)</w:t>
      </w:r>
    </w:p>
    <w:p w:rsidR="009C55C2" w:rsidRDefault="009C55C2" w:rsidP="009C55C2">
      <w:pPr>
        <w:pStyle w:val="ONUMA"/>
        <w:numPr>
          <w:ilvl w:val="5"/>
          <w:numId w:val="24"/>
        </w:numPr>
        <w:ind w:left="567"/>
      </w:pPr>
      <w:r>
        <w:rPr>
          <w:rFonts w:hint="cs"/>
          <w:rtl/>
          <w:lang w:bidi="ar-EG"/>
        </w:rPr>
        <w:t>الاتحاد الروسي (</w:t>
      </w:r>
      <w:r>
        <w:rPr>
          <w:lang w:bidi="ar-EG"/>
        </w:rPr>
        <w:t>RU</w:t>
      </w:r>
      <w:r>
        <w:rPr>
          <w:rFonts w:hint="cs"/>
          <w:rtl/>
          <w:lang w:bidi="ar-EG"/>
        </w:rPr>
        <w:t>)</w:t>
      </w:r>
    </w:p>
    <w:p w:rsidR="009C55C2" w:rsidRDefault="009C55C2" w:rsidP="009C55C2">
      <w:pPr>
        <w:pStyle w:val="ONUMA"/>
        <w:numPr>
          <w:ilvl w:val="5"/>
          <w:numId w:val="24"/>
        </w:numPr>
        <w:ind w:left="567"/>
      </w:pPr>
      <w:r>
        <w:rPr>
          <w:rFonts w:hint="cs"/>
          <w:rtl/>
          <w:lang w:bidi="ar-EG"/>
        </w:rPr>
        <w:t>أوكرانيا (</w:t>
      </w:r>
      <w:r>
        <w:rPr>
          <w:lang w:bidi="ar-EG"/>
        </w:rPr>
        <w:t>UA</w:t>
      </w:r>
      <w:r>
        <w:rPr>
          <w:rFonts w:hint="cs"/>
          <w:rtl/>
          <w:lang w:bidi="ar-EG"/>
        </w:rPr>
        <w:t>)</w:t>
      </w:r>
    </w:p>
    <w:p w:rsidR="009C55C2" w:rsidRDefault="009C55C2" w:rsidP="009C55C2">
      <w:pPr>
        <w:pStyle w:val="ONUMA"/>
        <w:numPr>
          <w:ilvl w:val="5"/>
          <w:numId w:val="24"/>
        </w:numPr>
        <w:ind w:left="567"/>
      </w:pPr>
      <w:r>
        <w:rPr>
          <w:rFonts w:hint="cs"/>
          <w:rtl/>
        </w:rPr>
        <w:t>المملكة المتحدة (</w:t>
      </w:r>
      <w:r>
        <w:t>GB</w:t>
      </w:r>
      <w:r>
        <w:rPr>
          <w:rFonts w:hint="cs"/>
          <w:rtl/>
          <w:lang w:bidi="ar-EG"/>
        </w:rPr>
        <w:t>)</w:t>
      </w:r>
    </w:p>
    <w:p w:rsidR="009C55C2" w:rsidRDefault="009C55C2" w:rsidP="009C55C2">
      <w:pPr>
        <w:pStyle w:val="ONUMA"/>
        <w:numPr>
          <w:ilvl w:val="5"/>
          <w:numId w:val="24"/>
        </w:numPr>
        <w:ind w:left="567"/>
      </w:pPr>
      <w:r>
        <w:rPr>
          <w:rFonts w:hint="cs"/>
          <w:rtl/>
          <w:lang w:bidi="ar-EG"/>
        </w:rPr>
        <w:t>الولايات المتحدة الأمريكية (</w:t>
      </w:r>
      <w:r>
        <w:rPr>
          <w:lang w:bidi="ar-EG"/>
        </w:rPr>
        <w:t>US</w:t>
      </w:r>
      <w:r>
        <w:rPr>
          <w:rFonts w:hint="cs"/>
          <w:rtl/>
          <w:lang w:bidi="ar-EG"/>
        </w:rPr>
        <w:t>)</w:t>
      </w:r>
    </w:p>
    <w:p w:rsidR="009C55C2" w:rsidRDefault="009C55C2" w:rsidP="009C55C2">
      <w:pPr>
        <w:pStyle w:val="ONUMA"/>
      </w:pPr>
      <w:r>
        <w:rPr>
          <w:rFonts w:hint="cs"/>
          <w:rtl/>
        </w:rPr>
        <w:t xml:space="preserve">وفيما يخص </w:t>
      </w:r>
      <w:r w:rsidRPr="009C55C2">
        <w:rPr>
          <w:rtl/>
        </w:rPr>
        <w:t xml:space="preserve">تقييم ممارسات </w:t>
      </w:r>
      <w:r>
        <w:rPr>
          <w:rFonts w:hint="cs"/>
          <w:rtl/>
        </w:rPr>
        <w:t>ا</w:t>
      </w:r>
      <w:r w:rsidRPr="009C55C2">
        <w:rPr>
          <w:rtl/>
        </w:rPr>
        <w:t>لعمل و</w:t>
      </w:r>
      <w:r>
        <w:rPr>
          <w:rFonts w:hint="cs"/>
          <w:rtl/>
        </w:rPr>
        <w:t>النظم المعلوماتية</w:t>
      </w:r>
      <w:r w:rsidRPr="009C55C2">
        <w:rPr>
          <w:rtl/>
        </w:rPr>
        <w:t xml:space="preserve"> </w:t>
      </w:r>
      <w:r>
        <w:rPr>
          <w:rFonts w:hint="cs"/>
          <w:rtl/>
        </w:rPr>
        <w:t xml:space="preserve">والجداول الزمنية لتنفيذ المعيار </w:t>
      </w:r>
      <w:r>
        <w:t>ST.27</w:t>
      </w:r>
      <w:r>
        <w:rPr>
          <w:rFonts w:hint="cs"/>
          <w:rtl/>
          <w:lang w:bidi="ar-EG"/>
        </w:rPr>
        <w:t xml:space="preserve"> في مكاتب الملكية الفكرية،</w:t>
      </w:r>
      <w:r w:rsidRPr="009C55C2">
        <w:rPr>
          <w:rtl/>
        </w:rPr>
        <w:t xml:space="preserve"> أشارت </w:t>
      </w:r>
      <w:r>
        <w:rPr>
          <w:rFonts w:hint="cs"/>
          <w:rtl/>
        </w:rPr>
        <w:t>الردود الواردة من غالبية تلك المكاتب إلى أنها تحتاج إلى إجراء المزيد من التحليل الداخلي قبل إعداد جدول زمني للتنفيذ. وذكرت مكاتب الملكية الفكرية التالية أنه يلزم إجراء المزيد من التحليل الداخلي قبل الانتهاء من إعداد الجداول الزمنية للتنفيذ: أستراليا والصين وتشيكيا وألمانيا وروسيا وأوكرانيا والولايات المتحدة.</w:t>
      </w:r>
    </w:p>
    <w:p w:rsidR="009C55C2" w:rsidRDefault="009C55C2" w:rsidP="009C55C2">
      <w:pPr>
        <w:pStyle w:val="ONUMA"/>
      </w:pPr>
      <w:r>
        <w:rPr>
          <w:rFonts w:hint="cs"/>
          <w:rtl/>
        </w:rPr>
        <w:t xml:space="preserve">وعلى الرغم من أن المكاتب تحتاج إلى مزيد من الوقت لتقييم تأثير تنفيذ المعيار </w:t>
      </w:r>
      <w:r>
        <w:t>ST.27</w:t>
      </w:r>
      <w:r>
        <w:rPr>
          <w:rFonts w:hint="cs"/>
          <w:rtl/>
          <w:lang w:bidi="ar-EG"/>
        </w:rPr>
        <w:t xml:space="preserve"> على عملها ونظمها المعلوماتية، فقد وفر عدد من مكاتب الملكية الفكرية أطراً زمنياً أولية للتنفيذ تتراوح بين سنة وخمس سنوات:</w:t>
      </w:r>
    </w:p>
    <w:p w:rsidR="009C55C2" w:rsidRDefault="00C87EB0" w:rsidP="009C55C2">
      <w:pPr>
        <w:pStyle w:val="ONUMA"/>
        <w:numPr>
          <w:ilvl w:val="2"/>
          <w:numId w:val="24"/>
        </w:numPr>
        <w:ind w:left="567"/>
      </w:pPr>
      <w:r>
        <w:rPr>
          <w:rFonts w:hint="cs"/>
          <w:rtl/>
        </w:rPr>
        <w:t xml:space="preserve">كولومبيا </w:t>
      </w:r>
      <w:r>
        <w:rPr>
          <w:rtl/>
        </w:rPr>
        <w:t>–</w:t>
      </w:r>
      <w:r>
        <w:rPr>
          <w:rFonts w:hint="cs"/>
          <w:rtl/>
        </w:rPr>
        <w:t xml:space="preserve"> تعتزم تنفيذ المعيار </w:t>
      </w:r>
      <w:r>
        <w:t>ST.27</w:t>
      </w:r>
      <w:r>
        <w:rPr>
          <w:rFonts w:hint="cs"/>
          <w:rtl/>
          <w:lang w:bidi="ar-EG"/>
        </w:rPr>
        <w:t xml:space="preserve"> في عام 2019؛</w:t>
      </w:r>
    </w:p>
    <w:p w:rsidR="00C87EB0" w:rsidRDefault="00C87EB0" w:rsidP="009C55C2">
      <w:pPr>
        <w:pStyle w:val="ONUMA"/>
        <w:numPr>
          <w:ilvl w:val="2"/>
          <w:numId w:val="24"/>
        </w:numPr>
        <w:ind w:left="567"/>
      </w:pPr>
      <w:r>
        <w:rPr>
          <w:rFonts w:hint="cs"/>
          <w:rtl/>
          <w:lang w:bidi="ar-EG"/>
        </w:rPr>
        <w:t xml:space="preserve">المنظمة الأوروبية الآسيوية للبراءات </w:t>
      </w:r>
      <w:r>
        <w:rPr>
          <w:rtl/>
          <w:lang w:bidi="ar-EG"/>
        </w:rPr>
        <w:t>–</w:t>
      </w:r>
      <w:r>
        <w:rPr>
          <w:rFonts w:hint="cs"/>
          <w:rtl/>
          <w:lang w:bidi="ar-EG"/>
        </w:rPr>
        <w:t xml:space="preserve"> تعتزم بدء تنفيذ المعيار </w:t>
      </w:r>
      <w:r>
        <w:rPr>
          <w:lang w:bidi="ar-EG"/>
        </w:rPr>
        <w:t>ST.27</w:t>
      </w:r>
      <w:r>
        <w:rPr>
          <w:rFonts w:hint="cs"/>
          <w:rtl/>
          <w:lang w:bidi="ar-EG"/>
        </w:rPr>
        <w:t xml:space="preserve"> في عام 2019 ودخول مرحلة الإنتاج في عام 2020؛</w:t>
      </w:r>
    </w:p>
    <w:p w:rsidR="00C87EB0" w:rsidRDefault="00C87EB0" w:rsidP="009C55C2">
      <w:pPr>
        <w:pStyle w:val="ONUMA"/>
        <w:numPr>
          <w:ilvl w:val="2"/>
          <w:numId w:val="24"/>
        </w:numPr>
        <w:ind w:left="567"/>
      </w:pPr>
      <w:r>
        <w:rPr>
          <w:rFonts w:hint="cs"/>
          <w:rtl/>
          <w:lang w:bidi="ar-EG"/>
        </w:rPr>
        <w:t xml:space="preserve">المملكة المتحدة </w:t>
      </w:r>
      <w:r>
        <w:rPr>
          <w:rtl/>
          <w:lang w:bidi="ar-EG"/>
        </w:rPr>
        <w:t>–</w:t>
      </w:r>
      <w:r>
        <w:rPr>
          <w:rFonts w:hint="cs"/>
          <w:rtl/>
          <w:lang w:bidi="ar-EG"/>
        </w:rPr>
        <w:t xml:space="preserve"> تعتزم إدماج أحداث الوضع القانوني المدرجة في المعيار </w:t>
      </w:r>
      <w:r>
        <w:rPr>
          <w:lang w:bidi="ar-EG"/>
        </w:rPr>
        <w:t>ST.27</w:t>
      </w:r>
      <w:r>
        <w:rPr>
          <w:rFonts w:hint="cs"/>
          <w:rtl/>
          <w:lang w:bidi="ar-EG"/>
        </w:rPr>
        <w:t xml:space="preserve"> في إطار تحول أوسع نطاقاً في نظام عمل </w:t>
      </w:r>
      <w:r>
        <w:rPr>
          <w:rFonts w:hint="cs"/>
          <w:rtl/>
          <w:lang w:bidi="ar-EG"/>
        </w:rPr>
        <w:lastRenderedPageBreak/>
        <w:t>المكتب يُزمع إجراؤه على مدى السنوات الثلاث إلى الخمس المقبلة؛</w:t>
      </w:r>
    </w:p>
    <w:p w:rsidR="00C87EB0" w:rsidRDefault="00C87EB0" w:rsidP="009C55C2">
      <w:pPr>
        <w:pStyle w:val="ONUMA"/>
        <w:numPr>
          <w:ilvl w:val="2"/>
          <w:numId w:val="24"/>
        </w:numPr>
        <w:ind w:left="567"/>
      </w:pPr>
      <w:r>
        <w:rPr>
          <w:rFonts w:hint="cs"/>
          <w:rtl/>
          <w:lang w:bidi="ar-EG"/>
        </w:rPr>
        <w:t xml:space="preserve">جمهورية كوريا </w:t>
      </w:r>
      <w:r>
        <w:rPr>
          <w:rtl/>
          <w:lang w:bidi="ar-EG"/>
        </w:rPr>
        <w:t>–</w:t>
      </w:r>
      <w:r>
        <w:rPr>
          <w:rFonts w:hint="cs"/>
          <w:rtl/>
          <w:lang w:bidi="ar-EG"/>
        </w:rPr>
        <w:t xml:space="preserve"> لا تتوقع التمكن من توفير بيانات الوضع القانوني طبقاً للمعيار </w:t>
      </w:r>
      <w:r>
        <w:rPr>
          <w:lang w:bidi="ar-EG"/>
        </w:rPr>
        <w:t>ST.27</w:t>
      </w:r>
      <w:r>
        <w:rPr>
          <w:rFonts w:hint="cs"/>
          <w:rtl/>
          <w:lang w:bidi="ar-EG"/>
        </w:rPr>
        <w:t xml:space="preserve"> حتى نهاية عام 2019 على الأقل.</w:t>
      </w:r>
    </w:p>
    <w:p w:rsidR="00C87EB0" w:rsidRDefault="00C87EB0" w:rsidP="00B35459">
      <w:pPr>
        <w:pStyle w:val="ONUMA"/>
      </w:pPr>
      <w:r>
        <w:rPr>
          <w:rFonts w:hint="cs"/>
          <w:rtl/>
        </w:rPr>
        <w:t xml:space="preserve">وفضلاً عن ذلك، ذكرت بعض مكاتب الملكية الفكرية أن التنفيذ يرتهن بالانتهاء من استحداث مكونات المخطط بلغة </w:t>
      </w:r>
      <w:r>
        <w:rPr>
          <w:rFonts w:hint="cs"/>
          <w:rtl/>
          <w:lang w:bidi="ar-EG"/>
        </w:rPr>
        <w:t>الترميز الموسعة (</w:t>
      </w:r>
      <w:r>
        <w:rPr>
          <w:lang w:bidi="ar-EG"/>
        </w:rPr>
        <w:t>XML</w:t>
      </w:r>
      <w:r>
        <w:rPr>
          <w:rFonts w:hint="cs"/>
          <w:rtl/>
          <w:lang w:bidi="ar-EG"/>
        </w:rPr>
        <w:t>) للوضع القانوني للبراءات بالاستناد إلى معيار</w:t>
      </w:r>
      <w:r w:rsidR="00B35459">
        <w:rPr>
          <w:rFonts w:hint="cs"/>
          <w:rtl/>
          <w:lang w:bidi="ar-EG"/>
        </w:rPr>
        <w:t>َ</w:t>
      </w:r>
      <w:r>
        <w:rPr>
          <w:rFonts w:hint="cs"/>
          <w:rtl/>
          <w:lang w:bidi="ar-EG"/>
        </w:rPr>
        <w:t xml:space="preserve">ي الويبو </w:t>
      </w:r>
      <w:r>
        <w:rPr>
          <w:lang w:bidi="ar-EG"/>
        </w:rPr>
        <w:t>ST.27</w:t>
      </w:r>
      <w:r>
        <w:rPr>
          <w:rFonts w:hint="cs"/>
          <w:rtl/>
          <w:lang w:bidi="ar-EG"/>
        </w:rPr>
        <w:t xml:space="preserve"> و</w:t>
      </w:r>
      <w:r>
        <w:rPr>
          <w:lang w:bidi="ar-EG"/>
        </w:rPr>
        <w:t>ST.96</w:t>
      </w:r>
      <w:r>
        <w:rPr>
          <w:rFonts w:hint="cs"/>
          <w:rtl/>
          <w:lang w:bidi="ar-EG"/>
        </w:rPr>
        <w:t xml:space="preserve"> قبل البدء في التنفيذ. وأشارت بعض المكاتب الأخرى إلى عوائق أخرى منها الأولويات الداخلية و/أو التغيرات المقبلة في نظام عملها أو نظامها</w:t>
      </w:r>
      <w:r w:rsidR="00B35459">
        <w:rPr>
          <w:rFonts w:hint="eastAsia"/>
          <w:rtl/>
          <w:lang w:bidi="ar-EG"/>
        </w:rPr>
        <w:t> </w:t>
      </w:r>
      <w:r>
        <w:rPr>
          <w:rFonts w:hint="cs"/>
          <w:rtl/>
          <w:lang w:bidi="ar-EG"/>
        </w:rPr>
        <w:t>المعلوماتي.</w:t>
      </w:r>
    </w:p>
    <w:p w:rsidR="00C87EB0" w:rsidRDefault="00C87EB0" w:rsidP="00C87EB0">
      <w:pPr>
        <w:pStyle w:val="Heading2"/>
      </w:pPr>
      <w:r>
        <w:rPr>
          <w:rFonts w:hint="cs"/>
          <w:rtl/>
          <w:lang w:bidi="ar-EG"/>
        </w:rPr>
        <w:t xml:space="preserve">ربط الأحداث الوطنية والإقليمية بالمعيار </w:t>
      </w:r>
      <w:r>
        <w:rPr>
          <w:lang w:bidi="ar-EG"/>
        </w:rPr>
        <w:t>ST.27</w:t>
      </w:r>
    </w:p>
    <w:p w:rsidR="00C87EB0" w:rsidRDefault="00C87EB0" w:rsidP="00B35459">
      <w:pPr>
        <w:pStyle w:val="ONUMA"/>
      </w:pPr>
      <w:r>
        <w:rPr>
          <w:rFonts w:hint="cs"/>
          <w:rtl/>
        </w:rPr>
        <w:t xml:space="preserve">عملاً بالتوصية المدرجة في معيار الويبو </w:t>
      </w:r>
      <w:r>
        <w:t>ST.27</w:t>
      </w:r>
      <w:r>
        <w:rPr>
          <w:rFonts w:hint="cs"/>
          <w:rtl/>
          <w:lang w:bidi="ar-EG"/>
        </w:rPr>
        <w:t xml:space="preserve">، يقتضي تنفيذ معيار الويبو </w:t>
      </w:r>
      <w:r>
        <w:rPr>
          <w:lang w:bidi="ar-EG"/>
        </w:rPr>
        <w:t>ST.27</w:t>
      </w:r>
      <w:r>
        <w:rPr>
          <w:rFonts w:hint="cs"/>
          <w:rtl/>
          <w:lang w:bidi="ar-EG"/>
        </w:rPr>
        <w:t xml:space="preserve"> من مكاتب الملكية الفكرية أن تربط أولوياتها الوطنية والإقليمية بالأحداث النموذجية أو بالفئات النموذجية على الأقل. ويوفر المرفق الرابع من معيار الويبو </w:t>
      </w:r>
      <w:r>
        <w:rPr>
          <w:lang w:bidi="ar-EG"/>
        </w:rPr>
        <w:t>ST.27</w:t>
      </w:r>
      <w:r>
        <w:rPr>
          <w:rFonts w:hint="cs"/>
          <w:rtl/>
          <w:lang w:bidi="ar-EG"/>
        </w:rPr>
        <w:t xml:space="preserve"> نموذجاً لإقامة تلك الروابط. وعند ملء جدول الربط، تُشجَّع مكاتب الملكية الفكرية على توفير عنوان ووصف لأحداثها الوطنية والإقليمية بلغتها الأصلية وبالإنكليزية كي يتسنى للمستخدمين الحصول على مزيد من المعلومات عن الحدث الوطني أو الإقليمي </w:t>
      </w:r>
      <w:r w:rsidR="00B35459">
        <w:rPr>
          <w:rFonts w:hint="cs"/>
          <w:rtl/>
          <w:lang w:bidi="ar-EG"/>
        </w:rPr>
        <w:t>المعني</w:t>
      </w:r>
      <w:r>
        <w:rPr>
          <w:rFonts w:hint="cs"/>
          <w:rtl/>
          <w:lang w:bidi="ar-EG"/>
        </w:rPr>
        <w:t>.</w:t>
      </w:r>
    </w:p>
    <w:p w:rsidR="00C87EB0" w:rsidRDefault="00C87EB0" w:rsidP="00EE6FBE">
      <w:pPr>
        <w:pStyle w:val="ONUMA"/>
      </w:pPr>
      <w:r>
        <w:rPr>
          <w:rFonts w:hint="cs"/>
          <w:rtl/>
          <w:lang w:bidi="ar-EG"/>
        </w:rPr>
        <w:t xml:space="preserve">ورداً على التعميم المذكور آنفاً وفي إطار المشاركة في النشاط المتعلق بالوضع القانوني وكنتيجة للتعاون على ربط الأحداث </w:t>
      </w:r>
      <w:r w:rsidR="00B35459">
        <w:rPr>
          <w:rFonts w:hint="cs"/>
          <w:rtl/>
          <w:lang w:bidi="ar-EG"/>
        </w:rPr>
        <w:t xml:space="preserve">الوطنية أو الإقليمية </w:t>
      </w:r>
      <w:r>
        <w:rPr>
          <w:rFonts w:hint="cs"/>
          <w:rtl/>
          <w:lang w:bidi="ar-EG"/>
        </w:rPr>
        <w:t xml:space="preserve">المتعلقة بالوضع القانوني للبراءات </w:t>
      </w:r>
      <w:r w:rsidR="00B35459">
        <w:rPr>
          <w:rFonts w:hint="cs"/>
          <w:rtl/>
          <w:lang w:bidi="ar-EG"/>
        </w:rPr>
        <w:t>و</w:t>
      </w:r>
      <w:r>
        <w:rPr>
          <w:rFonts w:hint="cs"/>
          <w:rtl/>
          <w:lang w:bidi="ar-EG"/>
        </w:rPr>
        <w:t xml:space="preserve">المدرجة في </w:t>
      </w:r>
      <w:r w:rsidRPr="00C87EB0">
        <w:rPr>
          <w:rtl/>
          <w:lang w:bidi="ar-EG"/>
        </w:rPr>
        <w:t xml:space="preserve">قاعدة بيانات المركز الدولي </w:t>
      </w:r>
      <w:r w:rsidRPr="00C87EB0">
        <w:rPr>
          <w:rtl/>
          <w:lang w:bidi="ar-EG"/>
        </w:rPr>
        <w:lastRenderedPageBreak/>
        <w:t>لوثائق البراءات (</w:t>
      </w:r>
      <w:r w:rsidRPr="00C87EB0">
        <w:rPr>
          <w:lang w:bidi="ar-EG"/>
        </w:rPr>
        <w:t>INPADOC</w:t>
      </w:r>
      <w:r w:rsidRPr="00C87EB0">
        <w:rPr>
          <w:rtl/>
          <w:lang w:bidi="ar-EG"/>
        </w:rPr>
        <w:t>)</w:t>
      </w:r>
      <w:r>
        <w:rPr>
          <w:rFonts w:hint="cs"/>
          <w:rtl/>
          <w:lang w:bidi="ar-EG"/>
        </w:rPr>
        <w:t xml:space="preserve">، جُمعت جداول ربط من 12 مكتباً للملكية الفكرية هي مكاتب كندا والصين وألمانيا والمنظمة الأوروبية الآسيوية للبراءات </w:t>
      </w:r>
      <w:r w:rsidR="00EE6FBE">
        <w:rPr>
          <w:rFonts w:hint="cs"/>
          <w:rtl/>
          <w:lang w:bidi="ar-EG"/>
        </w:rPr>
        <w:t>والاتحاد الأوروبي</w:t>
      </w:r>
      <w:r>
        <w:rPr>
          <w:rFonts w:hint="cs"/>
          <w:rtl/>
          <w:lang w:bidi="ar-EG"/>
        </w:rPr>
        <w:t xml:space="preserve"> وفرنسا والمملكة المتحدة واليابان وجمهورية كوريا والاتحاد الروسي وأوكرانيا والولايات المتحدة (انظر الفقرة 9 من الوثيقة </w:t>
      </w:r>
      <w:r>
        <w:rPr>
          <w:lang w:bidi="ar-EG"/>
        </w:rPr>
        <w:t>CWS/6/11</w:t>
      </w:r>
      <w:r>
        <w:rPr>
          <w:rFonts w:hint="cs"/>
          <w:rtl/>
          <w:lang w:bidi="ar-EG"/>
        </w:rPr>
        <w:t>).</w:t>
      </w:r>
    </w:p>
    <w:p w:rsidR="00C87EB0" w:rsidRDefault="00C87EB0" w:rsidP="00EE6FBE">
      <w:pPr>
        <w:pStyle w:val="ONUMA"/>
      </w:pPr>
      <w:r>
        <w:rPr>
          <w:rFonts w:hint="cs"/>
          <w:rtl/>
          <w:lang w:bidi="ar-EG"/>
        </w:rPr>
        <w:t xml:space="preserve">وأعدّ المكتب الدولي مشروع </w:t>
      </w:r>
      <w:r w:rsidR="00EE6FBE">
        <w:rPr>
          <w:rFonts w:hint="cs"/>
          <w:rtl/>
          <w:lang w:bidi="ar-EG"/>
        </w:rPr>
        <w:t>ملف موحد لجداول الربط</w:t>
      </w:r>
      <w:r>
        <w:rPr>
          <w:rFonts w:hint="cs"/>
          <w:rtl/>
          <w:lang w:bidi="ar-EG"/>
        </w:rPr>
        <w:t xml:space="preserve"> يتضمن المعلومات الواردة من مكاتب الملكية الفكرية المذكورة آنفاً. ويمكن بعدئذ تحسين </w:t>
      </w:r>
      <w:r w:rsidR="00EE6FBE">
        <w:rPr>
          <w:rFonts w:hint="cs"/>
          <w:rtl/>
          <w:lang w:bidi="ar-EG"/>
        </w:rPr>
        <w:t>تلك الجداول</w:t>
      </w:r>
      <w:r>
        <w:rPr>
          <w:rFonts w:hint="cs"/>
          <w:rtl/>
          <w:lang w:bidi="ar-EG"/>
        </w:rPr>
        <w:t xml:space="preserve"> على أساس مراجعة معيار الويبو </w:t>
      </w:r>
      <w:r>
        <w:rPr>
          <w:lang w:bidi="ar-EG"/>
        </w:rPr>
        <w:t>ST.27</w:t>
      </w:r>
      <w:r>
        <w:rPr>
          <w:rFonts w:hint="cs"/>
          <w:rtl/>
          <w:lang w:bidi="ar-EG"/>
        </w:rPr>
        <w:t xml:space="preserve"> ومواصلة استعراض مكاتب الملكية الفكرية </w:t>
      </w:r>
      <w:r w:rsidR="00EE6FBE">
        <w:rPr>
          <w:rFonts w:hint="cs"/>
          <w:rtl/>
          <w:lang w:bidi="ar-EG"/>
        </w:rPr>
        <w:t>للروابط</w:t>
      </w:r>
      <w:r>
        <w:rPr>
          <w:rFonts w:hint="cs"/>
          <w:rtl/>
          <w:lang w:bidi="ar-EG"/>
        </w:rPr>
        <w:t xml:space="preserve"> وفقاً للوثيقة الإرشادية أو </w:t>
      </w:r>
      <w:r w:rsidR="00EE6FBE">
        <w:rPr>
          <w:rFonts w:hint="cs"/>
          <w:rtl/>
          <w:lang w:bidi="ar-EG"/>
        </w:rPr>
        <w:t>ل</w:t>
      </w:r>
      <w:r>
        <w:rPr>
          <w:rFonts w:hint="cs"/>
          <w:rtl/>
          <w:lang w:bidi="ar-EG"/>
        </w:rPr>
        <w:t xml:space="preserve">أي سبب آخر. وترد نسخة من </w:t>
      </w:r>
      <w:r w:rsidR="00EE6FBE">
        <w:rPr>
          <w:rFonts w:hint="cs"/>
          <w:rtl/>
          <w:lang w:bidi="ar-EG"/>
        </w:rPr>
        <w:t>ذلك الملف</w:t>
      </w:r>
      <w:r>
        <w:rPr>
          <w:rFonts w:hint="cs"/>
          <w:rtl/>
          <w:lang w:bidi="ar-EG"/>
        </w:rPr>
        <w:t xml:space="preserve"> في مرفق هذه الوثيقة كي تنظر فيها لجنة</w:t>
      </w:r>
      <w:r w:rsidR="00EE6FBE">
        <w:rPr>
          <w:rFonts w:hint="eastAsia"/>
          <w:rtl/>
          <w:lang w:bidi="ar-EG"/>
        </w:rPr>
        <w:t> </w:t>
      </w:r>
      <w:r>
        <w:rPr>
          <w:rFonts w:hint="cs"/>
          <w:rtl/>
          <w:lang w:bidi="ar-EG"/>
        </w:rPr>
        <w:t>المعايير.</w:t>
      </w:r>
    </w:p>
    <w:p w:rsidR="00C87EB0" w:rsidRDefault="00C87EB0" w:rsidP="00EE6FBE">
      <w:pPr>
        <w:pStyle w:val="ONUMA"/>
      </w:pPr>
      <w:r>
        <w:rPr>
          <w:rFonts w:hint="cs"/>
          <w:rtl/>
          <w:lang w:bidi="ar-EG"/>
        </w:rPr>
        <w:t xml:space="preserve">ويعتزم المكتب الدولي نشر </w:t>
      </w:r>
      <w:r w:rsidR="00EE6FBE">
        <w:rPr>
          <w:rFonts w:hint="cs"/>
          <w:rtl/>
          <w:lang w:bidi="ar-EG"/>
        </w:rPr>
        <w:t>الملف الموحد ل</w:t>
      </w:r>
      <w:r>
        <w:rPr>
          <w:rFonts w:hint="cs"/>
          <w:rtl/>
          <w:lang w:bidi="ar-EG"/>
        </w:rPr>
        <w:t>جد</w:t>
      </w:r>
      <w:r w:rsidR="00EE6FBE">
        <w:rPr>
          <w:rFonts w:hint="cs"/>
          <w:rtl/>
          <w:lang w:bidi="ar-EG"/>
        </w:rPr>
        <w:t>اول الربط في</w:t>
      </w:r>
      <w:r>
        <w:rPr>
          <w:rFonts w:hint="cs"/>
          <w:rtl/>
          <w:lang w:bidi="ar-EG"/>
        </w:rPr>
        <w:t xml:space="preserve"> مكاتب الملكية الفكرية على موقع الويبو الإلكتروني بعد موافقة لجنة المعايير عليه.</w:t>
      </w:r>
    </w:p>
    <w:p w:rsidR="00C87EB0" w:rsidRDefault="0099188F" w:rsidP="0099188F">
      <w:pPr>
        <w:pStyle w:val="Heading2"/>
      </w:pPr>
      <w:r>
        <w:rPr>
          <w:rFonts w:hint="cs"/>
          <w:rtl/>
        </w:rPr>
        <w:t>تعزيز التعاون على التنفيذ</w:t>
      </w:r>
    </w:p>
    <w:p w:rsidR="0099188F" w:rsidRDefault="0099188F" w:rsidP="00EE6FBE">
      <w:pPr>
        <w:pStyle w:val="ONUMA"/>
      </w:pPr>
      <w:r>
        <w:rPr>
          <w:rFonts w:hint="cs"/>
          <w:rtl/>
        </w:rPr>
        <w:t>حرصاً على</w:t>
      </w:r>
      <w:r w:rsidRPr="0099188F">
        <w:rPr>
          <w:rtl/>
        </w:rPr>
        <w:t xml:space="preserve"> </w:t>
      </w:r>
      <w:r>
        <w:rPr>
          <w:rFonts w:hint="cs"/>
          <w:rtl/>
        </w:rPr>
        <w:t>ا</w:t>
      </w:r>
      <w:r w:rsidRPr="0099188F">
        <w:rPr>
          <w:rtl/>
        </w:rPr>
        <w:t xml:space="preserve">لتنفيذ </w:t>
      </w:r>
      <w:r>
        <w:rPr>
          <w:rFonts w:hint="cs"/>
          <w:rtl/>
        </w:rPr>
        <w:t>الموحد</w:t>
      </w:r>
      <w:r w:rsidRPr="0099188F">
        <w:rPr>
          <w:rtl/>
        </w:rPr>
        <w:t xml:space="preserve"> لمعيار الويبو </w:t>
      </w:r>
      <w:r w:rsidRPr="0099188F">
        <w:t>ST.27</w:t>
      </w:r>
      <w:r w:rsidRPr="0099188F">
        <w:rPr>
          <w:rtl/>
        </w:rPr>
        <w:t xml:space="preserve"> </w:t>
      </w:r>
      <w:r>
        <w:rPr>
          <w:rFonts w:hint="cs"/>
          <w:rtl/>
        </w:rPr>
        <w:t>في</w:t>
      </w:r>
      <w:r w:rsidRPr="0099188F">
        <w:rPr>
          <w:rtl/>
        </w:rPr>
        <w:t xml:space="preserve"> مكاتب الملكية الفكرية، من الأهمية بمكان أن</w:t>
      </w:r>
      <w:r>
        <w:rPr>
          <w:rFonts w:hint="cs"/>
          <w:rtl/>
        </w:rPr>
        <w:t xml:space="preserve"> تجمع الدوائر المعنية بمعلومات الملكية الفكرية </w:t>
      </w:r>
      <w:r w:rsidRPr="0099188F">
        <w:rPr>
          <w:rtl/>
        </w:rPr>
        <w:t xml:space="preserve">معلومات قيمة عن الطلب أو البراءة المعنية. </w:t>
      </w:r>
      <w:r>
        <w:rPr>
          <w:rFonts w:hint="cs"/>
          <w:rtl/>
        </w:rPr>
        <w:t>و</w:t>
      </w:r>
      <w:r>
        <w:rPr>
          <w:rtl/>
        </w:rPr>
        <w:t>نظر</w:t>
      </w:r>
      <w:r w:rsidRPr="0099188F">
        <w:rPr>
          <w:rtl/>
        </w:rPr>
        <w:t>ا</w:t>
      </w:r>
      <w:r>
        <w:rPr>
          <w:rFonts w:hint="cs"/>
          <w:rtl/>
        </w:rPr>
        <w:t>ً</w:t>
      </w:r>
      <w:r w:rsidRPr="0099188F">
        <w:rPr>
          <w:rtl/>
        </w:rPr>
        <w:t xml:space="preserve"> </w:t>
      </w:r>
      <w:r>
        <w:rPr>
          <w:rFonts w:hint="cs"/>
          <w:rtl/>
        </w:rPr>
        <w:t>إلى اختلاف الممارسات والقوانين المعمول بها، قد لا تكون الصلة بين أحداث الوضع القانوني الوطنية والإقليمية والأحداث المعيارية واضحة دائماً. ولذلك، طلبت لجنة المعايير من فرقة العمل المعنية بالوضع القانوني إعداد الوثيقة الإرشادية الرامية إلى مساعدة مكاتب الملكية الفكرية على الر</w:t>
      </w:r>
      <w:r w:rsidR="00EE6FBE">
        <w:rPr>
          <w:rFonts w:hint="cs"/>
          <w:rtl/>
        </w:rPr>
        <w:t>بط</w:t>
      </w:r>
      <w:r>
        <w:rPr>
          <w:rFonts w:hint="cs"/>
          <w:rtl/>
        </w:rPr>
        <w:t xml:space="preserve"> بين </w:t>
      </w:r>
      <w:r>
        <w:rPr>
          <w:rFonts w:hint="cs"/>
          <w:rtl/>
        </w:rPr>
        <w:lastRenderedPageBreak/>
        <w:t xml:space="preserve">أحداثها والأحداث النموذجية بطريقة موحدة. ويقدَّم المشروع المؤقت </w:t>
      </w:r>
      <w:r w:rsidR="00EE6FBE">
        <w:rPr>
          <w:rFonts w:hint="cs"/>
          <w:rtl/>
        </w:rPr>
        <w:t>ل</w:t>
      </w:r>
      <w:r>
        <w:rPr>
          <w:rFonts w:hint="cs"/>
          <w:rtl/>
        </w:rPr>
        <w:t xml:space="preserve">لمرفق الخامس المقترح إضافته إلى المعيار </w:t>
      </w:r>
      <w:r>
        <w:t>ST.27</w:t>
      </w:r>
      <w:r>
        <w:rPr>
          <w:rFonts w:hint="cs"/>
          <w:rtl/>
          <w:lang w:bidi="ar-EG"/>
        </w:rPr>
        <w:t xml:space="preserve"> إلى اللجنة كي تنظر فيه إبّان دورتها السادسة، وسيُستكمل بإضافة المزيد من الأمثلة التي تقدمها مكاتب الملكية الفكرية. ومن ثم، يُطلب من لجنة المعايير تشجيع مكاتب الملكية الفكرية على المشاركة في المناقشات حول الوثيقة الإرشادية وتبادل خبراتها وتجاربها في تنفيذ المعيار </w:t>
      </w:r>
      <w:r>
        <w:rPr>
          <w:lang w:bidi="ar-EG"/>
        </w:rPr>
        <w:t>ST.27</w:t>
      </w:r>
      <w:r>
        <w:rPr>
          <w:rFonts w:hint="cs"/>
          <w:rtl/>
          <w:lang w:bidi="ar-EG"/>
        </w:rPr>
        <w:t xml:space="preserve"> مع فر</w:t>
      </w:r>
      <w:r w:rsidR="00EE6FBE">
        <w:rPr>
          <w:rFonts w:hint="cs"/>
          <w:rtl/>
          <w:lang w:bidi="ar-EG"/>
        </w:rPr>
        <w:t>ق</w:t>
      </w:r>
      <w:r>
        <w:rPr>
          <w:rFonts w:hint="cs"/>
          <w:rtl/>
          <w:lang w:bidi="ar-EG"/>
        </w:rPr>
        <w:t>ة العمل المعنية بالوضع القانوني.</w:t>
      </w:r>
    </w:p>
    <w:p w:rsidR="0099188F" w:rsidRDefault="0099188F" w:rsidP="00EE6FBE">
      <w:pPr>
        <w:pStyle w:val="ONUMA"/>
      </w:pPr>
      <w:r>
        <w:rPr>
          <w:rFonts w:hint="cs"/>
          <w:rtl/>
        </w:rPr>
        <w:t>وفي ضوء حجم بيانات الوضع القانوني للبراءات، والوتيرة الموص</w:t>
      </w:r>
      <w:r w:rsidR="00EE6FBE">
        <w:rPr>
          <w:rFonts w:hint="cs"/>
          <w:rtl/>
        </w:rPr>
        <w:t>ى</w:t>
      </w:r>
      <w:r>
        <w:rPr>
          <w:rFonts w:hint="cs"/>
          <w:rtl/>
        </w:rPr>
        <w:t xml:space="preserve"> بها لتبادل البيانات، والاستخدام الواسع للخدمات الشبكية في مكاتب الملكية الفكرية، ينظر المكتب الدولي في جدوى استحداث واجهة شبكية مشتركة (</w:t>
      </w:r>
      <w:r>
        <w:t>API</w:t>
      </w:r>
      <w:r>
        <w:rPr>
          <w:rFonts w:hint="cs"/>
          <w:rtl/>
          <w:lang w:bidi="ar-EG"/>
        </w:rPr>
        <w:t>) لتبادل بيانات الوضع القانوني بالتعاون مع مكاتب الملكية الفكرية. وإن لجنة المعايير مدعوة إلى التعليق على فائدة تلك الواجهة المشتركة في المساعدة على تبادل ونشر المعلومات المتعلقة بالوضع القانوني للبراءات.</w:t>
      </w:r>
    </w:p>
    <w:p w:rsidR="0099188F" w:rsidRDefault="0099188F" w:rsidP="0099188F">
      <w:pPr>
        <w:pStyle w:val="Decision"/>
      </w:pPr>
      <w:r>
        <w:rPr>
          <w:rFonts w:hint="cs"/>
          <w:rtl/>
        </w:rPr>
        <w:t>إن لجنة المعايير مدعوة إلى ما يلي:</w:t>
      </w:r>
    </w:p>
    <w:p w:rsidR="0099188F" w:rsidRPr="00B35459" w:rsidRDefault="0099188F" w:rsidP="0099188F">
      <w:pPr>
        <w:pStyle w:val="ONUMA"/>
        <w:numPr>
          <w:ilvl w:val="2"/>
          <w:numId w:val="24"/>
        </w:numPr>
        <w:ind w:left="5534" w:firstLine="567"/>
        <w:rPr>
          <w:i/>
          <w:iCs/>
        </w:rPr>
      </w:pPr>
      <w:r w:rsidRPr="00B35459">
        <w:rPr>
          <w:rFonts w:hint="cs"/>
          <w:i/>
          <w:iCs/>
          <w:rtl/>
        </w:rPr>
        <w:t>أن تحيط علماً بمضمون هذه الوثيقة ومرفقها؛</w:t>
      </w:r>
    </w:p>
    <w:p w:rsidR="0099188F" w:rsidRPr="00B35459" w:rsidRDefault="0099188F" w:rsidP="0099188F">
      <w:pPr>
        <w:pStyle w:val="ONUMA"/>
        <w:numPr>
          <w:ilvl w:val="2"/>
          <w:numId w:val="24"/>
        </w:numPr>
        <w:ind w:left="5534" w:firstLine="567"/>
        <w:rPr>
          <w:i/>
          <w:iCs/>
        </w:rPr>
      </w:pPr>
      <w:r w:rsidRPr="00B35459">
        <w:rPr>
          <w:rFonts w:hint="cs"/>
          <w:i/>
          <w:iCs/>
          <w:rtl/>
        </w:rPr>
        <w:t>أن تنظر في جدول الربط الموحد المؤقت وتوافق عليه عند الاقتضاء؛ وأن تطلب من الأمانة نشره على الموقع الشبكي للويبو كجدول مؤقت بصيغته الواردة في مرفق هذه الوثيقة؛</w:t>
      </w:r>
    </w:p>
    <w:p w:rsidR="0099188F" w:rsidRPr="00B35459" w:rsidRDefault="0099188F" w:rsidP="00EE6FBE">
      <w:pPr>
        <w:pStyle w:val="ONUMA"/>
        <w:numPr>
          <w:ilvl w:val="2"/>
          <w:numId w:val="24"/>
        </w:numPr>
        <w:ind w:left="5534" w:firstLine="567"/>
        <w:rPr>
          <w:i/>
          <w:iCs/>
        </w:rPr>
      </w:pPr>
      <w:r w:rsidRPr="00B35459">
        <w:rPr>
          <w:rFonts w:hint="cs"/>
          <w:i/>
          <w:iCs/>
          <w:rtl/>
        </w:rPr>
        <w:t>وأن تطلب من مكاتب الملكية الفكرية</w:t>
      </w:r>
      <w:r w:rsidR="00EE6FBE">
        <w:rPr>
          <w:rFonts w:hint="cs"/>
          <w:i/>
          <w:iCs/>
          <w:rtl/>
        </w:rPr>
        <w:t>،</w:t>
      </w:r>
      <w:r w:rsidRPr="00B35459">
        <w:rPr>
          <w:rFonts w:hint="cs"/>
          <w:i/>
          <w:iCs/>
          <w:rtl/>
        </w:rPr>
        <w:t xml:space="preserve"> التي لم ترد</w:t>
      </w:r>
      <w:r w:rsidR="00EE6FBE">
        <w:rPr>
          <w:rFonts w:hint="cs"/>
          <w:i/>
          <w:iCs/>
          <w:rtl/>
        </w:rPr>
        <w:t>ّ</w:t>
      </w:r>
      <w:r w:rsidRPr="00B35459">
        <w:rPr>
          <w:rFonts w:hint="cs"/>
          <w:i/>
          <w:iCs/>
          <w:rtl/>
        </w:rPr>
        <w:t xml:space="preserve"> على التعميم</w:t>
      </w:r>
      <w:r w:rsidR="00EE6FBE">
        <w:rPr>
          <w:rFonts w:hint="cs"/>
          <w:i/>
          <w:iCs/>
          <w:rtl/>
        </w:rPr>
        <w:t>،</w:t>
      </w:r>
      <w:r w:rsidRPr="00B35459">
        <w:rPr>
          <w:rFonts w:hint="cs"/>
          <w:i/>
          <w:iCs/>
          <w:rtl/>
        </w:rPr>
        <w:t xml:space="preserve"> موافاتها بخطة تنفيذها لمعيار الويبو </w:t>
      </w:r>
      <w:r w:rsidRPr="00B35459">
        <w:rPr>
          <w:i/>
          <w:iCs/>
        </w:rPr>
        <w:t>ST.27</w:t>
      </w:r>
      <w:r w:rsidRPr="00B35459">
        <w:rPr>
          <w:rFonts w:hint="cs"/>
          <w:i/>
          <w:iCs/>
          <w:rtl/>
          <w:lang w:bidi="ar-EG"/>
        </w:rPr>
        <w:t xml:space="preserve"> خلال هذه الدورة أو</w:t>
      </w:r>
      <w:r w:rsidR="00EE6FBE">
        <w:rPr>
          <w:rFonts w:hint="eastAsia"/>
          <w:i/>
          <w:iCs/>
          <w:rtl/>
          <w:lang w:bidi="ar-EG"/>
        </w:rPr>
        <w:t> </w:t>
      </w:r>
      <w:r w:rsidRPr="00B35459">
        <w:rPr>
          <w:rFonts w:hint="cs"/>
          <w:i/>
          <w:iCs/>
          <w:rtl/>
          <w:lang w:bidi="ar-EG"/>
        </w:rPr>
        <w:t>بعدها؛</w:t>
      </w:r>
    </w:p>
    <w:p w:rsidR="0099188F" w:rsidRPr="00B35459" w:rsidRDefault="0099188F" w:rsidP="0099188F">
      <w:pPr>
        <w:pStyle w:val="ONUMA"/>
        <w:numPr>
          <w:ilvl w:val="2"/>
          <w:numId w:val="24"/>
        </w:numPr>
        <w:ind w:left="5534" w:firstLine="567"/>
        <w:rPr>
          <w:i/>
          <w:iCs/>
        </w:rPr>
      </w:pPr>
      <w:r w:rsidRPr="00B35459">
        <w:rPr>
          <w:rFonts w:hint="cs"/>
          <w:i/>
          <w:iCs/>
          <w:rtl/>
          <w:lang w:bidi="ar-EG"/>
        </w:rPr>
        <w:t>وأن تدلي بتعليقاتها على استحداث واجهة شبكية مشتركة (</w:t>
      </w:r>
      <w:r w:rsidRPr="00B35459">
        <w:rPr>
          <w:i/>
          <w:iCs/>
          <w:lang w:bidi="ar-EG"/>
        </w:rPr>
        <w:t>API</w:t>
      </w:r>
      <w:r w:rsidRPr="00B35459">
        <w:rPr>
          <w:rFonts w:hint="cs"/>
          <w:i/>
          <w:iCs/>
          <w:rtl/>
          <w:lang w:bidi="ar-EG"/>
        </w:rPr>
        <w:t xml:space="preserve">) لتيسير تبادل البيانات المتعلقة بالوضع القانوني للبراءات بناء على المعيار </w:t>
      </w:r>
      <w:r w:rsidRPr="00B35459">
        <w:rPr>
          <w:i/>
          <w:iCs/>
          <w:lang w:bidi="ar-EG"/>
        </w:rPr>
        <w:t>ST.27</w:t>
      </w:r>
      <w:r w:rsidRPr="00B35459">
        <w:rPr>
          <w:rFonts w:hint="cs"/>
          <w:i/>
          <w:iCs/>
          <w:rtl/>
          <w:lang w:bidi="ar-EG"/>
        </w:rPr>
        <w:t>، وفقاً لما ورد في الفق</w:t>
      </w:r>
      <w:r w:rsidR="00EE6FBE">
        <w:rPr>
          <w:rFonts w:hint="cs"/>
          <w:i/>
          <w:iCs/>
          <w:rtl/>
          <w:lang w:bidi="ar-EG"/>
        </w:rPr>
        <w:t>رة 14 من هذه الوثيقة.</w:t>
      </w:r>
    </w:p>
    <w:p w:rsidR="000D7E81" w:rsidRDefault="009C55C2" w:rsidP="009C55C2">
      <w:pPr>
        <w:pStyle w:val="Endofdocument-Annex"/>
        <w:rPr>
          <w:rtl/>
        </w:rPr>
      </w:pPr>
      <w:r>
        <w:rPr>
          <w:rFonts w:hint="cs"/>
          <w:rtl/>
        </w:rPr>
        <w:t>[يلي ذلك المرفق]</w:t>
      </w:r>
    </w:p>
    <w:p w:rsidR="004F762B" w:rsidRDefault="004F762B" w:rsidP="004F762B">
      <w:pPr>
        <w:rPr>
          <w:rtl/>
        </w:rPr>
        <w:sectPr w:rsidR="004F762B" w:rsidSect="00EB7752">
          <w:headerReference w:type="default" r:id="rId9"/>
          <w:pgSz w:w="11907" w:h="16840" w:code="9"/>
          <w:pgMar w:top="567" w:right="1418" w:bottom="1418" w:left="1134" w:header="510" w:footer="1021" w:gutter="0"/>
          <w:cols w:space="720"/>
          <w:titlePg/>
          <w:docGrid w:linePitch="299"/>
        </w:sectPr>
      </w:pPr>
    </w:p>
    <w:p w:rsidR="00A37544" w:rsidRDefault="00A37544" w:rsidP="00EE6FBE">
      <w:pPr>
        <w:pStyle w:val="Heading2"/>
        <w:spacing w:before="0"/>
        <w:rPr>
          <w:rtl/>
          <w:lang w:bidi="ar-EG"/>
        </w:rPr>
      </w:pPr>
      <w:r>
        <w:rPr>
          <w:rFonts w:hint="cs"/>
          <w:rtl/>
          <w:lang w:bidi="ar-EG"/>
        </w:rPr>
        <w:t>المرفق</w:t>
      </w:r>
    </w:p>
    <w:p w:rsidR="0099188F" w:rsidRDefault="00EE6FBE" w:rsidP="00EE6FBE">
      <w:pPr>
        <w:pStyle w:val="BodyText"/>
        <w:rPr>
          <w:rtl/>
        </w:rPr>
      </w:pPr>
      <w:r>
        <w:rPr>
          <w:rFonts w:hint="cs"/>
          <w:rtl/>
        </w:rPr>
        <w:t>الملف الموحّد</w:t>
      </w:r>
      <w:r w:rsidR="0099188F">
        <w:rPr>
          <w:rFonts w:hint="cs"/>
          <w:rtl/>
        </w:rPr>
        <w:t xml:space="preserve"> </w:t>
      </w:r>
      <w:r>
        <w:rPr>
          <w:rFonts w:hint="cs"/>
          <w:rtl/>
        </w:rPr>
        <w:t>ل</w:t>
      </w:r>
      <w:r w:rsidR="0099188F">
        <w:rPr>
          <w:rFonts w:hint="cs"/>
          <w:rtl/>
        </w:rPr>
        <w:t>جداول الربط بين أحداث مكاتب الملكية الفكرية و</w:t>
      </w:r>
      <w:r>
        <w:rPr>
          <w:rFonts w:hint="cs"/>
          <w:rtl/>
        </w:rPr>
        <w:t>الأحداث النموذجية ل</w:t>
      </w:r>
      <w:r w:rsidR="0099188F">
        <w:rPr>
          <w:rFonts w:hint="cs"/>
          <w:rtl/>
        </w:rPr>
        <w:t xml:space="preserve">لمعيار </w:t>
      </w:r>
      <w:r w:rsidR="0099188F">
        <w:t>ST.27</w:t>
      </w:r>
      <w:r w:rsidR="0099188F">
        <w:rPr>
          <w:rFonts w:hint="cs"/>
          <w:rtl/>
        </w:rPr>
        <w:t xml:space="preserve"> (</w:t>
      </w:r>
      <w:hyperlink r:id="rId10" w:history="1">
        <w:r w:rsidR="0099188F">
          <w:rPr>
            <w:rFonts w:eastAsia="SimSun"/>
            <w:color w:val="0000FF"/>
            <w:u w:val="single"/>
            <w:lang w:eastAsia="zh-CN"/>
          </w:rPr>
          <w:t>annex_mappingtables to ST.27</w:t>
        </w:r>
      </w:hyperlink>
      <w:r w:rsidR="0099188F">
        <w:rPr>
          <w:rFonts w:hint="cs"/>
          <w:rtl/>
        </w:rPr>
        <w:t>)</w:t>
      </w:r>
    </w:p>
    <w:p w:rsidR="004F762B" w:rsidRDefault="004F762B" w:rsidP="004F762B">
      <w:pPr>
        <w:pStyle w:val="Endofdocument-Annex"/>
        <w:rPr>
          <w:rtl/>
          <w:lang w:bidi="ar-EG"/>
        </w:rPr>
      </w:pPr>
      <w:r>
        <w:rPr>
          <w:rFonts w:hint="cs"/>
          <w:rtl/>
          <w:lang w:bidi="ar-EG"/>
        </w:rPr>
        <w:t>[نهاية المرفق والوثيقة]</w:t>
      </w:r>
    </w:p>
    <w:sectPr w:rsidR="004F762B" w:rsidSect="00EB7752">
      <w:headerReference w:type="default" r:id="rId11"/>
      <w:headerReference w:type="first" r:id="rId12"/>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55C2" w:rsidRDefault="009C55C2">
      <w:r>
        <w:separator/>
      </w:r>
    </w:p>
  </w:endnote>
  <w:endnote w:type="continuationSeparator" w:id="0">
    <w:p w:rsidR="009C55C2" w:rsidRDefault="009C5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charset w:val="00"/>
    <w:family w:val="script"/>
    <w:pitch w:val="variable"/>
    <w:sig w:usb0="00000000"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55C2" w:rsidRDefault="009C55C2" w:rsidP="009622BF">
      <w:bookmarkStart w:id="0" w:name="OLE_LINK1"/>
      <w:bookmarkStart w:id="1" w:name="OLE_LINK2"/>
      <w:r>
        <w:separator/>
      </w:r>
      <w:bookmarkEnd w:id="0"/>
      <w:bookmarkEnd w:id="1"/>
    </w:p>
  </w:footnote>
  <w:footnote w:type="continuationSeparator" w:id="0">
    <w:p w:rsidR="009C55C2" w:rsidRDefault="009C55C2"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5C2" w:rsidRDefault="009C55C2" w:rsidP="0023693F">
    <w:pPr>
      <w:bidi w:val="0"/>
      <w:rPr>
        <w:rFonts w:ascii="Arial" w:hAnsi="Arial" w:cs="Arial"/>
        <w:sz w:val="22"/>
        <w:szCs w:val="22"/>
      </w:rPr>
    </w:pPr>
    <w:bookmarkStart w:id="4" w:name="Code3"/>
    <w:bookmarkEnd w:id="4"/>
    <w:r>
      <w:rPr>
        <w:rFonts w:ascii="Arial" w:hAnsi="Arial" w:cs="Arial"/>
        <w:sz w:val="22"/>
        <w:szCs w:val="22"/>
      </w:rPr>
      <w:t>CWS/6/13</w:t>
    </w:r>
  </w:p>
  <w:p w:rsidR="004C495B" w:rsidRPr="00C50A61" w:rsidRDefault="004C495B"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3F365B">
      <w:rPr>
        <w:rFonts w:ascii="Arial" w:hAnsi="Arial" w:cs="Arial"/>
        <w:noProof/>
        <w:sz w:val="22"/>
        <w:szCs w:val="22"/>
        <w:lang w:bidi="ar-EG"/>
      </w:rPr>
      <w:t>2</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62B" w:rsidRDefault="004F762B" w:rsidP="0023693F">
    <w:pPr>
      <w:bidi w:val="0"/>
      <w:rPr>
        <w:rFonts w:ascii="Arial" w:hAnsi="Arial" w:cs="Arial"/>
        <w:sz w:val="22"/>
        <w:szCs w:val="22"/>
      </w:rPr>
    </w:pPr>
    <w:r>
      <w:rPr>
        <w:rFonts w:ascii="Arial" w:hAnsi="Arial" w:cs="Arial"/>
        <w:sz w:val="22"/>
        <w:szCs w:val="22"/>
      </w:rPr>
      <w:t>CWS/6/13</w:t>
    </w:r>
  </w:p>
  <w:p w:rsidR="004F762B" w:rsidRDefault="004F762B" w:rsidP="004F762B">
    <w:pPr>
      <w:bidi w:val="0"/>
      <w:rPr>
        <w:rFonts w:ascii="Arial" w:hAnsi="Arial" w:cs="Arial"/>
        <w:sz w:val="22"/>
        <w:szCs w:val="22"/>
      </w:rPr>
    </w:pPr>
    <w:r>
      <w:rPr>
        <w:rFonts w:ascii="Arial" w:hAnsi="Arial" w:cs="Arial"/>
        <w:sz w:val="22"/>
        <w:szCs w:val="22"/>
      </w:rPr>
      <w:t>Annex</w:t>
    </w:r>
  </w:p>
  <w:p w:rsidR="004F762B" w:rsidRPr="00C50A61" w:rsidRDefault="004F762B"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A37544">
      <w:rPr>
        <w:rFonts w:ascii="Arial" w:hAnsi="Arial" w:cs="Arial"/>
        <w:noProof/>
        <w:sz w:val="22"/>
        <w:szCs w:val="22"/>
        <w:lang w:bidi="ar-EG"/>
      </w:rPr>
      <w:t>6</w:t>
    </w:r>
    <w:r w:rsidRPr="00C50A61">
      <w:rPr>
        <w:rFonts w:ascii="Arial" w:hAnsi="Arial" w:cs="Arial"/>
        <w:sz w:val="22"/>
        <w:szCs w:val="22"/>
      </w:rPr>
      <w:fldChar w:fldCharType="end"/>
    </w:r>
  </w:p>
  <w:p w:rsidR="004F762B" w:rsidRPr="00C50A61" w:rsidRDefault="004F762B" w:rsidP="0023693F">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62B" w:rsidRDefault="004F762B" w:rsidP="004F762B">
    <w:pPr>
      <w:bidi w:val="0"/>
      <w:rPr>
        <w:rFonts w:ascii="Arial" w:hAnsi="Arial" w:cs="Arial"/>
        <w:sz w:val="22"/>
        <w:szCs w:val="22"/>
      </w:rPr>
    </w:pPr>
    <w:r>
      <w:rPr>
        <w:rFonts w:ascii="Arial" w:hAnsi="Arial" w:cs="Arial"/>
        <w:sz w:val="22"/>
        <w:szCs w:val="22"/>
      </w:rPr>
      <w:t>CWS/6/13</w:t>
    </w:r>
  </w:p>
  <w:p w:rsidR="004F762B" w:rsidRDefault="004F762B" w:rsidP="004F762B">
    <w:pPr>
      <w:bidi w:val="0"/>
      <w:rPr>
        <w:rFonts w:ascii="Arial" w:hAnsi="Arial" w:cs="Arial"/>
        <w:sz w:val="22"/>
        <w:szCs w:val="22"/>
        <w:rtl/>
      </w:rPr>
    </w:pPr>
    <w:r>
      <w:rPr>
        <w:rFonts w:ascii="Arial" w:hAnsi="Arial" w:cs="Arial"/>
        <w:sz w:val="22"/>
        <w:szCs w:val="22"/>
      </w:rPr>
      <w:t>ANNEX</w:t>
    </w:r>
  </w:p>
  <w:p w:rsidR="004F762B" w:rsidRPr="004F762B" w:rsidRDefault="004F762B" w:rsidP="004F762B">
    <w:pPr>
      <w:bidi w:val="0"/>
    </w:pPr>
    <w:r w:rsidRPr="004F762B">
      <w:rPr>
        <w:rtl/>
      </w:rPr>
      <w:t>المرفق</w:t>
    </w:r>
  </w:p>
  <w:p w:rsidR="004F762B" w:rsidRPr="00C50A61" w:rsidRDefault="004F762B" w:rsidP="004F762B">
    <w:pPr>
      <w:bidi w:val="0"/>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99A003E2"/>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i w:val="0"/>
        <w:iCs w:val="0"/>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29"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3"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5"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6"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7"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8"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6"/>
  </w:num>
  <w:num w:numId="5">
    <w:abstractNumId w:val="8"/>
  </w:num>
  <w:num w:numId="6">
    <w:abstractNumId w:val="37"/>
  </w:num>
  <w:num w:numId="7">
    <w:abstractNumId w:val="20"/>
  </w:num>
  <w:num w:numId="8">
    <w:abstractNumId w:val="35"/>
  </w:num>
  <w:num w:numId="9">
    <w:abstractNumId w:val="31"/>
  </w:num>
  <w:num w:numId="10">
    <w:abstractNumId w:val="38"/>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29"/>
  </w:num>
  <w:num w:numId="31">
    <w:abstractNumId w:val="21"/>
  </w:num>
  <w:num w:numId="32">
    <w:abstractNumId w:val="26"/>
  </w:num>
  <w:num w:numId="33">
    <w:abstractNumId w:val="34"/>
  </w:num>
  <w:num w:numId="34">
    <w:abstractNumId w:val="13"/>
  </w:num>
  <w:num w:numId="35">
    <w:abstractNumId w:val="33"/>
  </w:num>
  <w:num w:numId="36">
    <w:abstractNumId w:val="25"/>
  </w:num>
  <w:num w:numId="37">
    <w:abstractNumId w:val="32"/>
  </w:num>
  <w:num w:numId="38">
    <w:abstractNumId w:val="16"/>
  </w:num>
  <w:num w:numId="39">
    <w:abstractNumId w:val="28"/>
  </w:num>
  <w:num w:numId="40">
    <w:abstractNumId w:val="27"/>
  </w:num>
  <w:num w:numId="41">
    <w:abstractNumId w:val="18"/>
  </w:num>
  <w:num w:numId="42">
    <w:abstractNumId w:val="10"/>
  </w:num>
  <w:num w:numId="43">
    <w:abstractNumId w:val="22"/>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5C2"/>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03A"/>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365B"/>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2C54"/>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4F76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1BC4"/>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188F"/>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5C2"/>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544"/>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5459"/>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87EB0"/>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A1D"/>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6FBE"/>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341F74CA-C4A8-49C8-BC06-96064F02E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9B7572"/>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www.wipo.int/edocs/mdocs/classifications/en/cws_6/cws_6_13-annex1.xlsx"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D7E69-89B0-417C-B21E-9333D29DD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8</Pages>
  <Words>1004</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CWS/6/13_x000d_ (Arabic)</vt:lpstr>
    </vt:vector>
  </TitlesOfParts>
  <Company>World Intellectual Property Organization</Company>
  <LinksUpToDate>false</LinksUpToDate>
  <CharactersWithSpaces>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CWS/6/13_x000d_ (Arabic)</dc:title>
  <dc:subject>خطة مكاتب الملكية الفكرية لتنفيذ معيار الويبو ST.27</dc:subject>
  <dc:creator>WIPO</dc:creator>
  <cp:keywords>CWS</cp:keywords>
  <cp:lastModifiedBy>DRAKE Sophie</cp:lastModifiedBy>
  <cp:revision>5</cp:revision>
  <cp:lastPrinted>2018-06-12T09:05:00Z</cp:lastPrinted>
  <dcterms:created xsi:type="dcterms:W3CDTF">2018-09-18T13:35:00Z</dcterms:created>
  <dcterms:modified xsi:type="dcterms:W3CDTF">2018-09-26T10:37:00Z</dcterms:modified>
  <cp:category>CWS (in Arabic)</cp:category>
</cp:coreProperties>
</file>