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A43F1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11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A43F1E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A43F1E">
        <w:rPr>
          <w:b/>
          <w:bCs/>
          <w:sz w:val="30"/>
          <w:szCs w:val="30"/>
          <w:rtl/>
        </w:rPr>
        <w:t>12 سبتمبر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7111D0" w:rsidRDefault="00A43F1E" w:rsidP="007111D0">
      <w:pPr>
        <w:rPr>
          <w:rFonts w:ascii="Arial Black" w:hAnsi="Arial Black" w:cs="PT Bold Heading"/>
          <w:sz w:val="26"/>
          <w:szCs w:val="26"/>
          <w:rtl/>
        </w:rPr>
      </w:pPr>
      <w:r w:rsidRPr="007111D0">
        <w:rPr>
          <w:rFonts w:ascii="Arial Black" w:hAnsi="Arial Black" w:cs="PT Bold Heading" w:hint="eastAsia"/>
          <w:sz w:val="26"/>
          <w:szCs w:val="26"/>
          <w:rtl/>
        </w:rPr>
        <w:t>تقرير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eastAsia"/>
          <w:sz w:val="26"/>
          <w:szCs w:val="26"/>
          <w:rtl/>
        </w:rPr>
        <w:t>فرقة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eastAsia"/>
          <w:sz w:val="26"/>
          <w:szCs w:val="26"/>
          <w:rtl/>
        </w:rPr>
        <w:t>العمل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eastAsia"/>
          <w:sz w:val="26"/>
          <w:szCs w:val="26"/>
          <w:rtl/>
        </w:rPr>
        <w:t>المعنية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eastAsia"/>
          <w:sz w:val="26"/>
          <w:szCs w:val="26"/>
          <w:rtl/>
        </w:rPr>
        <w:t>بالوضع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eastAsia"/>
          <w:sz w:val="26"/>
          <w:szCs w:val="26"/>
          <w:rtl/>
        </w:rPr>
        <w:t>القانوني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eastAsia"/>
          <w:sz w:val="26"/>
          <w:szCs w:val="26"/>
          <w:rtl/>
        </w:rPr>
        <w:t>عن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eastAsia"/>
          <w:sz w:val="26"/>
          <w:szCs w:val="26"/>
          <w:rtl/>
        </w:rPr>
        <w:t>المهمة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eastAsia"/>
          <w:sz w:val="26"/>
          <w:szCs w:val="26"/>
          <w:rtl/>
        </w:rPr>
        <w:t>رقم</w:t>
      </w:r>
      <w:r w:rsidRPr="007111D0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7111D0">
        <w:rPr>
          <w:rFonts w:ascii="Arial Black" w:hAnsi="Arial Black" w:cs="PT Bold Heading" w:hint="cs"/>
          <w:sz w:val="26"/>
          <w:szCs w:val="26"/>
          <w:rtl/>
        </w:rPr>
        <w:t>47</w:t>
      </w:r>
    </w:p>
    <w:p w:rsidR="003F7284" w:rsidRPr="00BB6440" w:rsidRDefault="00A43F1E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المكتب</w:t>
      </w:r>
      <w:r>
        <w:rPr>
          <w:i/>
          <w:iCs/>
          <w:rtl/>
        </w:rPr>
        <w:t xml:space="preserve"> الدولي</w:t>
      </w:r>
    </w:p>
    <w:p w:rsidR="00E3612C" w:rsidRPr="008B051B" w:rsidRDefault="00A43F1E" w:rsidP="008B051B">
      <w:pPr>
        <w:pStyle w:val="Heading3"/>
        <w:rPr>
          <w:rtl/>
        </w:rPr>
      </w:pPr>
      <w:r w:rsidRPr="008B051B">
        <w:rPr>
          <w:rFonts w:hint="cs"/>
          <w:rtl/>
        </w:rPr>
        <w:t>مقدمة</w:t>
      </w:r>
    </w:p>
    <w:p w:rsidR="00A43F1E" w:rsidRDefault="00A43F1E" w:rsidP="00AE61A3">
      <w:pPr>
        <w:pStyle w:val="ONUMA"/>
      </w:pPr>
      <w:r>
        <w:rPr>
          <w:rFonts w:hint="cs"/>
          <w:rtl/>
        </w:rPr>
        <w:t>ا</w:t>
      </w:r>
      <w:r w:rsidRPr="00A43F1E">
        <w:rPr>
          <w:rtl/>
        </w:rPr>
        <w:t>عتمدت اللجنة المعنية</w:t>
      </w:r>
      <w:r w:rsidR="007077C7">
        <w:rPr>
          <w:rtl/>
        </w:rPr>
        <w:t xml:space="preserve"> بمعايير الويبو (لجنة المعايير)</w:t>
      </w:r>
      <w:r w:rsidR="007077C7">
        <w:rPr>
          <w:rFonts w:hint="cs"/>
          <w:rtl/>
        </w:rPr>
        <w:t xml:space="preserve">، </w:t>
      </w:r>
      <w:r w:rsidRPr="00A43F1E">
        <w:rPr>
          <w:rtl/>
        </w:rPr>
        <w:t>في دورتها ال</w:t>
      </w:r>
      <w:r>
        <w:rPr>
          <w:rFonts w:hint="cs"/>
          <w:rtl/>
        </w:rPr>
        <w:t>خامسة</w:t>
      </w:r>
      <w:r w:rsidRPr="00A43F1E">
        <w:rPr>
          <w:rtl/>
        </w:rPr>
        <w:t xml:space="preserve"> </w:t>
      </w:r>
      <w:r>
        <w:rPr>
          <w:rFonts w:hint="cs"/>
          <w:rtl/>
        </w:rPr>
        <w:t>المعقودة</w:t>
      </w:r>
      <w:r w:rsidRPr="00A43F1E">
        <w:rPr>
          <w:rtl/>
        </w:rPr>
        <w:t xml:space="preserve"> في</w:t>
      </w:r>
      <w:r w:rsidR="0041440F">
        <w:rPr>
          <w:rtl/>
        </w:rPr>
        <w:t xml:space="preserve"> </w:t>
      </w:r>
      <w:r>
        <w:rPr>
          <w:rFonts w:hint="cs"/>
          <w:rtl/>
        </w:rPr>
        <w:t>الفترة من 29 مايو</w:t>
      </w:r>
      <w:r w:rsidRPr="00A43F1E">
        <w:rPr>
          <w:rtl/>
        </w:rPr>
        <w:t xml:space="preserve"> </w:t>
      </w:r>
      <w:r>
        <w:rPr>
          <w:rFonts w:hint="cs"/>
          <w:rtl/>
        </w:rPr>
        <w:t>إلى 2</w:t>
      </w:r>
      <w:r w:rsidR="00AE61A3">
        <w:rPr>
          <w:rFonts w:hint="eastAsia"/>
          <w:rtl/>
        </w:rPr>
        <w:t> </w:t>
      </w:r>
      <w:r>
        <w:rPr>
          <w:rFonts w:hint="cs"/>
          <w:rtl/>
        </w:rPr>
        <w:t>يونيو</w:t>
      </w:r>
      <w:r w:rsidR="00AE61A3">
        <w:rPr>
          <w:rFonts w:hint="eastAsia"/>
          <w:rtl/>
        </w:rPr>
        <w:t> </w:t>
      </w:r>
      <w:r>
        <w:rPr>
          <w:rFonts w:hint="cs"/>
          <w:rtl/>
        </w:rPr>
        <w:t>2017</w:t>
      </w:r>
      <w:r w:rsidR="00AE61A3">
        <w:rPr>
          <w:rFonts w:hint="cs"/>
          <w:rtl/>
        </w:rPr>
        <w:t>،</w:t>
      </w:r>
      <w:r w:rsidRPr="00A43F1E">
        <w:rPr>
          <w:rtl/>
        </w:rPr>
        <w:t xml:space="preserve"> معيار الويبو</w:t>
      </w:r>
      <w:r w:rsidR="00AE61A3">
        <w:rPr>
          <w:rFonts w:hint="cs"/>
          <w:rtl/>
        </w:rPr>
        <w:t> </w:t>
      </w:r>
      <w:r>
        <w:t>ST.27</w:t>
      </w:r>
      <w:r w:rsidRPr="00A43F1E">
        <w:rPr>
          <w:rtl/>
        </w:rPr>
        <w:t xml:space="preserve"> "توصية بشأن تبادل بيانات الوضع القانوني للبراءات"</w:t>
      </w:r>
      <w:r>
        <w:t>.</w:t>
      </w:r>
      <w:r w:rsidR="00AE61A3">
        <w:rPr>
          <w:rtl/>
        </w:rPr>
        <w:t xml:space="preserve"> ووافقت </w:t>
      </w:r>
      <w:r w:rsidRPr="00A43F1E">
        <w:rPr>
          <w:rtl/>
        </w:rPr>
        <w:t xml:space="preserve">لجنة </w:t>
      </w:r>
      <w:r w:rsidR="00AE61A3">
        <w:rPr>
          <w:rFonts w:hint="cs"/>
          <w:rtl/>
        </w:rPr>
        <w:t xml:space="preserve">المعايير </w:t>
      </w:r>
      <w:r w:rsidRPr="00A43F1E">
        <w:rPr>
          <w:rtl/>
        </w:rPr>
        <w:t>أيضا على</w:t>
      </w:r>
      <w:r>
        <w:t xml:space="preserve"> </w:t>
      </w:r>
      <w:r w:rsidRPr="00A43F1E">
        <w:rPr>
          <w:rtl/>
        </w:rPr>
        <w:t>الملاحظة التحريرية</w:t>
      </w:r>
      <w:r>
        <w:rPr>
          <w:rFonts w:hint="cs"/>
          <w:rtl/>
        </w:rPr>
        <w:t xml:space="preserve"> التالية للمعيار </w:t>
      </w:r>
      <w:r>
        <w:t>ST.27</w:t>
      </w:r>
      <w:r>
        <w:rPr>
          <w:rFonts w:hint="cs"/>
          <w:rtl/>
        </w:rPr>
        <w:t xml:space="preserve">. </w:t>
      </w:r>
      <w:r w:rsidRPr="00A43F1E">
        <w:rPr>
          <w:rtl/>
        </w:rPr>
        <w:t>"الأحداث المفصّلة المندرجة في هذا المعيار أحداث مؤقتة ستستعرضها مكاتب الملكية الصناعية وتقيّمها لمدة سنة</w:t>
      </w:r>
      <w:r>
        <w:rPr>
          <w:rFonts w:hint="cs"/>
          <w:rtl/>
        </w:rPr>
        <w:t>". و</w:t>
      </w:r>
      <w:r w:rsidRPr="00A43F1E">
        <w:rPr>
          <w:rtl/>
        </w:rPr>
        <w:t>على أساس نتائج الاستعراض والتقييم التي تبلّغها المكاتب المذكورة، سيُقدم اقتراح نهائي بشأن الأحداث المفصّلة في هذا المعيار كي توافق عليه لجنة المعايير في دورتها السادسة</w:t>
      </w:r>
      <w:r w:rsidR="008A24E4">
        <w:rPr>
          <w:rFonts w:hint="cs"/>
          <w:rtl/>
        </w:rPr>
        <w:t xml:space="preserve">. </w:t>
      </w:r>
      <w:r w:rsidR="008A24E4" w:rsidRPr="008A24E4">
        <w:rPr>
          <w:rtl/>
        </w:rPr>
        <w:t xml:space="preserve">ويجوز </w:t>
      </w:r>
      <w:r w:rsidR="008A24E4" w:rsidRPr="008A24E4">
        <w:rPr>
          <w:rtl/>
        </w:rPr>
        <w:lastRenderedPageBreak/>
        <w:t>لمكاتب الملكية الصناعية أن تختار تبادل بيانات الوضع القانوني على أساس الفئات والأحداث الرئيسية فقط، إن رغبت في ذلك.</w:t>
      </w:r>
      <w:r w:rsidR="008A24E4">
        <w:rPr>
          <w:rFonts w:hint="cs"/>
          <w:rtl/>
        </w:rPr>
        <w:t xml:space="preserve"> (انظر الفقرتين</w:t>
      </w:r>
      <w:r w:rsidR="00AE61A3">
        <w:rPr>
          <w:rFonts w:hint="eastAsia"/>
          <w:rtl/>
        </w:rPr>
        <w:t> </w:t>
      </w:r>
      <w:r w:rsidR="008A24E4">
        <w:rPr>
          <w:rFonts w:hint="cs"/>
          <w:rtl/>
        </w:rPr>
        <w:t>50 و51 من الوثيقة</w:t>
      </w:r>
      <w:r w:rsidR="00AE61A3">
        <w:rPr>
          <w:rFonts w:hint="eastAsia"/>
          <w:rtl/>
        </w:rPr>
        <w:t> </w:t>
      </w:r>
      <w:r w:rsidR="008A24E4" w:rsidRPr="008A24E4">
        <w:t>CWS</w:t>
      </w:r>
      <w:r w:rsidR="008A24E4" w:rsidRPr="003B6F34">
        <w:t>/5/22</w:t>
      </w:r>
      <w:r w:rsidR="008A24E4">
        <w:rPr>
          <w:rFonts w:hint="cs"/>
          <w:rtl/>
        </w:rPr>
        <w:t>).</w:t>
      </w:r>
    </w:p>
    <w:p w:rsidR="008A24E4" w:rsidRDefault="00E70C2C" w:rsidP="002017B4">
      <w:pPr>
        <w:pStyle w:val="ONUMA"/>
      </w:pPr>
      <w:r w:rsidRPr="00E70C2C">
        <w:rPr>
          <w:rtl/>
        </w:rPr>
        <w:t xml:space="preserve">والتمست لجنة المعايير من فرقة عمل </w:t>
      </w:r>
      <w:r w:rsidRPr="00E70C2C">
        <w:t>XML4IP</w:t>
      </w:r>
      <w:r w:rsidRPr="00E70C2C">
        <w:rPr>
          <w:rtl/>
        </w:rPr>
        <w:t xml:space="preserve"> </w:t>
      </w:r>
      <w:r w:rsidR="002017B4">
        <w:rPr>
          <w:rFonts w:hint="cs"/>
          <w:rtl/>
        </w:rPr>
        <w:t xml:space="preserve">تطوير </w:t>
      </w:r>
      <w:r w:rsidR="002017B4" w:rsidRPr="00E70C2C">
        <w:rPr>
          <w:rtl/>
        </w:rPr>
        <w:t>مكونات مخطط لغة الترميز الموسعة (</w:t>
      </w:r>
      <w:r w:rsidR="002017B4" w:rsidRPr="00E70C2C">
        <w:t>XML</w:t>
      </w:r>
      <w:r w:rsidR="002017B4" w:rsidRPr="00E70C2C">
        <w:rPr>
          <w:rtl/>
        </w:rPr>
        <w:t>) استنادا إلى معيار الويبو الجديد</w:t>
      </w:r>
      <w:r w:rsidR="002017B4">
        <w:rPr>
          <w:rFonts w:hint="cs"/>
          <w:rtl/>
        </w:rPr>
        <w:t> </w:t>
      </w:r>
      <w:r w:rsidR="002017B4" w:rsidRPr="00E70C2C">
        <w:t>ST.27</w:t>
      </w:r>
      <w:r w:rsidR="002017B4">
        <w:rPr>
          <w:rFonts w:hint="cs"/>
          <w:rtl/>
        </w:rPr>
        <w:t xml:space="preserve"> و</w:t>
      </w:r>
      <w:r w:rsidR="002017B4" w:rsidRPr="00E70C2C">
        <w:rPr>
          <w:rtl/>
        </w:rPr>
        <w:t xml:space="preserve">بالتشاور مع فرقة العمل المعنية بالوضع القانوني </w:t>
      </w:r>
      <w:r w:rsidRPr="00E70C2C">
        <w:rPr>
          <w:rtl/>
        </w:rPr>
        <w:t>من أجل تيسير تبادل بيانات الوضع القانوني للبراءات</w:t>
      </w:r>
      <w:r w:rsidR="00563FC3">
        <w:rPr>
          <w:rFonts w:hint="cs"/>
          <w:rtl/>
        </w:rPr>
        <w:t xml:space="preserve">. </w:t>
      </w:r>
      <w:r w:rsidR="002017B4">
        <w:rPr>
          <w:rFonts w:hint="cs"/>
          <w:rtl/>
        </w:rPr>
        <w:t>والتمست</w:t>
      </w:r>
      <w:r w:rsidR="00563FC3">
        <w:rPr>
          <w:rFonts w:hint="cs"/>
          <w:rtl/>
        </w:rPr>
        <w:t xml:space="preserve"> </w:t>
      </w:r>
      <w:r w:rsidR="002017B4">
        <w:rPr>
          <w:rFonts w:hint="cs"/>
          <w:rtl/>
        </w:rPr>
        <w:t xml:space="preserve">لجنة المعايير </w:t>
      </w:r>
      <w:r w:rsidR="00563FC3">
        <w:rPr>
          <w:rFonts w:hint="cs"/>
          <w:rtl/>
        </w:rPr>
        <w:t xml:space="preserve">أيضاً </w:t>
      </w:r>
      <w:r w:rsidR="002017B4">
        <w:rPr>
          <w:rFonts w:hint="cs"/>
          <w:rtl/>
        </w:rPr>
        <w:t>أن يُقدم لها</w:t>
      </w:r>
      <w:r w:rsidRPr="00E70C2C">
        <w:rPr>
          <w:rtl/>
        </w:rPr>
        <w:t xml:space="preserve"> تقرير عن نتائج ذلك العمل في دورتها السادسة.</w:t>
      </w:r>
      <w:r w:rsidR="00E15476">
        <w:rPr>
          <w:rtl/>
        </w:rPr>
        <w:br w:type="page"/>
      </w:r>
    </w:p>
    <w:p w:rsidR="008E1026" w:rsidRDefault="008E1026" w:rsidP="008B051B">
      <w:pPr>
        <w:pStyle w:val="ONUMA"/>
      </w:pPr>
      <w:r>
        <w:rPr>
          <w:rtl/>
        </w:rPr>
        <w:lastRenderedPageBreak/>
        <w:t>وعدّلت لجنة المعايير وصف المهمة رقم 47 ليصبح كما يلي:</w:t>
      </w:r>
      <w:r w:rsidR="008B051B">
        <w:t xml:space="preserve"> </w:t>
      </w:r>
      <w:r>
        <w:rPr>
          <w:rtl/>
        </w:rPr>
        <w:t>"إعداد اقتراح نهائي للأحداث المفصّلة ووثيقة إرشادية بشأن بيانات الوضع القانوني للبراءات؛ وإعداد توصية بشأن تبادل مكاتب الملكية الصناعية لبيانات الوضع القانوني للعلامات التجارية والتصاميم الصناعية"</w:t>
      </w:r>
      <w:r w:rsidR="008B051B">
        <w:rPr>
          <w:rFonts w:hint="cs"/>
          <w:rtl/>
        </w:rPr>
        <w:t xml:space="preserve"> (انظر الفقرة 55 من الوثيقة </w:t>
      </w:r>
      <w:r w:rsidR="008B051B" w:rsidRPr="003B6F34">
        <w:t>CWS/5/22</w:t>
      </w:r>
      <w:r w:rsidR="008B051B">
        <w:rPr>
          <w:rFonts w:hint="cs"/>
          <w:rtl/>
        </w:rPr>
        <w:t>).</w:t>
      </w:r>
    </w:p>
    <w:p w:rsidR="008B051B" w:rsidRDefault="008B051B" w:rsidP="002017B4">
      <w:pPr>
        <w:pStyle w:val="ONUMA"/>
      </w:pPr>
      <w:r>
        <w:rPr>
          <w:rFonts w:hint="cs"/>
          <w:rtl/>
        </w:rPr>
        <w:t>وفي أسبوع الدورة الخامسة للجنة المعايير، عقدت فرقة العمل المعنية بالوضع القانوني اجتماعاً مباشراً وأبلغت لجنة</w:t>
      </w:r>
      <w:r w:rsidR="002017B4">
        <w:rPr>
          <w:rFonts w:hint="eastAsia"/>
          <w:rtl/>
        </w:rPr>
        <w:t> </w:t>
      </w:r>
      <w:r>
        <w:rPr>
          <w:rFonts w:hint="cs"/>
          <w:rtl/>
        </w:rPr>
        <w:t xml:space="preserve">المعايير عن موافقتها على ربط الأحداث </w:t>
      </w:r>
      <w:r w:rsidR="00EB5DB8">
        <w:rPr>
          <w:rFonts w:hint="cs"/>
          <w:rtl/>
        </w:rPr>
        <w:t xml:space="preserve">القانونية الوطنية أو الإقليمية لأعضاء فرقة العمل بأحداث المعيار </w:t>
      </w:r>
      <w:r w:rsidR="00EB5DB8" w:rsidRPr="008A24E4">
        <w:t>ST.27</w:t>
      </w:r>
      <w:r w:rsidR="00EB5DB8">
        <w:rPr>
          <w:rFonts w:hint="cs"/>
          <w:rtl/>
        </w:rPr>
        <w:t xml:space="preserve"> وإعطاء الأولوية لإعداد اقتراح من أجل </w:t>
      </w:r>
      <w:r w:rsidR="00284BAE">
        <w:rPr>
          <w:rFonts w:hint="cs"/>
          <w:rtl/>
        </w:rPr>
        <w:t xml:space="preserve">وضع </w:t>
      </w:r>
      <w:r w:rsidR="00EB5DB8">
        <w:rPr>
          <w:rFonts w:hint="cs"/>
          <w:rtl/>
        </w:rPr>
        <w:t>معيار جديد بشأن الوضع القانوني للتصاميم الصناعية عوضاً عن الوضع القانوني للعلامات التجارية.</w:t>
      </w:r>
    </w:p>
    <w:p w:rsidR="00EB5DB8" w:rsidRDefault="00EB5DB8" w:rsidP="00EB5DB8">
      <w:pPr>
        <w:pStyle w:val="Heading3"/>
        <w:rPr>
          <w:rtl/>
        </w:rPr>
      </w:pPr>
      <w:r>
        <w:rPr>
          <w:rFonts w:hint="cs"/>
          <w:rtl/>
        </w:rPr>
        <w:t>تقرير مرحلي</w:t>
      </w:r>
    </w:p>
    <w:p w:rsidR="00EB5DB8" w:rsidRDefault="00EB5DB8" w:rsidP="006475A1">
      <w:pPr>
        <w:pStyle w:val="ONUMA"/>
      </w:pPr>
      <w:r>
        <w:rPr>
          <w:rFonts w:hint="cs"/>
          <w:rtl/>
        </w:rPr>
        <w:t>متابعة لقرار لجنة المعايير، عملت فرقة العمل المعنية بالوضع القانوني أساساً على إعداد ما يلي:</w:t>
      </w:r>
    </w:p>
    <w:p w:rsidR="00EB5DB8" w:rsidRDefault="00EB5DB8" w:rsidP="00302BF2">
      <w:pPr>
        <w:pStyle w:val="ListBullet"/>
        <w:numPr>
          <w:ilvl w:val="0"/>
          <w:numId w:val="12"/>
        </w:numPr>
        <w:spacing w:before="0"/>
      </w:pPr>
      <w:r w:rsidRPr="00EB5DB8">
        <w:rPr>
          <w:rtl/>
        </w:rPr>
        <w:t>اقتراح نهائي للأحداث المفصّلة</w:t>
      </w:r>
      <w:r w:rsidR="004B33BF">
        <w:rPr>
          <w:rFonts w:hint="cs"/>
          <w:rtl/>
        </w:rPr>
        <w:t xml:space="preserve"> بناء على المعلومات بشأن الربط بين </w:t>
      </w:r>
      <w:r w:rsidR="00284BAE">
        <w:rPr>
          <w:rFonts w:hint="cs"/>
          <w:rtl/>
        </w:rPr>
        <w:t>ال</w:t>
      </w:r>
      <w:r w:rsidR="004B33BF">
        <w:rPr>
          <w:rFonts w:hint="cs"/>
          <w:rtl/>
        </w:rPr>
        <w:t>أحداث</w:t>
      </w:r>
      <w:r w:rsidR="00284BAE">
        <w:rPr>
          <w:rFonts w:hint="cs"/>
          <w:rtl/>
        </w:rPr>
        <w:t xml:space="preserve"> الوطنية أو الإقليمية ل</w:t>
      </w:r>
      <w:r w:rsidR="004B33BF">
        <w:rPr>
          <w:rFonts w:hint="cs"/>
          <w:rtl/>
        </w:rPr>
        <w:t xml:space="preserve">لوضع القانوني وأحداث المعيار </w:t>
      </w:r>
      <w:r w:rsidR="004B33BF" w:rsidRPr="008A24E4">
        <w:t>ST.27</w:t>
      </w:r>
      <w:r w:rsidR="004B33BF">
        <w:rPr>
          <w:rFonts w:hint="cs"/>
          <w:rtl/>
        </w:rPr>
        <w:t xml:space="preserve"> التي قدمتها مكاتب الملكية </w:t>
      </w:r>
      <w:r w:rsidR="002017B4">
        <w:rPr>
          <w:rFonts w:hint="cs"/>
          <w:rtl/>
        </w:rPr>
        <w:t>الصناعية</w:t>
      </w:r>
      <w:r w:rsidR="004B33BF">
        <w:rPr>
          <w:rFonts w:hint="cs"/>
          <w:rtl/>
        </w:rPr>
        <w:t>؛</w:t>
      </w:r>
    </w:p>
    <w:p w:rsidR="004B33BF" w:rsidRDefault="00F87778" w:rsidP="00302BF2">
      <w:pPr>
        <w:pStyle w:val="ListBullet"/>
        <w:numPr>
          <w:ilvl w:val="0"/>
          <w:numId w:val="12"/>
        </w:numPr>
        <w:spacing w:before="0"/>
      </w:pPr>
      <w:r>
        <w:rPr>
          <w:rFonts w:hint="cs"/>
          <w:rtl/>
        </w:rPr>
        <w:t xml:space="preserve">وثيقة إرشادية أصبحت مرفقاً جديداً للمعيار </w:t>
      </w:r>
      <w:r w:rsidRPr="008A24E4">
        <w:t>ST.27</w:t>
      </w:r>
      <w:r>
        <w:rPr>
          <w:rFonts w:hint="cs"/>
          <w:rtl/>
        </w:rPr>
        <w:t>؛</w:t>
      </w:r>
    </w:p>
    <w:p w:rsidR="00F87778" w:rsidRDefault="00F87778" w:rsidP="00302BF2">
      <w:pPr>
        <w:pStyle w:val="ListBullet"/>
        <w:numPr>
          <w:ilvl w:val="0"/>
          <w:numId w:val="12"/>
        </w:numPr>
        <w:spacing w:before="0"/>
      </w:pPr>
      <w:r>
        <w:rPr>
          <w:rFonts w:hint="cs"/>
          <w:rtl/>
        </w:rPr>
        <w:t>ت</w:t>
      </w:r>
      <w:r w:rsidRPr="00F87778">
        <w:rPr>
          <w:rtl/>
        </w:rPr>
        <w:t xml:space="preserve">وصية بشأن تبادل مكاتب الملكية الصناعية لبيانات الوضع القانوني </w:t>
      </w:r>
      <w:r w:rsidR="00DC051C">
        <w:rPr>
          <w:rFonts w:hint="cs"/>
          <w:rtl/>
        </w:rPr>
        <w:t>ل</w:t>
      </w:r>
      <w:r w:rsidRPr="00F87778">
        <w:rPr>
          <w:rtl/>
        </w:rPr>
        <w:t>لتصاميم الصناعية</w:t>
      </w:r>
      <w:r w:rsidR="00DC051C">
        <w:rPr>
          <w:rFonts w:hint="cs"/>
          <w:rtl/>
        </w:rPr>
        <w:t>.</w:t>
      </w:r>
    </w:p>
    <w:p w:rsidR="005E43BC" w:rsidRPr="00EB5DB8" w:rsidRDefault="005C04BC" w:rsidP="006475A1">
      <w:pPr>
        <w:pStyle w:val="ONUMA"/>
        <w:rPr>
          <w:rtl/>
        </w:rPr>
      </w:pPr>
      <w:r>
        <w:rPr>
          <w:rFonts w:hint="cs"/>
          <w:rtl/>
        </w:rPr>
        <w:t>وتعرض نتائج أنشطة فرقة العمل كي تنظر فيها اللجنة في دورتها السادسة كما يلي:</w:t>
      </w:r>
    </w:p>
    <w:p w:rsidR="00C41AE0" w:rsidRDefault="005C04BC" w:rsidP="00302BF2">
      <w:pPr>
        <w:pStyle w:val="ListBullet"/>
        <w:numPr>
          <w:ilvl w:val="0"/>
          <w:numId w:val="13"/>
        </w:numPr>
        <w:spacing w:before="0"/>
      </w:pPr>
      <w:r w:rsidRPr="005C04BC">
        <w:rPr>
          <w:rtl/>
        </w:rPr>
        <w:t xml:space="preserve">المراجعة المقترحة لمعيار الويبو </w:t>
      </w:r>
      <w:r w:rsidRPr="008A24E4">
        <w:t>ST.27</w:t>
      </w:r>
      <w:r>
        <w:rPr>
          <w:rFonts w:hint="cs"/>
          <w:rtl/>
        </w:rPr>
        <w:t xml:space="preserve">، بما في ذلك </w:t>
      </w:r>
      <w:r w:rsidR="00F0765D">
        <w:rPr>
          <w:rFonts w:hint="cs"/>
          <w:rtl/>
        </w:rPr>
        <w:t xml:space="preserve">آخر </w:t>
      </w:r>
      <w:r>
        <w:rPr>
          <w:rFonts w:hint="cs"/>
          <w:rtl/>
        </w:rPr>
        <w:t>الأحداث المفصل</w:t>
      </w:r>
      <w:r w:rsidR="00922105">
        <w:rPr>
          <w:rFonts w:hint="cs"/>
          <w:rtl/>
        </w:rPr>
        <w:t xml:space="preserve">ة </w:t>
      </w:r>
      <w:r w:rsidR="00291C75">
        <w:rPr>
          <w:rFonts w:hint="cs"/>
          <w:rtl/>
        </w:rPr>
        <w:t>و</w:t>
      </w:r>
      <w:r w:rsidR="006475A1">
        <w:rPr>
          <w:rFonts w:hint="cs"/>
          <w:rtl/>
        </w:rPr>
        <w:t xml:space="preserve">وثيقة </w:t>
      </w:r>
      <w:r w:rsidR="00F0765D">
        <w:rPr>
          <w:rFonts w:hint="cs"/>
          <w:rtl/>
        </w:rPr>
        <w:t xml:space="preserve">إرشادية </w:t>
      </w:r>
      <w:r w:rsidR="006475A1">
        <w:rPr>
          <w:rFonts w:hint="cs"/>
          <w:rtl/>
        </w:rPr>
        <w:t>مؤقتة</w:t>
      </w:r>
      <w:r w:rsidR="00F0765D">
        <w:rPr>
          <w:rFonts w:hint="cs"/>
          <w:rtl/>
        </w:rPr>
        <w:t xml:space="preserve"> (انظر</w:t>
      </w:r>
      <w:r w:rsidR="006475A1">
        <w:rPr>
          <w:rFonts w:hint="eastAsia"/>
          <w:rtl/>
        </w:rPr>
        <w:t> </w:t>
      </w:r>
      <w:r w:rsidR="00F0765D">
        <w:rPr>
          <w:rFonts w:hint="cs"/>
          <w:rtl/>
        </w:rPr>
        <w:t>الوثيقة</w:t>
      </w:r>
      <w:r w:rsidR="006475A1">
        <w:rPr>
          <w:rFonts w:hint="eastAsia"/>
          <w:rtl/>
        </w:rPr>
        <w:t> </w:t>
      </w:r>
      <w:r w:rsidR="00F0765D" w:rsidRPr="00F0765D">
        <w:t>CWS</w:t>
      </w:r>
      <w:r w:rsidR="00F0765D" w:rsidRPr="003B6F34">
        <w:t>/6/12</w:t>
      </w:r>
      <w:r w:rsidR="00F0765D">
        <w:rPr>
          <w:rFonts w:hint="cs"/>
          <w:rtl/>
        </w:rPr>
        <w:t>)</w:t>
      </w:r>
      <w:r w:rsidR="00291C75">
        <w:rPr>
          <w:rFonts w:hint="cs"/>
          <w:rtl/>
        </w:rPr>
        <w:t>؛</w:t>
      </w:r>
    </w:p>
    <w:p w:rsidR="00F0765D" w:rsidRDefault="00F0765D" w:rsidP="00302BF2">
      <w:pPr>
        <w:pStyle w:val="ListBullet"/>
        <w:numPr>
          <w:ilvl w:val="0"/>
          <w:numId w:val="13"/>
        </w:numPr>
        <w:spacing w:before="0"/>
      </w:pPr>
      <w:r>
        <w:rPr>
          <w:rFonts w:hint="cs"/>
          <w:rtl/>
        </w:rPr>
        <w:t xml:space="preserve">اقتراح معيار جديد للويبو لتبادل </w:t>
      </w:r>
      <w:r w:rsidR="0050339A">
        <w:rPr>
          <w:rFonts w:hint="cs"/>
          <w:rtl/>
        </w:rPr>
        <w:t>بيانات الوضع القانوني للتصاميم الصناعية (انظر الوثيقة</w:t>
      </w:r>
      <w:r w:rsidR="006475A1">
        <w:rPr>
          <w:rFonts w:hint="eastAsia"/>
          <w:rtl/>
        </w:rPr>
        <w:t> </w:t>
      </w:r>
      <w:r w:rsidR="0050339A" w:rsidRPr="0050339A">
        <w:t>CWS</w:t>
      </w:r>
      <w:r w:rsidR="0050339A" w:rsidRPr="003B6F34">
        <w:t>/6/14</w:t>
      </w:r>
      <w:r w:rsidR="0050339A">
        <w:rPr>
          <w:rFonts w:hint="cs"/>
          <w:rtl/>
        </w:rPr>
        <w:t>)</w:t>
      </w:r>
      <w:r w:rsidR="00291C75">
        <w:rPr>
          <w:rFonts w:hint="cs"/>
          <w:rtl/>
        </w:rPr>
        <w:t>.</w:t>
      </w:r>
    </w:p>
    <w:p w:rsidR="00922105" w:rsidRPr="00110213" w:rsidRDefault="00140420" w:rsidP="00AB45EA">
      <w:pPr>
        <w:pStyle w:val="Heading3"/>
        <w:rPr>
          <w:sz w:val="36"/>
          <w:szCs w:val="36"/>
          <w:u w:val="single"/>
          <w:rtl/>
        </w:rPr>
      </w:pPr>
      <w:r w:rsidRPr="00110213">
        <w:rPr>
          <w:rFonts w:hint="cs"/>
          <w:sz w:val="36"/>
          <w:szCs w:val="36"/>
          <w:u w:val="single"/>
          <w:rtl/>
        </w:rPr>
        <w:t xml:space="preserve">خطة تنفيذ معيار الويبو </w:t>
      </w:r>
      <w:r w:rsidRPr="00110213">
        <w:rPr>
          <w:sz w:val="36"/>
          <w:szCs w:val="36"/>
          <w:u w:val="single"/>
        </w:rPr>
        <w:t>ST.27</w:t>
      </w:r>
    </w:p>
    <w:p w:rsidR="007F2493" w:rsidRDefault="00140420" w:rsidP="00110213">
      <w:pPr>
        <w:pStyle w:val="ONUMA"/>
      </w:pPr>
      <w:r>
        <w:rPr>
          <w:rFonts w:hint="cs"/>
          <w:rtl/>
        </w:rPr>
        <w:t>أصدرت الأمانة التعميم</w:t>
      </w:r>
      <w:r w:rsidR="0041440F">
        <w:rPr>
          <w:rFonts w:hint="cs"/>
          <w:rtl/>
        </w:rPr>
        <w:t xml:space="preserve"> </w:t>
      </w:r>
      <w:r>
        <w:t>C. CWS 92</w:t>
      </w:r>
      <w:r w:rsidR="00291C75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25 يناير 2018، </w:t>
      </w:r>
      <w:r w:rsidR="006475A1">
        <w:rPr>
          <w:rFonts w:hint="cs"/>
          <w:rtl/>
        </w:rPr>
        <w:t>دعت</w:t>
      </w:r>
      <w:r>
        <w:rPr>
          <w:rFonts w:hint="cs"/>
          <w:rtl/>
        </w:rPr>
        <w:t xml:space="preserve"> فيه مكاتب الملكية الفكرية إلى تقديم نتائج:</w:t>
      </w:r>
    </w:p>
    <w:p w:rsidR="00140420" w:rsidRDefault="00110213" w:rsidP="00110213">
      <w:pPr>
        <w:pStyle w:val="ONUMA"/>
        <w:numPr>
          <w:ilvl w:val="0"/>
          <w:numId w:val="0"/>
        </w:numPr>
        <w:spacing w:before="0"/>
      </w:pPr>
      <w:r>
        <w:rPr>
          <w:rFonts w:hint="cs"/>
          <w:rtl/>
        </w:rPr>
        <w:t xml:space="preserve"> </w:t>
      </w:r>
      <w:r w:rsidR="007F2493" w:rsidRPr="007F2493">
        <w:rPr>
          <w:rtl/>
        </w:rPr>
        <w:t>تقييم ممارسات العمل ونظم تكنولوجيا المعلومات التي تتبعها</w:t>
      </w:r>
      <w:r w:rsidR="007F2493">
        <w:rPr>
          <w:rFonts w:hint="cs"/>
          <w:rtl/>
        </w:rPr>
        <w:t xml:space="preserve">، بما في ذلك </w:t>
      </w:r>
      <w:r w:rsidR="007F2493" w:rsidRPr="007F2493">
        <w:rPr>
          <w:rtl/>
        </w:rPr>
        <w:t>جدول</w:t>
      </w:r>
      <w:r w:rsidR="00291C75">
        <w:rPr>
          <w:rFonts w:hint="cs"/>
          <w:rtl/>
        </w:rPr>
        <w:t>ها</w:t>
      </w:r>
      <w:r w:rsidR="007F2493" w:rsidRPr="007F2493">
        <w:rPr>
          <w:rtl/>
        </w:rPr>
        <w:t xml:space="preserve"> الزمني المؤقت </w:t>
      </w:r>
      <w:r w:rsidR="007F2493">
        <w:rPr>
          <w:rFonts w:hint="cs"/>
          <w:rtl/>
        </w:rPr>
        <w:t>لتنفيذ معيار</w:t>
      </w:r>
      <w:r w:rsidR="006475A1">
        <w:rPr>
          <w:rFonts w:hint="eastAsia"/>
          <w:rtl/>
        </w:rPr>
        <w:t> </w:t>
      </w:r>
      <w:r w:rsidR="007F2493">
        <w:rPr>
          <w:rFonts w:hint="cs"/>
          <w:rtl/>
        </w:rPr>
        <w:t>الويبو</w:t>
      </w:r>
      <w:r w:rsidR="006475A1">
        <w:rPr>
          <w:rFonts w:hint="eastAsia"/>
          <w:rtl/>
        </w:rPr>
        <w:t> </w:t>
      </w:r>
      <w:r w:rsidR="007F2493" w:rsidRPr="007F2493">
        <w:t>ST.27</w:t>
      </w:r>
      <w:r>
        <w:rPr>
          <w:rFonts w:hint="cs"/>
          <w:rtl/>
        </w:rPr>
        <w:t>؛ (ب) و</w:t>
      </w:r>
      <w:r w:rsidR="007F2493">
        <w:rPr>
          <w:rFonts w:hint="cs"/>
          <w:rtl/>
        </w:rPr>
        <w:t>استعراض الأحداث المفصلة المؤقتة وفقاً للقوانين وا</w:t>
      </w:r>
      <w:r w:rsidR="006475A1">
        <w:rPr>
          <w:rFonts w:hint="cs"/>
          <w:rtl/>
        </w:rPr>
        <w:t xml:space="preserve">لممارسات الخاصة بكل منها. ويرد </w:t>
      </w:r>
      <w:r w:rsidR="007F2493">
        <w:rPr>
          <w:rFonts w:hint="cs"/>
          <w:rtl/>
        </w:rPr>
        <w:t xml:space="preserve">ملخص </w:t>
      </w:r>
      <w:r w:rsidR="006475A1">
        <w:rPr>
          <w:rFonts w:hint="cs"/>
          <w:rtl/>
        </w:rPr>
        <w:t>الردود</w:t>
      </w:r>
      <w:r w:rsidR="007F2493">
        <w:rPr>
          <w:rFonts w:hint="cs"/>
          <w:rtl/>
        </w:rPr>
        <w:t xml:space="preserve"> على التعميم ال</w:t>
      </w:r>
      <w:r w:rsidR="00291C75">
        <w:rPr>
          <w:rFonts w:hint="cs"/>
          <w:rtl/>
        </w:rPr>
        <w:t>مقدم</w:t>
      </w:r>
      <w:r w:rsidR="007F2493">
        <w:rPr>
          <w:rFonts w:hint="cs"/>
          <w:rtl/>
        </w:rPr>
        <w:t xml:space="preserve">ة من 11 مكتباً للملكية </w:t>
      </w:r>
      <w:r w:rsidR="004906BB">
        <w:rPr>
          <w:rFonts w:hint="cs"/>
          <w:rtl/>
        </w:rPr>
        <w:t>الصناعية</w:t>
      </w:r>
      <w:r w:rsidR="007F2493">
        <w:rPr>
          <w:rFonts w:hint="cs"/>
          <w:rtl/>
        </w:rPr>
        <w:t xml:space="preserve"> في الفقرات 5 و6 و7 و8 من الوثيقة</w:t>
      </w:r>
      <w:r w:rsidR="004906BB">
        <w:rPr>
          <w:rFonts w:hint="eastAsia"/>
          <w:rtl/>
        </w:rPr>
        <w:t> </w:t>
      </w:r>
      <w:r w:rsidR="007F2493" w:rsidRPr="007F2493">
        <w:t>CWS/6/13</w:t>
      </w:r>
      <w:r w:rsidR="008C712C">
        <w:rPr>
          <w:rFonts w:hint="cs"/>
          <w:rtl/>
        </w:rPr>
        <w:t>.</w:t>
      </w:r>
    </w:p>
    <w:p w:rsidR="008C712C" w:rsidRPr="00110213" w:rsidRDefault="008C712C" w:rsidP="00AB45EA">
      <w:pPr>
        <w:pStyle w:val="Heading3"/>
        <w:rPr>
          <w:sz w:val="36"/>
          <w:szCs w:val="36"/>
          <w:u w:val="single"/>
          <w:rtl/>
        </w:rPr>
      </w:pPr>
      <w:r w:rsidRPr="00110213">
        <w:rPr>
          <w:rFonts w:hint="cs"/>
          <w:sz w:val="36"/>
          <w:szCs w:val="36"/>
          <w:u w:val="single"/>
          <w:rtl/>
        </w:rPr>
        <w:t>ربط الأحداث الوطنية والإقليمية بأحداث المعيار</w:t>
      </w:r>
    </w:p>
    <w:p w:rsidR="000D7E81" w:rsidRPr="000D7E81" w:rsidRDefault="004906BB" w:rsidP="00110213">
      <w:pPr>
        <w:pStyle w:val="ONUMA"/>
        <w:rPr>
          <w:rtl/>
        </w:rPr>
      </w:pPr>
      <w:r>
        <w:rPr>
          <w:rFonts w:hint="cs"/>
          <w:rtl/>
        </w:rPr>
        <w:t xml:space="preserve">دُعيت </w:t>
      </w:r>
      <w:r w:rsidR="008C712C">
        <w:rPr>
          <w:rFonts w:hint="cs"/>
          <w:rtl/>
        </w:rPr>
        <w:t xml:space="preserve">مكاتب الملكية الفكرية أيضاً إلى ربط </w:t>
      </w:r>
      <w:r w:rsidR="0017359E">
        <w:rPr>
          <w:rFonts w:hint="cs"/>
          <w:rtl/>
        </w:rPr>
        <w:t>ال</w:t>
      </w:r>
      <w:r w:rsidR="008C712C">
        <w:rPr>
          <w:rFonts w:hint="cs"/>
          <w:rtl/>
        </w:rPr>
        <w:t>أحداث</w:t>
      </w:r>
      <w:r w:rsidR="0017359E" w:rsidRPr="0017359E">
        <w:rPr>
          <w:rFonts w:hint="cs"/>
          <w:rtl/>
        </w:rPr>
        <w:t xml:space="preserve"> </w:t>
      </w:r>
      <w:r w:rsidR="0017359E">
        <w:rPr>
          <w:rFonts w:hint="cs"/>
          <w:rtl/>
        </w:rPr>
        <w:t>الوطنية أو الإقليمية ل</w:t>
      </w:r>
      <w:r w:rsidR="008C712C">
        <w:rPr>
          <w:rFonts w:hint="cs"/>
          <w:rtl/>
        </w:rPr>
        <w:t>لوضع القانوني للبراءات بالفئات والأحداث المحددة في معيار الويبو</w:t>
      </w:r>
      <w:r>
        <w:rPr>
          <w:rFonts w:hint="eastAsia"/>
          <w:rtl/>
        </w:rPr>
        <w:t> </w:t>
      </w:r>
      <w:r w:rsidR="008C712C" w:rsidRPr="008A24E4">
        <w:t>ST.27</w:t>
      </w:r>
      <w:r w:rsidR="008C712C">
        <w:rPr>
          <w:rFonts w:hint="cs"/>
          <w:rtl/>
        </w:rPr>
        <w:t xml:space="preserve">. وقدمت بعض مكاتب الملكية </w:t>
      </w:r>
      <w:r>
        <w:rPr>
          <w:rFonts w:hint="cs"/>
          <w:rtl/>
        </w:rPr>
        <w:t>الصناعية</w:t>
      </w:r>
      <w:r w:rsidR="008C712C">
        <w:rPr>
          <w:rFonts w:hint="cs"/>
          <w:rtl/>
        </w:rPr>
        <w:t xml:space="preserve"> </w:t>
      </w:r>
      <w:r w:rsidR="008C712C" w:rsidRPr="008C712C">
        <w:rPr>
          <w:rtl/>
        </w:rPr>
        <w:t>جد</w:t>
      </w:r>
      <w:r w:rsidR="008C712C">
        <w:rPr>
          <w:rFonts w:hint="cs"/>
          <w:rtl/>
        </w:rPr>
        <w:t>ا</w:t>
      </w:r>
      <w:r w:rsidR="008C712C" w:rsidRPr="008C712C">
        <w:rPr>
          <w:rtl/>
        </w:rPr>
        <w:t>ول</w:t>
      </w:r>
      <w:r w:rsidR="008C712C">
        <w:rPr>
          <w:rFonts w:hint="cs"/>
          <w:rtl/>
        </w:rPr>
        <w:t>ها</w:t>
      </w:r>
      <w:r w:rsidR="008C712C">
        <w:rPr>
          <w:rtl/>
        </w:rPr>
        <w:t xml:space="preserve"> للربط </w:t>
      </w:r>
      <w:r w:rsidR="008C712C">
        <w:rPr>
          <w:rFonts w:hint="cs"/>
          <w:rtl/>
        </w:rPr>
        <w:t>استجابة للتعميم المذكور أعلاه، وتقاس</w:t>
      </w:r>
      <w:r>
        <w:rPr>
          <w:rFonts w:hint="cs"/>
          <w:rtl/>
        </w:rPr>
        <w:t>مت بعض مكاتب الملكية الفكرية الأ</w:t>
      </w:r>
      <w:r w:rsidR="008C712C">
        <w:rPr>
          <w:rFonts w:hint="cs"/>
          <w:rtl/>
        </w:rPr>
        <w:t xml:space="preserve">خرى جداولها للربط مع فرقة العمل. وأفادت بعض تلك المكاتب التي قدمت جداولها للربط بأن المقارنة بين بعض </w:t>
      </w:r>
      <w:r w:rsidR="00E15476">
        <w:rPr>
          <w:rFonts w:hint="cs"/>
          <w:rtl/>
        </w:rPr>
        <w:t>الأحداث التي تنظمها</w:t>
      </w:r>
      <w:r w:rsidR="008C712C">
        <w:rPr>
          <w:rFonts w:hint="cs"/>
          <w:rtl/>
        </w:rPr>
        <w:t xml:space="preserve"> وأحداث المعيار غير واضحة. وعمل المكتب الدولي مع مكاتب الملكية </w:t>
      </w:r>
      <w:r>
        <w:rPr>
          <w:rFonts w:hint="cs"/>
          <w:rtl/>
        </w:rPr>
        <w:t xml:space="preserve">الصناعية على </w:t>
      </w:r>
      <w:r w:rsidR="008C712C">
        <w:rPr>
          <w:rFonts w:hint="cs"/>
          <w:rtl/>
        </w:rPr>
        <w:t>تحسين</w:t>
      </w:r>
      <w:r w:rsidR="0041440F">
        <w:rPr>
          <w:rFonts w:hint="cs"/>
          <w:rtl/>
        </w:rPr>
        <w:t xml:space="preserve"> </w:t>
      </w:r>
      <w:r w:rsidR="00E15476">
        <w:rPr>
          <w:rFonts w:hint="cs"/>
          <w:rtl/>
        </w:rPr>
        <w:t>عملياتها للربط</w:t>
      </w:r>
      <w:r w:rsidR="008C712C">
        <w:rPr>
          <w:rFonts w:hint="cs"/>
          <w:rtl/>
        </w:rPr>
        <w:t xml:space="preserve"> وإعداد جدول</w:t>
      </w:r>
      <w:r w:rsidR="001F1C04">
        <w:rPr>
          <w:rFonts w:hint="cs"/>
          <w:rtl/>
        </w:rPr>
        <w:t>ها</w:t>
      </w:r>
      <w:r w:rsidR="008C712C">
        <w:rPr>
          <w:rFonts w:hint="cs"/>
          <w:rtl/>
        </w:rPr>
        <w:t xml:space="preserve"> النهائي</w:t>
      </w:r>
      <w:r w:rsidR="001F1C04">
        <w:rPr>
          <w:rFonts w:hint="cs"/>
          <w:rtl/>
        </w:rPr>
        <w:t xml:space="preserve"> للربط</w:t>
      </w:r>
      <w:r w:rsidR="008C712C">
        <w:rPr>
          <w:rFonts w:hint="cs"/>
          <w:rtl/>
        </w:rPr>
        <w:t>.</w:t>
      </w:r>
      <w:r w:rsidR="00E15476">
        <w:rPr>
          <w:rFonts w:hint="cs"/>
          <w:rtl/>
        </w:rPr>
        <w:t xml:space="preserve"> وعلاوة على ذلك، </w:t>
      </w:r>
      <w:r>
        <w:rPr>
          <w:rFonts w:hint="cs"/>
          <w:rtl/>
        </w:rPr>
        <w:t>وحّد</w:t>
      </w:r>
      <w:r w:rsidR="00E15476">
        <w:rPr>
          <w:rFonts w:hint="cs"/>
          <w:rtl/>
        </w:rPr>
        <w:t xml:space="preserve"> المكتب الدولي جداول الربط التي </w:t>
      </w:r>
      <w:r>
        <w:rPr>
          <w:rFonts w:hint="cs"/>
          <w:rtl/>
        </w:rPr>
        <w:t>حصل عليها من</w:t>
      </w:r>
      <w:r w:rsidR="00E15476">
        <w:rPr>
          <w:rFonts w:hint="cs"/>
          <w:rtl/>
        </w:rPr>
        <w:t xml:space="preserve"> مكاتب الملكية </w:t>
      </w:r>
      <w:r>
        <w:rPr>
          <w:rFonts w:hint="cs"/>
          <w:rtl/>
        </w:rPr>
        <w:t xml:space="preserve">الصناعية، </w:t>
      </w:r>
      <w:r w:rsidR="0048193B">
        <w:rPr>
          <w:rFonts w:hint="cs"/>
          <w:rtl/>
        </w:rPr>
        <w:t>ويرد جدول الربط الموحد</w:t>
      </w:r>
      <w:r>
        <w:rPr>
          <w:rFonts w:hint="cs"/>
          <w:rtl/>
        </w:rPr>
        <w:t xml:space="preserve"> </w:t>
      </w:r>
      <w:r w:rsidR="00E15476">
        <w:rPr>
          <w:rFonts w:hint="cs"/>
          <w:rtl/>
        </w:rPr>
        <w:t>في مرفق الوثيقة</w:t>
      </w:r>
      <w:r>
        <w:rPr>
          <w:rFonts w:hint="eastAsia"/>
          <w:rtl/>
        </w:rPr>
        <w:t> </w:t>
      </w:r>
      <w:r w:rsidR="00E15476" w:rsidRPr="00E15476">
        <w:t>CWS</w:t>
      </w:r>
      <w:r w:rsidR="00E15476" w:rsidRPr="003B6F34">
        <w:t>/6/1</w:t>
      </w:r>
      <w:r w:rsidR="00E15476">
        <w:t>3</w:t>
      </w:r>
      <w:r w:rsidR="00E15476">
        <w:rPr>
          <w:rFonts w:hint="cs"/>
          <w:rtl/>
        </w:rPr>
        <w:t>.</w:t>
      </w:r>
    </w:p>
    <w:p w:rsidR="00232D08" w:rsidRDefault="00E15476" w:rsidP="0048193B">
      <w:pPr>
        <w:pStyle w:val="ONUMA"/>
      </w:pPr>
      <w:r>
        <w:rPr>
          <w:rFonts w:hint="cs"/>
          <w:rtl/>
        </w:rPr>
        <w:t xml:space="preserve">وبالإضافة إلى جداول الربط التي قدمتها مكاتب الملكية </w:t>
      </w:r>
      <w:r w:rsidR="004906BB">
        <w:rPr>
          <w:rFonts w:hint="cs"/>
          <w:rtl/>
        </w:rPr>
        <w:t>الصناعية</w:t>
      </w:r>
      <w:r>
        <w:rPr>
          <w:rFonts w:hint="cs"/>
          <w:rtl/>
        </w:rPr>
        <w:t xml:space="preserve"> المشار إليها أعلاه، تعاون المكتب الدولي مع </w:t>
      </w:r>
      <w:r w:rsidR="00C44580">
        <w:rPr>
          <w:rFonts w:hint="cs"/>
          <w:rtl/>
        </w:rPr>
        <w:t>ال</w:t>
      </w:r>
      <w:r>
        <w:rPr>
          <w:rFonts w:hint="cs"/>
          <w:rtl/>
        </w:rPr>
        <w:t>مكتب الأوروبي</w:t>
      </w:r>
      <w:r w:rsidR="00C44580">
        <w:rPr>
          <w:rFonts w:hint="cs"/>
          <w:rtl/>
        </w:rPr>
        <w:t xml:space="preserve"> للبراءات</w:t>
      </w:r>
      <w:r>
        <w:rPr>
          <w:rFonts w:hint="cs"/>
          <w:rtl/>
        </w:rPr>
        <w:t xml:space="preserve"> لإعداد جداول ربط </w:t>
      </w:r>
      <w:r w:rsidR="00753EC4">
        <w:rPr>
          <w:rFonts w:hint="cs"/>
          <w:rtl/>
        </w:rPr>
        <w:t>ل</w:t>
      </w:r>
      <w:r>
        <w:rPr>
          <w:rFonts w:hint="cs"/>
          <w:rtl/>
        </w:rPr>
        <w:t>لأحداث</w:t>
      </w:r>
      <w:r w:rsidR="00753EC4">
        <w:rPr>
          <w:rFonts w:hint="cs"/>
          <w:rtl/>
        </w:rPr>
        <w:t xml:space="preserve"> الوطنية </w:t>
      </w:r>
      <w:r w:rsidR="002D159B">
        <w:rPr>
          <w:rFonts w:hint="cs"/>
          <w:rtl/>
        </w:rPr>
        <w:t>أ</w:t>
      </w:r>
      <w:r w:rsidR="00753EC4">
        <w:rPr>
          <w:rFonts w:hint="cs"/>
          <w:rtl/>
        </w:rPr>
        <w:t>و</w:t>
      </w:r>
      <w:r w:rsidR="002D159B">
        <w:rPr>
          <w:rFonts w:hint="cs"/>
          <w:rtl/>
        </w:rPr>
        <w:t xml:space="preserve"> الإقليمية ل</w:t>
      </w:r>
      <w:r>
        <w:rPr>
          <w:rFonts w:hint="cs"/>
          <w:rtl/>
        </w:rPr>
        <w:t>لو</w:t>
      </w:r>
      <w:r w:rsidR="001F3E22">
        <w:rPr>
          <w:rFonts w:hint="cs"/>
          <w:rtl/>
        </w:rPr>
        <w:t xml:space="preserve">ضع القانوني للبراءات، الواردة في </w:t>
      </w:r>
      <w:r w:rsidR="001F3E22" w:rsidRPr="001F3E22">
        <w:rPr>
          <w:rtl/>
        </w:rPr>
        <w:t>قاعدة بيانات المركز الدولي لوثائق البراءات (</w:t>
      </w:r>
      <w:r w:rsidR="001F3E22" w:rsidRPr="001F3E22">
        <w:t>INPADOC</w:t>
      </w:r>
      <w:r w:rsidR="001F3E22" w:rsidRPr="001F3E22">
        <w:rPr>
          <w:rtl/>
        </w:rPr>
        <w:t>)</w:t>
      </w:r>
      <w:r w:rsidR="001F3E22">
        <w:rPr>
          <w:rFonts w:hint="cs"/>
          <w:rtl/>
        </w:rPr>
        <w:t>، التي يزودها حوالي 50 مكتباً</w:t>
      </w:r>
      <w:r w:rsidR="002D159B">
        <w:rPr>
          <w:rFonts w:hint="cs"/>
          <w:rtl/>
        </w:rPr>
        <w:t xml:space="preserve"> من مكاتب الملكية </w:t>
      </w:r>
      <w:r w:rsidR="004906BB">
        <w:rPr>
          <w:rFonts w:hint="cs"/>
          <w:rtl/>
        </w:rPr>
        <w:t>الصناعية</w:t>
      </w:r>
      <w:r w:rsidR="002D159B">
        <w:rPr>
          <w:rFonts w:hint="cs"/>
          <w:rtl/>
        </w:rPr>
        <w:t xml:space="preserve"> بمعلومات</w:t>
      </w:r>
      <w:r w:rsidR="001F3E22">
        <w:rPr>
          <w:rFonts w:hint="cs"/>
          <w:rtl/>
        </w:rPr>
        <w:t>. وك</w:t>
      </w:r>
      <w:r w:rsidR="002D159B">
        <w:rPr>
          <w:rFonts w:hint="cs"/>
          <w:rtl/>
        </w:rPr>
        <w:t>نتيجة أولية</w:t>
      </w:r>
      <w:r w:rsidR="001F3E22">
        <w:rPr>
          <w:rFonts w:hint="cs"/>
          <w:rtl/>
        </w:rPr>
        <w:t xml:space="preserve"> </w:t>
      </w:r>
      <w:r w:rsidR="0048193B">
        <w:rPr>
          <w:rFonts w:hint="cs"/>
          <w:rtl/>
        </w:rPr>
        <w:t>لذلك</w:t>
      </w:r>
      <w:r w:rsidR="001F3E22">
        <w:rPr>
          <w:rFonts w:hint="cs"/>
          <w:rtl/>
        </w:rPr>
        <w:t xml:space="preserve"> التعاون، أ</w:t>
      </w:r>
      <w:r w:rsidR="002D159B">
        <w:rPr>
          <w:rFonts w:hint="cs"/>
          <w:rtl/>
        </w:rPr>
        <w:t>ُ</w:t>
      </w:r>
      <w:r w:rsidR="001F3E22">
        <w:rPr>
          <w:rFonts w:hint="cs"/>
          <w:rtl/>
        </w:rPr>
        <w:t>عد مشروع ربط بيانا</w:t>
      </w:r>
      <w:r w:rsidR="00232D08">
        <w:rPr>
          <w:rFonts w:hint="cs"/>
          <w:rtl/>
        </w:rPr>
        <w:t>ت المركز الدولي لوثائق البراءات</w:t>
      </w:r>
      <w:r w:rsidR="002D159B">
        <w:rPr>
          <w:rFonts w:hint="cs"/>
          <w:rtl/>
        </w:rPr>
        <w:t xml:space="preserve"> عن فرنسا</w:t>
      </w:r>
      <w:r w:rsidR="00232D08">
        <w:rPr>
          <w:rFonts w:hint="cs"/>
          <w:rtl/>
        </w:rPr>
        <w:t xml:space="preserve"> وط</w:t>
      </w:r>
      <w:r w:rsidR="002D159B">
        <w:rPr>
          <w:rFonts w:hint="cs"/>
          <w:rtl/>
        </w:rPr>
        <w:t>ُ</w:t>
      </w:r>
      <w:r w:rsidR="00232D08">
        <w:rPr>
          <w:rFonts w:hint="cs"/>
          <w:rtl/>
        </w:rPr>
        <w:t xml:space="preserve">رح على </w:t>
      </w:r>
      <w:r w:rsidR="00232D08" w:rsidRPr="00232D08">
        <w:rPr>
          <w:rtl/>
        </w:rPr>
        <w:t>المعهد الوطني للملكية الصناعية بفرنسا</w:t>
      </w:r>
      <w:r w:rsidR="00232D08">
        <w:rPr>
          <w:rFonts w:hint="cs"/>
          <w:rtl/>
        </w:rPr>
        <w:t xml:space="preserve"> لتوضيح بعض الأحداث التي ت</w:t>
      </w:r>
      <w:r w:rsidR="009676E3">
        <w:rPr>
          <w:rFonts w:hint="cs"/>
          <w:rtl/>
        </w:rPr>
        <w:t>قترن</w:t>
      </w:r>
      <w:r w:rsidR="00232D08">
        <w:rPr>
          <w:rFonts w:hint="cs"/>
          <w:rtl/>
        </w:rPr>
        <w:t xml:space="preserve"> بالعديد من الصيغ المحدثة للجدول. ولاحظ المكتب </w:t>
      </w:r>
      <w:r w:rsidR="003907F4">
        <w:rPr>
          <w:rFonts w:hint="cs"/>
          <w:rtl/>
        </w:rPr>
        <w:t>الأوروب</w:t>
      </w:r>
      <w:r w:rsidR="003907F4">
        <w:rPr>
          <w:rtl/>
        </w:rPr>
        <w:t>ي</w:t>
      </w:r>
      <w:r w:rsidR="00232D08">
        <w:rPr>
          <w:rFonts w:hint="cs"/>
          <w:rtl/>
        </w:rPr>
        <w:t xml:space="preserve"> للبراءات </w:t>
      </w:r>
      <w:r w:rsidR="003907F4">
        <w:rPr>
          <w:rFonts w:hint="cs"/>
          <w:rtl/>
        </w:rPr>
        <w:t xml:space="preserve">الحاجة إلى بعض </w:t>
      </w:r>
      <w:r w:rsidR="009676E3">
        <w:rPr>
          <w:rFonts w:hint="cs"/>
          <w:rtl/>
        </w:rPr>
        <w:t xml:space="preserve">من </w:t>
      </w:r>
      <w:r w:rsidR="003907F4">
        <w:rPr>
          <w:rFonts w:hint="cs"/>
          <w:rtl/>
        </w:rPr>
        <w:t xml:space="preserve">التوضيح </w:t>
      </w:r>
      <w:r w:rsidR="009676E3">
        <w:rPr>
          <w:rFonts w:hint="cs"/>
          <w:rtl/>
        </w:rPr>
        <w:t>ل</w:t>
      </w:r>
      <w:r w:rsidR="003907F4">
        <w:rPr>
          <w:rFonts w:hint="cs"/>
          <w:rtl/>
        </w:rPr>
        <w:t xml:space="preserve">بيانات </w:t>
      </w:r>
      <w:r w:rsidR="003907F4" w:rsidRPr="00232D08">
        <w:rPr>
          <w:rtl/>
        </w:rPr>
        <w:t>المعهد الوطني للملكية الصناعية بفرنسا</w:t>
      </w:r>
      <w:r w:rsidR="003907F4">
        <w:rPr>
          <w:rFonts w:hint="cs"/>
          <w:rtl/>
        </w:rPr>
        <w:t xml:space="preserve"> في </w:t>
      </w:r>
      <w:r w:rsidR="003907F4" w:rsidRPr="001F3E22">
        <w:rPr>
          <w:rtl/>
        </w:rPr>
        <w:t xml:space="preserve">قاعدة </w:t>
      </w:r>
      <w:r w:rsidR="0048193B">
        <w:rPr>
          <w:rFonts w:hint="cs"/>
          <w:rtl/>
        </w:rPr>
        <w:t>ال</w:t>
      </w:r>
      <w:r w:rsidR="003907F4" w:rsidRPr="001F3E22">
        <w:rPr>
          <w:rtl/>
        </w:rPr>
        <w:t xml:space="preserve">بيانات </w:t>
      </w:r>
      <w:r w:rsidR="0048193B">
        <w:rPr>
          <w:rFonts w:hint="cs"/>
          <w:rtl/>
        </w:rPr>
        <w:t>المذكورة</w:t>
      </w:r>
      <w:r w:rsidR="003907F4">
        <w:rPr>
          <w:rFonts w:hint="cs"/>
          <w:rtl/>
        </w:rPr>
        <w:t>. وفي</w:t>
      </w:r>
      <w:r w:rsidR="0048193B">
        <w:rPr>
          <w:rFonts w:hint="eastAsia"/>
          <w:rtl/>
        </w:rPr>
        <w:t> </w:t>
      </w:r>
      <w:r w:rsidR="003907F4">
        <w:rPr>
          <w:rFonts w:hint="cs"/>
          <w:rtl/>
        </w:rPr>
        <w:t>ال</w:t>
      </w:r>
      <w:r w:rsidR="009676E3">
        <w:rPr>
          <w:rFonts w:hint="cs"/>
          <w:rtl/>
        </w:rPr>
        <w:t>أ</w:t>
      </w:r>
      <w:r w:rsidR="003907F4">
        <w:rPr>
          <w:rFonts w:hint="cs"/>
          <w:rtl/>
        </w:rPr>
        <w:t xml:space="preserve">خير، وافق </w:t>
      </w:r>
      <w:r w:rsidR="003907F4" w:rsidRPr="00232D08">
        <w:rPr>
          <w:rtl/>
        </w:rPr>
        <w:t>المعهد الوطني للملكية الصناعية بفرنسا</w:t>
      </w:r>
      <w:r w:rsidR="003907F4">
        <w:rPr>
          <w:rFonts w:hint="cs"/>
          <w:rtl/>
        </w:rPr>
        <w:t xml:space="preserve"> على تقاسم جدول الربط النهائي </w:t>
      </w:r>
      <w:r w:rsidR="009676E3">
        <w:rPr>
          <w:rFonts w:hint="cs"/>
          <w:rtl/>
        </w:rPr>
        <w:t xml:space="preserve">الخاص به </w:t>
      </w:r>
      <w:r w:rsidR="003907F4">
        <w:rPr>
          <w:rFonts w:hint="cs"/>
          <w:rtl/>
        </w:rPr>
        <w:t xml:space="preserve">مع أعضاء فرقة العمل الآخرين وإدراجه في جدول الربط الموحد. ومن المزمع </w:t>
      </w:r>
      <w:r w:rsidR="009676E3">
        <w:rPr>
          <w:rFonts w:hint="cs"/>
          <w:rtl/>
        </w:rPr>
        <w:t>مواصلة</w:t>
      </w:r>
      <w:r w:rsidR="003907F4">
        <w:rPr>
          <w:rFonts w:hint="cs"/>
          <w:rtl/>
        </w:rPr>
        <w:t xml:space="preserve"> ربط بيانات </w:t>
      </w:r>
      <w:r w:rsidR="003907F4" w:rsidRPr="001F3E22">
        <w:rPr>
          <w:rtl/>
        </w:rPr>
        <w:t>قاعدة بيانات المركز الدولي لوثائق البراءات</w:t>
      </w:r>
      <w:r w:rsidR="003907F4">
        <w:rPr>
          <w:rFonts w:hint="cs"/>
          <w:rtl/>
        </w:rPr>
        <w:t xml:space="preserve"> الخاصة بمكاتب الملكية </w:t>
      </w:r>
      <w:r w:rsidR="0048193B">
        <w:rPr>
          <w:rFonts w:hint="cs"/>
          <w:rtl/>
        </w:rPr>
        <w:t>الصناعية الأ</w:t>
      </w:r>
      <w:r w:rsidR="003907F4">
        <w:rPr>
          <w:rFonts w:hint="cs"/>
          <w:rtl/>
        </w:rPr>
        <w:t xml:space="preserve">خرى </w:t>
      </w:r>
      <w:r w:rsidR="001A689F">
        <w:rPr>
          <w:rFonts w:hint="cs"/>
          <w:rtl/>
        </w:rPr>
        <w:t xml:space="preserve">بالمعيار </w:t>
      </w:r>
      <w:r w:rsidR="001A689F" w:rsidRPr="008A24E4">
        <w:t>ST.27</w:t>
      </w:r>
      <w:r w:rsidR="001A689F">
        <w:rPr>
          <w:rFonts w:hint="cs"/>
          <w:rtl/>
        </w:rPr>
        <w:t xml:space="preserve">، بتعاون مع مكاتب الملكية </w:t>
      </w:r>
      <w:r w:rsidR="0048193B">
        <w:rPr>
          <w:rFonts w:hint="cs"/>
          <w:rtl/>
        </w:rPr>
        <w:t xml:space="preserve">الصناعية التي تُعد مكاتب </w:t>
      </w:r>
      <w:r w:rsidR="001A689F">
        <w:rPr>
          <w:rFonts w:hint="cs"/>
          <w:rtl/>
        </w:rPr>
        <w:t xml:space="preserve">منشأ بيانات الوضع القانوني. ويعتبر المكتب الدولي أن هذا العمل التعاوني </w:t>
      </w:r>
      <w:r w:rsidR="009676E3">
        <w:rPr>
          <w:rFonts w:hint="cs"/>
          <w:rtl/>
        </w:rPr>
        <w:t xml:space="preserve">يكتسي </w:t>
      </w:r>
      <w:r w:rsidR="001A689F">
        <w:rPr>
          <w:rFonts w:hint="cs"/>
          <w:rtl/>
        </w:rPr>
        <w:t>أهمية</w:t>
      </w:r>
      <w:r w:rsidR="009676E3">
        <w:rPr>
          <w:rFonts w:hint="cs"/>
          <w:rtl/>
        </w:rPr>
        <w:t xml:space="preserve"> بالغة</w:t>
      </w:r>
      <w:r w:rsidR="001A689F">
        <w:rPr>
          <w:rFonts w:hint="cs"/>
          <w:rtl/>
        </w:rPr>
        <w:t xml:space="preserve"> </w:t>
      </w:r>
      <w:r w:rsidR="009676E3">
        <w:rPr>
          <w:rFonts w:hint="cs"/>
          <w:rtl/>
        </w:rPr>
        <w:t xml:space="preserve">من أجل </w:t>
      </w:r>
      <w:r w:rsidR="001A689F">
        <w:rPr>
          <w:rFonts w:hint="cs"/>
          <w:rtl/>
        </w:rPr>
        <w:t xml:space="preserve">تقديم معلومات </w:t>
      </w:r>
      <w:r w:rsidR="0048193B">
        <w:rPr>
          <w:rFonts w:hint="cs"/>
          <w:rtl/>
        </w:rPr>
        <w:t xml:space="preserve">أكثر اتساقاً ودقةً </w:t>
      </w:r>
      <w:r w:rsidR="00927816">
        <w:rPr>
          <w:rFonts w:hint="cs"/>
          <w:rtl/>
        </w:rPr>
        <w:t xml:space="preserve">عن </w:t>
      </w:r>
      <w:r w:rsidR="001A689F">
        <w:rPr>
          <w:rFonts w:hint="cs"/>
          <w:rtl/>
        </w:rPr>
        <w:t xml:space="preserve">الوضع القانوني وفقاً لمعيار الويبو </w:t>
      </w:r>
      <w:r w:rsidR="001A689F" w:rsidRPr="008A24E4">
        <w:t>ST.27</w:t>
      </w:r>
      <w:r w:rsidR="00927816">
        <w:rPr>
          <w:rFonts w:hint="cs"/>
          <w:rtl/>
        </w:rPr>
        <w:t xml:space="preserve">، </w:t>
      </w:r>
      <w:r w:rsidR="0048193B">
        <w:rPr>
          <w:rFonts w:hint="cs"/>
          <w:rtl/>
        </w:rPr>
        <w:t>مما</w:t>
      </w:r>
      <w:r w:rsidR="00927816">
        <w:rPr>
          <w:rFonts w:hint="cs"/>
          <w:rtl/>
        </w:rPr>
        <w:t xml:space="preserve"> سي</w:t>
      </w:r>
      <w:r w:rsidR="001A689F">
        <w:rPr>
          <w:rFonts w:hint="cs"/>
          <w:rtl/>
        </w:rPr>
        <w:t xml:space="preserve">فيد مجتمع الملكية الفكرية </w:t>
      </w:r>
      <w:r w:rsidR="0048193B">
        <w:rPr>
          <w:rFonts w:hint="cs"/>
          <w:rtl/>
        </w:rPr>
        <w:t>عموماً والمستخدمي</w:t>
      </w:r>
      <w:r w:rsidR="001A689F">
        <w:rPr>
          <w:rFonts w:hint="cs"/>
          <w:rtl/>
        </w:rPr>
        <w:t>ن</w:t>
      </w:r>
      <w:r w:rsidR="0048193B">
        <w:rPr>
          <w:rFonts w:hint="cs"/>
          <w:rtl/>
        </w:rPr>
        <w:t xml:space="preserve"> خصوصاً</w:t>
      </w:r>
      <w:r w:rsidR="001A689F">
        <w:rPr>
          <w:rFonts w:hint="cs"/>
          <w:rtl/>
        </w:rPr>
        <w:t>.</w:t>
      </w:r>
    </w:p>
    <w:p w:rsidR="001A689F" w:rsidRPr="00110213" w:rsidRDefault="001A689F" w:rsidP="0048193B">
      <w:pPr>
        <w:pStyle w:val="Heading3"/>
        <w:rPr>
          <w:sz w:val="36"/>
          <w:szCs w:val="36"/>
          <w:u w:val="single"/>
          <w:rtl/>
        </w:rPr>
      </w:pPr>
      <w:r w:rsidRPr="00110213">
        <w:rPr>
          <w:rFonts w:hint="cs"/>
          <w:sz w:val="36"/>
          <w:szCs w:val="36"/>
          <w:u w:val="single"/>
          <w:rtl/>
        </w:rPr>
        <w:t xml:space="preserve">اقتراح بشأن معيار الويبو </w:t>
      </w:r>
      <w:r w:rsidRPr="00110213">
        <w:rPr>
          <w:sz w:val="36"/>
          <w:szCs w:val="36"/>
          <w:u w:val="single"/>
        </w:rPr>
        <w:t>ST.27</w:t>
      </w:r>
      <w:r w:rsidRPr="00110213">
        <w:rPr>
          <w:rFonts w:hint="cs"/>
          <w:sz w:val="36"/>
          <w:szCs w:val="36"/>
          <w:u w:val="single"/>
          <w:rtl/>
        </w:rPr>
        <w:t xml:space="preserve"> </w:t>
      </w:r>
      <w:r w:rsidR="0048193B" w:rsidRPr="00110213">
        <w:rPr>
          <w:rFonts w:hint="cs"/>
          <w:sz w:val="36"/>
          <w:szCs w:val="36"/>
          <w:u w:val="single"/>
          <w:rtl/>
        </w:rPr>
        <w:t>المعدّل</w:t>
      </w:r>
    </w:p>
    <w:p w:rsidR="00597D4B" w:rsidRPr="005228DE" w:rsidRDefault="006210A0" w:rsidP="00110213">
      <w:pPr>
        <w:pStyle w:val="ONUMA"/>
      </w:pPr>
      <w:r>
        <w:rPr>
          <w:rFonts w:hint="cs"/>
          <w:rtl/>
        </w:rPr>
        <w:t xml:space="preserve">منذ الدورة الخامسة للجنة المعايير، واصلت فرقة </w:t>
      </w:r>
      <w:r w:rsidR="0048193B">
        <w:rPr>
          <w:rFonts w:hint="cs"/>
          <w:rtl/>
        </w:rPr>
        <w:t>ال</w:t>
      </w:r>
      <w:r>
        <w:rPr>
          <w:rFonts w:hint="cs"/>
          <w:rtl/>
        </w:rPr>
        <w:t xml:space="preserve">عمل </w:t>
      </w:r>
      <w:r w:rsidR="0048193B">
        <w:rPr>
          <w:rFonts w:hint="cs"/>
          <w:rtl/>
        </w:rPr>
        <w:t>المعنية ب</w:t>
      </w:r>
      <w:r>
        <w:rPr>
          <w:rFonts w:hint="cs"/>
          <w:rtl/>
        </w:rPr>
        <w:t>الوضع القانوني العمل على تنفيذ المهمة 47 ولاحظت الحاجة إلى مراجعة</w:t>
      </w:r>
      <w:r w:rsidR="002D5741">
        <w:rPr>
          <w:rFonts w:hint="cs"/>
          <w:rtl/>
        </w:rPr>
        <w:t xml:space="preserve"> أخرى ل</w:t>
      </w:r>
      <w:r>
        <w:rPr>
          <w:rFonts w:hint="cs"/>
          <w:rtl/>
        </w:rPr>
        <w:t xml:space="preserve">لمعيار </w:t>
      </w:r>
      <w:r w:rsidRPr="008A24E4">
        <w:t>ST.27</w:t>
      </w:r>
      <w:r>
        <w:rPr>
          <w:rFonts w:hint="cs"/>
          <w:rtl/>
        </w:rPr>
        <w:t xml:space="preserve"> </w:t>
      </w:r>
      <w:r w:rsidR="0048193B">
        <w:rPr>
          <w:rFonts w:hint="cs"/>
          <w:rtl/>
        </w:rPr>
        <w:t>ب</w:t>
      </w:r>
      <w:r>
        <w:rPr>
          <w:rFonts w:hint="cs"/>
          <w:rtl/>
        </w:rPr>
        <w:t>خلاف مجر</w:t>
      </w:r>
      <w:r w:rsidR="0048193B">
        <w:rPr>
          <w:rFonts w:hint="cs"/>
          <w:rtl/>
        </w:rPr>
        <w:t>ّ</w:t>
      </w:r>
      <w:r>
        <w:rPr>
          <w:rFonts w:hint="cs"/>
          <w:rtl/>
        </w:rPr>
        <w:t>د تحديث المرفق الأول وإضافة مرفق جديد للمعيار</w:t>
      </w:r>
      <w:r w:rsidR="0048193B">
        <w:rPr>
          <w:rFonts w:hint="eastAsia"/>
          <w:rtl/>
        </w:rPr>
        <w:t> </w:t>
      </w:r>
      <w:r w:rsidRPr="008A24E4">
        <w:t>ST.27</w:t>
      </w:r>
      <w:r>
        <w:rPr>
          <w:rFonts w:hint="cs"/>
          <w:rtl/>
        </w:rPr>
        <w:t xml:space="preserve">. وتقترح فرقة العمل تعديل متن نص المعيار </w:t>
      </w:r>
      <w:r w:rsidRPr="008A24E4">
        <w:t>ST.27</w:t>
      </w:r>
      <w:r>
        <w:rPr>
          <w:rFonts w:hint="cs"/>
          <w:rtl/>
        </w:rPr>
        <w:t xml:space="preserve">، بما في ذلك إدخال تعديل على </w:t>
      </w:r>
      <w:r w:rsidRPr="006210A0">
        <w:rPr>
          <w:rtl/>
        </w:rPr>
        <w:t>النموذج الشامل لمعالجة البراءات/شهادات الحماية التكميلية</w:t>
      </w:r>
      <w:r w:rsidR="00196013">
        <w:rPr>
          <w:rFonts w:hint="cs"/>
          <w:rtl/>
        </w:rPr>
        <w:t xml:space="preserve">، وتعديل المرفق الأول للمعيار </w:t>
      </w:r>
      <w:r w:rsidR="00196013" w:rsidRPr="008A24E4">
        <w:t>ST.27</w:t>
      </w:r>
      <w:r w:rsidR="00196013">
        <w:rPr>
          <w:rFonts w:hint="cs"/>
          <w:rtl/>
        </w:rPr>
        <w:t>، ولا</w:t>
      </w:r>
      <w:r w:rsidR="0048193B">
        <w:rPr>
          <w:rFonts w:hint="eastAsia"/>
          <w:rtl/>
        </w:rPr>
        <w:t> </w:t>
      </w:r>
      <w:r w:rsidR="00196013">
        <w:rPr>
          <w:rFonts w:hint="cs"/>
          <w:rtl/>
        </w:rPr>
        <w:t>سيما قائمة الأحداث المفص</w:t>
      </w:r>
      <w:r w:rsidR="00757D09">
        <w:rPr>
          <w:rFonts w:hint="cs"/>
          <w:rtl/>
        </w:rPr>
        <w:t>ّ</w:t>
      </w:r>
      <w:r w:rsidR="00196013">
        <w:rPr>
          <w:rFonts w:hint="cs"/>
          <w:rtl/>
        </w:rPr>
        <w:t xml:space="preserve">لة، وإضافة وثيقة إرشادية مؤقتة للمعيار. وترد المراجعة المقترحة لمعيار الويبو </w:t>
      </w:r>
      <w:r w:rsidR="00196013" w:rsidRPr="008A24E4">
        <w:t>ST.27</w:t>
      </w:r>
      <w:r w:rsidR="00196013">
        <w:rPr>
          <w:rFonts w:hint="cs"/>
          <w:rtl/>
        </w:rPr>
        <w:t xml:space="preserve"> في مرفق الوثيقة</w:t>
      </w:r>
      <w:r w:rsidR="0048193B">
        <w:rPr>
          <w:rFonts w:hint="eastAsia"/>
          <w:rtl/>
        </w:rPr>
        <w:t> </w:t>
      </w:r>
      <w:r w:rsidR="00196013" w:rsidRPr="00196013">
        <w:rPr>
          <w:rFonts w:eastAsia="Batang"/>
          <w:lang w:eastAsia="ko-KR"/>
        </w:rPr>
        <w:t>CWS/6/12</w:t>
      </w:r>
      <w:r w:rsidR="005228DE">
        <w:rPr>
          <w:rFonts w:eastAsia="Batang" w:hint="cs"/>
          <w:rtl/>
          <w:lang w:eastAsia="ko-KR"/>
        </w:rPr>
        <w:t>.</w:t>
      </w:r>
    </w:p>
    <w:p w:rsidR="005228DE" w:rsidRDefault="005228DE" w:rsidP="00110213">
      <w:pPr>
        <w:pStyle w:val="ONUMA"/>
      </w:pPr>
      <w:r>
        <w:rPr>
          <w:rFonts w:eastAsia="Batang" w:hint="cs"/>
          <w:rtl/>
          <w:lang w:eastAsia="ko-KR"/>
        </w:rPr>
        <w:t xml:space="preserve">وفيما يتعلق بالتعديل المقترح للمعيار </w:t>
      </w:r>
      <w:r w:rsidRPr="008A24E4">
        <w:t>ST.27</w:t>
      </w:r>
      <w:r>
        <w:rPr>
          <w:rFonts w:hint="cs"/>
          <w:rtl/>
        </w:rPr>
        <w:t>، ع</w:t>
      </w:r>
      <w:r w:rsidR="00110213">
        <w:rPr>
          <w:rFonts w:hint="cs"/>
          <w:rtl/>
        </w:rPr>
        <w:t>ُ</w:t>
      </w:r>
      <w:r>
        <w:rPr>
          <w:rFonts w:hint="cs"/>
          <w:rtl/>
        </w:rPr>
        <w:t>قدت جولتان من المناقشات. وبوجه خاص، أوصى أعضاء فر</w:t>
      </w:r>
      <w:r w:rsidR="00110213">
        <w:rPr>
          <w:rFonts w:hint="cs"/>
          <w:rtl/>
        </w:rPr>
        <w:t xml:space="preserve">قة العمل بإدخال تغييرات على (1) </w:t>
      </w:r>
      <w:r w:rsidR="009435DC">
        <w:rPr>
          <w:rFonts w:hint="cs"/>
          <w:rtl/>
        </w:rPr>
        <w:t>ال</w:t>
      </w:r>
      <w:r>
        <w:rPr>
          <w:rFonts w:hint="cs"/>
          <w:rtl/>
        </w:rPr>
        <w:t xml:space="preserve">أحداث </w:t>
      </w:r>
      <w:r w:rsidR="009435DC">
        <w:rPr>
          <w:rFonts w:hint="cs"/>
          <w:rtl/>
        </w:rPr>
        <w:t>ال</w:t>
      </w:r>
      <w:r>
        <w:rPr>
          <w:rFonts w:hint="cs"/>
          <w:rtl/>
        </w:rPr>
        <w:t>رئيسية و</w:t>
      </w:r>
      <w:r w:rsidR="009435DC">
        <w:rPr>
          <w:rFonts w:hint="cs"/>
          <w:rtl/>
        </w:rPr>
        <w:t>ال</w:t>
      </w:r>
      <w:r>
        <w:rPr>
          <w:rFonts w:hint="cs"/>
          <w:rtl/>
        </w:rPr>
        <w:t>مفص</w:t>
      </w:r>
      <w:r w:rsidR="00110213">
        <w:rPr>
          <w:rFonts w:hint="cs"/>
          <w:rtl/>
        </w:rPr>
        <w:t>ّ</w:t>
      </w:r>
      <w:r>
        <w:rPr>
          <w:rFonts w:hint="cs"/>
          <w:rtl/>
        </w:rPr>
        <w:t>لة، بما في ذلك قائمة ال</w:t>
      </w:r>
      <w:r w:rsidR="009435DC">
        <w:rPr>
          <w:rFonts w:hint="cs"/>
          <w:rtl/>
        </w:rPr>
        <w:t>أ</w:t>
      </w:r>
      <w:r>
        <w:rPr>
          <w:rFonts w:hint="cs"/>
          <w:rtl/>
        </w:rPr>
        <w:t>حداث وعن</w:t>
      </w:r>
      <w:r w:rsidR="009435DC">
        <w:rPr>
          <w:rFonts w:hint="cs"/>
          <w:rtl/>
        </w:rPr>
        <w:t>اوين</w:t>
      </w:r>
      <w:r w:rsidR="00110213">
        <w:rPr>
          <w:rFonts w:hint="cs"/>
          <w:rtl/>
        </w:rPr>
        <w:t>ها/وصفها؛ (2) و</w:t>
      </w:r>
      <w:r w:rsidRPr="006210A0">
        <w:rPr>
          <w:rtl/>
        </w:rPr>
        <w:t>النموذج الشامل لمعالجة البراءات/شهادات الحماية التكميلية</w:t>
      </w:r>
      <w:r w:rsidR="00110213">
        <w:rPr>
          <w:rFonts w:hint="cs"/>
          <w:rtl/>
        </w:rPr>
        <w:t>؛ (3) و</w:t>
      </w:r>
      <w:r w:rsidR="00D95447">
        <w:rPr>
          <w:rFonts w:hint="cs"/>
          <w:rtl/>
        </w:rPr>
        <w:t xml:space="preserve">بيانات </w:t>
      </w:r>
      <w:r w:rsidR="00110213">
        <w:rPr>
          <w:rFonts w:hint="cs"/>
          <w:rtl/>
        </w:rPr>
        <w:t>الأحداث</w:t>
      </w:r>
      <w:r w:rsidR="00D95447">
        <w:rPr>
          <w:rFonts w:hint="cs"/>
          <w:rtl/>
        </w:rPr>
        <w:t xml:space="preserve"> التكميلية المدرجة في المرفق الثاني للمعيار</w:t>
      </w:r>
      <w:r w:rsidR="00110213">
        <w:rPr>
          <w:rFonts w:hint="eastAsia"/>
          <w:rtl/>
        </w:rPr>
        <w:t> </w:t>
      </w:r>
      <w:r w:rsidR="00D95447" w:rsidRPr="008A24E4">
        <w:t>ST.27</w:t>
      </w:r>
      <w:r w:rsidR="00D95447">
        <w:rPr>
          <w:rFonts w:hint="cs"/>
          <w:rtl/>
        </w:rPr>
        <w:t>.</w:t>
      </w:r>
    </w:p>
    <w:p w:rsidR="00D95447" w:rsidRDefault="00D95447" w:rsidP="00110213">
      <w:pPr>
        <w:pStyle w:val="ONUMA"/>
      </w:pPr>
      <w:r>
        <w:rPr>
          <w:rFonts w:hint="cs"/>
          <w:rtl/>
        </w:rPr>
        <w:t xml:space="preserve">وفيما يخص إعداد الوثيقة الإرشادية المقترحة، عقدت فرقة </w:t>
      </w:r>
      <w:r w:rsidR="00110213">
        <w:rPr>
          <w:rFonts w:hint="cs"/>
          <w:rtl/>
        </w:rPr>
        <w:t>ال</w:t>
      </w:r>
      <w:r>
        <w:rPr>
          <w:rFonts w:hint="cs"/>
          <w:rtl/>
        </w:rPr>
        <w:t xml:space="preserve">عمل </w:t>
      </w:r>
      <w:r w:rsidR="00110213">
        <w:rPr>
          <w:rFonts w:hint="cs"/>
          <w:rtl/>
        </w:rPr>
        <w:t>المعنية ب</w:t>
      </w:r>
      <w:r>
        <w:rPr>
          <w:rFonts w:hint="cs"/>
          <w:rtl/>
        </w:rPr>
        <w:t>الوضع الق</w:t>
      </w:r>
      <w:r w:rsidR="00110213">
        <w:rPr>
          <w:rFonts w:hint="cs"/>
          <w:rtl/>
        </w:rPr>
        <w:t>انوني جولتان من المناقشات. ويرد</w:t>
      </w:r>
      <w:r>
        <w:rPr>
          <w:rFonts w:hint="cs"/>
          <w:rtl/>
        </w:rPr>
        <w:t xml:space="preserve"> المزيد من المعلومات بشأنها في الوثيقة</w:t>
      </w:r>
      <w:r w:rsidR="00110213">
        <w:rPr>
          <w:rFonts w:hint="eastAsia"/>
          <w:rtl/>
        </w:rPr>
        <w:t> </w:t>
      </w:r>
      <w:r w:rsidRPr="003B6F34">
        <w:t>CWS/6/12</w:t>
      </w:r>
      <w:r>
        <w:rPr>
          <w:rFonts w:hint="cs"/>
          <w:rtl/>
        </w:rPr>
        <w:t>، القسم "المرفق الخامس الجديد: وثيقة إرشادية".</w:t>
      </w:r>
    </w:p>
    <w:p w:rsidR="00D95447" w:rsidRPr="00110213" w:rsidRDefault="00D95447" w:rsidP="00AB45EA">
      <w:pPr>
        <w:pStyle w:val="Heading3"/>
        <w:rPr>
          <w:sz w:val="36"/>
          <w:szCs w:val="36"/>
          <w:u w:val="single"/>
          <w:rtl/>
        </w:rPr>
      </w:pPr>
      <w:r w:rsidRPr="00110213">
        <w:rPr>
          <w:rFonts w:hint="cs"/>
          <w:sz w:val="36"/>
          <w:szCs w:val="36"/>
          <w:u w:val="single"/>
          <w:rtl/>
        </w:rPr>
        <w:t xml:space="preserve">إعداد معيار جديد بشأن تبادل </w:t>
      </w:r>
      <w:r w:rsidR="0017795B" w:rsidRPr="00110213">
        <w:rPr>
          <w:rFonts w:hint="cs"/>
          <w:sz w:val="36"/>
          <w:szCs w:val="36"/>
          <w:u w:val="single"/>
          <w:rtl/>
        </w:rPr>
        <w:t>بيانات الوضع القانوني للتصاميم الصناعية</w:t>
      </w:r>
    </w:p>
    <w:p w:rsidR="004868D5" w:rsidRDefault="00110213" w:rsidP="000E085C">
      <w:pPr>
        <w:pStyle w:val="ONUMA"/>
      </w:pPr>
      <w:r>
        <w:rPr>
          <w:rFonts w:hint="cs"/>
          <w:rtl/>
        </w:rPr>
        <w:t>عملت فرقة العمل المعنية بال</w:t>
      </w:r>
      <w:r w:rsidR="004868D5">
        <w:rPr>
          <w:rFonts w:hint="cs"/>
          <w:rtl/>
        </w:rPr>
        <w:t>وضع ا</w:t>
      </w:r>
      <w:r w:rsidR="00F27025">
        <w:rPr>
          <w:rFonts w:hint="cs"/>
          <w:rtl/>
        </w:rPr>
        <w:t xml:space="preserve">لقانوني أيضاً على إعداد </w:t>
      </w:r>
      <w:r w:rsidR="000E085C">
        <w:rPr>
          <w:rFonts w:hint="cs"/>
          <w:rtl/>
        </w:rPr>
        <w:t>اقتراح</w:t>
      </w:r>
      <w:r w:rsidR="00F27025">
        <w:rPr>
          <w:rFonts w:hint="cs"/>
          <w:rtl/>
        </w:rPr>
        <w:t xml:space="preserve"> لمعيار </w:t>
      </w:r>
      <w:r w:rsidR="004868D5">
        <w:rPr>
          <w:rFonts w:hint="cs"/>
          <w:rtl/>
        </w:rPr>
        <w:t>جديد بشأن تبادل بيانات الوضع القانوني للتصاميم الصناعية، على النحو الوارد في المهمة رقم 47. وشارك أعضاء فرقة العمل في أربع جولات من المناقشات تتعلق بإعداد المعيار الجديد.</w:t>
      </w:r>
    </w:p>
    <w:p w:rsidR="004868D5" w:rsidRDefault="00110213" w:rsidP="00110213">
      <w:pPr>
        <w:pStyle w:val="ONUMA"/>
      </w:pPr>
      <w:r>
        <w:rPr>
          <w:rFonts w:hint="cs"/>
          <w:rtl/>
        </w:rPr>
        <w:t xml:space="preserve">والغرض من المعيار المقترح، الذي يشبه </w:t>
      </w:r>
      <w:r w:rsidR="004868D5">
        <w:rPr>
          <w:rFonts w:hint="cs"/>
          <w:rtl/>
        </w:rPr>
        <w:t xml:space="preserve">معيار الويبو </w:t>
      </w:r>
      <w:r w:rsidR="004868D5" w:rsidRPr="008A24E4">
        <w:t>ST.27</w:t>
      </w:r>
      <w:r>
        <w:rPr>
          <w:rFonts w:hint="cs"/>
          <w:rtl/>
        </w:rPr>
        <w:t xml:space="preserve"> ولكن يخص ال</w:t>
      </w:r>
      <w:r w:rsidR="004868D5">
        <w:rPr>
          <w:rFonts w:hint="cs"/>
          <w:rtl/>
        </w:rPr>
        <w:t xml:space="preserve">تصاميم الصناعية في أنظمة </w:t>
      </w:r>
      <w:r w:rsidR="00757D09">
        <w:rPr>
          <w:rFonts w:hint="cs"/>
          <w:rtl/>
        </w:rPr>
        <w:t xml:space="preserve">التسجيل، </w:t>
      </w:r>
      <w:r>
        <w:rPr>
          <w:rFonts w:hint="cs"/>
          <w:rtl/>
        </w:rPr>
        <w:t>هو</w:t>
      </w:r>
      <w:r w:rsidR="004868D5">
        <w:rPr>
          <w:rFonts w:hint="cs"/>
          <w:rtl/>
        </w:rPr>
        <w:t xml:space="preserve"> تعزيز التبادل الفعال</w:t>
      </w:r>
      <w:r w:rsidR="004868D5" w:rsidRPr="004868D5">
        <w:rPr>
          <w:rtl/>
        </w:rPr>
        <w:t xml:space="preserve"> والمتناسق</w:t>
      </w:r>
      <w:r w:rsidR="004868D5">
        <w:rPr>
          <w:rFonts w:hint="cs"/>
          <w:rtl/>
        </w:rPr>
        <w:t xml:space="preserve"> لبيانات الوضع القانوني</w:t>
      </w:r>
      <w:r w:rsidR="004868D5" w:rsidRPr="004868D5">
        <w:rPr>
          <w:rtl/>
        </w:rPr>
        <w:t xml:space="preserve"> بين مكاتب الملكية الصناعية بغية تيسير وصول مستخدمي معلومات الملكية </w:t>
      </w:r>
      <w:r>
        <w:rPr>
          <w:rFonts w:hint="cs"/>
          <w:rtl/>
        </w:rPr>
        <w:t>الصناعية</w:t>
      </w:r>
      <w:r w:rsidR="00757D09">
        <w:rPr>
          <w:rFonts w:hint="cs"/>
          <w:rtl/>
        </w:rPr>
        <w:t xml:space="preserve"> ومكاتب الملكية </w:t>
      </w:r>
      <w:r>
        <w:rPr>
          <w:rFonts w:hint="cs"/>
          <w:rtl/>
        </w:rPr>
        <w:t>الصناعية</w:t>
      </w:r>
      <w:r w:rsidR="004868D5" w:rsidRPr="004868D5">
        <w:rPr>
          <w:rtl/>
        </w:rPr>
        <w:t xml:space="preserve"> </w:t>
      </w:r>
      <w:r>
        <w:rPr>
          <w:rFonts w:hint="cs"/>
          <w:rtl/>
        </w:rPr>
        <w:t>ومورّدي</w:t>
      </w:r>
      <w:r w:rsidR="004868D5" w:rsidRPr="004868D5">
        <w:rPr>
          <w:rtl/>
        </w:rPr>
        <w:t xml:space="preserve"> بيانات الملكية </w:t>
      </w:r>
      <w:r>
        <w:rPr>
          <w:rFonts w:hint="cs"/>
          <w:rtl/>
        </w:rPr>
        <w:t>الصناعية</w:t>
      </w:r>
      <w:r w:rsidR="004868D5" w:rsidRPr="004868D5">
        <w:rPr>
          <w:rtl/>
        </w:rPr>
        <w:t xml:space="preserve"> والجمهور والجهات </w:t>
      </w:r>
      <w:r w:rsidRPr="004868D5">
        <w:rPr>
          <w:rtl/>
        </w:rPr>
        <w:t xml:space="preserve">المعنية </w:t>
      </w:r>
      <w:r w:rsidR="004868D5" w:rsidRPr="004868D5">
        <w:rPr>
          <w:rtl/>
        </w:rPr>
        <w:t xml:space="preserve">الأخرى إلى </w:t>
      </w:r>
      <w:r>
        <w:rPr>
          <w:rFonts w:hint="cs"/>
          <w:rtl/>
        </w:rPr>
        <w:t>تلك</w:t>
      </w:r>
      <w:r w:rsidR="004868D5" w:rsidRPr="004868D5">
        <w:rPr>
          <w:rtl/>
        </w:rPr>
        <w:t xml:space="preserve"> البيانات</w:t>
      </w:r>
      <w:r>
        <w:rPr>
          <w:rFonts w:hint="cs"/>
          <w:rtl/>
        </w:rPr>
        <w:t>. ويرد</w:t>
      </w:r>
      <w:r w:rsidR="004868D5">
        <w:rPr>
          <w:rFonts w:hint="cs"/>
          <w:rtl/>
        </w:rPr>
        <w:t xml:space="preserve"> المزيد من المعلومات </w:t>
      </w:r>
      <w:r w:rsidR="00C51EAC">
        <w:rPr>
          <w:rFonts w:hint="cs"/>
          <w:rtl/>
        </w:rPr>
        <w:t xml:space="preserve">بشأن المعيار </w:t>
      </w:r>
      <w:r>
        <w:rPr>
          <w:rFonts w:hint="cs"/>
          <w:rtl/>
        </w:rPr>
        <w:t xml:space="preserve">المقترح </w:t>
      </w:r>
      <w:r w:rsidR="00C51EAC">
        <w:rPr>
          <w:rFonts w:hint="cs"/>
          <w:rtl/>
        </w:rPr>
        <w:t>الجديد في الوثيقة</w:t>
      </w:r>
      <w:r>
        <w:rPr>
          <w:rFonts w:hint="eastAsia"/>
          <w:rtl/>
        </w:rPr>
        <w:t> </w:t>
      </w:r>
      <w:r w:rsidR="00C51EAC" w:rsidRPr="003B6F34">
        <w:t>CWS/6/14</w:t>
      </w:r>
      <w:r w:rsidR="00C51EAC">
        <w:rPr>
          <w:rFonts w:hint="cs"/>
          <w:rtl/>
        </w:rPr>
        <w:t>.</w:t>
      </w:r>
    </w:p>
    <w:p w:rsidR="001318C6" w:rsidRPr="000E085C" w:rsidRDefault="001318C6" w:rsidP="00AB45EA">
      <w:pPr>
        <w:pStyle w:val="Heading3"/>
        <w:rPr>
          <w:rtl/>
        </w:rPr>
      </w:pPr>
      <w:r w:rsidRPr="000E085C">
        <w:rPr>
          <w:rFonts w:hint="cs"/>
          <w:rtl/>
        </w:rPr>
        <w:t>خطة العمل</w:t>
      </w:r>
    </w:p>
    <w:p w:rsidR="001318C6" w:rsidRDefault="001318C6" w:rsidP="00AB45EA">
      <w:pPr>
        <w:pStyle w:val="Heading4"/>
        <w:rPr>
          <w:rtl/>
        </w:rPr>
      </w:pPr>
      <w:r>
        <w:rPr>
          <w:rFonts w:hint="cs"/>
          <w:rtl/>
        </w:rPr>
        <w:t>بيانات الوضع القانوني للبراءات</w:t>
      </w:r>
    </w:p>
    <w:p w:rsidR="001318C6" w:rsidRDefault="00110213" w:rsidP="00F27025">
      <w:pPr>
        <w:pStyle w:val="ONUMA"/>
      </w:pPr>
      <w:r>
        <w:rPr>
          <w:rFonts w:hint="cs"/>
          <w:rtl/>
        </w:rPr>
        <w:t>تعتزم فرقة العمل المعنية بال</w:t>
      </w:r>
      <w:r w:rsidR="001318C6">
        <w:rPr>
          <w:rFonts w:hint="cs"/>
          <w:rtl/>
        </w:rPr>
        <w:t xml:space="preserve">وضع القانوني </w:t>
      </w:r>
      <w:r w:rsidR="00F27025">
        <w:rPr>
          <w:rFonts w:hint="cs"/>
          <w:rtl/>
        </w:rPr>
        <w:t>استكمال ا</w:t>
      </w:r>
      <w:r w:rsidR="001318C6">
        <w:rPr>
          <w:rFonts w:hint="cs"/>
          <w:rtl/>
        </w:rPr>
        <w:t>لأحداث المفص</w:t>
      </w:r>
      <w:r w:rsidR="00F27025">
        <w:rPr>
          <w:rFonts w:hint="cs"/>
          <w:rtl/>
        </w:rPr>
        <w:t>ّ</w:t>
      </w:r>
      <w:r w:rsidR="001318C6">
        <w:rPr>
          <w:rFonts w:hint="cs"/>
          <w:rtl/>
        </w:rPr>
        <w:t>لة المؤقتة والوثيقة الإرشادية المؤقتة لمعيار الويبو</w:t>
      </w:r>
      <w:r w:rsidR="00F27025">
        <w:rPr>
          <w:rFonts w:hint="eastAsia"/>
          <w:rtl/>
        </w:rPr>
        <w:t> </w:t>
      </w:r>
      <w:r w:rsidR="001318C6" w:rsidRPr="008A24E4">
        <w:t>ST.27</w:t>
      </w:r>
      <w:r w:rsidR="001318C6">
        <w:rPr>
          <w:rFonts w:hint="cs"/>
          <w:rtl/>
        </w:rPr>
        <w:t xml:space="preserve">. وفيما يخص </w:t>
      </w:r>
      <w:r w:rsidR="00072D7C">
        <w:rPr>
          <w:rFonts w:hint="cs"/>
          <w:rtl/>
        </w:rPr>
        <w:t>هذه الأخيرة</w:t>
      </w:r>
      <w:r w:rsidR="001318C6">
        <w:rPr>
          <w:rFonts w:hint="cs"/>
          <w:rtl/>
        </w:rPr>
        <w:t xml:space="preserve">، ترى فرقة العمل أنه ينبغي أن تشارك خمسة </w:t>
      </w:r>
      <w:r w:rsidR="00F27025">
        <w:rPr>
          <w:rFonts w:hint="cs"/>
          <w:rtl/>
        </w:rPr>
        <w:t xml:space="preserve">من </w:t>
      </w:r>
      <w:r w:rsidR="001318C6">
        <w:rPr>
          <w:rFonts w:hint="cs"/>
          <w:rtl/>
        </w:rPr>
        <w:t xml:space="preserve">مكاتب </w:t>
      </w:r>
      <w:r w:rsidR="00F27025">
        <w:rPr>
          <w:rFonts w:hint="cs"/>
          <w:rtl/>
        </w:rPr>
        <w:t>ال</w:t>
      </w:r>
      <w:r w:rsidR="001318C6">
        <w:rPr>
          <w:rFonts w:hint="cs"/>
          <w:rtl/>
        </w:rPr>
        <w:t xml:space="preserve">ملكية </w:t>
      </w:r>
      <w:r w:rsidR="00F27025">
        <w:rPr>
          <w:rFonts w:hint="cs"/>
          <w:rtl/>
        </w:rPr>
        <w:t>الصناعية</w:t>
      </w:r>
      <w:r w:rsidR="001318C6">
        <w:rPr>
          <w:rFonts w:hint="cs"/>
          <w:rtl/>
        </w:rPr>
        <w:t xml:space="preserve"> على الأقل في المناقشة لتحديد سيناريوهات دورة حياة مشتركة وإعداد وثيقة إرشادية نهائية</w:t>
      </w:r>
      <w:r w:rsidR="00F27025">
        <w:rPr>
          <w:rFonts w:hint="cs"/>
          <w:rtl/>
        </w:rPr>
        <w:t xml:space="preserve"> من شأنها توجيه </w:t>
      </w:r>
      <w:r w:rsidR="001318C6">
        <w:rPr>
          <w:rFonts w:hint="cs"/>
          <w:rtl/>
        </w:rPr>
        <w:t xml:space="preserve">مكاتب الملكية </w:t>
      </w:r>
      <w:r w:rsidR="00F27025">
        <w:rPr>
          <w:rFonts w:hint="cs"/>
          <w:rtl/>
        </w:rPr>
        <w:t>الصناعية</w:t>
      </w:r>
      <w:r w:rsidR="001318C6">
        <w:rPr>
          <w:rFonts w:hint="cs"/>
          <w:rtl/>
        </w:rPr>
        <w:t xml:space="preserve"> في ربط أحداثها الوطنية أو الإقليمية للوضع القانوني بمعيار الويبو </w:t>
      </w:r>
      <w:r w:rsidR="001318C6" w:rsidRPr="008A24E4">
        <w:t>ST.27</w:t>
      </w:r>
      <w:r w:rsidR="008D00D4">
        <w:rPr>
          <w:rFonts w:hint="cs"/>
          <w:rtl/>
        </w:rPr>
        <w:t xml:space="preserve"> بطريقة مت</w:t>
      </w:r>
      <w:r w:rsidR="001318C6">
        <w:rPr>
          <w:rFonts w:hint="cs"/>
          <w:rtl/>
        </w:rPr>
        <w:t>سقة.</w:t>
      </w:r>
    </w:p>
    <w:p w:rsidR="001318C6" w:rsidRDefault="001318C6" w:rsidP="00F27025">
      <w:pPr>
        <w:pStyle w:val="ONUMA"/>
      </w:pPr>
      <w:r>
        <w:rPr>
          <w:rFonts w:hint="cs"/>
          <w:rtl/>
        </w:rPr>
        <w:t xml:space="preserve">والتمست فرقة العمل بأن تدعو لجنة المعايير مكاتب الملكية </w:t>
      </w:r>
      <w:r w:rsidR="00F27025">
        <w:rPr>
          <w:rFonts w:hint="cs"/>
          <w:rtl/>
        </w:rPr>
        <w:t>الصناعية</w:t>
      </w:r>
      <w:r>
        <w:rPr>
          <w:rFonts w:hint="cs"/>
          <w:rtl/>
        </w:rPr>
        <w:t xml:space="preserve"> إلى تزويد المكتب الدولي </w:t>
      </w:r>
      <w:r w:rsidR="00047C90">
        <w:rPr>
          <w:rFonts w:hint="cs"/>
          <w:rtl/>
        </w:rPr>
        <w:t>بجداول ا</w:t>
      </w:r>
      <w:r w:rsidR="009604C2">
        <w:rPr>
          <w:rFonts w:hint="cs"/>
          <w:rtl/>
        </w:rPr>
        <w:t xml:space="preserve">لربط </w:t>
      </w:r>
      <w:r w:rsidR="00F27025">
        <w:rPr>
          <w:rFonts w:hint="cs"/>
          <w:rtl/>
        </w:rPr>
        <w:t>الخاصة بها و</w:t>
      </w:r>
      <w:r w:rsidR="009604C2">
        <w:rPr>
          <w:rFonts w:hint="cs"/>
          <w:rtl/>
        </w:rPr>
        <w:t xml:space="preserve">المتعلقة بالمعيار </w:t>
      </w:r>
      <w:r w:rsidR="009604C2" w:rsidRPr="008A24E4">
        <w:t>ST.27</w:t>
      </w:r>
      <w:r w:rsidR="009604C2">
        <w:rPr>
          <w:rFonts w:hint="cs"/>
          <w:rtl/>
        </w:rPr>
        <w:t xml:space="preserve">. وما إن يتم إرسال المزيد من جداول الربط، </w:t>
      </w:r>
      <w:r w:rsidR="00F27025">
        <w:rPr>
          <w:rFonts w:hint="cs"/>
          <w:rtl/>
        </w:rPr>
        <w:t>سينبغي</w:t>
      </w:r>
      <w:r w:rsidR="009604C2">
        <w:rPr>
          <w:rFonts w:hint="cs"/>
          <w:rtl/>
        </w:rPr>
        <w:t xml:space="preserve"> تحديث جداول الربط الموحدة ومراجعة الوثيقة الإرشادية المؤقتة حسب </w:t>
      </w:r>
      <w:r w:rsidR="00F27025">
        <w:rPr>
          <w:rFonts w:hint="cs"/>
          <w:rtl/>
        </w:rPr>
        <w:t>الاقتضاء</w:t>
      </w:r>
      <w:r w:rsidR="009604C2">
        <w:rPr>
          <w:rFonts w:hint="cs"/>
          <w:rtl/>
        </w:rPr>
        <w:t>.</w:t>
      </w:r>
    </w:p>
    <w:p w:rsidR="009604C2" w:rsidRDefault="00F27025" w:rsidP="00F27025">
      <w:pPr>
        <w:pStyle w:val="ONUMA"/>
      </w:pPr>
      <w:r>
        <w:rPr>
          <w:rFonts w:hint="cs"/>
          <w:rtl/>
        </w:rPr>
        <w:t>ويعتزم</w:t>
      </w:r>
      <w:r w:rsidR="009604C2">
        <w:rPr>
          <w:rFonts w:hint="cs"/>
          <w:rtl/>
        </w:rPr>
        <w:t xml:space="preserve"> </w:t>
      </w:r>
      <w:r>
        <w:rPr>
          <w:rFonts w:hint="cs"/>
          <w:rtl/>
        </w:rPr>
        <w:t xml:space="preserve">كل من </w:t>
      </w:r>
      <w:r w:rsidR="009604C2">
        <w:rPr>
          <w:rFonts w:hint="cs"/>
          <w:rtl/>
        </w:rPr>
        <w:t>المكتب ال</w:t>
      </w:r>
      <w:r>
        <w:rPr>
          <w:rFonts w:hint="cs"/>
          <w:rtl/>
        </w:rPr>
        <w:t xml:space="preserve">دولي والمكتب الأوروبي للبراءات </w:t>
      </w:r>
      <w:r w:rsidR="009604C2">
        <w:rPr>
          <w:rFonts w:hint="cs"/>
          <w:rtl/>
        </w:rPr>
        <w:t xml:space="preserve">مواصلة ربط بيانات قاعدة بيانات </w:t>
      </w:r>
      <w:r w:rsidR="00C06EFF" w:rsidRPr="001F3E22">
        <w:rPr>
          <w:rtl/>
        </w:rPr>
        <w:t>المركز الدولي لوثائق البراءات</w:t>
      </w:r>
      <w:r w:rsidR="00C06EFF">
        <w:rPr>
          <w:rFonts w:hint="cs"/>
          <w:rtl/>
        </w:rPr>
        <w:t xml:space="preserve"> بمعيار الويبو </w:t>
      </w:r>
      <w:r w:rsidR="00C06EFF" w:rsidRPr="008A24E4">
        <w:t>ST.27</w:t>
      </w:r>
      <w:r w:rsidR="00C06EFF">
        <w:rPr>
          <w:rFonts w:hint="cs"/>
          <w:rtl/>
        </w:rPr>
        <w:t xml:space="preserve"> بتعاون مع مكاتب الملكية </w:t>
      </w:r>
      <w:r>
        <w:rPr>
          <w:rFonts w:hint="cs"/>
          <w:rtl/>
        </w:rPr>
        <w:t xml:space="preserve">الصناعية التي تُعد مكاتب منشأ </w:t>
      </w:r>
      <w:r w:rsidR="00C06EFF">
        <w:rPr>
          <w:rFonts w:hint="cs"/>
          <w:rtl/>
        </w:rPr>
        <w:t xml:space="preserve">بيانات الوضع القانوني للبراءات في قاعدة </w:t>
      </w:r>
      <w:r>
        <w:rPr>
          <w:rFonts w:hint="cs"/>
          <w:rtl/>
        </w:rPr>
        <w:t>ال</w:t>
      </w:r>
      <w:r w:rsidR="00C06EFF">
        <w:rPr>
          <w:rFonts w:hint="cs"/>
          <w:rtl/>
        </w:rPr>
        <w:t xml:space="preserve">بيانات </w:t>
      </w:r>
      <w:r>
        <w:rPr>
          <w:rFonts w:hint="cs"/>
          <w:rtl/>
        </w:rPr>
        <w:t>المذكورة، وذلك</w:t>
      </w:r>
      <w:r w:rsidR="00C06EFF">
        <w:rPr>
          <w:rFonts w:hint="cs"/>
          <w:rtl/>
        </w:rPr>
        <w:t xml:space="preserve"> طالما </w:t>
      </w:r>
      <w:r>
        <w:rPr>
          <w:rFonts w:hint="cs"/>
          <w:rtl/>
        </w:rPr>
        <w:t>توافرت الموارد</w:t>
      </w:r>
      <w:r w:rsidR="00C06EFF">
        <w:rPr>
          <w:rFonts w:hint="cs"/>
          <w:rtl/>
        </w:rPr>
        <w:t>.</w:t>
      </w:r>
    </w:p>
    <w:p w:rsidR="00C06EFF" w:rsidRDefault="00C06EFF" w:rsidP="00AB45EA">
      <w:pPr>
        <w:pStyle w:val="Heading4"/>
        <w:rPr>
          <w:rtl/>
        </w:rPr>
      </w:pPr>
      <w:r w:rsidRPr="00C06EFF">
        <w:rPr>
          <w:rFonts w:hint="cs"/>
          <w:rtl/>
        </w:rPr>
        <w:t>بيانات الوضع القانوني للتصاميم الصناعية</w:t>
      </w:r>
    </w:p>
    <w:p w:rsidR="00CB1B86" w:rsidRDefault="00F27025" w:rsidP="00F27025">
      <w:pPr>
        <w:pStyle w:val="ONUMA"/>
      </w:pPr>
      <w:r>
        <w:rPr>
          <w:rFonts w:hint="cs"/>
          <w:rtl/>
        </w:rPr>
        <w:t>تعتزم فرقة العمل استكمال</w:t>
      </w:r>
      <w:r w:rsidR="002D6D25">
        <w:rPr>
          <w:rFonts w:hint="cs"/>
          <w:rtl/>
        </w:rPr>
        <w:t xml:space="preserve"> ال</w:t>
      </w:r>
      <w:r w:rsidR="00F8770F">
        <w:rPr>
          <w:rFonts w:hint="cs"/>
          <w:rtl/>
        </w:rPr>
        <w:t>أ</w:t>
      </w:r>
      <w:r w:rsidR="002D6D25">
        <w:rPr>
          <w:rFonts w:hint="cs"/>
          <w:rtl/>
        </w:rPr>
        <w:t>حداث ال</w:t>
      </w:r>
      <w:r w:rsidR="00F8770F">
        <w:rPr>
          <w:rFonts w:hint="cs"/>
          <w:rtl/>
        </w:rPr>
        <w:t>مفص</w:t>
      </w:r>
      <w:r>
        <w:rPr>
          <w:rFonts w:hint="cs"/>
          <w:rtl/>
        </w:rPr>
        <w:t>ّ</w:t>
      </w:r>
      <w:r w:rsidR="00F8770F">
        <w:rPr>
          <w:rFonts w:hint="cs"/>
          <w:rtl/>
        </w:rPr>
        <w:t>لة المؤقتة للمعيار الجديد بشأ</w:t>
      </w:r>
      <w:r w:rsidR="002D6D25">
        <w:rPr>
          <w:rFonts w:hint="cs"/>
          <w:rtl/>
        </w:rPr>
        <w:t>ن بيانات الوضع القانوني للتصاميم الصناعية وإعداد وثيقة إرشادية في الوقت المناسب.</w:t>
      </w:r>
    </w:p>
    <w:p w:rsidR="00A73F5F" w:rsidRDefault="00A73F5F" w:rsidP="00AB45EA">
      <w:pPr>
        <w:pStyle w:val="Heading4"/>
        <w:rPr>
          <w:rtl/>
        </w:rPr>
      </w:pPr>
      <w:r w:rsidRPr="00A73F5F">
        <w:rPr>
          <w:rFonts w:hint="cs"/>
          <w:rtl/>
        </w:rPr>
        <w:t>بيانات الوضع القانوني للعلامات التجارية</w:t>
      </w:r>
    </w:p>
    <w:p w:rsidR="000E085C" w:rsidRDefault="00F27025" w:rsidP="000E085C">
      <w:pPr>
        <w:pStyle w:val="ONUMA"/>
        <w:rPr>
          <w:rtl/>
        </w:rPr>
      </w:pPr>
      <w:r>
        <w:rPr>
          <w:rFonts w:hint="cs"/>
          <w:rtl/>
        </w:rPr>
        <w:t xml:space="preserve">تعتزم فرقة العمل مباشرة عملها لإعداد </w:t>
      </w:r>
      <w:r w:rsidR="000E085C">
        <w:rPr>
          <w:rFonts w:hint="cs"/>
          <w:rtl/>
        </w:rPr>
        <w:t>اقتراح</w:t>
      </w:r>
      <w:r>
        <w:rPr>
          <w:rFonts w:hint="cs"/>
          <w:rtl/>
        </w:rPr>
        <w:t xml:space="preserve"> لمعيار </w:t>
      </w:r>
      <w:r w:rsidR="00A73F5F">
        <w:rPr>
          <w:rFonts w:hint="cs"/>
          <w:rtl/>
        </w:rPr>
        <w:t xml:space="preserve">جديد بشأن بيانات الوضع القانوني للعلامات التجارية </w:t>
      </w:r>
      <w:r>
        <w:rPr>
          <w:rFonts w:hint="cs"/>
          <w:rtl/>
        </w:rPr>
        <w:t>بعد</w:t>
      </w:r>
      <w:r w:rsidR="00A73F5F">
        <w:rPr>
          <w:rFonts w:hint="cs"/>
          <w:rtl/>
        </w:rPr>
        <w:t xml:space="preserve"> إتمام الأعمال العالقة بشأن معيار الويبو </w:t>
      </w:r>
      <w:r w:rsidR="00A73F5F" w:rsidRPr="008A24E4">
        <w:t>ST.27</w:t>
      </w:r>
      <w:r w:rsidR="00A73F5F">
        <w:rPr>
          <w:rFonts w:hint="cs"/>
          <w:rtl/>
        </w:rPr>
        <w:t xml:space="preserve"> والمعيار الجديد بشأن بيانات الوضع القانوني للتصاميم الصناعية.</w:t>
      </w:r>
    </w:p>
    <w:p w:rsidR="000E085C" w:rsidRDefault="000E085C">
      <w:pPr>
        <w:bidi w:val="0"/>
        <w:rPr>
          <w:rFonts w:eastAsia="SimSun"/>
          <w:rtl/>
          <w:lang w:eastAsia="zh-CN"/>
        </w:rPr>
      </w:pPr>
      <w:r>
        <w:rPr>
          <w:rtl/>
        </w:rPr>
        <w:br w:type="page"/>
      </w:r>
    </w:p>
    <w:p w:rsidR="002D6D25" w:rsidRPr="000E085C" w:rsidRDefault="002D6D25" w:rsidP="000E085C">
      <w:pPr>
        <w:pStyle w:val="Heading3"/>
        <w:rPr>
          <w:rtl/>
        </w:rPr>
      </w:pPr>
      <w:r w:rsidRPr="000E085C">
        <w:rPr>
          <w:rFonts w:hint="cs"/>
          <w:rtl/>
        </w:rPr>
        <w:t>اقتراح لمراجعة وصف المهمة رقم 47</w:t>
      </w:r>
    </w:p>
    <w:p w:rsidR="00A73F5F" w:rsidRDefault="00A73F5F" w:rsidP="00853D3A">
      <w:pPr>
        <w:pStyle w:val="ONUMA"/>
      </w:pPr>
      <w:r>
        <w:rPr>
          <w:rFonts w:hint="cs"/>
          <w:rtl/>
        </w:rPr>
        <w:t>مع أخذ الأعمال المنجزة والعالقة بشأن معايير الويبو المتعلقة بالبراءات والتصاميم الصناعية</w:t>
      </w:r>
      <w:r w:rsidR="00853D3A">
        <w:rPr>
          <w:rFonts w:hint="cs"/>
          <w:rtl/>
        </w:rPr>
        <w:t xml:space="preserve"> في الحسبان</w:t>
      </w:r>
      <w:r>
        <w:rPr>
          <w:rFonts w:hint="cs"/>
          <w:rtl/>
        </w:rPr>
        <w:t>، ي</w:t>
      </w:r>
      <w:r w:rsidR="00853D3A">
        <w:rPr>
          <w:rFonts w:hint="cs"/>
          <w:rtl/>
        </w:rPr>
        <w:t>ُ</w:t>
      </w:r>
      <w:r>
        <w:rPr>
          <w:rFonts w:hint="cs"/>
          <w:rtl/>
        </w:rPr>
        <w:t xml:space="preserve">قترح مراجعة وصف </w:t>
      </w:r>
      <w:r w:rsidR="00B966DB">
        <w:rPr>
          <w:rFonts w:hint="cs"/>
          <w:rtl/>
        </w:rPr>
        <w:t>المهمة رقم 47 على النحو التالي</w:t>
      </w:r>
      <w:r w:rsidR="000E085C">
        <w:rPr>
          <w:rFonts w:hint="cs"/>
          <w:rtl/>
        </w:rPr>
        <w:t xml:space="preserve"> لتصبح كما يلي</w:t>
      </w:r>
      <w:r w:rsidR="00B966DB">
        <w:rPr>
          <w:rFonts w:hint="cs"/>
          <w:rtl/>
        </w:rPr>
        <w:t>: "إعداد اقتراح نهائي للأحداث المفص</w:t>
      </w:r>
      <w:r w:rsidR="000E085C">
        <w:rPr>
          <w:rFonts w:hint="cs"/>
          <w:rtl/>
        </w:rPr>
        <w:t>ّ</w:t>
      </w:r>
      <w:r w:rsidR="00B966DB">
        <w:rPr>
          <w:rFonts w:hint="cs"/>
          <w:rtl/>
        </w:rPr>
        <w:t xml:space="preserve">لة واقتراح نهائي للوثيقة الإرشادية فيما يتعلق ببيانات الوضع القانوني للبراءات، وإعداد اقتراح نهائي للوثيقة الإرشادية فيما يتعلق ببيانات الوضع القانوني للتصاميم الصناعية؛ وإعداد توصية بشأن تبادل </w:t>
      </w:r>
      <w:r w:rsidR="00853D3A">
        <w:rPr>
          <w:rFonts w:hint="cs"/>
          <w:rtl/>
        </w:rPr>
        <w:t>مكاتب الملكية الصناعية ل</w:t>
      </w:r>
      <w:r w:rsidR="00B966DB">
        <w:rPr>
          <w:rFonts w:hint="cs"/>
          <w:rtl/>
        </w:rPr>
        <w:t>بيانات الوضع الق</w:t>
      </w:r>
      <w:r w:rsidR="00853D3A">
        <w:rPr>
          <w:rFonts w:hint="cs"/>
          <w:rtl/>
        </w:rPr>
        <w:t>انوني للعلامات التجارية</w:t>
      </w:r>
      <w:r w:rsidR="00B966DB">
        <w:rPr>
          <w:rFonts w:hint="cs"/>
          <w:rtl/>
        </w:rPr>
        <w:t>."</w:t>
      </w:r>
    </w:p>
    <w:p w:rsidR="00B966DB" w:rsidRDefault="00B966DB" w:rsidP="00202007">
      <w:pPr>
        <w:pStyle w:val="Decision"/>
        <w:ind w:left="5527"/>
      </w:pPr>
      <w:r>
        <w:rPr>
          <w:rFonts w:hint="cs"/>
          <w:rtl/>
        </w:rPr>
        <w:t>إن لجنة المعايير مدعوة للقيام بما يلي:</w:t>
      </w:r>
    </w:p>
    <w:p w:rsidR="00B966DB" w:rsidRDefault="00681D3B" w:rsidP="00202007">
      <w:pPr>
        <w:pStyle w:val="Decision"/>
        <w:numPr>
          <w:ilvl w:val="0"/>
          <w:numId w:val="14"/>
        </w:numPr>
        <w:ind w:left="6094" w:firstLine="0"/>
      </w:pPr>
      <w:r>
        <w:rPr>
          <w:rFonts w:hint="cs"/>
          <w:rtl/>
        </w:rPr>
        <w:t>ا</w:t>
      </w:r>
      <w:r w:rsidR="00B966DB" w:rsidRPr="00B966DB">
        <w:rPr>
          <w:rtl/>
        </w:rPr>
        <w:t>لإحاطة علما بنتائج عمل فرقة العمل المعنية بالوضع القانوني وتقرير المشرف على فرقة العمل، على النحو الوارد في هذه</w:t>
      </w:r>
      <w:r w:rsidR="000E085C">
        <w:rPr>
          <w:rFonts w:hint="cs"/>
          <w:rtl/>
        </w:rPr>
        <w:t> </w:t>
      </w:r>
      <w:r w:rsidR="00B966DB" w:rsidRPr="00B966DB">
        <w:rPr>
          <w:rtl/>
        </w:rPr>
        <w:t>الوثيقة؛</w:t>
      </w:r>
    </w:p>
    <w:p w:rsidR="00B966DB" w:rsidRDefault="00B966DB" w:rsidP="00202007">
      <w:pPr>
        <w:pStyle w:val="Decision"/>
        <w:numPr>
          <w:ilvl w:val="0"/>
          <w:numId w:val="14"/>
        </w:numPr>
        <w:ind w:left="6094" w:firstLine="0"/>
      </w:pPr>
      <w:r w:rsidRPr="00B966DB">
        <w:rPr>
          <w:rtl/>
        </w:rPr>
        <w:t xml:space="preserve">والإحاطة علما بخطة عمل فرقة </w:t>
      </w:r>
      <w:r w:rsidR="000E085C">
        <w:rPr>
          <w:rFonts w:hint="cs"/>
          <w:rtl/>
        </w:rPr>
        <w:t>ال</w:t>
      </w:r>
      <w:r w:rsidRPr="00B966DB">
        <w:rPr>
          <w:rtl/>
        </w:rPr>
        <w:t>عمل</w:t>
      </w:r>
      <w:r w:rsidR="000E085C">
        <w:rPr>
          <w:rFonts w:hint="cs"/>
          <w:rtl/>
        </w:rPr>
        <w:t xml:space="preserve"> المعنية ب</w:t>
      </w:r>
      <w:r>
        <w:rPr>
          <w:rFonts w:hint="cs"/>
          <w:rtl/>
        </w:rPr>
        <w:t xml:space="preserve">الوضع القانوني وتشجيع </w:t>
      </w:r>
      <w:r w:rsidRPr="00B966DB">
        <w:rPr>
          <w:rtl/>
        </w:rPr>
        <w:t>مكاتب الملكية الصناعية على المشاركة في</w:t>
      </w:r>
      <w:r>
        <w:rPr>
          <w:rFonts w:hint="cs"/>
          <w:rtl/>
        </w:rPr>
        <w:t xml:space="preserve"> </w:t>
      </w:r>
      <w:r w:rsidRPr="00B966DB">
        <w:rPr>
          <w:rtl/>
        </w:rPr>
        <w:t xml:space="preserve">مناقشات فرقة العمل </w:t>
      </w:r>
      <w:r>
        <w:rPr>
          <w:rFonts w:hint="cs"/>
          <w:rtl/>
        </w:rPr>
        <w:t>ع</w:t>
      </w:r>
      <w:r w:rsidRPr="00B966DB">
        <w:rPr>
          <w:rtl/>
        </w:rPr>
        <w:t>لى النحو المشار إليه في</w:t>
      </w:r>
      <w:r>
        <w:rPr>
          <w:rFonts w:hint="cs"/>
          <w:rtl/>
        </w:rPr>
        <w:t xml:space="preserve"> </w:t>
      </w:r>
      <w:r w:rsidR="000E085C">
        <w:rPr>
          <w:rFonts w:hint="cs"/>
          <w:rtl/>
        </w:rPr>
        <w:t xml:space="preserve">الفقرات من 15 إلى </w:t>
      </w:r>
      <w:r>
        <w:rPr>
          <w:rFonts w:hint="cs"/>
          <w:rtl/>
        </w:rPr>
        <w:t xml:space="preserve">19 </w:t>
      </w:r>
      <w:r w:rsidR="00AE43A2">
        <w:rPr>
          <w:rFonts w:hint="cs"/>
          <w:rtl/>
        </w:rPr>
        <w:t>أعلاه؛</w:t>
      </w:r>
    </w:p>
    <w:p w:rsidR="00AE43A2" w:rsidRDefault="000E085C" w:rsidP="00202007">
      <w:pPr>
        <w:pStyle w:val="Decision"/>
        <w:numPr>
          <w:ilvl w:val="0"/>
          <w:numId w:val="14"/>
        </w:numPr>
        <w:ind w:left="6094" w:firstLine="0"/>
      </w:pPr>
      <w:r>
        <w:rPr>
          <w:rFonts w:hint="cs"/>
          <w:rtl/>
        </w:rPr>
        <w:t>و</w:t>
      </w:r>
      <w:r w:rsidR="00AE43A2">
        <w:rPr>
          <w:rFonts w:hint="cs"/>
          <w:rtl/>
        </w:rPr>
        <w:t xml:space="preserve">تشجيع مكاتب </w:t>
      </w:r>
      <w:r w:rsidR="00F530F3">
        <w:rPr>
          <w:rFonts w:hint="cs"/>
          <w:rtl/>
        </w:rPr>
        <w:t xml:space="preserve">الملكية </w:t>
      </w:r>
      <w:r>
        <w:rPr>
          <w:rFonts w:hint="cs"/>
          <w:rtl/>
        </w:rPr>
        <w:t>الصناعية</w:t>
      </w:r>
      <w:r w:rsidR="00F530F3">
        <w:rPr>
          <w:rFonts w:hint="cs"/>
          <w:rtl/>
        </w:rPr>
        <w:t xml:space="preserve"> على تقديم </w:t>
      </w:r>
      <w:r w:rsidR="00302BF2">
        <w:rPr>
          <w:rFonts w:hint="cs"/>
          <w:rtl/>
        </w:rPr>
        <w:t>جدول الربط الخاص</w:t>
      </w:r>
      <w:r>
        <w:rPr>
          <w:rFonts w:hint="cs"/>
          <w:rtl/>
        </w:rPr>
        <w:t xml:space="preserve"> بها</w:t>
      </w:r>
      <w:r w:rsidR="00AE43A2">
        <w:rPr>
          <w:rFonts w:hint="cs"/>
          <w:rtl/>
        </w:rPr>
        <w:t xml:space="preserve"> والمشاركة في مناقشات فرقة العمل، على النحو المشار إليه في الفقرات 9 و16 و17</w:t>
      </w:r>
      <w:r>
        <w:rPr>
          <w:rFonts w:hint="eastAsia"/>
          <w:rtl/>
        </w:rPr>
        <w:t> </w:t>
      </w:r>
      <w:r w:rsidR="00AE43A2">
        <w:rPr>
          <w:rFonts w:hint="cs"/>
          <w:rtl/>
        </w:rPr>
        <w:t>أعلاه؛</w:t>
      </w:r>
    </w:p>
    <w:p w:rsidR="00AE43A2" w:rsidRDefault="00302BF2" w:rsidP="00202007">
      <w:pPr>
        <w:pStyle w:val="Decision"/>
        <w:numPr>
          <w:ilvl w:val="0"/>
          <w:numId w:val="14"/>
        </w:numPr>
        <w:ind w:left="6094" w:firstLine="0"/>
      </w:pPr>
      <w:r>
        <w:rPr>
          <w:rFonts w:hint="cs"/>
          <w:rtl/>
        </w:rPr>
        <w:t>و</w:t>
      </w:r>
      <w:r w:rsidR="00AE43A2" w:rsidRPr="00AE43A2">
        <w:rPr>
          <w:rtl/>
        </w:rPr>
        <w:t xml:space="preserve">النظر </w:t>
      </w:r>
      <w:r>
        <w:rPr>
          <w:rFonts w:hint="cs"/>
          <w:rtl/>
        </w:rPr>
        <w:t>في التعديل المقترح للمهمة رقم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47 </w:t>
      </w:r>
      <w:r w:rsidR="00AE43A2">
        <w:rPr>
          <w:rtl/>
        </w:rPr>
        <w:t>والموافقة عل</w:t>
      </w:r>
      <w:r>
        <w:rPr>
          <w:rFonts w:hint="cs"/>
          <w:rtl/>
        </w:rPr>
        <w:t>يه</w:t>
      </w:r>
      <w:r w:rsidR="00AE43A2">
        <w:rPr>
          <w:rFonts w:hint="cs"/>
          <w:rtl/>
        </w:rPr>
        <w:t xml:space="preserve"> </w:t>
      </w:r>
      <w:r w:rsidR="00AE43A2" w:rsidRPr="00AE43A2">
        <w:rPr>
          <w:rtl/>
        </w:rPr>
        <w:t xml:space="preserve">وإسناد المهمة </w:t>
      </w:r>
      <w:r w:rsidRPr="00AE43A2">
        <w:rPr>
          <w:rtl/>
        </w:rPr>
        <w:t xml:space="preserve">المعدَّلة </w:t>
      </w:r>
      <w:r w:rsidR="00AE43A2" w:rsidRPr="00AE43A2">
        <w:rPr>
          <w:rtl/>
        </w:rPr>
        <w:t xml:space="preserve">رقم 47 إلى فرقة العمل المعنية بالوضع القانوني، </w:t>
      </w:r>
      <w:r>
        <w:rPr>
          <w:rFonts w:hint="cs"/>
          <w:rtl/>
        </w:rPr>
        <w:t>كما هو</w:t>
      </w:r>
      <w:r w:rsidR="00AE43A2" w:rsidRPr="00AE43A2">
        <w:rPr>
          <w:rtl/>
        </w:rPr>
        <w:t xml:space="preserve"> </w:t>
      </w:r>
      <w:r>
        <w:rPr>
          <w:rFonts w:hint="cs"/>
          <w:rtl/>
        </w:rPr>
        <w:t>مبيّن</w:t>
      </w:r>
      <w:r w:rsidR="00AE43A2" w:rsidRPr="00AE43A2">
        <w:rPr>
          <w:rtl/>
        </w:rPr>
        <w:t xml:space="preserve"> في الفقرة 2</w:t>
      </w:r>
      <w:r w:rsidR="00AE43A2">
        <w:rPr>
          <w:rFonts w:hint="cs"/>
          <w:rtl/>
        </w:rPr>
        <w:t>0</w:t>
      </w:r>
      <w:r w:rsidR="00AE43A2" w:rsidRPr="00AE43A2">
        <w:rPr>
          <w:rtl/>
        </w:rPr>
        <w:t xml:space="preserve"> أعلاه</w:t>
      </w:r>
      <w:r w:rsidR="00681D3B">
        <w:rPr>
          <w:rFonts w:hint="cs"/>
          <w:rtl/>
        </w:rPr>
        <w:t>.</w:t>
      </w:r>
    </w:p>
    <w:p w:rsidR="0041440F" w:rsidRDefault="0041440F" w:rsidP="00852493">
      <w:pPr>
        <w:pStyle w:val="Endofdocument-Annex"/>
        <w:spacing w:before="480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نهاية الوثيقة</w:t>
      </w:r>
      <w:r>
        <w:rPr>
          <w:rtl/>
        </w:rPr>
        <w:t>]</w:t>
      </w:r>
    </w:p>
    <w:sectPr w:rsidR="0041440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838" w:rsidRDefault="00362838">
      <w:r>
        <w:separator/>
      </w:r>
    </w:p>
  </w:endnote>
  <w:endnote w:type="continuationSeparator" w:id="0">
    <w:p w:rsidR="00362838" w:rsidRDefault="0036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838" w:rsidRDefault="0036283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62838" w:rsidRDefault="00362838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1E" w:rsidRDefault="00A43F1E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CWS/6/11</w:t>
    </w:r>
  </w:p>
  <w:p w:rsidR="0041440F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50B5D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9" w15:restartNumberingAfterBreak="0">
    <w:nsid w:val="444E2B99"/>
    <w:multiLevelType w:val="hybridMultilevel"/>
    <w:tmpl w:val="7130CD80"/>
    <w:lvl w:ilvl="0" w:tplc="A6FC8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6E365868"/>
    <w:multiLevelType w:val="hybridMultilevel"/>
    <w:tmpl w:val="B61A8D24"/>
    <w:lvl w:ilvl="0" w:tplc="A6FC8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23D3B"/>
    <w:multiLevelType w:val="hybridMultilevel"/>
    <w:tmpl w:val="B90A300E"/>
    <w:lvl w:ilvl="0" w:tplc="ACEC70CA">
      <w:start w:val="1"/>
      <w:numFmt w:val="arabicAbjad"/>
      <w:lvlText w:val="(%1)"/>
      <w:lvlJc w:val="left"/>
      <w:pPr>
        <w:ind w:left="55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19" w:hanging="360"/>
      </w:pPr>
    </w:lvl>
    <w:lvl w:ilvl="2" w:tplc="0409001B">
      <w:start w:val="1"/>
      <w:numFmt w:val="lowerRoman"/>
      <w:lvlText w:val="%3."/>
      <w:lvlJc w:val="right"/>
      <w:pPr>
        <w:ind w:left="7039" w:hanging="180"/>
      </w:pPr>
    </w:lvl>
    <w:lvl w:ilvl="3" w:tplc="0409000F">
      <w:start w:val="1"/>
      <w:numFmt w:val="decimal"/>
      <w:lvlText w:val="%4."/>
      <w:lvlJc w:val="left"/>
      <w:pPr>
        <w:ind w:left="7759" w:hanging="360"/>
      </w:pPr>
    </w:lvl>
    <w:lvl w:ilvl="4" w:tplc="04090019">
      <w:start w:val="1"/>
      <w:numFmt w:val="lowerLetter"/>
      <w:lvlText w:val="%5."/>
      <w:lvlJc w:val="left"/>
      <w:pPr>
        <w:ind w:left="8479" w:hanging="360"/>
      </w:pPr>
    </w:lvl>
    <w:lvl w:ilvl="5" w:tplc="0409001B" w:tentative="1">
      <w:start w:val="1"/>
      <w:numFmt w:val="lowerRoman"/>
      <w:lvlText w:val="%6."/>
      <w:lvlJc w:val="right"/>
      <w:pPr>
        <w:ind w:left="9199" w:hanging="180"/>
      </w:pPr>
    </w:lvl>
    <w:lvl w:ilvl="6" w:tplc="0409000F" w:tentative="1">
      <w:start w:val="1"/>
      <w:numFmt w:val="decimal"/>
      <w:lvlText w:val="%7."/>
      <w:lvlJc w:val="left"/>
      <w:pPr>
        <w:ind w:left="9919" w:hanging="360"/>
      </w:pPr>
    </w:lvl>
    <w:lvl w:ilvl="7" w:tplc="04090019" w:tentative="1">
      <w:start w:val="1"/>
      <w:numFmt w:val="lowerLetter"/>
      <w:lvlText w:val="%8."/>
      <w:lvlJc w:val="left"/>
      <w:pPr>
        <w:ind w:left="10639" w:hanging="360"/>
      </w:pPr>
    </w:lvl>
    <w:lvl w:ilvl="8" w:tplc="0409001B" w:tentative="1">
      <w:start w:val="1"/>
      <w:numFmt w:val="lowerRoman"/>
      <w:lvlText w:val="%9."/>
      <w:lvlJc w:val="right"/>
      <w:pPr>
        <w:ind w:left="11359" w:hanging="180"/>
      </w:pPr>
    </w:lvl>
  </w:abstractNum>
  <w:abstractNum w:abstractNumId="13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  <w:num w:numId="15">
    <w:abstractNumId w:val="8"/>
  </w:num>
  <w:num w:numId="16">
    <w:abstractNumId w:val="8"/>
  </w:num>
  <w:num w:numId="1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1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C90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2D7C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085C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213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8C6"/>
    <w:rsid w:val="0013191A"/>
    <w:rsid w:val="00131E8F"/>
    <w:rsid w:val="00134BF4"/>
    <w:rsid w:val="001352CC"/>
    <w:rsid w:val="00135C24"/>
    <w:rsid w:val="00136389"/>
    <w:rsid w:val="00136A1A"/>
    <w:rsid w:val="00136A96"/>
    <w:rsid w:val="001376B6"/>
    <w:rsid w:val="00140420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59E"/>
    <w:rsid w:val="0017385A"/>
    <w:rsid w:val="00175448"/>
    <w:rsid w:val="001757AF"/>
    <w:rsid w:val="00175825"/>
    <w:rsid w:val="0017666F"/>
    <w:rsid w:val="00176D38"/>
    <w:rsid w:val="00176D64"/>
    <w:rsid w:val="00176E2C"/>
    <w:rsid w:val="0017795B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96013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89F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240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1C04"/>
    <w:rsid w:val="001F3A75"/>
    <w:rsid w:val="001F3A9D"/>
    <w:rsid w:val="001F3E22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17B4"/>
    <w:rsid w:val="0020200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2D08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4BAE"/>
    <w:rsid w:val="00286744"/>
    <w:rsid w:val="002909B9"/>
    <w:rsid w:val="00291C75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59B"/>
    <w:rsid w:val="002D1662"/>
    <w:rsid w:val="002D1DE5"/>
    <w:rsid w:val="002D3506"/>
    <w:rsid w:val="002D3670"/>
    <w:rsid w:val="002D4807"/>
    <w:rsid w:val="002D5741"/>
    <w:rsid w:val="002D5DDC"/>
    <w:rsid w:val="002D5F16"/>
    <w:rsid w:val="002D62F1"/>
    <w:rsid w:val="002D6D25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BF2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283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7F4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40F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93B"/>
    <w:rsid w:val="00481F5F"/>
    <w:rsid w:val="004821D0"/>
    <w:rsid w:val="00482CB2"/>
    <w:rsid w:val="00483D06"/>
    <w:rsid w:val="00485A4A"/>
    <w:rsid w:val="00485CF7"/>
    <w:rsid w:val="004862C2"/>
    <w:rsid w:val="004863F7"/>
    <w:rsid w:val="004868D5"/>
    <w:rsid w:val="00486BC6"/>
    <w:rsid w:val="00486E2A"/>
    <w:rsid w:val="00486FFC"/>
    <w:rsid w:val="004906BB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3B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39A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8D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3FC3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97D4B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04BC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3BC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10A0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475A1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D3B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077C7"/>
    <w:rsid w:val="00710494"/>
    <w:rsid w:val="007111D0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0B5D"/>
    <w:rsid w:val="00752AEC"/>
    <w:rsid w:val="00752FBA"/>
    <w:rsid w:val="00753324"/>
    <w:rsid w:val="00753EC4"/>
    <w:rsid w:val="0075458D"/>
    <w:rsid w:val="007554A9"/>
    <w:rsid w:val="007556F5"/>
    <w:rsid w:val="00755B9D"/>
    <w:rsid w:val="00757105"/>
    <w:rsid w:val="00757B82"/>
    <w:rsid w:val="00757D09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2493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2493"/>
    <w:rsid w:val="00853D3A"/>
    <w:rsid w:val="008548DB"/>
    <w:rsid w:val="00855CA6"/>
    <w:rsid w:val="00860323"/>
    <w:rsid w:val="00860AAA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3B24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24E4"/>
    <w:rsid w:val="008A47FB"/>
    <w:rsid w:val="008A5234"/>
    <w:rsid w:val="008A5397"/>
    <w:rsid w:val="008A6861"/>
    <w:rsid w:val="008A7522"/>
    <w:rsid w:val="008A7B55"/>
    <w:rsid w:val="008B051B"/>
    <w:rsid w:val="008B0578"/>
    <w:rsid w:val="008B170D"/>
    <w:rsid w:val="008B48CC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12C"/>
    <w:rsid w:val="008C7736"/>
    <w:rsid w:val="008D00D4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1026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105"/>
    <w:rsid w:val="0092266C"/>
    <w:rsid w:val="009241E8"/>
    <w:rsid w:val="00925956"/>
    <w:rsid w:val="00925DD2"/>
    <w:rsid w:val="00926344"/>
    <w:rsid w:val="00926929"/>
    <w:rsid w:val="00927301"/>
    <w:rsid w:val="00927816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5DC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4C2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676E3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3F1E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3F5F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45EA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3A2"/>
    <w:rsid w:val="00AE473C"/>
    <w:rsid w:val="00AE55E7"/>
    <w:rsid w:val="00AE61A3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6DB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6EFF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580"/>
    <w:rsid w:val="00C44DDC"/>
    <w:rsid w:val="00C469F4"/>
    <w:rsid w:val="00C50A61"/>
    <w:rsid w:val="00C5128B"/>
    <w:rsid w:val="00C51423"/>
    <w:rsid w:val="00C51EAC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1B86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5447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51C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47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47253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0C2C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DB8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765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025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0F3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70F"/>
    <w:rsid w:val="00F87778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576DA0B-6B98-4DE2-B19A-6F7A31A1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0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ONUMA"/>
    <w:rsid w:val="00EB5DB8"/>
    <w:pPr>
      <w:numPr>
        <w:numId w:val="0"/>
      </w:numPr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2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3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4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5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9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6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7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8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CF1F-B3AB-4850-804B-F3AB0D53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CWS/6/11 (in Arabic)</vt:lpstr>
    </vt:vector>
  </TitlesOfParts>
  <Company>WIPO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CWS/6/11 (in Arabic)</dc:title>
  <dc:subject>تقرير فرقة العمل المعنية بالوضع القانوني عن المهمة رقم 47</dc:subject>
  <dc:creator>WIPO</dc:creator>
  <cp:keywords>CWS</cp:keywords>
  <cp:lastModifiedBy>DRAKE Sophie</cp:lastModifiedBy>
  <cp:revision>12</cp:revision>
  <cp:lastPrinted>2018-06-12T09:05:00Z</cp:lastPrinted>
  <dcterms:created xsi:type="dcterms:W3CDTF">2018-09-19T13:28:00Z</dcterms:created>
  <dcterms:modified xsi:type="dcterms:W3CDTF">2018-09-21T09:43:00Z</dcterms:modified>
  <cp:category>CWS (in Arabic)</cp:category>
</cp:coreProperties>
</file>