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tc>
          <w:tcPr>
            <w:tcW w:w="4513" w:type="dxa"/>
            <w:tcMar>
              <w:left w:w="0" w:type="dxa"/>
              <w:right w:w="0" w:type="dxa"/>
            </w:tcMar>
          </w:tcPr>
          <w:p w:rsidR="00A953E1" w:rsidRPr="007161E8" w:rsidRDefault="00A953E1"/>
        </w:tc>
        <w:tc>
          <w:tcPr>
            <w:tcW w:w="0" w:type="auto"/>
            <w:tcMar>
              <w:left w:w="0" w:type="dxa"/>
              <w:bottom w:w="142" w:type="dxa"/>
              <w:right w:w="0" w:type="dxa"/>
            </w:tcMar>
          </w:tcPr>
          <w:p w:rsidR="00A953E1" w:rsidRPr="007161E8" w:rsidRDefault="008B2DFC">
            <w:r w:rsidRPr="007161E8">
              <w:rPr>
                <w:noProof/>
                <w:lang w:eastAsia="en-US"/>
              </w:rPr>
              <w:drawing>
                <wp:inline distT="0" distB="0" distL="0" distR="0">
                  <wp:extent cx="1860550" cy="1327785"/>
                  <wp:effectExtent l="0" t="0" r="0" b="0"/>
                  <wp:docPr id="5"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r>
    </w:tbl>
    <w:p w:rsidR="00E25414" w:rsidRPr="007161E8" w:rsidRDefault="005E284E" w:rsidP="00096EA4">
      <w:pPr>
        <w:spacing w:before="240" w:after="160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Pr="007161E8">
        <w:rPr>
          <w:rFonts w:ascii="Arial Black" w:hAnsi="Arial Black"/>
          <w:sz w:val="15"/>
          <w:szCs w:val="15"/>
          <w:lang w:val="pt-BR"/>
        </w:rPr>
        <w:t>° </w:t>
      </w:r>
      <w:r w:rsidR="00C218F9">
        <w:rPr>
          <w:rFonts w:ascii="Arial Black" w:hAnsi="Arial Black"/>
          <w:sz w:val="15"/>
          <w:szCs w:val="15"/>
          <w:lang w:val="pt-BR"/>
        </w:rPr>
        <w:t>18</w:t>
      </w:r>
      <w:r w:rsidR="00715D12" w:rsidRPr="007161E8">
        <w:rPr>
          <w:rFonts w:ascii="Arial Black" w:hAnsi="Arial Black"/>
          <w:sz w:val="15"/>
          <w:szCs w:val="15"/>
          <w:lang w:val="pt-BR"/>
        </w:rPr>
        <w:t>/20</w:t>
      </w:r>
      <w:r w:rsidR="008B2DFC">
        <w:rPr>
          <w:rFonts w:ascii="Arial Black" w:hAnsi="Arial Black"/>
          <w:sz w:val="15"/>
          <w:szCs w:val="15"/>
          <w:lang w:val="pt-BR"/>
        </w:rPr>
        <w:t>22</w:t>
      </w:r>
    </w:p>
    <w:p w:rsidR="00E25414" w:rsidRPr="007161E8" w:rsidRDefault="008B2DFC" w:rsidP="00096EA4">
      <w:pPr>
        <w:spacing w:after="720"/>
        <w:rPr>
          <w:b/>
          <w:sz w:val="28"/>
          <w:szCs w:val="28"/>
          <w:lang w:val="fr-CH"/>
        </w:rPr>
      </w:pPr>
      <w:r w:rsidRPr="00346EB1">
        <w:rPr>
          <w:b/>
          <w:bCs/>
          <w:sz w:val="28"/>
          <w:szCs w:val="28"/>
          <w:lang w:val="fr-FR"/>
        </w:rPr>
        <w:t>Protocole de Madrid concernant l</w:t>
      </w:r>
      <w:r>
        <w:rPr>
          <w:b/>
          <w:bCs/>
          <w:sz w:val="28"/>
          <w:szCs w:val="28"/>
          <w:lang w:val="fr-FR"/>
        </w:rPr>
        <w:t>’</w:t>
      </w:r>
      <w:r w:rsidRPr="00346EB1">
        <w:rPr>
          <w:b/>
          <w:bCs/>
          <w:sz w:val="28"/>
          <w:szCs w:val="28"/>
          <w:lang w:val="fr-FR"/>
        </w:rPr>
        <w:t>enregistrement international des marques</w:t>
      </w:r>
    </w:p>
    <w:p w:rsidR="00C2151D" w:rsidRPr="009319A3" w:rsidRDefault="008B2DFC" w:rsidP="00096EA4">
      <w:pPr>
        <w:spacing w:after="480"/>
        <w:rPr>
          <w:b/>
          <w:sz w:val="24"/>
          <w:szCs w:val="24"/>
          <w:lang w:val="fr-CH"/>
        </w:rPr>
      </w:pPr>
      <w:r>
        <w:rPr>
          <w:b/>
          <w:bCs/>
          <w:sz w:val="24"/>
          <w:szCs w:val="24"/>
          <w:lang w:val="fr-FR"/>
        </w:rPr>
        <w:t>Attestations, copies de mentions figurant au registre international et extraits du registre international sous forme numérique</w:t>
      </w:r>
    </w:p>
    <w:p w:rsidR="008B2DFC" w:rsidRPr="008B2DFC" w:rsidRDefault="008B2DFC" w:rsidP="008B2DFC">
      <w:pPr>
        <w:pStyle w:val="ONUMFS"/>
        <w:rPr>
          <w:lang w:val="fr-FR"/>
        </w:rPr>
      </w:pPr>
      <w:r w:rsidRPr="008B2DFC">
        <w:rPr>
          <w:lang w:val="fr-FR"/>
        </w:rPr>
        <w:t>Conformément à l’article 5</w:t>
      </w:r>
      <w:r w:rsidRPr="00BA7EC3">
        <w:rPr>
          <w:i/>
          <w:lang w:val="fr-FR"/>
        </w:rPr>
        <w:t>ter</w:t>
      </w:r>
      <w:r w:rsidRPr="008B2DFC">
        <w:rPr>
          <w:lang w:val="fr-FR"/>
        </w:rPr>
        <w:t xml:space="preserve"> du Protocole relatif à l’Arrangement de Madrid concernant l’enregistrement international des marques et moyennant paiement des montants indiqués au point 8 du barème des émoluments et taxes, le Bureau international de l’Organisation Mondiale de la Propriété Intellectuelle (OMPI) délivre des attestations, des copies de mentions figurant au registre international et des extraits de celui</w:t>
      </w:r>
      <w:r w:rsidR="00E63F88">
        <w:rPr>
          <w:lang w:val="fr-FR"/>
        </w:rPr>
        <w:noBreakHyphen/>
      </w:r>
      <w:r w:rsidRPr="008B2DFC">
        <w:rPr>
          <w:lang w:val="fr-FR"/>
        </w:rPr>
        <w:t>ci.</w:t>
      </w:r>
    </w:p>
    <w:p w:rsidR="008B2DFC" w:rsidRPr="008B2DFC" w:rsidRDefault="008B2DFC" w:rsidP="008B2DFC">
      <w:pPr>
        <w:pStyle w:val="ONUMFS"/>
        <w:rPr>
          <w:lang w:val="fr-FR"/>
        </w:rPr>
      </w:pPr>
      <w:r w:rsidRPr="008B2DFC">
        <w:rPr>
          <w:lang w:val="fr-FR"/>
        </w:rPr>
        <w:t>Le Bureau international de l’OMPI est heureux d’annoncer que, dès à présent, il délivre des versions numériques des documents susmentionnés en format PDF (Portable Document Format) assortis d’une signature électronique.  En outre, ces documents bénéficient d’une nouvelle présentation (voir l’annexe).  Le Bureau international de l’OMPI transmet ces documents numériques par courrier électronique.</w:t>
      </w:r>
    </w:p>
    <w:p w:rsidR="008B2DFC" w:rsidRPr="008B2DFC" w:rsidRDefault="008B2DFC" w:rsidP="008B2DFC">
      <w:pPr>
        <w:pStyle w:val="ONUMFS"/>
        <w:rPr>
          <w:lang w:val="fr-FR"/>
        </w:rPr>
      </w:pPr>
      <w:r w:rsidRPr="008B2DFC">
        <w:rPr>
          <w:lang w:val="fr-FR"/>
        </w:rPr>
        <w:t>Les utilisateurs du système de Madrid qui souhaitent recevoir par courrier postal une version papier des documents susmentionnés, en complément de la version numérique, doivent l’indiquer dans leur demande.  Les utilisateurs qui demandent des documents légalisés continueront de recevoir des versions papier de ces documents par courrier postal.</w:t>
      </w:r>
    </w:p>
    <w:p w:rsidR="008B2DFC" w:rsidRPr="008B2DFC" w:rsidRDefault="008B2DFC" w:rsidP="008B2DFC">
      <w:pPr>
        <w:pStyle w:val="ONUMFS"/>
        <w:rPr>
          <w:lang w:val="fr-FR"/>
        </w:rPr>
      </w:pPr>
      <w:r w:rsidRPr="008B2DFC">
        <w:rPr>
          <w:lang w:val="fr-FR"/>
        </w:rPr>
        <w:t>De plus amples informations sur la délivrance d’attestations, de copies de mentions figurant au registre international et d’extraits de celui</w:t>
      </w:r>
      <w:r w:rsidR="00E63F88">
        <w:rPr>
          <w:lang w:val="fr-FR"/>
        </w:rPr>
        <w:noBreakHyphen/>
      </w:r>
      <w:r w:rsidRPr="008B2DFC">
        <w:rPr>
          <w:lang w:val="fr-FR"/>
        </w:rPr>
        <w:t xml:space="preserve">ci sont disponibles à l’adresse </w:t>
      </w:r>
      <w:r w:rsidR="00827B44">
        <w:rPr>
          <w:lang w:val="fr-FR"/>
        </w:rPr>
        <w:t xml:space="preserve">suivante : </w:t>
      </w:r>
      <w:hyperlink r:id="rId10" w:history="1">
        <w:r w:rsidRPr="00827B44">
          <w:rPr>
            <w:rStyle w:val="Hyperlink"/>
            <w:lang w:val="fr-FR"/>
          </w:rPr>
          <w:t>https://</w:t>
        </w:r>
        <w:proofErr w:type="spellStart"/>
        <w:r w:rsidRPr="00827B44">
          <w:rPr>
            <w:rStyle w:val="Hyperlink"/>
            <w:lang w:val="fr-FR"/>
          </w:rPr>
          <w:t>www.wipo.int</w:t>
        </w:r>
        <w:proofErr w:type="spellEnd"/>
        <w:r w:rsidRPr="00827B44">
          <w:rPr>
            <w:rStyle w:val="Hyperlink"/>
            <w:lang w:val="fr-FR"/>
          </w:rPr>
          <w:t>/</w:t>
        </w:r>
        <w:proofErr w:type="spellStart"/>
        <w:r w:rsidRPr="00827B44">
          <w:rPr>
            <w:rStyle w:val="Hyperlink"/>
            <w:lang w:val="fr-FR"/>
          </w:rPr>
          <w:t>madrid</w:t>
        </w:r>
        <w:proofErr w:type="spellEnd"/>
        <w:r w:rsidRPr="00827B44">
          <w:rPr>
            <w:rStyle w:val="Hyperlink"/>
            <w:lang w:val="fr-FR"/>
          </w:rPr>
          <w:t>/</w:t>
        </w:r>
        <w:proofErr w:type="spellStart"/>
        <w:r w:rsidRPr="00827B44">
          <w:rPr>
            <w:rStyle w:val="Hyperlink"/>
            <w:lang w:val="fr-FR"/>
          </w:rPr>
          <w:t>fr</w:t>
        </w:r>
        <w:proofErr w:type="spellEnd"/>
        <w:r w:rsidRPr="00827B44">
          <w:rPr>
            <w:rStyle w:val="Hyperlink"/>
            <w:lang w:val="fr-FR"/>
          </w:rPr>
          <w:t>/</w:t>
        </w:r>
        <w:proofErr w:type="spellStart"/>
        <w:r w:rsidRPr="00827B44">
          <w:rPr>
            <w:rStyle w:val="Hyperlink"/>
            <w:lang w:val="fr-FR"/>
          </w:rPr>
          <w:t>extracts</w:t>
        </w:r>
        <w:proofErr w:type="spellEnd"/>
        <w:r w:rsidRPr="00827B44">
          <w:rPr>
            <w:rStyle w:val="Hyperlink"/>
            <w:lang w:val="fr-FR"/>
          </w:rPr>
          <w:t>/</w:t>
        </w:r>
        <w:proofErr w:type="spellStart"/>
        <w:r w:rsidRPr="00827B44">
          <w:rPr>
            <w:rStyle w:val="Hyperlink"/>
            <w:lang w:val="fr-FR"/>
          </w:rPr>
          <w:t>index.html</w:t>
        </w:r>
        <w:proofErr w:type="spellEnd"/>
      </w:hyperlink>
      <w:r w:rsidRPr="008B2DFC">
        <w:rPr>
          <w:lang w:val="fr-FR"/>
        </w:rPr>
        <w:t>.</w:t>
      </w:r>
    </w:p>
    <w:p w:rsidR="008B2DFC" w:rsidRDefault="008B2DFC" w:rsidP="008B2DFC">
      <w:pPr>
        <w:pStyle w:val="Endofdocument-Annex"/>
        <w:spacing w:before="480"/>
        <w:rPr>
          <w:lang w:val="fr-FR"/>
        </w:rPr>
      </w:pPr>
      <w:r>
        <w:rPr>
          <w:lang w:val="fr-FR"/>
        </w:rPr>
        <w:t>Le</w:t>
      </w:r>
      <w:r w:rsidRPr="00346EB1">
        <w:rPr>
          <w:lang w:val="fr-FR"/>
        </w:rPr>
        <w:t xml:space="preserve"> </w:t>
      </w:r>
      <w:r w:rsidR="00C218F9">
        <w:rPr>
          <w:lang w:val="fr-FR"/>
        </w:rPr>
        <w:t>6</w:t>
      </w:r>
      <w:bookmarkStart w:id="0" w:name="_GoBack"/>
      <w:bookmarkEnd w:id="0"/>
      <w:r>
        <w:rPr>
          <w:lang w:val="fr-FR"/>
        </w:rPr>
        <w:t xml:space="preserve"> </w:t>
      </w:r>
      <w:r w:rsidR="00827B44">
        <w:rPr>
          <w:lang w:val="fr-FR"/>
        </w:rPr>
        <w:t>mai</w:t>
      </w:r>
      <w:r>
        <w:rPr>
          <w:lang w:val="fr-FR"/>
        </w:rPr>
        <w:t> </w:t>
      </w:r>
      <w:r w:rsidRPr="00346EB1">
        <w:rPr>
          <w:lang w:val="fr-FR"/>
        </w:rPr>
        <w:t>2022</w:t>
      </w:r>
    </w:p>
    <w:p w:rsidR="008B2DFC" w:rsidRPr="00346EB1" w:rsidRDefault="008B2DFC" w:rsidP="008B2DFC">
      <w:pPr>
        <w:pStyle w:val="Endofdocument-Annex"/>
        <w:spacing w:before="480"/>
        <w:ind w:left="0"/>
        <w:rPr>
          <w:lang w:val="fr-FR"/>
        </w:rPr>
      </w:pPr>
    </w:p>
    <w:p w:rsidR="008B2DFC" w:rsidRPr="00346EB1" w:rsidRDefault="008B2DFC" w:rsidP="008B2DFC">
      <w:pPr>
        <w:pStyle w:val="Endofdocument-Annex"/>
        <w:ind w:left="0"/>
        <w:rPr>
          <w:lang w:val="fr-FR"/>
        </w:rPr>
      </w:pPr>
      <w:r w:rsidRPr="00346EB1">
        <w:rPr>
          <w:lang w:val="fr-FR"/>
        </w:rPr>
        <w:br w:type="page"/>
      </w:r>
    </w:p>
    <w:p w:rsidR="00827B44" w:rsidRDefault="00336A14" w:rsidP="00336A14">
      <w:pPr>
        <w:pStyle w:val="Endofdocument-Annex"/>
        <w:ind w:left="0"/>
        <w:jc w:val="center"/>
        <w:rPr>
          <w:lang w:val="fr-FR"/>
        </w:rPr>
        <w:sectPr w:rsidR="00827B44" w:rsidSect="00827B44">
          <w:headerReference w:type="even" r:id="rId11"/>
          <w:headerReference w:type="default" r:id="rId12"/>
          <w:pgSz w:w="11907" w:h="16840" w:code="9"/>
          <w:pgMar w:top="567" w:right="1134" w:bottom="1418" w:left="1418" w:header="510" w:footer="1021" w:gutter="0"/>
          <w:pgNumType w:start="1"/>
          <w:cols w:space="720"/>
          <w:titlePg/>
          <w:docGrid w:linePitch="299"/>
        </w:sectPr>
      </w:pPr>
      <w:r w:rsidRPr="00336A14">
        <w:rPr>
          <w:noProof/>
          <w:lang w:eastAsia="en-US"/>
        </w:rPr>
        <w:lastRenderedPageBreak/>
        <w:drawing>
          <wp:inline distT="0" distB="0" distL="0" distR="0">
            <wp:extent cx="5794170" cy="8276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8353" cy="8282468"/>
                    </a:xfrm>
                    <a:prstGeom prst="rect">
                      <a:avLst/>
                    </a:prstGeom>
                    <a:noFill/>
                    <a:ln>
                      <a:noFill/>
                    </a:ln>
                  </pic:spPr>
                </pic:pic>
              </a:graphicData>
            </a:graphic>
          </wp:inline>
        </w:drawing>
      </w:r>
    </w:p>
    <w:p w:rsidR="008B2DFC" w:rsidRPr="00346EB1" w:rsidRDefault="00336A14" w:rsidP="00336A14">
      <w:pPr>
        <w:pStyle w:val="Endofdocument-Annex"/>
        <w:ind w:left="0"/>
        <w:jc w:val="center"/>
        <w:rPr>
          <w:lang w:val="fr-FR"/>
        </w:rPr>
      </w:pPr>
      <w:r w:rsidRPr="00336A14">
        <w:rPr>
          <w:noProof/>
          <w:lang w:eastAsia="en-US"/>
        </w:rPr>
        <w:lastRenderedPageBreak/>
        <w:drawing>
          <wp:inline distT="0" distB="0" distL="0" distR="0">
            <wp:extent cx="5829700" cy="803889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1919" cy="8041956"/>
                    </a:xfrm>
                    <a:prstGeom prst="rect">
                      <a:avLst/>
                    </a:prstGeom>
                    <a:noFill/>
                    <a:ln>
                      <a:noFill/>
                    </a:ln>
                  </pic:spPr>
                </pic:pic>
              </a:graphicData>
            </a:graphic>
          </wp:inline>
        </w:drawing>
      </w:r>
    </w:p>
    <w:p w:rsidR="008B2DFC" w:rsidRPr="00346EB1" w:rsidRDefault="008B2DFC" w:rsidP="008B2DFC">
      <w:pPr>
        <w:pStyle w:val="Endofdocument-Annex"/>
        <w:ind w:left="0"/>
        <w:rPr>
          <w:lang w:val="fr-FR"/>
        </w:rPr>
      </w:pPr>
      <w:r w:rsidRPr="00346EB1">
        <w:rPr>
          <w:lang w:val="fr-FR"/>
        </w:rPr>
        <w:br w:type="page"/>
      </w:r>
    </w:p>
    <w:p w:rsidR="008B2DFC" w:rsidRPr="00346EB1" w:rsidRDefault="00336A14" w:rsidP="00336A14">
      <w:pPr>
        <w:pStyle w:val="Endofdocument-Annex"/>
        <w:ind w:left="0"/>
        <w:jc w:val="center"/>
        <w:rPr>
          <w:lang w:val="fr-FR"/>
        </w:rPr>
      </w:pPr>
      <w:r w:rsidRPr="00336A14">
        <w:rPr>
          <w:noProof/>
          <w:lang w:eastAsia="en-US"/>
        </w:rPr>
        <w:lastRenderedPageBreak/>
        <w:drawing>
          <wp:inline distT="0" distB="0" distL="0" distR="0">
            <wp:extent cx="5872698" cy="80981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4655" cy="8100888"/>
                    </a:xfrm>
                    <a:prstGeom prst="rect">
                      <a:avLst/>
                    </a:prstGeom>
                    <a:noFill/>
                    <a:ln>
                      <a:noFill/>
                    </a:ln>
                  </pic:spPr>
                </pic:pic>
              </a:graphicData>
            </a:graphic>
          </wp:inline>
        </w:drawing>
      </w:r>
    </w:p>
    <w:sectPr w:rsidR="008B2DFC" w:rsidRPr="00346EB1" w:rsidSect="00827B44">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FC" w:rsidRDefault="008B2DFC">
      <w:r>
        <w:separator/>
      </w:r>
    </w:p>
  </w:endnote>
  <w:endnote w:type="continuationSeparator" w:id="0">
    <w:p w:rsidR="008B2DFC" w:rsidRDefault="008B2DFC" w:rsidP="00A326CA">
      <w:r>
        <w:separator/>
      </w:r>
    </w:p>
    <w:p w:rsidR="008B2DFC" w:rsidRPr="00A326CA" w:rsidRDefault="008B2DFC" w:rsidP="00A326CA">
      <w:r>
        <w:rPr>
          <w:sz w:val="17"/>
        </w:rPr>
        <w:t>[Endnote continued from previous page]</w:t>
      </w:r>
    </w:p>
  </w:endnote>
  <w:endnote w:type="continuationNotice" w:id="1">
    <w:p w:rsidR="008B2DFC" w:rsidRPr="00A326CA" w:rsidRDefault="008B2DF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FC" w:rsidRDefault="008B2DFC">
      <w:r>
        <w:separator/>
      </w:r>
    </w:p>
  </w:footnote>
  <w:footnote w:type="continuationSeparator" w:id="0">
    <w:p w:rsidR="008B2DFC" w:rsidRDefault="008B2DFC" w:rsidP="00A326CA">
      <w:r>
        <w:separator/>
      </w:r>
    </w:p>
    <w:p w:rsidR="008B2DFC" w:rsidRPr="00A326CA" w:rsidRDefault="008B2DFC"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8B2DFC" w:rsidRPr="00A326CA" w:rsidRDefault="008B2DFC"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8B2DFC" w:rsidP="008B2DFC">
    <w:pPr>
      <w:pStyle w:val="Header"/>
      <w:spacing w:after="480"/>
      <w:jc w:val="right"/>
      <w:rPr>
        <w:lang w:val="fr-CH"/>
      </w:rPr>
    </w:pPr>
    <w:r>
      <w:rPr>
        <w:lang w:val="fr-CH"/>
      </w:rPr>
      <w:t>p</w:t>
    </w:r>
    <w:r w:rsidR="00096EA4">
      <w:rPr>
        <w:lang w:val="fr-CH"/>
      </w:rPr>
      <w:t>age</w:t>
    </w:r>
    <w:r>
      <w:rPr>
        <w:lang w:val="fr-CH"/>
      </w:rPr>
      <w:t> </w:t>
    </w:r>
    <w:r w:rsidR="00096EA4">
      <w:rPr>
        <w:rStyle w:val="PageNumber"/>
      </w:rPr>
      <w:fldChar w:fldCharType="begin"/>
    </w:r>
    <w:r w:rsidR="00096EA4">
      <w:rPr>
        <w:rStyle w:val="PageNumber"/>
      </w:rPr>
      <w:instrText xml:space="preserve"> PAGE </w:instrText>
    </w:r>
    <w:r w:rsidR="00096EA4">
      <w:rPr>
        <w:rStyle w:val="PageNumber"/>
      </w:rPr>
      <w:fldChar w:fldCharType="separate"/>
    </w:r>
    <w:r w:rsidR="00827B44">
      <w:rPr>
        <w:rStyle w:val="PageNumber"/>
        <w:noProof/>
      </w:rPr>
      <w:t>2</w:t>
    </w:r>
    <w:r w:rsidR="00096EA4">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B44" w:rsidRPr="00DD4C78" w:rsidRDefault="00827B44" w:rsidP="008B2DFC">
    <w:pPr>
      <w:pStyle w:val="Header"/>
      <w:spacing w:after="480"/>
      <w:jc w:val="right"/>
      <w:rPr>
        <w:lang w:val="fr-CH"/>
      </w:rPr>
    </w:pPr>
    <w:r>
      <w:rPr>
        <w:lang w:val="fr-CH"/>
      </w:rP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B44" w:rsidRPr="00DD4C78" w:rsidRDefault="00827B44" w:rsidP="008B2DFC">
    <w:pPr>
      <w:pStyle w:val="Header"/>
      <w:spacing w:after="480"/>
      <w:jc w:val="right"/>
      <w:rPr>
        <w:lang w:val="fr-CH"/>
      </w:rPr>
    </w:pPr>
    <w:r>
      <w:rPr>
        <w:lang w:val="fr-CH"/>
      </w:rPr>
      <w:t xml:space="preserve">Annexe, page </w:t>
    </w:r>
    <w:r w:rsidRPr="00827B44">
      <w:rPr>
        <w:lang w:val="fr-CH"/>
      </w:rPr>
      <w:fldChar w:fldCharType="begin"/>
    </w:r>
    <w:r w:rsidRPr="00827B44">
      <w:rPr>
        <w:lang w:val="fr-CH"/>
      </w:rPr>
      <w:instrText xml:space="preserve"> PAGE   \* MERGEFORMAT </w:instrText>
    </w:r>
    <w:r w:rsidRPr="00827B44">
      <w:rPr>
        <w:lang w:val="fr-CH"/>
      </w:rPr>
      <w:fldChar w:fldCharType="separate"/>
    </w:r>
    <w:r w:rsidR="00BA29EA">
      <w:rPr>
        <w:noProof/>
        <w:lang w:val="fr-CH"/>
      </w:rPr>
      <w:t>3</w:t>
    </w:r>
    <w:r w:rsidRPr="00827B44">
      <w:rPr>
        <w:noProof/>
        <w:lang w:val="fr-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B44" w:rsidRDefault="00827B44" w:rsidP="00827B44">
    <w:pPr>
      <w:pStyle w:val="Header"/>
      <w:jc w:val="right"/>
      <w:rPr>
        <w:noProof/>
        <w:lang w:val="fr-CH"/>
      </w:rPr>
    </w:pPr>
    <w:r>
      <w:rPr>
        <w:lang w:val="fr-CH"/>
      </w:rPr>
      <w:t xml:space="preserve">Annexe, page </w:t>
    </w:r>
    <w:r w:rsidRPr="00827B44">
      <w:rPr>
        <w:lang w:val="fr-CH"/>
      </w:rPr>
      <w:fldChar w:fldCharType="begin"/>
    </w:r>
    <w:r w:rsidRPr="00827B44">
      <w:rPr>
        <w:lang w:val="fr-CH"/>
      </w:rPr>
      <w:instrText xml:space="preserve"> PAGE   \* MERGEFORMAT </w:instrText>
    </w:r>
    <w:r w:rsidRPr="00827B44">
      <w:rPr>
        <w:lang w:val="fr-CH"/>
      </w:rPr>
      <w:fldChar w:fldCharType="separate"/>
    </w:r>
    <w:r w:rsidR="00BA29EA">
      <w:rPr>
        <w:noProof/>
        <w:lang w:val="fr-CH"/>
      </w:rPr>
      <w:t>2</w:t>
    </w:r>
    <w:r w:rsidRPr="00827B44">
      <w:rPr>
        <w:noProof/>
        <w:lang w:val="fr-CH"/>
      </w:rPr>
      <w:fldChar w:fldCharType="end"/>
    </w:r>
  </w:p>
  <w:p w:rsidR="00827B44" w:rsidRDefault="00827B44" w:rsidP="00827B44">
    <w:pPr>
      <w:pStyle w:val="Header"/>
      <w:jc w:val="right"/>
      <w:rPr>
        <w:noProof/>
        <w:lang w:val="fr-CH"/>
      </w:rPr>
    </w:pPr>
  </w:p>
  <w:p w:rsidR="00827B44" w:rsidRPr="00827B44" w:rsidRDefault="00827B44" w:rsidP="00827B44">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8B2DFC"/>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376E"/>
    <w:rsid w:val="000F5E56"/>
    <w:rsid w:val="00100904"/>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36A1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3F687B"/>
    <w:rsid w:val="0040386E"/>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7995"/>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27B44"/>
    <w:rsid w:val="00841EC6"/>
    <w:rsid w:val="00842923"/>
    <w:rsid w:val="00842CE9"/>
    <w:rsid w:val="00853A00"/>
    <w:rsid w:val="008600B9"/>
    <w:rsid w:val="00872100"/>
    <w:rsid w:val="00880F71"/>
    <w:rsid w:val="008A7155"/>
    <w:rsid w:val="008A7F15"/>
    <w:rsid w:val="008B2DFC"/>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29EA"/>
    <w:rsid w:val="00BA48EE"/>
    <w:rsid w:val="00BA7EC3"/>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218F9"/>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3F88"/>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72CBB8"/>
  <w15:chartTrackingRefBased/>
  <w15:docId w15:val="{D2CF8BD2-12CF-4792-8DAF-68960AAD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locked/>
    <w:rsid w:val="008B2DF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s://www.wipo.int/madrid/fr/extracts/index.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51672-F165-4A30-9CAA-2D7C90EBC604}">
  <ds:schemaRefs>
    <ds:schemaRef ds:uri="http://schemas.openxmlformats.org/officeDocument/2006/bibliography"/>
  </ds:schemaRefs>
</ds:datastoreItem>
</file>

<file path=customXml/itemProps2.xml><?xml version="1.0" encoding="utf-8"?>
<ds:datastoreItem xmlns:ds="http://schemas.openxmlformats.org/officeDocument/2006/customXml" ds:itemID="{04C92135-1E08-4C3F-B3F6-77BEE5D0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220</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Auteur</dc:creator>
  <cp:keywords>FOR OFFICIAL USE ONLY</cp:keywords>
  <cp:lastModifiedBy>DIAZ Natacha</cp:lastModifiedBy>
  <cp:revision>7</cp:revision>
  <cp:lastPrinted>2022-05-06T07:07:00Z</cp:lastPrinted>
  <dcterms:created xsi:type="dcterms:W3CDTF">2022-05-03T08:59:00Z</dcterms:created>
  <dcterms:modified xsi:type="dcterms:W3CDTF">2022-05-06T07:07:00Z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