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A3987" w:rsidRPr="002A398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2A3987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2A3987" w:rsidRDefault="002E4BD5" w:rsidP="003C2450">
            <w:pPr>
              <w:keepNext/>
              <w:keepLines/>
            </w:pPr>
            <w:r w:rsidRPr="00A7242A">
              <w:rPr>
                <w:noProof/>
                <w:lang w:eastAsia="en-US"/>
              </w:rPr>
              <w:drawing>
                <wp:inline distT="0" distB="0" distL="0" distR="0" wp14:anchorId="78C0046B" wp14:editId="797673D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2A3987" w:rsidRDefault="00163F61" w:rsidP="003C2450">
            <w:pPr>
              <w:keepNext/>
              <w:keepLines/>
              <w:jc w:val="right"/>
            </w:pPr>
          </w:p>
        </w:tc>
      </w:tr>
      <w:tr w:rsidR="002A3987" w:rsidRPr="002A398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2A3987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A3987" w:rsidRPr="002A398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2A3987" w:rsidRDefault="00BA4AA6" w:rsidP="00D65E7A">
            <w:pPr>
              <w:jc w:val="right"/>
              <w:rPr>
                <w:rFonts w:ascii="Arial Black" w:hAnsi="Arial Black"/>
                <w:sz w:val="15"/>
                <w:szCs w:val="15"/>
              </w:rPr>
            </w:pPr>
            <w:r w:rsidRPr="002A3987">
              <w:rPr>
                <w:rFonts w:ascii="Arial Black" w:hAnsi="Arial Black"/>
                <w:sz w:val="15"/>
                <w:szCs w:val="15"/>
              </w:rPr>
              <w:t>AVIS N°</w:t>
            </w:r>
            <w:r w:rsidR="00DB39A3">
              <w:rPr>
                <w:rFonts w:ascii="Arial Black" w:hAnsi="Arial Black"/>
                <w:sz w:val="15"/>
                <w:szCs w:val="15"/>
              </w:rPr>
              <w:t> </w:t>
            </w:r>
            <w:r w:rsidRPr="002A3987">
              <w:rPr>
                <w:rFonts w:ascii="Arial Black" w:hAnsi="Arial Black"/>
                <w:sz w:val="15"/>
                <w:szCs w:val="15"/>
              </w:rPr>
              <w:t>5</w:t>
            </w:r>
            <w:r w:rsidR="00D65E7A">
              <w:rPr>
                <w:rFonts w:ascii="Arial Black" w:hAnsi="Arial Black"/>
                <w:sz w:val="15"/>
                <w:szCs w:val="15"/>
              </w:rPr>
              <w:t>4</w:t>
            </w:r>
            <w:r w:rsidRPr="002A3987">
              <w:rPr>
                <w:rFonts w:ascii="Arial Black" w:hAnsi="Arial Black"/>
                <w:sz w:val="15"/>
                <w:szCs w:val="15"/>
              </w:rPr>
              <w:t>/2019</w:t>
            </w:r>
          </w:p>
        </w:tc>
      </w:tr>
    </w:tbl>
    <w:p w:rsidR="00DC345E" w:rsidRPr="002A3987" w:rsidRDefault="00DC345E" w:rsidP="008B2CC1"/>
    <w:p w:rsidR="00DC345E" w:rsidRPr="002A3987" w:rsidRDefault="00DC345E" w:rsidP="00CC5016"/>
    <w:p w:rsidR="00DC345E" w:rsidRPr="002A3987" w:rsidRDefault="00DC345E" w:rsidP="00CC5016"/>
    <w:p w:rsidR="00DC345E" w:rsidRPr="002A3987" w:rsidRDefault="00BA4AA6" w:rsidP="00BA4AA6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2A3987">
        <w:rPr>
          <w:b/>
          <w:bCs/>
          <w:sz w:val="28"/>
          <w:szCs w:val="28"/>
          <w:lang w:val="fr-CH"/>
        </w:rPr>
        <w:t>Protocole de Madrid concernant l</w:t>
      </w:r>
      <w:r w:rsidR="004E48B3">
        <w:rPr>
          <w:b/>
          <w:bCs/>
          <w:sz w:val="28"/>
          <w:szCs w:val="28"/>
          <w:lang w:val="fr-CH"/>
        </w:rPr>
        <w:t>’</w:t>
      </w:r>
      <w:r w:rsidRPr="002A3987">
        <w:rPr>
          <w:b/>
          <w:bCs/>
          <w:sz w:val="28"/>
          <w:szCs w:val="28"/>
          <w:lang w:val="fr-CH"/>
        </w:rPr>
        <w:t>enregistrement international des marques</w:t>
      </w:r>
    </w:p>
    <w:p w:rsidR="00DC345E" w:rsidRPr="002A3987" w:rsidRDefault="00DC345E" w:rsidP="00CC5016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DC345E" w:rsidRPr="002A3987" w:rsidRDefault="00DC345E" w:rsidP="00CC5016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DC345E" w:rsidRPr="002A3987" w:rsidRDefault="00BA4AA6" w:rsidP="00BA4AA6">
      <w:pPr>
        <w:autoSpaceDE w:val="0"/>
        <w:autoSpaceDN w:val="0"/>
        <w:adjustRightInd w:val="0"/>
        <w:rPr>
          <w:b/>
          <w:bCs/>
          <w:sz w:val="24"/>
          <w:szCs w:val="24"/>
          <w:lang w:val="fr-CH"/>
        </w:rPr>
      </w:pPr>
      <w:r w:rsidRPr="002A3987">
        <w:rPr>
          <w:b/>
          <w:bCs/>
          <w:sz w:val="24"/>
          <w:szCs w:val="24"/>
          <w:lang w:val="fr-CH"/>
        </w:rPr>
        <w:t>Déclaration faite en vertu de l</w:t>
      </w:r>
      <w:r w:rsidR="004E48B3">
        <w:rPr>
          <w:b/>
          <w:bCs/>
          <w:sz w:val="24"/>
          <w:szCs w:val="24"/>
          <w:lang w:val="fr-CH"/>
        </w:rPr>
        <w:t>’</w:t>
      </w:r>
      <w:r w:rsidRPr="002A3987">
        <w:rPr>
          <w:b/>
          <w:bCs/>
          <w:sz w:val="24"/>
          <w:szCs w:val="24"/>
          <w:lang w:val="fr-CH"/>
        </w:rPr>
        <w:t>article</w:t>
      </w:r>
      <w:r w:rsidR="009B0BC2" w:rsidRPr="002A3987">
        <w:rPr>
          <w:b/>
          <w:bCs/>
          <w:sz w:val="24"/>
          <w:szCs w:val="24"/>
          <w:lang w:val="fr-CH"/>
        </w:rPr>
        <w:t> </w:t>
      </w:r>
      <w:r w:rsidRPr="002A3987">
        <w:rPr>
          <w:b/>
          <w:bCs/>
          <w:sz w:val="24"/>
          <w:szCs w:val="24"/>
          <w:lang w:val="fr-CH"/>
        </w:rPr>
        <w:t>8.7)</w:t>
      </w:r>
      <w:r w:rsidR="009B0BC2" w:rsidRPr="002A3987">
        <w:rPr>
          <w:b/>
          <w:bCs/>
          <w:sz w:val="24"/>
          <w:szCs w:val="24"/>
          <w:lang w:val="fr-CH"/>
        </w:rPr>
        <w:t xml:space="preserve"> </w:t>
      </w:r>
      <w:r w:rsidRPr="002A3987">
        <w:rPr>
          <w:b/>
          <w:bCs/>
          <w:sz w:val="24"/>
          <w:szCs w:val="24"/>
          <w:lang w:val="fr-CH"/>
        </w:rPr>
        <w:t>a) du Protocole de Madrid et notification faite en vertu de la règle</w:t>
      </w:r>
      <w:r w:rsidR="009B0BC2" w:rsidRPr="002A3987">
        <w:rPr>
          <w:b/>
          <w:bCs/>
          <w:sz w:val="24"/>
          <w:szCs w:val="24"/>
          <w:lang w:val="fr-CH"/>
        </w:rPr>
        <w:t> </w:t>
      </w:r>
      <w:r w:rsidRPr="002A3987">
        <w:rPr>
          <w:b/>
          <w:bCs/>
          <w:sz w:val="24"/>
          <w:szCs w:val="24"/>
          <w:lang w:val="fr-CH"/>
        </w:rPr>
        <w:t>34.3)</w:t>
      </w:r>
      <w:r w:rsidR="009B0BC2" w:rsidRPr="002A3987">
        <w:rPr>
          <w:b/>
          <w:bCs/>
          <w:sz w:val="24"/>
          <w:szCs w:val="24"/>
          <w:lang w:val="fr-CH"/>
        </w:rPr>
        <w:t xml:space="preserve"> </w:t>
      </w:r>
      <w:r w:rsidRPr="002A3987">
        <w:rPr>
          <w:b/>
          <w:bCs/>
          <w:sz w:val="24"/>
          <w:szCs w:val="24"/>
          <w:lang w:val="fr-CH"/>
        </w:rPr>
        <w:t>a) du règlement d</w:t>
      </w:r>
      <w:r w:rsidR="004E48B3">
        <w:rPr>
          <w:b/>
          <w:bCs/>
          <w:sz w:val="24"/>
          <w:szCs w:val="24"/>
          <w:lang w:val="fr-CH"/>
        </w:rPr>
        <w:t>’</w:t>
      </w:r>
      <w:r w:rsidRPr="002A3987">
        <w:rPr>
          <w:b/>
          <w:bCs/>
          <w:sz w:val="24"/>
          <w:szCs w:val="24"/>
          <w:lang w:val="fr-CH"/>
        </w:rPr>
        <w:t>exécution commun</w:t>
      </w:r>
      <w:r w:rsidR="004E48B3">
        <w:rPr>
          <w:b/>
          <w:bCs/>
          <w:sz w:val="24"/>
          <w:szCs w:val="24"/>
          <w:lang w:val="fr-CH"/>
        </w:rPr>
        <w:t> :</w:t>
      </w:r>
      <w:r w:rsidRPr="002A3987">
        <w:rPr>
          <w:b/>
          <w:bCs/>
          <w:sz w:val="24"/>
          <w:szCs w:val="24"/>
          <w:lang w:val="fr-CH"/>
        </w:rPr>
        <w:t xml:space="preserve"> Brésil</w:t>
      </w:r>
    </w:p>
    <w:p w:rsidR="00DC345E" w:rsidRPr="002A3987" w:rsidRDefault="00DC345E" w:rsidP="006D1756">
      <w:pPr>
        <w:rPr>
          <w:szCs w:val="22"/>
          <w:lang w:val="fr-CH"/>
        </w:rPr>
      </w:pPr>
    </w:p>
    <w:p w:rsidR="00DC345E" w:rsidRPr="002A3987" w:rsidRDefault="00422F96" w:rsidP="002E4BD5">
      <w:pPr>
        <w:pStyle w:val="ONUMFS"/>
        <w:rPr>
          <w:lang w:val="fr-CH"/>
        </w:rPr>
      </w:pPr>
      <w:r w:rsidRPr="002A3987">
        <w:rPr>
          <w:lang w:val="fr-CH"/>
        </w:rPr>
        <w:t xml:space="preserve">Le Gouvernement du Brésil a </w:t>
      </w:r>
      <w:r w:rsidR="008D4889" w:rsidRPr="002A3987">
        <w:rPr>
          <w:lang w:val="fr-CH"/>
        </w:rPr>
        <w:t xml:space="preserve">déclaré, selon </w:t>
      </w:r>
      <w:r w:rsidRPr="002A3987">
        <w:rPr>
          <w:lang w:val="fr-CH"/>
        </w:rPr>
        <w:t>l</w:t>
      </w:r>
      <w:r w:rsidR="004E48B3">
        <w:rPr>
          <w:lang w:val="fr-CH"/>
        </w:rPr>
        <w:t>’</w:t>
      </w:r>
      <w:r w:rsidRPr="002A3987">
        <w:rPr>
          <w:lang w:val="fr-CH"/>
        </w:rPr>
        <w:t>article</w:t>
      </w:r>
      <w:r w:rsidR="009B0BC2" w:rsidRPr="002A3987">
        <w:rPr>
          <w:lang w:val="fr-CH"/>
        </w:rPr>
        <w:t> </w:t>
      </w:r>
      <w:r w:rsidRPr="002A3987">
        <w:rPr>
          <w:lang w:val="fr-CH"/>
        </w:rPr>
        <w:t>8.7)</w:t>
      </w:r>
      <w:r w:rsidR="009B0BC2" w:rsidRPr="002A3987">
        <w:rPr>
          <w:lang w:val="fr-CH"/>
        </w:rPr>
        <w:t xml:space="preserve"> </w:t>
      </w:r>
      <w:r w:rsidRPr="002A3987">
        <w:rPr>
          <w:lang w:val="fr-CH"/>
        </w:rPr>
        <w:t>a) du Protocole de Madrid</w:t>
      </w:r>
      <w:r w:rsidR="008D4889" w:rsidRPr="002A3987">
        <w:rPr>
          <w:lang w:val="fr-CH"/>
        </w:rPr>
        <w:t>,</w:t>
      </w:r>
      <w:r w:rsidRPr="002A3987">
        <w:rPr>
          <w:lang w:val="fr-CH"/>
        </w:rPr>
        <w:t xml:space="preserve"> </w:t>
      </w:r>
      <w:r w:rsidR="008D4889" w:rsidRPr="002A3987">
        <w:rPr>
          <w:lang w:val="fr-CH"/>
        </w:rPr>
        <w:t>qu</w:t>
      </w:r>
      <w:r w:rsidR="004E48B3">
        <w:rPr>
          <w:lang w:val="fr-CH"/>
        </w:rPr>
        <w:t>’</w:t>
      </w:r>
      <w:r w:rsidR="008D4889" w:rsidRPr="002A3987">
        <w:rPr>
          <w:lang w:val="fr-CH"/>
        </w:rPr>
        <w:t>il</w:t>
      </w:r>
      <w:r w:rsidRPr="002A3987">
        <w:rPr>
          <w:lang w:val="fr-CH"/>
        </w:rPr>
        <w:t xml:space="preserve"> veut recevoir une taxe individuelle lorsque le Brésil est </w:t>
      </w:r>
      <w:r w:rsidR="00D65E7A">
        <w:rPr>
          <w:lang w:val="fr-CH"/>
        </w:rPr>
        <w:t>désig</w:t>
      </w:r>
      <w:r w:rsidRPr="002A3987">
        <w:rPr>
          <w:lang w:val="fr-CH"/>
        </w:rPr>
        <w:t>né dans une demande internationale, dans une désignation postérieure à un enregistrement international</w:t>
      </w:r>
      <w:r w:rsidR="008D4889" w:rsidRPr="002A3987">
        <w:rPr>
          <w:lang w:val="fr-CH"/>
        </w:rPr>
        <w:t xml:space="preserve"> ou </w:t>
      </w:r>
      <w:r w:rsidR="004E48B3">
        <w:rPr>
          <w:lang w:val="fr-CH"/>
        </w:rPr>
        <w:t>à l’égard</w:t>
      </w:r>
      <w:r w:rsidR="008D4889" w:rsidRPr="002A3987">
        <w:rPr>
          <w:lang w:val="fr-CH"/>
        </w:rPr>
        <w:t xml:space="preserve"> du</w:t>
      </w:r>
      <w:r w:rsidRPr="002A3987">
        <w:rPr>
          <w:lang w:val="fr-CH"/>
        </w:rPr>
        <w:t xml:space="preserve"> renouvellement d</w:t>
      </w:r>
      <w:r w:rsidR="004E48B3">
        <w:rPr>
          <w:lang w:val="fr-CH"/>
        </w:rPr>
        <w:t>’</w:t>
      </w:r>
      <w:r w:rsidRPr="002A3987">
        <w:rPr>
          <w:lang w:val="fr-CH"/>
        </w:rPr>
        <w:t>un enregistrement international</w:t>
      </w:r>
      <w:r w:rsidR="008D4889" w:rsidRPr="002A3987">
        <w:rPr>
          <w:lang w:val="fr-CH"/>
        </w:rPr>
        <w:t xml:space="preserve"> dans lequel le Brésil est </w:t>
      </w:r>
      <w:r w:rsidR="00D65E7A">
        <w:rPr>
          <w:lang w:val="fr-CH"/>
        </w:rPr>
        <w:t>désign</w:t>
      </w:r>
      <w:r w:rsidR="008D4889" w:rsidRPr="002A3987">
        <w:rPr>
          <w:lang w:val="fr-CH"/>
        </w:rPr>
        <w:t>é</w:t>
      </w:r>
      <w:r w:rsidRPr="002A3987">
        <w:rPr>
          <w:lang w:val="fr-CH"/>
        </w:rPr>
        <w:t>.</w:t>
      </w:r>
    </w:p>
    <w:p w:rsidR="00BC4653" w:rsidRDefault="007B3187" w:rsidP="002E4BD5">
      <w:pPr>
        <w:pStyle w:val="ONUMFS"/>
        <w:rPr>
          <w:lang w:val="fr-CH"/>
        </w:rPr>
      </w:pPr>
      <w:r w:rsidRPr="002A3987">
        <w:rPr>
          <w:lang w:val="fr-CH"/>
        </w:rPr>
        <w:t>Parallèlement à cette déclaration, le Gouvernement du Brésil a, en vertu de la règle</w:t>
      </w:r>
      <w:r w:rsidR="009B0BC2" w:rsidRPr="002A3987">
        <w:rPr>
          <w:lang w:val="fr-CH"/>
        </w:rPr>
        <w:t> </w:t>
      </w:r>
      <w:r w:rsidRPr="002A3987">
        <w:rPr>
          <w:lang w:val="fr-CH"/>
        </w:rPr>
        <w:t>34.3)</w:t>
      </w:r>
      <w:r w:rsidR="00446070">
        <w:rPr>
          <w:lang w:val="fr-CH"/>
        </w:rPr>
        <w:t> </w:t>
      </w:r>
      <w:r w:rsidRPr="002A3987">
        <w:rPr>
          <w:lang w:val="fr-CH"/>
        </w:rPr>
        <w:t>a) du règlement d</w:t>
      </w:r>
      <w:r w:rsidR="004E48B3">
        <w:rPr>
          <w:lang w:val="fr-CH"/>
        </w:rPr>
        <w:t>’</w:t>
      </w:r>
      <w:r w:rsidRPr="002A3987">
        <w:rPr>
          <w:lang w:val="fr-CH"/>
        </w:rPr>
        <w:t>exécution commun, notifié au Bureau international de l</w:t>
      </w:r>
      <w:r w:rsidR="004E48B3">
        <w:rPr>
          <w:lang w:val="fr-CH"/>
        </w:rPr>
        <w:t>’</w:t>
      </w:r>
      <w:r w:rsidRPr="002A3987">
        <w:rPr>
          <w:lang w:val="fr-CH"/>
        </w:rPr>
        <w:t xml:space="preserve">OMPI que la taxe individuelle </w:t>
      </w:r>
      <w:r w:rsidR="009B0BC2" w:rsidRPr="002A3987">
        <w:rPr>
          <w:lang w:val="fr-CH"/>
        </w:rPr>
        <w:t xml:space="preserve">à payer </w:t>
      </w:r>
      <w:r w:rsidR="004E48B3">
        <w:rPr>
          <w:lang w:val="fr-CH"/>
        </w:rPr>
        <w:t>à l’égard</w:t>
      </w:r>
      <w:r w:rsidR="00EB5999" w:rsidRPr="002A3987">
        <w:rPr>
          <w:lang w:val="fr-CH"/>
        </w:rPr>
        <w:t xml:space="preserve"> de la </w:t>
      </w:r>
      <w:r w:rsidRPr="002A3987">
        <w:rPr>
          <w:lang w:val="fr-CH"/>
        </w:rPr>
        <w:t xml:space="preserve">désignation du Brésil </w:t>
      </w:r>
      <w:r w:rsidR="009B0BC2" w:rsidRPr="002A3987">
        <w:rPr>
          <w:lang w:val="fr-CH"/>
        </w:rPr>
        <w:t>comprend</w:t>
      </w:r>
      <w:r w:rsidRPr="002A3987">
        <w:rPr>
          <w:lang w:val="fr-CH"/>
        </w:rPr>
        <w:t xml:space="preserve"> deux</w:t>
      </w:r>
      <w:r w:rsidR="005C7F4E">
        <w:rPr>
          <w:lang w:val="fr-CH"/>
        </w:rPr>
        <w:t> </w:t>
      </w:r>
      <w:r w:rsidRPr="002A3987">
        <w:rPr>
          <w:lang w:val="fr-CH"/>
        </w:rPr>
        <w:t>parties.</w:t>
      </w:r>
    </w:p>
    <w:p w:rsidR="00C53471" w:rsidRPr="002A3987" w:rsidRDefault="007B3187" w:rsidP="002E4BD5">
      <w:pPr>
        <w:pStyle w:val="ONUMFS"/>
        <w:rPr>
          <w:lang w:val="fr-CH" w:eastAsia="ja-JP"/>
        </w:rPr>
      </w:pPr>
      <w:r w:rsidRPr="002A3987">
        <w:rPr>
          <w:lang w:val="fr-CH" w:eastAsia="ja-JP"/>
        </w:rPr>
        <w:t>Conformément à la règle</w:t>
      </w:r>
      <w:r w:rsidR="009B0BC2" w:rsidRPr="002A3987">
        <w:rPr>
          <w:lang w:val="fr-CH" w:eastAsia="ja-JP"/>
        </w:rPr>
        <w:t> </w:t>
      </w:r>
      <w:r w:rsidRPr="002A3987">
        <w:rPr>
          <w:lang w:val="fr-CH" w:eastAsia="ja-JP"/>
        </w:rPr>
        <w:t>35.2)</w:t>
      </w:r>
      <w:r w:rsidR="009B0BC2" w:rsidRPr="002A3987">
        <w:rPr>
          <w:lang w:val="fr-CH" w:eastAsia="ja-JP"/>
        </w:rPr>
        <w:t xml:space="preserve"> </w:t>
      </w:r>
      <w:r w:rsidRPr="002A3987">
        <w:rPr>
          <w:lang w:val="fr-CH" w:eastAsia="ja-JP"/>
        </w:rPr>
        <w:t>b) du règlement d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exécution commun à l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Arrangement et au Protocole de Madrid, le Directeur général de l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OMPI a établi, après consultation de l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Office du Brésil, les montants ci</w:t>
      </w:r>
      <w:r w:rsidR="004E48B3">
        <w:rPr>
          <w:lang w:val="fr-CH" w:eastAsia="ja-JP"/>
        </w:rPr>
        <w:t>-</w:t>
      </w:r>
      <w:r w:rsidRPr="002A3987">
        <w:rPr>
          <w:lang w:val="fr-CH" w:eastAsia="ja-JP"/>
        </w:rPr>
        <w:t>après, en francs suiss</w:t>
      </w:r>
      <w:r w:rsidR="00056338" w:rsidRPr="002A3987">
        <w:rPr>
          <w:lang w:val="fr-CH" w:eastAsia="ja-JP"/>
        </w:rPr>
        <w:t>es, de ladite taxe individuelle</w:t>
      </w:r>
      <w:r w:rsidR="004E48B3">
        <w:rPr>
          <w:lang w:val="fr-CH" w:eastAsia="ja-JP"/>
        </w:rPr>
        <w:t> :</w:t>
      </w:r>
      <w:r w:rsidR="00317879" w:rsidRPr="002A3987">
        <w:rPr>
          <w:lang w:val="fr-CH" w:eastAsia="ja-JP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A3987" w:rsidRPr="002A3987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E46327">
            <w:pPr>
              <w:rPr>
                <w:lang w:val="fr-CH"/>
              </w:rPr>
            </w:pPr>
          </w:p>
          <w:p w:rsidR="00DC345E" w:rsidRPr="002A3987" w:rsidRDefault="00DC345E" w:rsidP="00E46327">
            <w:pPr>
              <w:jc w:val="center"/>
              <w:rPr>
                <w:b/>
                <w:bCs/>
                <w:lang w:val="fr-CH"/>
              </w:rPr>
            </w:pPr>
          </w:p>
          <w:p w:rsidR="00DC345E" w:rsidRPr="002A3987" w:rsidRDefault="00056338" w:rsidP="00E46327">
            <w:pPr>
              <w:jc w:val="center"/>
              <w:rPr>
                <w:b/>
                <w:bCs/>
              </w:rPr>
            </w:pPr>
            <w:r w:rsidRPr="002A3987">
              <w:rPr>
                <w:b/>
                <w:bCs/>
                <w:lang w:val="fr-CH"/>
              </w:rPr>
              <w:t>RUBRIQUES</w:t>
            </w:r>
          </w:p>
          <w:p w:rsidR="000A7AE8" w:rsidRPr="002A3987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E46327"/>
          <w:p w:rsidR="00DC345E" w:rsidRPr="002A3987" w:rsidRDefault="007B3187" w:rsidP="007B3187">
            <w:pPr>
              <w:jc w:val="center"/>
              <w:rPr>
                <w:b/>
                <w:bCs/>
              </w:rPr>
            </w:pPr>
            <w:r w:rsidRPr="002A3987">
              <w:rPr>
                <w:b/>
                <w:bCs/>
              </w:rPr>
              <w:t>Montants</w:t>
            </w:r>
          </w:p>
          <w:p w:rsidR="00DC345E" w:rsidRPr="002A3987" w:rsidRDefault="00DC345E" w:rsidP="00E46327">
            <w:pPr>
              <w:jc w:val="center"/>
            </w:pPr>
          </w:p>
          <w:p w:rsidR="00DC345E" w:rsidRPr="002A3987" w:rsidRDefault="007B3187" w:rsidP="007B3187">
            <w:pPr>
              <w:jc w:val="center"/>
              <w:rPr>
                <w:i/>
                <w:iCs/>
                <w:lang w:eastAsia="ja-JP"/>
              </w:rPr>
            </w:pPr>
            <w:r w:rsidRPr="002A3987">
              <w:rPr>
                <w:i/>
                <w:iCs/>
                <w:lang w:eastAsia="ja-JP"/>
              </w:rPr>
              <w:t>(en francs suisses)</w:t>
            </w:r>
          </w:p>
          <w:p w:rsidR="000A7AE8" w:rsidRPr="002A3987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2A3987" w:rsidRPr="002A3987" w:rsidTr="00E4632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E46327">
            <w:pPr>
              <w:jc w:val="center"/>
            </w:pPr>
          </w:p>
          <w:p w:rsidR="00DC345E" w:rsidRPr="002A3987" w:rsidRDefault="00DC345E" w:rsidP="00E46327">
            <w:pPr>
              <w:jc w:val="center"/>
            </w:pPr>
          </w:p>
          <w:p w:rsidR="00DC345E" w:rsidRPr="002A3987" w:rsidRDefault="00DC345E" w:rsidP="00E46327">
            <w:pPr>
              <w:jc w:val="center"/>
            </w:pPr>
          </w:p>
          <w:p w:rsidR="000A7AE8" w:rsidRPr="002A3987" w:rsidRDefault="007B3187" w:rsidP="007B3187">
            <w:pPr>
              <w:jc w:val="center"/>
            </w:pPr>
            <w:r w:rsidRPr="002A3987">
              <w:t>Demande ou désignation postérieure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E" w:rsidRPr="002A3987" w:rsidRDefault="00DC345E" w:rsidP="00E46327">
            <w:pPr>
              <w:rPr>
                <w:lang w:val="fr-CH"/>
              </w:rPr>
            </w:pPr>
          </w:p>
          <w:p w:rsidR="00DC345E" w:rsidRPr="00D65E7A" w:rsidRDefault="00056338" w:rsidP="007B3187">
            <w:pPr>
              <w:rPr>
                <w:u w:val="single"/>
                <w:lang w:val="fr-CH"/>
              </w:rPr>
            </w:pPr>
            <w:r w:rsidRPr="00D65E7A">
              <w:rPr>
                <w:u w:val="single"/>
                <w:lang w:val="fr-CH"/>
              </w:rPr>
              <w:t>Première partie</w:t>
            </w:r>
            <w:r w:rsidR="004E48B3" w:rsidRPr="00D65E7A">
              <w:rPr>
                <w:u w:val="single"/>
                <w:lang w:val="fr-CH"/>
              </w:rPr>
              <w:t> :</w:t>
            </w:r>
          </w:p>
          <w:p w:rsidR="00DC345E" w:rsidRPr="002A3987" w:rsidRDefault="00DC345E" w:rsidP="00E46327">
            <w:pPr>
              <w:rPr>
                <w:lang w:val="fr-CH"/>
              </w:rPr>
            </w:pPr>
          </w:p>
          <w:p w:rsidR="00DC345E" w:rsidRPr="002A3987" w:rsidRDefault="006037FF" w:rsidP="00EF2409">
            <w:pPr>
              <w:tabs>
                <w:tab w:val="left" w:pos="483"/>
              </w:tabs>
              <w:ind w:left="483" w:hanging="483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–</w:t>
            </w:r>
            <w:r w:rsidR="00D65E7A">
              <w:rPr>
                <w:lang w:val="fr-CH"/>
              </w:rPr>
              <w:t xml:space="preserve">  </w:t>
            </w:r>
            <w:r w:rsidR="007B3187" w:rsidRPr="002A3987">
              <w:rPr>
                <w:rFonts w:eastAsia="MS Mincho"/>
                <w:szCs w:val="22"/>
                <w:lang w:val="fr-CH" w:eastAsia="ja-JP"/>
              </w:rPr>
              <w:t>pour une classe de produits ou services</w:t>
            </w:r>
          </w:p>
          <w:p w:rsidR="00DC345E" w:rsidRPr="002A3987" w:rsidRDefault="00DC345E" w:rsidP="0014550D">
            <w:pPr>
              <w:rPr>
                <w:rFonts w:eastAsia="MS Mincho"/>
                <w:szCs w:val="22"/>
                <w:lang w:val="fr-CH" w:eastAsia="ja-JP"/>
              </w:rPr>
            </w:pPr>
          </w:p>
          <w:p w:rsidR="0014550D" w:rsidRPr="00D65E7A" w:rsidRDefault="007B3187" w:rsidP="007B3187">
            <w:pPr>
              <w:rPr>
                <w:rFonts w:eastAsia="MS Mincho"/>
                <w:szCs w:val="22"/>
                <w:u w:val="single"/>
                <w:lang w:eastAsia="ja-JP"/>
              </w:rPr>
            </w:pPr>
            <w:r w:rsidRPr="00D65E7A">
              <w:rPr>
                <w:rFonts w:eastAsia="MS Mincho"/>
                <w:szCs w:val="22"/>
                <w:u w:val="single"/>
                <w:lang w:eastAsia="ja-JP"/>
              </w:rPr>
              <w:t>Seconde par</w:t>
            </w:r>
            <w:r w:rsidR="00056338" w:rsidRPr="00D65E7A">
              <w:rPr>
                <w:rFonts w:eastAsia="MS Mincho"/>
                <w:szCs w:val="22"/>
                <w:u w:val="single"/>
                <w:lang w:eastAsia="ja-JP"/>
              </w:rPr>
              <w:t>tie</w:t>
            </w:r>
            <w:r w:rsidR="004E48B3" w:rsidRPr="00D65E7A">
              <w:rPr>
                <w:rFonts w:eastAsia="MS Mincho"/>
                <w:szCs w:val="22"/>
                <w:u w:val="single"/>
                <w:lang w:eastAsia="ja-JP"/>
              </w:rPr>
              <w:t> 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5E" w:rsidRPr="002A3987" w:rsidRDefault="00DC345E" w:rsidP="00E46327"/>
          <w:p w:rsidR="00DC345E" w:rsidRPr="002A3987" w:rsidRDefault="00DC345E" w:rsidP="00050383">
            <w:pPr>
              <w:jc w:val="center"/>
            </w:pPr>
          </w:p>
          <w:p w:rsidR="00DC345E" w:rsidRPr="002A3987" w:rsidRDefault="00DC345E" w:rsidP="00050383">
            <w:pPr>
              <w:jc w:val="center"/>
            </w:pPr>
          </w:p>
          <w:p w:rsidR="000A7AE8" w:rsidRPr="002A3987" w:rsidRDefault="00B949D9" w:rsidP="00050383">
            <w:pPr>
              <w:jc w:val="center"/>
            </w:pPr>
            <w:r w:rsidRPr="002A3987">
              <w:t>105</w:t>
            </w:r>
          </w:p>
        </w:tc>
      </w:tr>
      <w:tr w:rsidR="000A7AE8" w:rsidRPr="002A3987" w:rsidTr="00E46327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2A3987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345E" w:rsidRPr="002A3987" w:rsidRDefault="00DC345E" w:rsidP="00E46327">
            <w:pPr>
              <w:rPr>
                <w:lang w:val="fr-CH"/>
              </w:rPr>
            </w:pPr>
          </w:p>
          <w:p w:rsidR="000A7AE8" w:rsidRDefault="00E948B9" w:rsidP="00EF2409">
            <w:pPr>
              <w:tabs>
                <w:tab w:val="left" w:pos="483"/>
              </w:tabs>
              <w:ind w:left="483" w:hanging="483"/>
              <w:rPr>
                <w:lang w:val="fr-CH"/>
              </w:rPr>
            </w:pPr>
            <w:r>
              <w:rPr>
                <w:lang w:val="fr-CH"/>
              </w:rPr>
              <w:t>–</w:t>
            </w:r>
            <w:r w:rsidR="00D65E7A">
              <w:rPr>
                <w:lang w:val="fr-CH"/>
              </w:rPr>
              <w:t xml:space="preserve">  </w:t>
            </w:r>
            <w:r w:rsidR="007B3187" w:rsidRPr="002A3987">
              <w:rPr>
                <w:lang w:val="fr-CH"/>
              </w:rPr>
              <w:t xml:space="preserve">pour une classe de produits ou services </w:t>
            </w:r>
          </w:p>
          <w:p w:rsidR="00EA50CC" w:rsidRPr="002A3987" w:rsidRDefault="00EA50CC" w:rsidP="00EF2409">
            <w:pPr>
              <w:tabs>
                <w:tab w:val="left" w:pos="483"/>
              </w:tabs>
              <w:ind w:left="483" w:hanging="483"/>
              <w:rPr>
                <w:lang w:val="fr-CH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345E" w:rsidRPr="002A3987" w:rsidRDefault="00DC345E" w:rsidP="00E46327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DC345E" w:rsidRPr="002A3987" w:rsidRDefault="00B949D9" w:rsidP="00050383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2A3987">
              <w:rPr>
                <w:rFonts w:eastAsia="MS Mincho"/>
                <w:szCs w:val="22"/>
                <w:lang w:eastAsia="ja-JP"/>
              </w:rPr>
              <w:t>188</w:t>
            </w:r>
          </w:p>
          <w:p w:rsidR="000A7AE8" w:rsidRPr="002A3987" w:rsidRDefault="000A7AE8" w:rsidP="00E46327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DC345E" w:rsidRPr="002A3987" w:rsidRDefault="00DC345E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BC4653" w:rsidRDefault="00821CCA" w:rsidP="002E4BD5">
      <w:pPr>
        <w:pStyle w:val="ONUMFS"/>
        <w:rPr>
          <w:lang w:val="fr-CH"/>
        </w:rPr>
      </w:pPr>
      <w:r w:rsidRPr="002A3987">
        <w:rPr>
          <w:lang w:val="fr-CH"/>
        </w:rPr>
        <w:t xml:space="preserve">La première partie de la taxe individuelle </w:t>
      </w:r>
      <w:r w:rsidR="00056338" w:rsidRPr="002A3987">
        <w:rPr>
          <w:lang w:val="fr-CH"/>
        </w:rPr>
        <w:t>doit</w:t>
      </w:r>
      <w:r w:rsidRPr="002A3987">
        <w:rPr>
          <w:lang w:val="fr-CH"/>
        </w:rPr>
        <w:t xml:space="preserve"> être payée au moment de la désignation du Brésil, soit </w:t>
      </w:r>
      <w:r w:rsidR="009B0BC2" w:rsidRPr="002A3987">
        <w:rPr>
          <w:lang w:val="fr-CH"/>
        </w:rPr>
        <w:t>dans une</w:t>
      </w:r>
      <w:r w:rsidRPr="002A3987">
        <w:rPr>
          <w:lang w:val="fr-CH"/>
        </w:rPr>
        <w:t xml:space="preserve"> demande internationale soit </w:t>
      </w:r>
      <w:r w:rsidR="009B0BC2" w:rsidRPr="002A3987">
        <w:rPr>
          <w:lang w:val="fr-CH"/>
        </w:rPr>
        <w:t>dans le cadre d</w:t>
      </w:r>
      <w:r w:rsidR="004E48B3">
        <w:rPr>
          <w:lang w:val="fr-CH"/>
        </w:rPr>
        <w:t>’</w:t>
      </w:r>
      <w:r w:rsidR="009B0BC2" w:rsidRPr="002A3987">
        <w:rPr>
          <w:lang w:val="fr-CH"/>
        </w:rPr>
        <w:t>une</w:t>
      </w:r>
      <w:r w:rsidRPr="002A3987">
        <w:rPr>
          <w:lang w:val="fr-CH"/>
        </w:rPr>
        <w:t xml:space="preserve"> désignation postérieure.</w:t>
      </w:r>
      <w:r w:rsidR="00780BAF" w:rsidRPr="002A3987">
        <w:rPr>
          <w:lang w:val="fr-CH"/>
        </w:rPr>
        <w:t xml:space="preserve">  </w:t>
      </w:r>
      <w:r w:rsidRPr="002A3987">
        <w:rPr>
          <w:lang w:val="fr-CH"/>
        </w:rPr>
        <w:t xml:space="preserve">La seconde partie ne </w:t>
      </w:r>
      <w:r w:rsidR="00056338" w:rsidRPr="002A3987">
        <w:rPr>
          <w:lang w:val="fr-CH"/>
        </w:rPr>
        <w:t>doit</w:t>
      </w:r>
      <w:r w:rsidRPr="002A3987">
        <w:rPr>
          <w:lang w:val="fr-CH"/>
        </w:rPr>
        <w:t xml:space="preserve"> être payée que si l</w:t>
      </w:r>
      <w:r w:rsidR="004E48B3">
        <w:rPr>
          <w:lang w:val="fr-CH"/>
        </w:rPr>
        <w:t>’</w:t>
      </w:r>
      <w:r w:rsidRPr="002A3987">
        <w:rPr>
          <w:lang w:val="fr-CH"/>
        </w:rPr>
        <w:t>Office du Brésil considère que la marque qui fait l</w:t>
      </w:r>
      <w:r w:rsidR="004E48B3">
        <w:rPr>
          <w:lang w:val="fr-CH"/>
        </w:rPr>
        <w:t>’</w:t>
      </w:r>
      <w:r w:rsidRPr="002A3987">
        <w:rPr>
          <w:lang w:val="fr-CH"/>
        </w:rPr>
        <w:t>objet de l</w:t>
      </w:r>
      <w:r w:rsidR="004E48B3">
        <w:rPr>
          <w:lang w:val="fr-CH"/>
        </w:rPr>
        <w:t>’</w:t>
      </w:r>
      <w:r w:rsidRPr="002A3987">
        <w:rPr>
          <w:lang w:val="fr-CH"/>
        </w:rPr>
        <w:t>enregistrement international remplit les conditions requises pour être protégée, pour tout ou partie seulement des produits et services concernés.</w:t>
      </w:r>
      <w:r w:rsidR="00B527BA" w:rsidRPr="002A3987">
        <w:rPr>
          <w:lang w:val="fr-CH"/>
        </w:rPr>
        <w:t xml:space="preserve">  </w:t>
      </w:r>
      <w:r w:rsidRPr="002A3987">
        <w:rPr>
          <w:lang w:val="fr-CH"/>
        </w:rPr>
        <w:t xml:space="preserve">Par conséquent, le paiement de la seconde partie </w:t>
      </w:r>
      <w:r w:rsidR="00056338" w:rsidRPr="002A3987">
        <w:rPr>
          <w:lang w:val="fr-CH"/>
        </w:rPr>
        <w:t>est</w:t>
      </w:r>
      <w:r w:rsidRPr="002A3987">
        <w:rPr>
          <w:lang w:val="fr-CH"/>
        </w:rPr>
        <w:t xml:space="preserve"> exigé, le cas échéant, à une date ultérieure à celle de la désignation du Brésil.</w:t>
      </w:r>
    </w:p>
    <w:p w:rsidR="00BC4653" w:rsidRPr="00D65E7A" w:rsidRDefault="00D65E7A" w:rsidP="00BC3304">
      <w:pPr>
        <w:pStyle w:val="ONUMFS"/>
        <w:keepLines/>
        <w:rPr>
          <w:lang w:val="fr-CH"/>
        </w:rPr>
      </w:pPr>
      <w:r w:rsidRPr="00D65E7A">
        <w:rPr>
          <w:lang w:val="fr-CH"/>
        </w:rPr>
        <w:br w:type="page"/>
      </w:r>
      <w:r w:rsidR="00821CCA" w:rsidRPr="00D65E7A">
        <w:rPr>
          <w:lang w:val="fr-CH"/>
        </w:rPr>
        <w:lastRenderedPageBreak/>
        <w:t>L</w:t>
      </w:r>
      <w:r w:rsidR="004E48B3" w:rsidRPr="00D65E7A">
        <w:rPr>
          <w:lang w:val="fr-CH"/>
        </w:rPr>
        <w:t>’</w:t>
      </w:r>
      <w:r w:rsidR="00821CCA" w:rsidRPr="00D65E7A">
        <w:rPr>
          <w:lang w:val="fr-CH"/>
        </w:rPr>
        <w:t>Office du Brésil notifie</w:t>
      </w:r>
      <w:r>
        <w:rPr>
          <w:lang w:val="fr-CH"/>
        </w:rPr>
        <w:t>ra</w:t>
      </w:r>
      <w:r w:rsidR="00821CCA" w:rsidRPr="00D65E7A">
        <w:rPr>
          <w:lang w:val="fr-CH"/>
        </w:rPr>
        <w:t xml:space="preserve"> au Bureau international de l</w:t>
      </w:r>
      <w:r w:rsidR="004E48B3" w:rsidRPr="00D65E7A">
        <w:rPr>
          <w:lang w:val="fr-CH"/>
        </w:rPr>
        <w:t>’</w:t>
      </w:r>
      <w:r w:rsidR="00821CCA" w:rsidRPr="00D65E7A">
        <w:rPr>
          <w:lang w:val="fr-CH"/>
        </w:rPr>
        <w:t>OMPI la date limite pour le paiement de la seconde partie de la taxe individuelle pour chaque enregistrement international concerné.</w:t>
      </w:r>
      <w:r w:rsidR="0044190E" w:rsidRPr="00D65E7A">
        <w:rPr>
          <w:lang w:val="fr-CH"/>
        </w:rPr>
        <w:t xml:space="preserve">  </w:t>
      </w:r>
      <w:r w:rsidR="00821CCA" w:rsidRPr="00D65E7A">
        <w:rPr>
          <w:lang w:val="fr-CH"/>
        </w:rPr>
        <w:t>Le Bureau international de l</w:t>
      </w:r>
      <w:r w:rsidR="004E48B3" w:rsidRPr="00D65E7A">
        <w:rPr>
          <w:lang w:val="fr-CH"/>
        </w:rPr>
        <w:t>’</w:t>
      </w:r>
      <w:r w:rsidR="00821CCA" w:rsidRPr="00D65E7A">
        <w:rPr>
          <w:lang w:val="fr-CH"/>
        </w:rPr>
        <w:t>OMPI transmet</w:t>
      </w:r>
      <w:r>
        <w:rPr>
          <w:lang w:val="fr-CH"/>
        </w:rPr>
        <w:t>tra</w:t>
      </w:r>
      <w:r w:rsidR="00821CCA" w:rsidRPr="00D65E7A">
        <w:rPr>
          <w:lang w:val="fr-CH"/>
        </w:rPr>
        <w:t xml:space="preserve"> sans délai une copie de cette notification au titulaire de l</w:t>
      </w:r>
      <w:r w:rsidR="004E48B3" w:rsidRPr="00D65E7A">
        <w:rPr>
          <w:lang w:val="fr-CH"/>
        </w:rPr>
        <w:t>’</w:t>
      </w:r>
      <w:r w:rsidR="00821CCA" w:rsidRPr="00D65E7A">
        <w:rPr>
          <w:lang w:val="fr-CH"/>
        </w:rPr>
        <w:t>enregistrement international ou au mandataire du titulaire inscrit au registre international.</w:t>
      </w:r>
    </w:p>
    <w:p w:rsidR="00BC4653" w:rsidRDefault="00DC345E" w:rsidP="002E4BD5">
      <w:pPr>
        <w:pStyle w:val="ONUMFS"/>
        <w:rPr>
          <w:lang w:val="fr-CH"/>
        </w:rPr>
      </w:pPr>
      <w:r w:rsidRPr="002A3987">
        <w:rPr>
          <w:lang w:val="fr-CH"/>
        </w:rPr>
        <w:t xml:space="preserve">Si la seconde partie de la taxe individuelle est payée dans le délai applicable, le Bureau </w:t>
      </w:r>
      <w:r w:rsidR="006037FF">
        <w:rPr>
          <w:lang w:val="fr-CH"/>
        </w:rPr>
        <w:t>i</w:t>
      </w:r>
      <w:r w:rsidRPr="002A3987">
        <w:rPr>
          <w:lang w:val="fr-CH"/>
        </w:rPr>
        <w:t>nternational de l</w:t>
      </w:r>
      <w:r w:rsidR="004E48B3">
        <w:rPr>
          <w:lang w:val="fr-CH"/>
        </w:rPr>
        <w:t>’</w:t>
      </w:r>
      <w:r w:rsidRPr="002A3987">
        <w:rPr>
          <w:lang w:val="fr-CH"/>
        </w:rPr>
        <w:t>OMPI inscri</w:t>
      </w:r>
      <w:r w:rsidR="00D65E7A">
        <w:rPr>
          <w:lang w:val="fr-CH"/>
        </w:rPr>
        <w:t>ra</w:t>
      </w:r>
      <w:r w:rsidRPr="002A3987">
        <w:rPr>
          <w:lang w:val="fr-CH"/>
        </w:rPr>
        <w:t xml:space="preserve"> le paiement au registre international et notifie</w:t>
      </w:r>
      <w:r w:rsidR="00D65E7A">
        <w:rPr>
          <w:lang w:val="fr-CH"/>
        </w:rPr>
        <w:t>ra</w:t>
      </w:r>
      <w:r w:rsidRPr="002A3987">
        <w:rPr>
          <w:lang w:val="fr-CH"/>
        </w:rPr>
        <w:t xml:space="preserve"> ce fait à l</w:t>
      </w:r>
      <w:r w:rsidR="004E48B3">
        <w:rPr>
          <w:lang w:val="fr-CH"/>
        </w:rPr>
        <w:t>’</w:t>
      </w:r>
      <w:r w:rsidRPr="002A3987">
        <w:rPr>
          <w:lang w:val="fr-CH"/>
        </w:rPr>
        <w:t>Office du Brésil.</w:t>
      </w:r>
      <w:r w:rsidR="0044190E" w:rsidRPr="002A3987">
        <w:rPr>
          <w:lang w:val="fr-CH"/>
        </w:rPr>
        <w:t xml:space="preserve">  </w:t>
      </w:r>
      <w:r w:rsidRPr="002A3987">
        <w:rPr>
          <w:lang w:val="fr-CH"/>
        </w:rPr>
        <w:t>Si la seconde partie de la taxe individuelle n</w:t>
      </w:r>
      <w:r w:rsidR="004E48B3">
        <w:rPr>
          <w:lang w:val="fr-CH"/>
        </w:rPr>
        <w:t>’</w:t>
      </w:r>
      <w:r w:rsidRPr="002A3987">
        <w:rPr>
          <w:lang w:val="fr-CH"/>
        </w:rPr>
        <w:t>est pas payée dans le délai applicable, le Bureau international de l</w:t>
      </w:r>
      <w:r w:rsidR="004E48B3">
        <w:rPr>
          <w:lang w:val="fr-CH"/>
        </w:rPr>
        <w:t>’</w:t>
      </w:r>
      <w:r w:rsidRPr="002A3987">
        <w:rPr>
          <w:lang w:val="fr-CH"/>
        </w:rPr>
        <w:t>OMPI radie</w:t>
      </w:r>
      <w:r w:rsidR="00D65E7A">
        <w:rPr>
          <w:lang w:val="fr-CH"/>
        </w:rPr>
        <w:t>ra</w:t>
      </w:r>
      <w:r w:rsidRPr="002A3987">
        <w:rPr>
          <w:lang w:val="fr-CH"/>
        </w:rPr>
        <w:t xml:space="preserve"> l</w:t>
      </w:r>
      <w:r w:rsidR="004E48B3">
        <w:rPr>
          <w:lang w:val="fr-CH"/>
        </w:rPr>
        <w:t>’</w:t>
      </w:r>
      <w:r w:rsidRPr="002A3987">
        <w:rPr>
          <w:lang w:val="fr-CH"/>
        </w:rPr>
        <w:t>enregistrement international du registre international et notifie ce fait à l</w:t>
      </w:r>
      <w:r w:rsidR="004E48B3">
        <w:rPr>
          <w:lang w:val="fr-CH"/>
        </w:rPr>
        <w:t>’</w:t>
      </w:r>
      <w:r w:rsidRPr="002A3987">
        <w:rPr>
          <w:lang w:val="fr-CH"/>
        </w:rPr>
        <w:t>Office du Brésil et au titulaire ou au mandataire du</w:t>
      </w:r>
      <w:r w:rsidR="006A77E8" w:rsidRPr="002A3987">
        <w:rPr>
          <w:lang w:val="fr-CH"/>
        </w:rPr>
        <w:t xml:space="preserve"> titulaire</w:t>
      </w:r>
      <w:r w:rsidRPr="002A3987">
        <w:rPr>
          <w:lang w:val="fr-CH"/>
        </w:rPr>
        <w:t xml:space="preserve"> </w:t>
      </w:r>
      <w:r w:rsidR="006A77E8" w:rsidRPr="002A3987">
        <w:rPr>
          <w:lang w:val="fr-CH"/>
        </w:rPr>
        <w:t>inscrit au registre international</w:t>
      </w:r>
      <w:r w:rsidRPr="002A3987">
        <w:rPr>
          <w:lang w:val="fr-CH"/>
        </w:rPr>
        <w:t>.</w:t>
      </w:r>
      <w:r w:rsidR="00D65E7A">
        <w:rPr>
          <w:lang w:val="fr-CH"/>
        </w:rPr>
        <w:t xml:space="preserve">  </w:t>
      </w:r>
    </w:p>
    <w:p w:rsidR="00780BAF" w:rsidRPr="002A3987" w:rsidRDefault="00F51A5B" w:rsidP="002E4BD5">
      <w:pPr>
        <w:pStyle w:val="ONUMFS"/>
        <w:rPr>
          <w:lang w:val="fr-CH"/>
        </w:rPr>
      </w:pPr>
      <w:r w:rsidRPr="002A3987">
        <w:rPr>
          <w:lang w:val="fr-CH"/>
        </w:rPr>
        <w:t>La taxe individuelle correspondant au renouvellement d</w:t>
      </w:r>
      <w:r w:rsidR="004E48B3">
        <w:rPr>
          <w:lang w:val="fr-CH"/>
        </w:rPr>
        <w:t>’</w:t>
      </w:r>
      <w:r w:rsidRPr="002A3987">
        <w:rPr>
          <w:lang w:val="fr-CH"/>
        </w:rPr>
        <w:t xml:space="preserve">un enregistrement international </w:t>
      </w:r>
      <w:r w:rsidR="004E48B3">
        <w:rPr>
          <w:lang w:val="fr-CH"/>
        </w:rPr>
        <w:t>à l’égard</w:t>
      </w:r>
      <w:r w:rsidR="007B0A4A" w:rsidRPr="002A3987">
        <w:rPr>
          <w:lang w:val="fr-CH"/>
        </w:rPr>
        <w:t xml:space="preserve"> du</w:t>
      </w:r>
      <w:r w:rsidRPr="002A3987">
        <w:rPr>
          <w:lang w:val="fr-CH"/>
        </w:rPr>
        <w:t xml:space="preserve"> Brésil doit être payée en un seul versement</w:t>
      </w:r>
      <w:r w:rsidR="00964641" w:rsidRPr="002A3987">
        <w:rPr>
          <w:lang w:val="fr-CH"/>
        </w:rPr>
        <w:t>, dont le montant</w:t>
      </w:r>
      <w:r w:rsidRPr="002A3987">
        <w:rPr>
          <w:lang w:val="fr-CH"/>
        </w:rPr>
        <w:t>, conformément à la règle</w:t>
      </w:r>
      <w:r w:rsidR="009B0BC2" w:rsidRPr="002A3987">
        <w:rPr>
          <w:lang w:val="fr-CH"/>
        </w:rPr>
        <w:t> </w:t>
      </w:r>
      <w:r w:rsidRPr="002A3987">
        <w:rPr>
          <w:lang w:val="fr-CH"/>
        </w:rPr>
        <w:t>35.2)</w:t>
      </w:r>
      <w:r w:rsidR="009B0BC2" w:rsidRPr="002A3987">
        <w:rPr>
          <w:lang w:val="fr-CH"/>
        </w:rPr>
        <w:t xml:space="preserve"> </w:t>
      </w:r>
      <w:r w:rsidRPr="002A3987">
        <w:rPr>
          <w:lang w:val="fr-CH"/>
        </w:rPr>
        <w:t>b) du règlement d</w:t>
      </w:r>
      <w:r w:rsidR="004E48B3">
        <w:rPr>
          <w:lang w:val="fr-CH"/>
        </w:rPr>
        <w:t>’</w:t>
      </w:r>
      <w:r w:rsidRPr="002A3987">
        <w:rPr>
          <w:lang w:val="fr-CH"/>
        </w:rPr>
        <w:t>exécution commun à l</w:t>
      </w:r>
      <w:r w:rsidR="004E48B3">
        <w:rPr>
          <w:lang w:val="fr-CH"/>
        </w:rPr>
        <w:t>’</w:t>
      </w:r>
      <w:r w:rsidRPr="002A3987">
        <w:rPr>
          <w:lang w:val="fr-CH"/>
        </w:rPr>
        <w:t>Arrangement et au Protocole de Madrid, a été établi comme suit</w:t>
      </w:r>
      <w:r w:rsidR="004E48B3">
        <w:rPr>
          <w:lang w:val="fr-CH"/>
        </w:rPr>
        <w:t>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A3987" w:rsidRPr="002A3987" w:rsidTr="000548F8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0548F8">
            <w:pPr>
              <w:rPr>
                <w:lang w:val="fr-CH"/>
              </w:rPr>
            </w:pPr>
          </w:p>
          <w:p w:rsidR="00DC345E" w:rsidRPr="002A3987" w:rsidRDefault="00DC345E" w:rsidP="000548F8">
            <w:pPr>
              <w:jc w:val="center"/>
              <w:rPr>
                <w:b/>
                <w:bCs/>
                <w:lang w:val="fr-CH"/>
              </w:rPr>
            </w:pPr>
          </w:p>
          <w:p w:rsidR="00056338" w:rsidRPr="002A3987" w:rsidRDefault="00056338" w:rsidP="00056338">
            <w:pPr>
              <w:jc w:val="center"/>
              <w:rPr>
                <w:b/>
                <w:bCs/>
              </w:rPr>
            </w:pPr>
            <w:r w:rsidRPr="002A3987">
              <w:rPr>
                <w:b/>
                <w:bCs/>
                <w:lang w:val="fr-CH"/>
              </w:rPr>
              <w:t>RUBRIQUES</w:t>
            </w:r>
          </w:p>
          <w:p w:rsidR="005B5959" w:rsidRPr="002A3987" w:rsidRDefault="005B5959" w:rsidP="000548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0548F8"/>
          <w:p w:rsidR="00DC345E" w:rsidRPr="002A3987" w:rsidRDefault="00F51A5B" w:rsidP="00F51A5B">
            <w:pPr>
              <w:jc w:val="center"/>
              <w:rPr>
                <w:b/>
                <w:bCs/>
              </w:rPr>
            </w:pPr>
            <w:r w:rsidRPr="002A3987">
              <w:rPr>
                <w:b/>
                <w:bCs/>
              </w:rPr>
              <w:t>Montants</w:t>
            </w:r>
          </w:p>
          <w:p w:rsidR="00DC345E" w:rsidRPr="002A3987" w:rsidRDefault="00DC345E" w:rsidP="000548F8">
            <w:pPr>
              <w:jc w:val="center"/>
            </w:pPr>
          </w:p>
          <w:p w:rsidR="00DC345E" w:rsidRPr="002A3987" w:rsidRDefault="00F51A5B" w:rsidP="00F51A5B">
            <w:pPr>
              <w:jc w:val="center"/>
              <w:rPr>
                <w:i/>
                <w:iCs/>
                <w:lang w:eastAsia="ja-JP"/>
              </w:rPr>
            </w:pPr>
            <w:r w:rsidRPr="002A3987">
              <w:rPr>
                <w:i/>
                <w:iCs/>
                <w:lang w:eastAsia="ja-JP"/>
              </w:rPr>
              <w:t>(en francs suisses)</w:t>
            </w:r>
          </w:p>
          <w:p w:rsidR="005B5959" w:rsidRPr="002A3987" w:rsidRDefault="005B5959" w:rsidP="000548F8">
            <w:pPr>
              <w:rPr>
                <w:i/>
                <w:iCs/>
                <w:lang w:eastAsia="ja-JP"/>
              </w:rPr>
            </w:pPr>
          </w:p>
        </w:tc>
      </w:tr>
      <w:tr w:rsidR="002A3987" w:rsidRPr="002A3987" w:rsidTr="000548F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E" w:rsidRPr="002A3987" w:rsidRDefault="00DC345E" w:rsidP="000548F8">
            <w:pPr>
              <w:jc w:val="center"/>
            </w:pPr>
          </w:p>
          <w:p w:rsidR="00DC345E" w:rsidRPr="002A3987" w:rsidRDefault="00DC345E" w:rsidP="00780BAF"/>
          <w:p w:rsidR="00DC345E" w:rsidRPr="002A3987" w:rsidRDefault="00DC345E" w:rsidP="00780BAF"/>
          <w:p w:rsidR="005B5959" w:rsidRPr="002A3987" w:rsidRDefault="00F51A5B" w:rsidP="00F51A5B">
            <w:pPr>
              <w:jc w:val="center"/>
            </w:pPr>
            <w:r w:rsidRPr="002A3987">
              <w:t>Renouvellement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E" w:rsidRPr="002A3987" w:rsidRDefault="00DC345E" w:rsidP="000548F8">
            <w:pPr>
              <w:rPr>
                <w:lang w:val="fr-CH"/>
              </w:rPr>
            </w:pPr>
          </w:p>
          <w:p w:rsidR="00DC345E" w:rsidRPr="002A3987" w:rsidRDefault="00E948B9" w:rsidP="00EF2409">
            <w:pPr>
              <w:tabs>
                <w:tab w:val="left" w:pos="483"/>
              </w:tabs>
              <w:ind w:left="483" w:hanging="483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–</w:t>
            </w:r>
            <w:r w:rsidR="00D65E7A"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F51A5B" w:rsidRPr="002A3987">
              <w:rPr>
                <w:rFonts w:eastAsia="MS Mincho"/>
                <w:szCs w:val="22"/>
                <w:lang w:val="fr-CH" w:eastAsia="ja-JP"/>
              </w:rPr>
              <w:t>pour une classe de produits ou services</w:t>
            </w:r>
          </w:p>
          <w:p w:rsidR="00DC345E" w:rsidRPr="002A3987" w:rsidRDefault="00DC345E" w:rsidP="00780BAF">
            <w:pPr>
              <w:rPr>
                <w:rFonts w:eastAsia="MS Mincho"/>
                <w:szCs w:val="22"/>
                <w:lang w:val="fr-CH" w:eastAsia="ja-JP"/>
              </w:rPr>
            </w:pPr>
          </w:p>
          <w:p w:rsidR="00780BAF" w:rsidRPr="002A3987" w:rsidRDefault="00F51A5B" w:rsidP="00F51A5B">
            <w:pPr>
              <w:rPr>
                <w:rFonts w:eastAsia="MS Mincho"/>
                <w:i/>
                <w:szCs w:val="22"/>
                <w:lang w:val="fr-CH" w:eastAsia="ja-JP"/>
              </w:rPr>
            </w:pPr>
            <w:r w:rsidRPr="002A3987">
              <w:rPr>
                <w:rFonts w:eastAsia="MS Mincho"/>
                <w:i/>
                <w:szCs w:val="22"/>
                <w:lang w:val="fr-CH" w:eastAsia="ja-JP"/>
              </w:rPr>
              <w:t>Lorsque le paiement est reçu pendant le délai de grâce</w:t>
            </w:r>
            <w:r w:rsidR="009B0BC2" w:rsidRPr="002A3987">
              <w:rPr>
                <w:rFonts w:eastAsia="MS Mincho"/>
                <w:i/>
                <w:szCs w:val="22"/>
                <w:lang w:val="fr-CH" w:eastAsia="ja-JP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5E" w:rsidRPr="002A3987" w:rsidRDefault="00DC345E" w:rsidP="000548F8">
            <w:pPr>
              <w:rPr>
                <w:lang w:val="fr-CH"/>
              </w:rPr>
            </w:pPr>
          </w:p>
          <w:p w:rsidR="005B5959" w:rsidRPr="002A3987" w:rsidRDefault="00B949D9" w:rsidP="000548F8">
            <w:pPr>
              <w:jc w:val="center"/>
            </w:pPr>
            <w:r w:rsidRPr="002A3987">
              <w:t>269</w:t>
            </w:r>
          </w:p>
        </w:tc>
      </w:tr>
      <w:tr w:rsidR="005B5959" w:rsidRPr="002A3987" w:rsidTr="000548F8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59" w:rsidRPr="002A3987" w:rsidRDefault="005B5959" w:rsidP="000548F8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345E" w:rsidRPr="002A3987" w:rsidRDefault="00DC345E" w:rsidP="000548F8">
            <w:pPr>
              <w:rPr>
                <w:lang w:val="fr-CH"/>
              </w:rPr>
            </w:pPr>
          </w:p>
          <w:p w:rsidR="00DC345E" w:rsidRPr="002A3987" w:rsidRDefault="00E948B9" w:rsidP="00EF2409">
            <w:pPr>
              <w:tabs>
                <w:tab w:val="left" w:pos="483"/>
              </w:tabs>
              <w:ind w:left="483" w:hanging="483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–</w:t>
            </w:r>
            <w:r w:rsidR="00D65E7A"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F51A5B" w:rsidRPr="002A3987">
              <w:rPr>
                <w:rFonts w:eastAsia="MS Mincho"/>
                <w:szCs w:val="22"/>
                <w:lang w:val="fr-CH" w:eastAsia="ja-JP"/>
              </w:rPr>
              <w:t>pour une classe de produits ou services</w:t>
            </w:r>
          </w:p>
          <w:p w:rsidR="00780BAF" w:rsidRPr="002A3987" w:rsidRDefault="00780BAF" w:rsidP="000548F8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345E" w:rsidRPr="002A3987" w:rsidRDefault="00DC345E" w:rsidP="000548F8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DC345E" w:rsidRPr="002A3987" w:rsidRDefault="00B949D9" w:rsidP="000548F8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2A3987">
              <w:rPr>
                <w:rFonts w:eastAsia="MS Mincho"/>
                <w:szCs w:val="22"/>
                <w:lang w:eastAsia="ja-JP"/>
              </w:rPr>
              <w:t>406</w:t>
            </w:r>
          </w:p>
          <w:p w:rsidR="005B5959" w:rsidRPr="002A3987" w:rsidRDefault="005B5959" w:rsidP="000548F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D65E7A" w:rsidRDefault="00D65E7A" w:rsidP="00D65E7A">
      <w:pPr>
        <w:pStyle w:val="ONUMFS"/>
        <w:numPr>
          <w:ilvl w:val="0"/>
          <w:numId w:val="0"/>
        </w:numPr>
        <w:spacing w:after="0"/>
        <w:rPr>
          <w:lang w:val="fr-CH"/>
        </w:rPr>
      </w:pPr>
    </w:p>
    <w:p w:rsidR="00BC4653" w:rsidRDefault="00F51A5B" w:rsidP="002E4BD5">
      <w:pPr>
        <w:pStyle w:val="ONUMFS"/>
        <w:rPr>
          <w:lang w:val="fr-CH"/>
        </w:rPr>
      </w:pPr>
      <w:r w:rsidRPr="002A3987">
        <w:rPr>
          <w:lang w:val="fr-CH" w:eastAsia="ja-JP"/>
        </w:rPr>
        <w:t>La déclaration faite par le Brésil au sujet de la taxe individuelle et la notification concernant le paiement de cette taxe en deux</w:t>
      </w:r>
      <w:r w:rsidR="005C7F4E">
        <w:rPr>
          <w:lang w:val="fr-CH" w:eastAsia="ja-JP"/>
        </w:rPr>
        <w:t> </w:t>
      </w:r>
      <w:r w:rsidRPr="002A3987">
        <w:rPr>
          <w:lang w:val="fr-CH" w:eastAsia="ja-JP"/>
        </w:rPr>
        <w:t>parties prendront effet le 2</w:t>
      </w:r>
      <w:r w:rsidR="00E15DC7" w:rsidRPr="002A3987">
        <w:rPr>
          <w:lang w:val="fr-CH" w:eastAsia="ja-JP"/>
        </w:rPr>
        <w:t> octobre </w:t>
      </w:r>
      <w:r w:rsidRPr="002A3987">
        <w:rPr>
          <w:lang w:val="fr-CH" w:eastAsia="ja-JP"/>
        </w:rPr>
        <w:t>2019.</w:t>
      </w:r>
      <w:r w:rsidR="00937E7E" w:rsidRPr="002A3987">
        <w:rPr>
          <w:lang w:val="fr-CH" w:eastAsia="ja-JP"/>
        </w:rPr>
        <w:t xml:space="preserve">  </w:t>
      </w:r>
      <w:r w:rsidR="00D213B8" w:rsidRPr="002A3987">
        <w:rPr>
          <w:lang w:val="fr-CH" w:eastAsia="ja-JP"/>
        </w:rPr>
        <w:t>Par</w:t>
      </w:r>
      <w:r w:rsidR="00D65E7A">
        <w:rPr>
          <w:lang w:val="fr-CH" w:eastAsia="ja-JP"/>
        </w:rPr>
        <w:t> </w:t>
      </w:r>
      <w:r w:rsidR="00D213B8" w:rsidRPr="002A3987">
        <w:rPr>
          <w:lang w:val="fr-CH" w:eastAsia="ja-JP"/>
        </w:rPr>
        <w:t>conséquent, les montants indiqués ci</w:t>
      </w:r>
      <w:r w:rsidR="004E48B3">
        <w:rPr>
          <w:lang w:val="fr-CH" w:eastAsia="ja-JP"/>
        </w:rPr>
        <w:t>-</w:t>
      </w:r>
      <w:r w:rsidR="00D213B8" w:rsidRPr="002A3987">
        <w:rPr>
          <w:lang w:val="fr-CH" w:eastAsia="ja-JP"/>
        </w:rPr>
        <w:t xml:space="preserve">dessus doivent être payés </w:t>
      </w:r>
      <w:r w:rsidR="00D65E7A">
        <w:rPr>
          <w:lang w:val="fr-CH" w:eastAsia="ja-JP"/>
        </w:rPr>
        <w:t>lorsque le</w:t>
      </w:r>
      <w:r w:rsidR="00D213B8" w:rsidRPr="002A3987">
        <w:rPr>
          <w:lang w:val="fr-CH" w:eastAsia="ja-JP"/>
        </w:rPr>
        <w:t xml:space="preserve"> </w:t>
      </w:r>
      <w:r w:rsidR="00E15DC7" w:rsidRPr="002A3987">
        <w:rPr>
          <w:lang w:val="fr-CH" w:eastAsia="ja-JP"/>
        </w:rPr>
        <w:t>Brésil</w:t>
      </w:r>
      <w:r w:rsidR="004E48B3">
        <w:rPr>
          <w:lang w:val="fr-CH" w:eastAsia="ja-JP"/>
        </w:rPr>
        <w:t> :</w:t>
      </w:r>
    </w:p>
    <w:p w:rsidR="00DC345E" w:rsidRPr="002E4BD5" w:rsidRDefault="00D213B8" w:rsidP="00D65E7A">
      <w:pPr>
        <w:pStyle w:val="ONUMFS"/>
        <w:numPr>
          <w:ilvl w:val="1"/>
          <w:numId w:val="7"/>
        </w:numPr>
        <w:ind w:left="0" w:firstLine="567"/>
        <w:rPr>
          <w:lang w:val="fr-CH" w:eastAsia="ja-JP"/>
        </w:rPr>
      </w:pPr>
      <w:r w:rsidRPr="002A3987">
        <w:rPr>
          <w:lang w:val="fr-CH" w:eastAsia="ja-JP"/>
        </w:rPr>
        <w:t>est désigné dans une demande inte</w:t>
      </w:r>
      <w:r w:rsidR="00E15DC7" w:rsidRPr="002A3987">
        <w:rPr>
          <w:lang w:val="fr-CH" w:eastAsia="ja-JP"/>
        </w:rPr>
        <w:t>rnationale qui est reçue par l</w:t>
      </w:r>
      <w:r w:rsidR="004E48B3">
        <w:rPr>
          <w:lang w:val="fr-CH" w:eastAsia="ja-JP"/>
        </w:rPr>
        <w:t>’</w:t>
      </w:r>
      <w:r w:rsidR="00E15DC7" w:rsidRPr="002A3987">
        <w:rPr>
          <w:lang w:val="fr-CH" w:eastAsia="ja-JP"/>
        </w:rPr>
        <w:t>o</w:t>
      </w:r>
      <w:r w:rsidRPr="002A3987">
        <w:rPr>
          <w:lang w:val="fr-CH" w:eastAsia="ja-JP"/>
        </w:rPr>
        <w:t>ffice d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origine à cette date ou à une date ultérie</w:t>
      </w:r>
      <w:r w:rsidR="00E15DC7" w:rsidRPr="002A3987">
        <w:rPr>
          <w:lang w:val="fr-CH" w:eastAsia="ja-JP"/>
        </w:rPr>
        <w:t>ure</w:t>
      </w:r>
      <w:r w:rsidRPr="002A3987">
        <w:rPr>
          <w:lang w:val="fr-CH" w:eastAsia="ja-JP"/>
        </w:rPr>
        <w:t xml:space="preserve">; </w:t>
      </w:r>
      <w:r w:rsidR="009B0BC2" w:rsidRPr="002A3987">
        <w:rPr>
          <w:lang w:val="fr-CH" w:eastAsia="ja-JP"/>
        </w:rPr>
        <w:t xml:space="preserve"> </w:t>
      </w:r>
      <w:r w:rsidRPr="002A3987">
        <w:rPr>
          <w:lang w:val="fr-CH" w:eastAsia="ja-JP"/>
        </w:rPr>
        <w:t>ou</w:t>
      </w:r>
    </w:p>
    <w:p w:rsidR="00DC345E" w:rsidRPr="002E4BD5" w:rsidRDefault="00D213B8" w:rsidP="00D65E7A">
      <w:pPr>
        <w:pStyle w:val="ONUMFS"/>
        <w:numPr>
          <w:ilvl w:val="1"/>
          <w:numId w:val="7"/>
        </w:numPr>
        <w:ind w:left="0" w:firstLine="567"/>
        <w:rPr>
          <w:lang w:val="fr-CH" w:eastAsia="ja-JP"/>
        </w:rPr>
      </w:pPr>
      <w:r w:rsidRPr="002A3987">
        <w:rPr>
          <w:lang w:val="fr-CH" w:eastAsia="ja-JP"/>
        </w:rPr>
        <w:t>fait l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objet d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une désignation p</w:t>
      </w:r>
      <w:r w:rsidR="00E15DC7" w:rsidRPr="002A3987">
        <w:rPr>
          <w:lang w:val="fr-CH" w:eastAsia="ja-JP"/>
        </w:rPr>
        <w:t>ostérieure qui est reçue par l</w:t>
      </w:r>
      <w:r w:rsidR="004E48B3">
        <w:rPr>
          <w:lang w:val="fr-CH" w:eastAsia="ja-JP"/>
        </w:rPr>
        <w:t>’</w:t>
      </w:r>
      <w:r w:rsidR="00E15DC7" w:rsidRPr="002A3987">
        <w:rPr>
          <w:lang w:val="fr-CH" w:eastAsia="ja-JP"/>
        </w:rPr>
        <w:t>o</w:t>
      </w:r>
      <w:r w:rsidRPr="002A3987">
        <w:rPr>
          <w:lang w:val="fr-CH" w:eastAsia="ja-JP"/>
        </w:rPr>
        <w:t xml:space="preserve">ffice de la partie contractante du titulaire ou </w:t>
      </w:r>
      <w:r w:rsidR="00D65E7A">
        <w:rPr>
          <w:lang w:val="fr-CH" w:eastAsia="ja-JP"/>
        </w:rPr>
        <w:t xml:space="preserve">présentée </w:t>
      </w:r>
      <w:r w:rsidRPr="002A3987">
        <w:rPr>
          <w:lang w:val="fr-CH" w:eastAsia="ja-JP"/>
        </w:rPr>
        <w:t xml:space="preserve">directement auprès du Bureau </w:t>
      </w:r>
      <w:r w:rsidR="006037FF">
        <w:rPr>
          <w:lang w:val="fr-CH" w:eastAsia="ja-JP"/>
        </w:rPr>
        <w:t>i</w:t>
      </w:r>
      <w:r w:rsidRPr="002A3987">
        <w:rPr>
          <w:lang w:val="fr-CH" w:eastAsia="ja-JP"/>
        </w:rPr>
        <w:t>nternational de l</w:t>
      </w:r>
      <w:r w:rsidR="004E48B3">
        <w:rPr>
          <w:lang w:val="fr-CH" w:eastAsia="ja-JP"/>
        </w:rPr>
        <w:t>’</w:t>
      </w:r>
      <w:r w:rsidRPr="002A3987">
        <w:rPr>
          <w:lang w:val="fr-CH" w:eastAsia="ja-JP"/>
        </w:rPr>
        <w:t>OMPI à cette date ou à une date</w:t>
      </w:r>
      <w:r w:rsidR="00E15DC7" w:rsidRPr="002A3987">
        <w:rPr>
          <w:lang w:val="fr-CH" w:eastAsia="ja-JP"/>
        </w:rPr>
        <w:t xml:space="preserve"> ultérieure</w:t>
      </w:r>
      <w:r w:rsidRPr="002A3987">
        <w:rPr>
          <w:lang w:val="fr-CH" w:eastAsia="ja-JP"/>
        </w:rPr>
        <w:t xml:space="preserve">; </w:t>
      </w:r>
      <w:r w:rsidR="009B0BC2" w:rsidRPr="002A3987">
        <w:rPr>
          <w:lang w:val="fr-CH" w:eastAsia="ja-JP"/>
        </w:rPr>
        <w:t xml:space="preserve"> </w:t>
      </w:r>
      <w:r w:rsidRPr="002A3987">
        <w:rPr>
          <w:lang w:val="fr-CH" w:eastAsia="ja-JP"/>
        </w:rPr>
        <w:t>ou</w:t>
      </w:r>
    </w:p>
    <w:p w:rsidR="00DC345E" w:rsidRPr="00243803" w:rsidRDefault="00E15DC7" w:rsidP="00D65E7A">
      <w:pPr>
        <w:pStyle w:val="ONUMFS"/>
        <w:numPr>
          <w:ilvl w:val="1"/>
          <w:numId w:val="7"/>
        </w:numPr>
        <w:ind w:left="0" w:firstLine="567"/>
        <w:rPr>
          <w:lang w:val="fr-CH" w:eastAsia="ja-JP"/>
        </w:rPr>
      </w:pPr>
      <w:r w:rsidRPr="002A3987">
        <w:rPr>
          <w:lang w:val="fr-CH" w:eastAsia="ja-JP"/>
        </w:rPr>
        <w:t>a été désigné</w:t>
      </w:r>
      <w:r w:rsidR="00141463" w:rsidRPr="002A3987">
        <w:rPr>
          <w:lang w:val="fr-CH" w:eastAsia="ja-JP"/>
        </w:rPr>
        <w:t xml:space="preserve"> dans un enregistrement international qui est renouvelé à cette date ou à une date ultérieure.</w:t>
      </w:r>
    </w:p>
    <w:p w:rsidR="00DC345E" w:rsidRPr="002A3987" w:rsidRDefault="00DC345E" w:rsidP="00726526">
      <w:pPr>
        <w:autoSpaceDE w:val="0"/>
        <w:autoSpaceDN w:val="0"/>
        <w:adjustRightInd w:val="0"/>
        <w:ind w:firstLine="567"/>
        <w:rPr>
          <w:lang w:val="fr-CH" w:eastAsia="ja-JP"/>
        </w:rPr>
      </w:pPr>
    </w:p>
    <w:p w:rsidR="00163F61" w:rsidRPr="002A3987" w:rsidRDefault="002E4BD5" w:rsidP="004E48B3">
      <w:pPr>
        <w:pStyle w:val="Endofdocument-Annex"/>
      </w:pPr>
      <w:r>
        <w:t xml:space="preserve">Le </w:t>
      </w:r>
      <w:r w:rsidR="00922E65">
        <w:t>1</w:t>
      </w:r>
      <w:r w:rsidR="006614B6">
        <w:t>6</w:t>
      </w:r>
      <w:bookmarkStart w:id="1" w:name="_GoBack"/>
      <w:bookmarkEnd w:id="1"/>
      <w:r w:rsidR="00141463" w:rsidRPr="002A3987">
        <w:t xml:space="preserve"> août</w:t>
      </w:r>
      <w:r w:rsidR="009B0BC2" w:rsidRPr="002A3987">
        <w:t> </w:t>
      </w:r>
      <w:r w:rsidR="00141463" w:rsidRPr="002A3987">
        <w:t>2019</w:t>
      </w:r>
    </w:p>
    <w:sectPr w:rsidR="00163F61" w:rsidRPr="002A3987" w:rsidSect="00317879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8A" w:rsidRDefault="00742B8A">
      <w:r>
        <w:separator/>
      </w:r>
    </w:p>
  </w:endnote>
  <w:endnote w:type="continuationSeparator" w:id="0">
    <w:p w:rsidR="00742B8A" w:rsidRDefault="00742B8A" w:rsidP="003B38C1">
      <w:r>
        <w:separator/>
      </w:r>
    </w:p>
    <w:p w:rsidR="00742B8A" w:rsidRPr="003B38C1" w:rsidRDefault="00742B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2B8A" w:rsidRPr="003B38C1" w:rsidRDefault="00742B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8A" w:rsidRDefault="00742B8A">
      <w:r>
        <w:separator/>
      </w:r>
    </w:p>
  </w:footnote>
  <w:footnote w:type="continuationSeparator" w:id="0">
    <w:p w:rsidR="00742B8A" w:rsidRDefault="00742B8A" w:rsidP="008B60B2">
      <w:r>
        <w:separator/>
      </w:r>
    </w:p>
    <w:p w:rsidR="00742B8A" w:rsidRPr="00ED77FB" w:rsidRDefault="00742B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2B8A" w:rsidRPr="00ED77FB" w:rsidRDefault="00742B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79" w:rsidRDefault="00317879" w:rsidP="00317879">
    <w:pPr>
      <w:jc w:val="right"/>
    </w:pPr>
  </w:p>
  <w:p w:rsidR="00317879" w:rsidRDefault="00317879" w:rsidP="0031787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614B6">
      <w:rPr>
        <w:noProof/>
      </w:rPr>
      <w:t>2</w:t>
    </w:r>
    <w:r>
      <w:fldChar w:fldCharType="end"/>
    </w:r>
  </w:p>
  <w:p w:rsidR="00317879" w:rsidRDefault="00317879" w:rsidP="00317879">
    <w:pPr>
      <w:jc w:val="right"/>
    </w:pPr>
  </w:p>
  <w:p w:rsidR="007476F9" w:rsidRDefault="007476F9" w:rsidP="0031787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Code2"/>
  <w:bookmarkEnd w:id="2"/>
  <w:p w:rsidR="00163F61" w:rsidRDefault="00317879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7879" w:rsidRDefault="00A76869" w:rsidP="00A76869">
                          <w:pPr>
                            <w:jc w:val="center"/>
                          </w:pPr>
                          <w:r w:rsidRPr="00A768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317879" w:rsidRDefault="00A76869" w:rsidP="00A76869">
                    <w:pPr>
                      <w:jc w:val="center"/>
                    </w:pPr>
                    <w:r w:rsidRPr="00A768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63F61" w:rsidRDefault="001E2A93" w:rsidP="00477D6B">
    <w:pPr>
      <w:jc w:val="right"/>
    </w:pPr>
    <w:r>
      <w:t>p</w:t>
    </w:r>
    <w:r w:rsidR="00163F61">
      <w:t>age</w:t>
    </w:r>
    <w:r w:rsidR="009B0BC2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1463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56338"/>
    <w:rsid w:val="000617A9"/>
    <w:rsid w:val="0006182B"/>
    <w:rsid w:val="00065151"/>
    <w:rsid w:val="000728FF"/>
    <w:rsid w:val="00075432"/>
    <w:rsid w:val="000819E3"/>
    <w:rsid w:val="00091B63"/>
    <w:rsid w:val="00094744"/>
    <w:rsid w:val="000968ED"/>
    <w:rsid w:val="00096C3E"/>
    <w:rsid w:val="000A525D"/>
    <w:rsid w:val="000A7AE8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41463"/>
    <w:rsid w:val="0014550D"/>
    <w:rsid w:val="0015037D"/>
    <w:rsid w:val="00153AE0"/>
    <w:rsid w:val="00155887"/>
    <w:rsid w:val="00163F61"/>
    <w:rsid w:val="00166299"/>
    <w:rsid w:val="00167CBF"/>
    <w:rsid w:val="001744B8"/>
    <w:rsid w:val="001809F6"/>
    <w:rsid w:val="00182AAC"/>
    <w:rsid w:val="00182BF8"/>
    <w:rsid w:val="001832A6"/>
    <w:rsid w:val="0018470B"/>
    <w:rsid w:val="00185E31"/>
    <w:rsid w:val="00186DE1"/>
    <w:rsid w:val="0019336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4F0"/>
    <w:rsid w:val="0020258E"/>
    <w:rsid w:val="00203F6A"/>
    <w:rsid w:val="0020551F"/>
    <w:rsid w:val="00210DFB"/>
    <w:rsid w:val="0022493E"/>
    <w:rsid w:val="00224A8A"/>
    <w:rsid w:val="002408FD"/>
    <w:rsid w:val="00243803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A3987"/>
    <w:rsid w:val="002B083B"/>
    <w:rsid w:val="002B1332"/>
    <w:rsid w:val="002B4D5C"/>
    <w:rsid w:val="002B6590"/>
    <w:rsid w:val="002C1554"/>
    <w:rsid w:val="002C168C"/>
    <w:rsid w:val="002C38D8"/>
    <w:rsid w:val="002C544F"/>
    <w:rsid w:val="002D1DB5"/>
    <w:rsid w:val="002E1DA7"/>
    <w:rsid w:val="002E4BD5"/>
    <w:rsid w:val="002F016B"/>
    <w:rsid w:val="002F1FE6"/>
    <w:rsid w:val="002F4E68"/>
    <w:rsid w:val="002F589C"/>
    <w:rsid w:val="002F5E7F"/>
    <w:rsid w:val="00310353"/>
    <w:rsid w:val="00312F7F"/>
    <w:rsid w:val="00317670"/>
    <w:rsid w:val="00317879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4FAB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2F96"/>
    <w:rsid w:val="00423E3E"/>
    <w:rsid w:val="00427AF4"/>
    <w:rsid w:val="0044190E"/>
    <w:rsid w:val="00446070"/>
    <w:rsid w:val="004630B4"/>
    <w:rsid w:val="004647DA"/>
    <w:rsid w:val="00466BC7"/>
    <w:rsid w:val="0047006A"/>
    <w:rsid w:val="00474062"/>
    <w:rsid w:val="00477D6B"/>
    <w:rsid w:val="00477EF9"/>
    <w:rsid w:val="00485835"/>
    <w:rsid w:val="00487120"/>
    <w:rsid w:val="004936FC"/>
    <w:rsid w:val="004947C5"/>
    <w:rsid w:val="004B0093"/>
    <w:rsid w:val="004B336C"/>
    <w:rsid w:val="004B5ACF"/>
    <w:rsid w:val="004C7C7E"/>
    <w:rsid w:val="004E0906"/>
    <w:rsid w:val="004E48B3"/>
    <w:rsid w:val="004F1257"/>
    <w:rsid w:val="004F5A30"/>
    <w:rsid w:val="005019FF"/>
    <w:rsid w:val="005243B1"/>
    <w:rsid w:val="0053057A"/>
    <w:rsid w:val="00533292"/>
    <w:rsid w:val="00535240"/>
    <w:rsid w:val="00546473"/>
    <w:rsid w:val="00546A94"/>
    <w:rsid w:val="005470BE"/>
    <w:rsid w:val="005471CD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B5959"/>
    <w:rsid w:val="005C3A98"/>
    <w:rsid w:val="005C6649"/>
    <w:rsid w:val="005C720D"/>
    <w:rsid w:val="005C7F4E"/>
    <w:rsid w:val="005F2F3B"/>
    <w:rsid w:val="006037FF"/>
    <w:rsid w:val="00605665"/>
    <w:rsid w:val="00605827"/>
    <w:rsid w:val="00606897"/>
    <w:rsid w:val="00613E9E"/>
    <w:rsid w:val="00623F42"/>
    <w:rsid w:val="0062443B"/>
    <w:rsid w:val="00633065"/>
    <w:rsid w:val="00635BD2"/>
    <w:rsid w:val="006441AE"/>
    <w:rsid w:val="00644AA2"/>
    <w:rsid w:val="00646050"/>
    <w:rsid w:val="00647B0C"/>
    <w:rsid w:val="00650398"/>
    <w:rsid w:val="0065095D"/>
    <w:rsid w:val="00654AE9"/>
    <w:rsid w:val="006614B6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A77E8"/>
    <w:rsid w:val="006D1756"/>
    <w:rsid w:val="006D3B03"/>
    <w:rsid w:val="006D5212"/>
    <w:rsid w:val="006D529E"/>
    <w:rsid w:val="006E2646"/>
    <w:rsid w:val="006E454A"/>
    <w:rsid w:val="006F073B"/>
    <w:rsid w:val="006F33FF"/>
    <w:rsid w:val="007146EE"/>
    <w:rsid w:val="007227A5"/>
    <w:rsid w:val="00726526"/>
    <w:rsid w:val="007303D8"/>
    <w:rsid w:val="00732653"/>
    <w:rsid w:val="00742B8A"/>
    <w:rsid w:val="007476F9"/>
    <w:rsid w:val="007518A5"/>
    <w:rsid w:val="00755ED6"/>
    <w:rsid w:val="00767C4D"/>
    <w:rsid w:val="007721AA"/>
    <w:rsid w:val="00773CE3"/>
    <w:rsid w:val="00775EBD"/>
    <w:rsid w:val="007760BE"/>
    <w:rsid w:val="00780BAF"/>
    <w:rsid w:val="00781BFF"/>
    <w:rsid w:val="00782581"/>
    <w:rsid w:val="00790A94"/>
    <w:rsid w:val="007A0427"/>
    <w:rsid w:val="007A0D38"/>
    <w:rsid w:val="007A1B85"/>
    <w:rsid w:val="007A535D"/>
    <w:rsid w:val="007B0A4A"/>
    <w:rsid w:val="007B3187"/>
    <w:rsid w:val="007B4E80"/>
    <w:rsid w:val="007B7F73"/>
    <w:rsid w:val="007C3E9B"/>
    <w:rsid w:val="007C7867"/>
    <w:rsid w:val="007D1613"/>
    <w:rsid w:val="007D1ACD"/>
    <w:rsid w:val="007D250A"/>
    <w:rsid w:val="007D6EAD"/>
    <w:rsid w:val="007E5906"/>
    <w:rsid w:val="007F4D09"/>
    <w:rsid w:val="007F62D1"/>
    <w:rsid w:val="00804EC4"/>
    <w:rsid w:val="0080575D"/>
    <w:rsid w:val="00807E97"/>
    <w:rsid w:val="00817BE2"/>
    <w:rsid w:val="00821CCA"/>
    <w:rsid w:val="0082386D"/>
    <w:rsid w:val="008342EE"/>
    <w:rsid w:val="00836B65"/>
    <w:rsid w:val="008417F9"/>
    <w:rsid w:val="008429AA"/>
    <w:rsid w:val="008456FA"/>
    <w:rsid w:val="00853FA8"/>
    <w:rsid w:val="00854071"/>
    <w:rsid w:val="00870C43"/>
    <w:rsid w:val="00871B8A"/>
    <w:rsid w:val="00874D58"/>
    <w:rsid w:val="008769B5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27CC"/>
    <w:rsid w:val="008D4399"/>
    <w:rsid w:val="008D4889"/>
    <w:rsid w:val="008E237E"/>
    <w:rsid w:val="008E25A7"/>
    <w:rsid w:val="008F1F70"/>
    <w:rsid w:val="008F6741"/>
    <w:rsid w:val="0090731E"/>
    <w:rsid w:val="009073C6"/>
    <w:rsid w:val="009120E8"/>
    <w:rsid w:val="0091303D"/>
    <w:rsid w:val="00916EE2"/>
    <w:rsid w:val="00922789"/>
    <w:rsid w:val="00922E65"/>
    <w:rsid w:val="00930787"/>
    <w:rsid w:val="009339C5"/>
    <w:rsid w:val="009378BE"/>
    <w:rsid w:val="00937E7E"/>
    <w:rsid w:val="00940793"/>
    <w:rsid w:val="00943E32"/>
    <w:rsid w:val="009449F2"/>
    <w:rsid w:val="00954B96"/>
    <w:rsid w:val="00964641"/>
    <w:rsid w:val="00965EC2"/>
    <w:rsid w:val="00966A22"/>
    <w:rsid w:val="0096722F"/>
    <w:rsid w:val="0097652C"/>
    <w:rsid w:val="00980843"/>
    <w:rsid w:val="009820CB"/>
    <w:rsid w:val="009838ED"/>
    <w:rsid w:val="00987E9A"/>
    <w:rsid w:val="00990667"/>
    <w:rsid w:val="00997AAD"/>
    <w:rsid w:val="009A591F"/>
    <w:rsid w:val="009B0BC2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76869"/>
    <w:rsid w:val="00A869B7"/>
    <w:rsid w:val="00A94E39"/>
    <w:rsid w:val="00AA1EEF"/>
    <w:rsid w:val="00AB61EE"/>
    <w:rsid w:val="00AC205C"/>
    <w:rsid w:val="00AC76CA"/>
    <w:rsid w:val="00AD38EE"/>
    <w:rsid w:val="00AE22A4"/>
    <w:rsid w:val="00AF0A6B"/>
    <w:rsid w:val="00AF510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019"/>
    <w:rsid w:val="00B45E31"/>
    <w:rsid w:val="00B46D7E"/>
    <w:rsid w:val="00B527BA"/>
    <w:rsid w:val="00B54D7D"/>
    <w:rsid w:val="00B71605"/>
    <w:rsid w:val="00B73A4C"/>
    <w:rsid w:val="00B76AB1"/>
    <w:rsid w:val="00B83157"/>
    <w:rsid w:val="00B83ABD"/>
    <w:rsid w:val="00B8432D"/>
    <w:rsid w:val="00B85937"/>
    <w:rsid w:val="00B86782"/>
    <w:rsid w:val="00B949D9"/>
    <w:rsid w:val="00B9734B"/>
    <w:rsid w:val="00B97A85"/>
    <w:rsid w:val="00BA4AA6"/>
    <w:rsid w:val="00BA59F8"/>
    <w:rsid w:val="00BA63F6"/>
    <w:rsid w:val="00BA6D39"/>
    <w:rsid w:val="00BA6DE5"/>
    <w:rsid w:val="00BB30F3"/>
    <w:rsid w:val="00BB78C7"/>
    <w:rsid w:val="00BC4653"/>
    <w:rsid w:val="00BD0D9A"/>
    <w:rsid w:val="00BD1BF1"/>
    <w:rsid w:val="00BD1ECD"/>
    <w:rsid w:val="00BE55D6"/>
    <w:rsid w:val="00BE5857"/>
    <w:rsid w:val="00C11BFE"/>
    <w:rsid w:val="00C146FC"/>
    <w:rsid w:val="00C21B74"/>
    <w:rsid w:val="00C32F61"/>
    <w:rsid w:val="00C45163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0440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0AF2"/>
    <w:rsid w:val="00D125CE"/>
    <w:rsid w:val="00D213B8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3FE5"/>
    <w:rsid w:val="00D56250"/>
    <w:rsid w:val="00D5674D"/>
    <w:rsid w:val="00D57075"/>
    <w:rsid w:val="00D57F87"/>
    <w:rsid w:val="00D57F90"/>
    <w:rsid w:val="00D6218A"/>
    <w:rsid w:val="00D65E7A"/>
    <w:rsid w:val="00D71B4D"/>
    <w:rsid w:val="00D72E57"/>
    <w:rsid w:val="00D75D5C"/>
    <w:rsid w:val="00D76F38"/>
    <w:rsid w:val="00D826FA"/>
    <w:rsid w:val="00D865D9"/>
    <w:rsid w:val="00D90EE5"/>
    <w:rsid w:val="00D93D55"/>
    <w:rsid w:val="00D94C31"/>
    <w:rsid w:val="00DB39A3"/>
    <w:rsid w:val="00DB42CB"/>
    <w:rsid w:val="00DB605B"/>
    <w:rsid w:val="00DC0B6F"/>
    <w:rsid w:val="00DC345E"/>
    <w:rsid w:val="00DC3E50"/>
    <w:rsid w:val="00DC7438"/>
    <w:rsid w:val="00DD24CF"/>
    <w:rsid w:val="00DE662B"/>
    <w:rsid w:val="00E125BE"/>
    <w:rsid w:val="00E15DC7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948B9"/>
    <w:rsid w:val="00EA50CC"/>
    <w:rsid w:val="00EA572E"/>
    <w:rsid w:val="00EB2416"/>
    <w:rsid w:val="00EB50E5"/>
    <w:rsid w:val="00EB5999"/>
    <w:rsid w:val="00EB6BFA"/>
    <w:rsid w:val="00EC23FC"/>
    <w:rsid w:val="00EC4E49"/>
    <w:rsid w:val="00ED4C4F"/>
    <w:rsid w:val="00ED77FB"/>
    <w:rsid w:val="00EE45FA"/>
    <w:rsid w:val="00EE5748"/>
    <w:rsid w:val="00EF0146"/>
    <w:rsid w:val="00EF0FAD"/>
    <w:rsid w:val="00EF2409"/>
    <w:rsid w:val="00F0529F"/>
    <w:rsid w:val="00F06DF3"/>
    <w:rsid w:val="00F0720F"/>
    <w:rsid w:val="00F201C4"/>
    <w:rsid w:val="00F30457"/>
    <w:rsid w:val="00F366B9"/>
    <w:rsid w:val="00F51A5B"/>
    <w:rsid w:val="00F51F3E"/>
    <w:rsid w:val="00F52AC0"/>
    <w:rsid w:val="00F62245"/>
    <w:rsid w:val="00F62CDB"/>
    <w:rsid w:val="00F63BF2"/>
    <w:rsid w:val="00F64B5E"/>
    <w:rsid w:val="00F66152"/>
    <w:rsid w:val="00F730F2"/>
    <w:rsid w:val="00F73F0A"/>
    <w:rsid w:val="00F75514"/>
    <w:rsid w:val="00F7721F"/>
    <w:rsid w:val="00F80533"/>
    <w:rsid w:val="00F820C6"/>
    <w:rsid w:val="00F8475A"/>
    <w:rsid w:val="00F977D3"/>
    <w:rsid w:val="00FA2663"/>
    <w:rsid w:val="00FB3AF4"/>
    <w:rsid w:val="00FC379F"/>
    <w:rsid w:val="00FC3D36"/>
    <w:rsid w:val="00FC4A98"/>
    <w:rsid w:val="00FC4BAD"/>
    <w:rsid w:val="00FC4C8A"/>
    <w:rsid w:val="00FD0590"/>
    <w:rsid w:val="00FD69F1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73ACD53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639</Words>
  <Characters>3432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20</cp:revision>
  <cp:lastPrinted>2019-08-07T09:27:00Z</cp:lastPrinted>
  <dcterms:created xsi:type="dcterms:W3CDTF">2019-08-07T14:43:00Z</dcterms:created>
  <dcterms:modified xsi:type="dcterms:W3CDTF">2019-08-16T07:29:00Z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615f8d91-1093-4cab-aaba-3122bfbdd457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