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21DD" w:rsidRDefault="003E21DD" w:rsidP="00916EE2">
            <w:pPr>
              <w:rPr>
                <w:lang w:val="fr-FR"/>
              </w:rPr>
            </w:pPr>
          </w:p>
          <w:p w:rsidR="00EC4E49" w:rsidRPr="003E21DD" w:rsidRDefault="00EC4E49" w:rsidP="003E21DD">
            <w:pPr>
              <w:tabs>
                <w:tab w:val="left" w:pos="1493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B33D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CA5930">
              <w:rPr>
                <w:rFonts w:ascii="Arial Black" w:hAnsi="Arial Black"/>
                <w:caps/>
                <w:sz w:val="15"/>
                <w:lang w:val="fr-FR"/>
              </w:rPr>
              <w:t>39</w:t>
            </w:r>
            <w:r w:rsidR="00110E4D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87B5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FB3748" w:rsidRPr="00794B45">
        <w:rPr>
          <w:b/>
          <w:bCs/>
          <w:sz w:val="24"/>
          <w:szCs w:val="24"/>
          <w:lang w:val="fr-FR"/>
        </w:rPr>
        <w:t>selon les</w:t>
      </w:r>
      <w:r w:rsidR="000C3DE8" w:rsidRPr="00794B45">
        <w:rPr>
          <w:b/>
          <w:bCs/>
          <w:sz w:val="24"/>
          <w:szCs w:val="24"/>
          <w:lang w:val="fr-FR"/>
        </w:rPr>
        <w:t xml:space="preserve"> nouvelles règles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et 40.6)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8E1BAB" w:rsidRPr="008E1BAB">
        <w:rPr>
          <w:b/>
          <w:bCs/>
          <w:sz w:val="24"/>
          <w:szCs w:val="24"/>
          <w:lang w:val="fr-FR"/>
        </w:rPr>
        <w:t>Bélarus</w:t>
      </w:r>
    </w:p>
    <w:p w:rsidR="00405743" w:rsidRPr="00794B45" w:rsidRDefault="000C3DE8" w:rsidP="008E1BAB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</w:t>
      </w:r>
      <w:r w:rsidR="008E1BAB">
        <w:rPr>
          <w:lang w:val="fr-FR"/>
        </w:rPr>
        <w:t xml:space="preserve">du </w:t>
      </w:r>
      <w:r w:rsidR="008E1BAB" w:rsidRPr="008E1BAB">
        <w:rPr>
          <w:lang w:val="fr-FR"/>
        </w:rPr>
        <w:t xml:space="preserve">Bélarus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Organisation Mondiale de la Propriété Intellectuelle (OMPI) conformément aux nouvelles règles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et 40.6)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Pr="00794B45">
        <w:rPr>
          <w:lang w:val="fr-FR"/>
        </w:rPr>
        <w:t xml:space="preserve">), qui </w:t>
      </w:r>
      <w:r w:rsidR="00BC5322">
        <w:rPr>
          <w:lang w:val="fr-FR"/>
        </w:rPr>
        <w:t>sont entrées</w:t>
      </w:r>
      <w:r w:rsidRPr="00794B45">
        <w:rPr>
          <w:lang w:val="fr-FR"/>
        </w:rPr>
        <w:t xml:space="preserve"> en vigueur le</w:t>
      </w:r>
      <w:r w:rsidR="00DA10FE">
        <w:rPr>
          <w:lang w:val="fr-FR"/>
        </w:rPr>
        <w:t> </w:t>
      </w:r>
      <w:r w:rsidR="00405743" w:rsidRPr="00794B45">
        <w:rPr>
          <w:lang w:val="fr-FR"/>
        </w:rPr>
        <w:t>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D053EC" w:rsidRDefault="00D053EC" w:rsidP="006D029E">
      <w:pPr>
        <w:pStyle w:val="ONUMFS"/>
        <w:rPr>
          <w:lang w:val="fr-FR"/>
        </w:rPr>
      </w:pPr>
      <w:r>
        <w:rPr>
          <w:lang w:val="fr-FR"/>
        </w:rPr>
        <w:t>Selon cette notification :</w:t>
      </w:r>
    </w:p>
    <w:p w:rsidR="00D053EC" w:rsidRDefault="00D053EC" w:rsidP="00124BFF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>la nouvelle règle 27</w:t>
      </w:r>
      <w:r w:rsidRPr="00D053EC">
        <w:rPr>
          <w:i/>
          <w:lang w:val="fr-FR"/>
        </w:rPr>
        <w:t>bis</w:t>
      </w:r>
      <w:r>
        <w:rPr>
          <w:lang w:val="fr-FR"/>
        </w:rPr>
        <w:t xml:space="preserve">.1) </w:t>
      </w:r>
      <w:r w:rsidRPr="00794B45">
        <w:rPr>
          <w:lang w:val="fr-FR"/>
        </w:rPr>
        <w:t>du règlement d’exécution commun</w:t>
      </w:r>
      <w:r>
        <w:rPr>
          <w:lang w:val="fr-FR"/>
        </w:rPr>
        <w:t xml:space="preserve"> </w:t>
      </w:r>
      <w:r w:rsidR="00124BFF">
        <w:rPr>
          <w:lang w:val="fr-FR"/>
        </w:rPr>
        <w:t xml:space="preserve">qui </w:t>
      </w:r>
      <w:r w:rsidR="00A17952">
        <w:rPr>
          <w:lang w:val="fr-FR"/>
        </w:rPr>
        <w:t xml:space="preserve">prévoit </w:t>
      </w:r>
      <w:r w:rsidR="00124BFF" w:rsidRPr="00124BFF">
        <w:rPr>
          <w:lang w:val="fr-FR"/>
        </w:rPr>
        <w:t xml:space="preserve">la possibilité de </w:t>
      </w:r>
      <w:r w:rsidR="00A17952">
        <w:rPr>
          <w:lang w:val="fr-FR"/>
        </w:rPr>
        <w:t>présenter une demande de</w:t>
      </w:r>
      <w:r w:rsidR="00124BFF" w:rsidRPr="00124BFF">
        <w:rPr>
          <w:lang w:val="fr-FR"/>
        </w:rPr>
        <w:t xml:space="preserve"> division </w:t>
      </w:r>
      <w:r>
        <w:rPr>
          <w:lang w:val="fr-FR"/>
        </w:rPr>
        <w:t xml:space="preserve">n’est pas compatible avec la législation </w:t>
      </w:r>
      <w:r w:rsidR="008E1BAB">
        <w:rPr>
          <w:lang w:val="fr-FR"/>
        </w:rPr>
        <w:t xml:space="preserve">du </w:t>
      </w:r>
      <w:r w:rsidR="008E1BAB" w:rsidRPr="008E1BAB">
        <w:rPr>
          <w:lang w:val="fr-FR"/>
        </w:rPr>
        <w:t xml:space="preserve">Bélarus </w:t>
      </w:r>
      <w:r>
        <w:rPr>
          <w:lang w:val="fr-FR"/>
        </w:rPr>
        <w:t xml:space="preserve">et ne s’applique pas à l’égard </w:t>
      </w:r>
      <w:r w:rsidR="008E1BAB">
        <w:rPr>
          <w:lang w:val="fr-FR"/>
        </w:rPr>
        <w:t xml:space="preserve">du </w:t>
      </w:r>
      <w:r w:rsidR="008E1BAB" w:rsidRPr="008E1BAB">
        <w:rPr>
          <w:lang w:val="fr-FR"/>
        </w:rPr>
        <w:t>Bélarus</w:t>
      </w:r>
      <w:r>
        <w:rPr>
          <w:lang w:val="fr-FR"/>
        </w:rPr>
        <w:t>;  et,</w:t>
      </w:r>
    </w:p>
    <w:p w:rsidR="00D053EC" w:rsidRPr="00D053EC" w:rsidRDefault="00D053EC" w:rsidP="00D053EC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la législation </w:t>
      </w:r>
      <w:r w:rsidR="008E1BAB">
        <w:rPr>
          <w:lang w:val="fr-FR"/>
        </w:rPr>
        <w:t xml:space="preserve">du </w:t>
      </w:r>
      <w:r w:rsidR="008E1BAB" w:rsidRPr="008E1BAB">
        <w:rPr>
          <w:lang w:val="fr-FR"/>
        </w:rPr>
        <w:t xml:space="preserve">Bélarus </w:t>
      </w:r>
      <w:r>
        <w:rPr>
          <w:lang w:val="fr-FR"/>
        </w:rPr>
        <w:t xml:space="preserve">ne prévoit pas </w:t>
      </w:r>
      <w:r w:rsidRPr="00D053EC">
        <w:rPr>
          <w:lang w:val="fr-FR"/>
        </w:rPr>
        <w:t>la fusion d’enregistrements de marques</w:t>
      </w:r>
      <w:r>
        <w:rPr>
          <w:lang w:val="fr-FR"/>
        </w:rPr>
        <w:t>.</w:t>
      </w:r>
    </w:p>
    <w:p w:rsidR="00D053EC" w:rsidRPr="00D053EC" w:rsidRDefault="00D053EC" w:rsidP="00D053EC">
      <w:pPr>
        <w:pStyle w:val="ONUMFS"/>
        <w:rPr>
          <w:lang w:val="fr-FR"/>
        </w:rPr>
      </w:pPr>
      <w:r w:rsidRPr="00D053EC">
        <w:rPr>
          <w:lang w:val="fr-FR"/>
        </w:rPr>
        <w:t xml:space="preserve">Par conséquent, </w:t>
      </w:r>
      <w:r>
        <w:rPr>
          <w:lang w:val="fr-FR"/>
        </w:rPr>
        <w:t>l’O</w:t>
      </w:r>
      <w:r w:rsidRPr="00D053EC">
        <w:rPr>
          <w:lang w:val="fr-FR"/>
        </w:rPr>
        <w:t xml:space="preserve">ffice </w:t>
      </w:r>
      <w:r w:rsidR="008E1BAB">
        <w:rPr>
          <w:lang w:val="fr-FR"/>
        </w:rPr>
        <w:t xml:space="preserve">du </w:t>
      </w:r>
      <w:r w:rsidR="008E1BAB" w:rsidRPr="008E1BAB">
        <w:rPr>
          <w:lang w:val="fr-FR"/>
        </w:rPr>
        <w:t xml:space="preserve">Bélarus </w:t>
      </w:r>
      <w:r w:rsidRPr="00D053EC">
        <w:rPr>
          <w:lang w:val="fr-FR"/>
        </w:rPr>
        <w:t>ne présentera pas au Bureau international de l’OMPI de demandes de division d’un enregistrement internationa</w:t>
      </w:r>
      <w:r>
        <w:rPr>
          <w:lang w:val="fr-FR"/>
        </w:rPr>
        <w:t xml:space="preserve">l en vertu de la nouvelle </w:t>
      </w:r>
      <w:r w:rsidRPr="00D053EC">
        <w:rPr>
          <w:lang w:val="fr-CH"/>
        </w:rPr>
        <w:t>règle</w:t>
      </w:r>
      <w:r>
        <w:rPr>
          <w:lang w:val="fr-CH"/>
        </w:rPr>
        <w:t> </w:t>
      </w:r>
      <w:r w:rsidRPr="00D053EC">
        <w:rPr>
          <w:lang w:val="fr-FR"/>
        </w:rPr>
        <w:t>27</w:t>
      </w:r>
      <w:r w:rsidRPr="00D053EC">
        <w:rPr>
          <w:i/>
          <w:lang w:val="fr-FR"/>
        </w:rPr>
        <w:t>bis</w:t>
      </w:r>
      <w:r w:rsidRPr="00D053EC">
        <w:rPr>
          <w:lang w:val="fr-FR"/>
        </w:rPr>
        <w:t>.1) ni de demandes de fusion d’enregistrements internationaux issus d’une division en vertu de la nouvelle règle 27</w:t>
      </w:r>
      <w:r w:rsidRPr="00D053EC">
        <w:rPr>
          <w:i/>
          <w:lang w:val="fr-FR"/>
        </w:rPr>
        <w:t>ter</w:t>
      </w:r>
      <w:r w:rsidRPr="00D053EC">
        <w:rPr>
          <w:lang w:val="fr-FR"/>
        </w:rPr>
        <w:t>.2)a).</w:t>
      </w:r>
    </w:p>
    <w:p w:rsidR="00471F8D" w:rsidRPr="00916C8C" w:rsidRDefault="00471F8D" w:rsidP="00471F8D">
      <w:pPr>
        <w:pStyle w:val="ONUMFS"/>
        <w:rPr>
          <w:lang w:val="fr-FR"/>
        </w:rPr>
      </w:pPr>
      <w:r w:rsidRPr="006D029E">
        <w:rPr>
          <w:lang w:val="fr-FR"/>
        </w:rPr>
        <w:t xml:space="preserve">On trouvera des précisions supplémentaires concernant les nouvelles règles </w:t>
      </w:r>
      <w:r>
        <w:rPr>
          <w:lang w:val="fr-FR"/>
        </w:rPr>
        <w:t>27</w:t>
      </w:r>
      <w:r w:rsidRPr="00D80E8F">
        <w:rPr>
          <w:i/>
          <w:lang w:val="fr-FR"/>
        </w:rPr>
        <w:t>bis</w:t>
      </w:r>
      <w:r>
        <w:rPr>
          <w:lang w:val="fr-FR"/>
        </w:rPr>
        <w:t xml:space="preserve">, </w:t>
      </w:r>
      <w:r w:rsidRPr="00916C8C">
        <w:rPr>
          <w:lang w:val="fr-FR"/>
        </w:rPr>
        <w:t>27</w:t>
      </w:r>
      <w:r w:rsidRPr="00916C8C">
        <w:rPr>
          <w:i/>
          <w:lang w:val="fr-FR"/>
        </w:rPr>
        <w:t>ter</w:t>
      </w:r>
      <w:r>
        <w:rPr>
          <w:lang w:val="fr-FR"/>
        </w:rPr>
        <w:t xml:space="preserve"> et 40.6)</w:t>
      </w:r>
      <w:r w:rsidRPr="00916C8C">
        <w:rPr>
          <w:lang w:val="fr-FR"/>
        </w:rPr>
        <w:t xml:space="preserve"> </w:t>
      </w:r>
      <w:r w:rsidRPr="006D029E">
        <w:rPr>
          <w:lang w:val="fr-FR"/>
        </w:rPr>
        <w:t>qui sont entrées en vigueur le 1</w:t>
      </w:r>
      <w:r w:rsidRPr="00916C8C">
        <w:rPr>
          <w:vertAlign w:val="superscript"/>
          <w:lang w:val="fr-FR"/>
        </w:rPr>
        <w:t>er</w:t>
      </w:r>
      <w:r>
        <w:rPr>
          <w:lang w:val="fr-FR"/>
        </w:rPr>
        <w:t xml:space="preserve"> février 2019 </w:t>
      </w:r>
      <w:r w:rsidRPr="00916C8C">
        <w:rPr>
          <w:lang w:val="fr-FR"/>
        </w:rPr>
        <w:t>dans l’avis n° 21/2018.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787B55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CA5930">
        <w:rPr>
          <w:lang w:val="fr-FR"/>
        </w:rPr>
        <w:t>28</w:t>
      </w:r>
      <w:bookmarkStart w:id="2" w:name="_GoBack"/>
      <w:bookmarkEnd w:id="2"/>
      <w:r w:rsidRPr="00794B45">
        <w:rPr>
          <w:lang w:val="fr-FR"/>
        </w:rPr>
        <w:t xml:space="preserve"> </w:t>
      </w:r>
      <w:r w:rsidR="00D053EC">
        <w:rPr>
          <w:lang w:val="fr-FR"/>
        </w:rPr>
        <w:t xml:space="preserve">mars </w:t>
      </w:r>
      <w:r w:rsidR="00110E4D">
        <w:rPr>
          <w:lang w:val="fr-FR"/>
        </w:rPr>
        <w:t>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053EC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10E4D"/>
    <w:rsid w:val="00124BFF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1A32"/>
    <w:rsid w:val="00250F8B"/>
    <w:rsid w:val="00251890"/>
    <w:rsid w:val="00252386"/>
    <w:rsid w:val="0025278E"/>
    <w:rsid w:val="002620D2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2038F"/>
    <w:rsid w:val="00335EC1"/>
    <w:rsid w:val="00347330"/>
    <w:rsid w:val="003559A7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3E21DD"/>
    <w:rsid w:val="004052E1"/>
    <w:rsid w:val="00405743"/>
    <w:rsid w:val="00411FB2"/>
    <w:rsid w:val="0041326F"/>
    <w:rsid w:val="00414A9E"/>
    <w:rsid w:val="00423E3E"/>
    <w:rsid w:val="00427AF4"/>
    <w:rsid w:val="00447F73"/>
    <w:rsid w:val="00455786"/>
    <w:rsid w:val="004630B4"/>
    <w:rsid w:val="004647DA"/>
    <w:rsid w:val="0047006A"/>
    <w:rsid w:val="004710C2"/>
    <w:rsid w:val="00471F8D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9F6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649"/>
    <w:rsid w:val="005D710E"/>
    <w:rsid w:val="005F2F3B"/>
    <w:rsid w:val="00600CCB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430D"/>
    <w:rsid w:val="006A6089"/>
    <w:rsid w:val="006B0B43"/>
    <w:rsid w:val="006D029E"/>
    <w:rsid w:val="006D539C"/>
    <w:rsid w:val="006F6D34"/>
    <w:rsid w:val="00700FB3"/>
    <w:rsid w:val="007172D8"/>
    <w:rsid w:val="00756E5E"/>
    <w:rsid w:val="00767C4D"/>
    <w:rsid w:val="00773CE3"/>
    <w:rsid w:val="00775EBD"/>
    <w:rsid w:val="007775FB"/>
    <w:rsid w:val="00787B55"/>
    <w:rsid w:val="00790A94"/>
    <w:rsid w:val="00791715"/>
    <w:rsid w:val="00794B45"/>
    <w:rsid w:val="00795D73"/>
    <w:rsid w:val="007A1520"/>
    <w:rsid w:val="007B7F73"/>
    <w:rsid w:val="007C0F17"/>
    <w:rsid w:val="007C3855"/>
    <w:rsid w:val="007C3E9B"/>
    <w:rsid w:val="007D1613"/>
    <w:rsid w:val="007D250A"/>
    <w:rsid w:val="007F4D09"/>
    <w:rsid w:val="00804EC4"/>
    <w:rsid w:val="008203E2"/>
    <w:rsid w:val="00835E16"/>
    <w:rsid w:val="00851BA3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E1BAB"/>
    <w:rsid w:val="008F1F70"/>
    <w:rsid w:val="0090731E"/>
    <w:rsid w:val="00911754"/>
    <w:rsid w:val="00914E0F"/>
    <w:rsid w:val="00916341"/>
    <w:rsid w:val="00916C8C"/>
    <w:rsid w:val="00916EE2"/>
    <w:rsid w:val="00922789"/>
    <w:rsid w:val="009378BE"/>
    <w:rsid w:val="00937CD0"/>
    <w:rsid w:val="00940793"/>
    <w:rsid w:val="00954A39"/>
    <w:rsid w:val="00965EC2"/>
    <w:rsid w:val="00966A22"/>
    <w:rsid w:val="0096722F"/>
    <w:rsid w:val="00976D9C"/>
    <w:rsid w:val="00980843"/>
    <w:rsid w:val="009820CB"/>
    <w:rsid w:val="00997AAD"/>
    <w:rsid w:val="009A591F"/>
    <w:rsid w:val="009C0C04"/>
    <w:rsid w:val="009D4370"/>
    <w:rsid w:val="009D6430"/>
    <w:rsid w:val="009D692A"/>
    <w:rsid w:val="009E2791"/>
    <w:rsid w:val="009E3F6F"/>
    <w:rsid w:val="009E5C24"/>
    <w:rsid w:val="009E5F9F"/>
    <w:rsid w:val="009F2A14"/>
    <w:rsid w:val="009F499F"/>
    <w:rsid w:val="00A00E02"/>
    <w:rsid w:val="00A04AAD"/>
    <w:rsid w:val="00A17952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77722"/>
    <w:rsid w:val="00A869B7"/>
    <w:rsid w:val="00AA1EEF"/>
    <w:rsid w:val="00AB2C7F"/>
    <w:rsid w:val="00AC205C"/>
    <w:rsid w:val="00AC45BC"/>
    <w:rsid w:val="00AD38EE"/>
    <w:rsid w:val="00AD4731"/>
    <w:rsid w:val="00AF0A6B"/>
    <w:rsid w:val="00AF20B5"/>
    <w:rsid w:val="00AF5108"/>
    <w:rsid w:val="00B05A69"/>
    <w:rsid w:val="00B21387"/>
    <w:rsid w:val="00B2247B"/>
    <w:rsid w:val="00B310AE"/>
    <w:rsid w:val="00B33D7E"/>
    <w:rsid w:val="00B46D7E"/>
    <w:rsid w:val="00B54D7D"/>
    <w:rsid w:val="00B5655E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C5322"/>
    <w:rsid w:val="00BE4F59"/>
    <w:rsid w:val="00BE55D6"/>
    <w:rsid w:val="00BE5857"/>
    <w:rsid w:val="00C0364A"/>
    <w:rsid w:val="00C04DEF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77DB"/>
    <w:rsid w:val="00CA5930"/>
    <w:rsid w:val="00CB132F"/>
    <w:rsid w:val="00CC5016"/>
    <w:rsid w:val="00CE0A51"/>
    <w:rsid w:val="00CE0F4D"/>
    <w:rsid w:val="00CE6390"/>
    <w:rsid w:val="00CF4536"/>
    <w:rsid w:val="00D053EC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A10FE"/>
    <w:rsid w:val="00DB42CB"/>
    <w:rsid w:val="00DC3E50"/>
    <w:rsid w:val="00E03DC7"/>
    <w:rsid w:val="00E31B7F"/>
    <w:rsid w:val="00E335FE"/>
    <w:rsid w:val="00E3390C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35055"/>
    <w:rsid w:val="00F53C0C"/>
    <w:rsid w:val="00F66152"/>
    <w:rsid w:val="00F71707"/>
    <w:rsid w:val="00F7721F"/>
    <w:rsid w:val="00F94A0D"/>
    <w:rsid w:val="00FB3748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7B1D836"/>
  <w15:docId w15:val="{AC95948F-156F-4FA0-8BA8-27845C4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6</cp:revision>
  <cp:lastPrinted>2019-03-15T16:05:00Z</cp:lastPrinted>
  <dcterms:created xsi:type="dcterms:W3CDTF">2019-03-15T16:20:00Z</dcterms:created>
  <dcterms:modified xsi:type="dcterms:W3CDTF">2019-03-28T09:42:00Z</dcterms:modified>
</cp:coreProperties>
</file>