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1870BB">
              <w:rPr>
                <w:rFonts w:ascii="Arial Black" w:hAnsi="Arial Black"/>
                <w:caps/>
                <w:sz w:val="15"/>
                <w:lang w:val="fr-FR"/>
              </w:rPr>
              <w:t>36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006AB1" w:rsidRPr="00006AB1">
        <w:rPr>
          <w:b/>
          <w:bCs/>
          <w:sz w:val="24"/>
          <w:szCs w:val="24"/>
          <w:lang w:val="fr-FR"/>
        </w:rPr>
        <w:t>Thaïlande</w:t>
      </w:r>
    </w:p>
    <w:p w:rsidR="00405743" w:rsidRPr="00794B45" w:rsidRDefault="000C3DE8" w:rsidP="00006AB1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006AB1">
        <w:rPr>
          <w:lang w:val="fr-FR"/>
        </w:rPr>
        <w:t xml:space="preserve">la </w:t>
      </w:r>
      <w:r w:rsidR="00006AB1" w:rsidRPr="00006AB1">
        <w:rPr>
          <w:lang w:val="fr-FR"/>
        </w:rPr>
        <w:t>Thaïlande</w:t>
      </w:r>
      <w:r w:rsidR="009F1071" w:rsidRPr="009F1071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CF0DC8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006AB1">
        <w:rPr>
          <w:lang w:val="fr-FR"/>
        </w:rPr>
        <w:t xml:space="preserve">la </w:t>
      </w:r>
      <w:r w:rsidR="00006AB1" w:rsidRPr="00006AB1">
        <w:rPr>
          <w:lang w:val="fr-FR"/>
        </w:rPr>
        <w:t>Thaïlande</w:t>
      </w:r>
      <w:r w:rsidR="00EC3FD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 xml:space="preserve">ne prévoit </w:t>
      </w:r>
      <w:r w:rsidR="00621F1B">
        <w:rPr>
          <w:lang w:val="fr-FR"/>
        </w:rPr>
        <w:t>ni</w:t>
      </w:r>
      <w:r w:rsidR="00BC23AE" w:rsidRPr="00BC23AE">
        <w:rPr>
          <w:lang w:val="fr-FR"/>
        </w:rPr>
        <w:t xml:space="preserve"> la </w:t>
      </w:r>
      <w:r w:rsidR="00CF0DC8">
        <w:rPr>
          <w:lang w:val="fr-FR"/>
        </w:rPr>
        <w:t xml:space="preserve">division </w:t>
      </w:r>
      <w:r w:rsidR="00CF0DC8" w:rsidRPr="00CF0DC8">
        <w:rPr>
          <w:lang w:val="fr-FR"/>
        </w:rPr>
        <w:t xml:space="preserve">d’un enregistrement de marque </w:t>
      </w:r>
      <w:r w:rsidR="00CF0DC8">
        <w:rPr>
          <w:lang w:val="fr-FR"/>
        </w:rPr>
        <w:t xml:space="preserve">ni la </w:t>
      </w:r>
      <w:r w:rsidR="00BC23AE" w:rsidRPr="00BC23AE">
        <w:rPr>
          <w:lang w:val="fr-FR"/>
        </w:rPr>
        <w:t>fusion d’enregistrements de marques</w:t>
      </w:r>
      <w:r w:rsidR="00CF0DC8">
        <w:rPr>
          <w:lang w:val="fr-FR"/>
        </w:rPr>
        <w:t>. 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</w:t>
      </w:r>
      <w:r w:rsidR="00CF0DC8" w:rsidRPr="00CF0DC8">
        <w:rPr>
          <w:lang w:val="fr-FR"/>
        </w:rPr>
        <w:t>de demandes de division d’un enregistrement international en vertu de la nouvelle règle 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1870BB">
        <w:rPr>
          <w:lang w:val="fr-FR"/>
        </w:rPr>
        <w:t>27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06AB1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870BB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2AE9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D4554B7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4</cp:revision>
  <cp:lastPrinted>2019-02-18T10:16:00Z</cp:lastPrinted>
  <dcterms:created xsi:type="dcterms:W3CDTF">2019-03-15T10:06:00Z</dcterms:created>
  <dcterms:modified xsi:type="dcterms:W3CDTF">2019-03-27T13:10:00Z</dcterms:modified>
</cp:coreProperties>
</file>