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7702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D2F26">
              <w:rPr>
                <w:rFonts w:ascii="Arial Black" w:hAnsi="Arial Black"/>
                <w:sz w:val="15"/>
              </w:rPr>
              <w:t>17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126A31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B06D2B">
        <w:rPr>
          <w:b/>
          <w:bCs/>
          <w:sz w:val="24"/>
          <w:szCs w:val="24"/>
          <w:lang w:val="fr-FR"/>
        </w:rPr>
        <w:t>Indonésie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B06D2B">
        <w:rPr>
          <w:lang w:val="fr-CH"/>
        </w:rPr>
        <w:t>2</w:t>
      </w:r>
      <w:r w:rsidRPr="00992CE7">
        <w:rPr>
          <w:lang w:val="fr-CH"/>
        </w:rPr>
        <w:t> </w:t>
      </w:r>
      <w:r w:rsidR="00B06D2B">
        <w:rPr>
          <w:lang w:val="fr-CH"/>
        </w:rPr>
        <w:t xml:space="preserve">octobre </w:t>
      </w:r>
      <w:r w:rsidRPr="00992CE7">
        <w:rPr>
          <w:lang w:val="fr-CH"/>
        </w:rPr>
        <w:t>2017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2F4F86" w:rsidRPr="00992CE7">
        <w:rPr>
          <w:lang w:val="fr-CH"/>
        </w:rPr>
        <w:t>d</w:t>
      </w:r>
      <w:r w:rsidRPr="00992CE7">
        <w:rPr>
          <w:lang w:val="fr-CH"/>
        </w:rPr>
        <w:t xml:space="preserve">e </w:t>
      </w:r>
      <w:r w:rsidR="00B06D2B">
        <w:rPr>
          <w:lang w:val="fr-CH"/>
        </w:rPr>
        <w:t>l’Indonésie</w:t>
      </w:r>
      <w:r w:rsidR="002F4F86" w:rsidRPr="00992CE7">
        <w:rPr>
          <w:lang w:val="fr-CH"/>
        </w:rPr>
        <w:t xml:space="preserve"> 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B06D2B" w:rsidRPr="00B06D2B">
        <w:rPr>
          <w:lang w:val="fr-CH"/>
        </w:rPr>
        <w:t>de l’Indonésie</w:t>
      </w:r>
      <w:r w:rsidR="000F7E89" w:rsidRPr="00126A31">
        <w:rPr>
          <w:lang w:val="fr-CH"/>
        </w:rPr>
        <w:t xml:space="preserve">, le </w:t>
      </w:r>
      <w:r w:rsidR="00B06D2B">
        <w:rPr>
          <w:lang w:val="fr-CH"/>
        </w:rPr>
        <w:t>2</w:t>
      </w:r>
      <w:r w:rsidRPr="00126A31">
        <w:rPr>
          <w:lang w:val="fr-CH"/>
        </w:rPr>
        <w:t> </w:t>
      </w:r>
      <w:r w:rsidR="00B06D2B">
        <w:rPr>
          <w:lang w:val="fr-CH"/>
        </w:rPr>
        <w:t>janvier</w:t>
      </w:r>
      <w:r w:rsidRPr="00126A31">
        <w:rPr>
          <w:lang w:val="fr-CH"/>
        </w:rPr>
        <w:t> </w:t>
      </w:r>
      <w:r w:rsidR="000F7E89" w:rsidRPr="00126A31">
        <w:rPr>
          <w:lang w:val="fr-CH"/>
        </w:rPr>
        <w:t>201</w:t>
      </w:r>
      <w:r w:rsidR="00B06D2B">
        <w:rPr>
          <w:lang w:val="fr-CH"/>
        </w:rPr>
        <w:t>8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92CE7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2F4F86" w:rsidRPr="00126A31">
        <w:rPr>
          <w:lang w:val="fr-CH"/>
        </w:rPr>
        <w:t xml:space="preserve">5.2)b) </w:t>
      </w:r>
      <w:r w:rsidR="00C6243E" w:rsidRPr="00126A31">
        <w:rPr>
          <w:lang w:val="fr-CH"/>
        </w:rPr>
        <w:t>du Protocole de Madrid</w:t>
      </w:r>
      <w:r>
        <w:rPr>
          <w:lang w:val="fr-CH"/>
        </w:rPr>
        <w:t xml:space="preserve"> selon laquelle le délai d’un </w:t>
      </w:r>
      <w:r w:rsidR="002F4F86" w:rsidRPr="00126A31">
        <w:rPr>
          <w:lang w:val="fr-CH"/>
        </w:rPr>
        <w:t>an pour notifier un refus provisoire de protection est r</w:t>
      </w:r>
      <w:r w:rsidR="00273562" w:rsidRPr="00126A31">
        <w:rPr>
          <w:lang w:val="fr-CH"/>
        </w:rPr>
        <w:t>emplacé par un délai de 18</w:t>
      </w:r>
      <w:r>
        <w:rPr>
          <w:lang w:val="fr-CH"/>
        </w:rPr>
        <w:t> </w:t>
      </w:r>
      <w:r w:rsidR="00273562" w:rsidRPr="00126A31">
        <w:rPr>
          <w:lang w:val="fr-CH"/>
        </w:rPr>
        <w:t>mois</w:t>
      </w:r>
      <w:r w:rsidR="00647184">
        <w:rPr>
          <w:lang w:val="fr-CH"/>
        </w:rPr>
        <w:t>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992CE7" w:rsidRDefault="00992CE7" w:rsidP="00992CE7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Pr="00992CE7">
        <w:rPr>
          <w:lang w:val="fr-CH"/>
        </w:rPr>
        <w:t>l</w:t>
      </w:r>
      <w:r>
        <w:rPr>
          <w:lang w:val="fr-CH"/>
        </w:rPr>
        <w:t>a déclaration visée à l’article </w:t>
      </w:r>
      <w:r w:rsidRPr="00992CE7">
        <w:rPr>
          <w:lang w:val="fr-CH"/>
        </w:rPr>
        <w:t xml:space="preserve">8.7)a) du Protocole de Madrid, selon laquelle </w:t>
      </w:r>
      <w:r w:rsidR="00B06D2B" w:rsidRPr="00B06D2B">
        <w:rPr>
          <w:lang w:val="fr-CH"/>
        </w:rPr>
        <w:t>l’Indonésie</w:t>
      </w:r>
      <w:r>
        <w:rPr>
          <w:lang w:val="fr-CH"/>
        </w:rPr>
        <w:t xml:space="preserve"> </w:t>
      </w:r>
      <w:r w:rsidRPr="00992CE7">
        <w:rPr>
          <w:lang w:val="fr-CH"/>
        </w:rPr>
        <w:t xml:space="preserve">souhaite recevoir une taxe individuelle lorsqu’elle est désignée dans une demande internationale, dans le cadre d’une désignation postérieure à un enregistrement international et à l’égard du renouvellement d’un enregistrement international dans lequel </w:t>
      </w:r>
      <w:r w:rsidR="00B06D2B" w:rsidRPr="00B06D2B">
        <w:rPr>
          <w:lang w:val="fr-CH"/>
        </w:rPr>
        <w:t xml:space="preserve">l’Indonésie </w:t>
      </w:r>
      <w:r w:rsidRPr="00992CE7">
        <w:rPr>
          <w:lang w:val="fr-CH"/>
        </w:rPr>
        <w:t>a été désignée (au lieu d’une part du revenu provenant des émoluments supplémentaires e</w:t>
      </w:r>
      <w:r w:rsidR="00647184">
        <w:rPr>
          <w:lang w:val="fr-CH"/>
        </w:rPr>
        <w:t>t des compléments d’émoluments);</w:t>
      </w:r>
      <w:r w:rsidRPr="00992CE7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992CE7" w:rsidRPr="00992CE7" w:rsidRDefault="00992CE7" w:rsidP="00992CE7">
      <w:pPr>
        <w:pStyle w:val="Default"/>
        <w:ind w:left="1134" w:hanging="567"/>
        <w:rPr>
          <w:sz w:val="22"/>
          <w:szCs w:val="22"/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>.6)b) du règlement d’exécution commun à l’Arrangement de Madrid et au Prot</w:t>
      </w:r>
      <w:r w:rsidR="00A411DC">
        <w:rPr>
          <w:sz w:val="22"/>
          <w:szCs w:val="22"/>
          <w:lang w:val="fr-CH"/>
        </w:rPr>
        <w:t>ocole de Madrid</w:t>
      </w:r>
      <w:r w:rsidRPr="00992CE7">
        <w:rPr>
          <w:sz w:val="22"/>
          <w:szCs w:val="22"/>
          <w:lang w:val="fr-CH"/>
        </w:rPr>
        <w:t>, selon laquelle l’inscription des licences au registre internat</w:t>
      </w:r>
      <w:r w:rsidR="00B06D2B">
        <w:rPr>
          <w:sz w:val="22"/>
          <w:szCs w:val="22"/>
          <w:lang w:val="fr-CH"/>
        </w:rPr>
        <w:t xml:space="preserve">ional est sans effet en </w:t>
      </w:r>
      <w:r w:rsidR="00B06D2B" w:rsidRPr="00B06D2B">
        <w:rPr>
          <w:sz w:val="22"/>
          <w:szCs w:val="22"/>
          <w:lang w:val="fr-CH"/>
        </w:rPr>
        <w:t>Indonésie</w:t>
      </w:r>
      <w:r w:rsidRPr="00992CE7">
        <w:rPr>
          <w:sz w:val="22"/>
          <w:szCs w:val="22"/>
          <w:lang w:val="fr-CH"/>
        </w:rPr>
        <w:t xml:space="preserve">.  Par conséquent, une licence relative à l’enregistrement international d’une marque qui a été accordée pour </w:t>
      </w:r>
      <w:r w:rsidR="00B06D2B" w:rsidRPr="00B06D2B">
        <w:rPr>
          <w:sz w:val="22"/>
          <w:szCs w:val="22"/>
          <w:lang w:val="fr-CH"/>
        </w:rPr>
        <w:t xml:space="preserve">l’Indonésie </w:t>
      </w:r>
      <w:r w:rsidRPr="00992CE7">
        <w:rPr>
          <w:sz w:val="22"/>
          <w:szCs w:val="22"/>
          <w:lang w:val="fr-CH"/>
        </w:rPr>
        <w:t xml:space="preserve">doit, pour avoir effet dans cette partie contractante, être inscrite au registre national de l’Office </w:t>
      </w:r>
      <w:r w:rsidR="00B06D2B">
        <w:rPr>
          <w:sz w:val="22"/>
          <w:szCs w:val="22"/>
          <w:lang w:val="fr-CH"/>
        </w:rPr>
        <w:t xml:space="preserve">de </w:t>
      </w:r>
      <w:r w:rsidR="00B06D2B" w:rsidRPr="00B06D2B">
        <w:rPr>
          <w:sz w:val="22"/>
          <w:szCs w:val="22"/>
          <w:lang w:val="fr-CH"/>
        </w:rPr>
        <w:t>l’Indonésie</w:t>
      </w:r>
      <w:r w:rsidRPr="00992CE7">
        <w:rPr>
          <w:sz w:val="22"/>
          <w:szCs w:val="22"/>
          <w:lang w:val="fr-CH"/>
        </w:rPr>
        <w:t>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de </w:t>
      </w:r>
      <w:r w:rsidR="00B06D2B" w:rsidRPr="00B06D2B">
        <w:rPr>
          <w:sz w:val="22"/>
          <w:szCs w:val="22"/>
          <w:lang w:val="fr-CH"/>
        </w:rPr>
        <w:t>l’Indonésie</w:t>
      </w:r>
      <w:r w:rsidRPr="00992CE7">
        <w:rPr>
          <w:sz w:val="22"/>
          <w:szCs w:val="22"/>
          <w:lang w:val="fr-CH"/>
        </w:rPr>
        <w:t xml:space="preserve">, dans les conditions prévues par la législation de cette partie contractante.  </w:t>
      </w:r>
    </w:p>
    <w:p w:rsidR="00992CE7" w:rsidRDefault="00992CE7" w:rsidP="00992CE7">
      <w:pPr>
        <w:rPr>
          <w:lang w:val="fr-CH"/>
        </w:rPr>
      </w:pPr>
      <w:r>
        <w:rPr>
          <w:lang w:val="fr-CH"/>
        </w:rPr>
        <w:br w:type="page"/>
      </w:r>
    </w:p>
    <w:p w:rsidR="00992CE7" w:rsidRPr="00992CE7" w:rsidRDefault="00992CE7" w:rsidP="00992CE7">
      <w:pPr>
        <w:rPr>
          <w:lang w:val="fr-CH"/>
        </w:rPr>
      </w:pPr>
      <w:r>
        <w:rPr>
          <w:lang w:val="fr-CH"/>
        </w:rPr>
        <w:lastRenderedPageBreak/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992CE7">
        <w:rPr>
          <w:lang w:val="fr-CH"/>
        </w:rPr>
        <w:t xml:space="preserve">Les montants de la taxe individuelle, indiqués par </w:t>
      </w:r>
      <w:r w:rsidR="00B06D2B" w:rsidRPr="00B06D2B">
        <w:rPr>
          <w:lang w:val="fr-CH"/>
        </w:rPr>
        <w:t xml:space="preserve">l’Indonésie </w:t>
      </w:r>
      <w:r>
        <w:rPr>
          <w:lang w:val="fr-CH"/>
        </w:rPr>
        <w:t>en vertu de l’article </w:t>
      </w:r>
      <w:r w:rsidRPr="00992CE7">
        <w:rPr>
          <w:lang w:val="fr-CH"/>
        </w:rPr>
        <w:t xml:space="preserve">8.7)a) du Protocole de Madrid, feront l’objet d’un autre avis. </w:t>
      </w:r>
      <w:r>
        <w:rPr>
          <w:lang w:val="fr-CH"/>
        </w:rPr>
        <w:t xml:space="preserve"> 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992CE7" w:rsidP="00126A31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2F4F86" w:rsidRPr="00992CE7">
        <w:rPr>
          <w:lang w:val="fr-CH"/>
        </w:rPr>
        <w:t>d</w:t>
      </w:r>
      <w:r>
        <w:rPr>
          <w:lang w:val="fr-CH"/>
        </w:rPr>
        <w:t xml:space="preserve">e </w:t>
      </w:r>
      <w:r w:rsidR="00B06D2B" w:rsidRPr="00B06D2B">
        <w:rPr>
          <w:lang w:val="fr-CH"/>
        </w:rPr>
        <w:t xml:space="preserve">l’Indonésie </w:t>
      </w:r>
      <w:r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B06D2B">
        <w:rPr>
          <w:lang w:val="fr-CH"/>
        </w:rPr>
        <w:t>100</w:t>
      </w:r>
      <w:r w:rsidR="00575534" w:rsidRPr="00992CE7">
        <w:rPr>
          <w:lang w:val="fr-CH"/>
        </w:rPr>
        <w:t xml:space="preserve"> le nombre de parties contractantes au Protocole de Madrid.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Pr="00992CE7">
        <w:rPr>
          <w:lang w:val="fr-CH"/>
        </w:rPr>
        <w:t xml:space="preserve"> </w:t>
      </w:r>
      <w:r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9124B6" w:rsidRPr="008810F0" w:rsidRDefault="00C704F0" w:rsidP="008810F0">
      <w:pPr>
        <w:pStyle w:val="Endofdocument-Annex"/>
        <w:rPr>
          <w:lang w:val="fr-FR"/>
        </w:rPr>
      </w:pPr>
      <w:r w:rsidRPr="00126A31">
        <w:t xml:space="preserve">Le </w:t>
      </w:r>
      <w:r w:rsidR="008810F0">
        <w:rPr>
          <w:lang w:val="fr-FR"/>
        </w:rPr>
        <w:t>1</w:t>
      </w:r>
      <w:r w:rsidR="008810F0" w:rsidRPr="008810F0">
        <w:rPr>
          <w:vertAlign w:val="superscript"/>
          <w:lang w:val="fr-FR"/>
        </w:rPr>
        <w:t>er</w:t>
      </w:r>
      <w:r w:rsidR="008810F0">
        <w:rPr>
          <w:lang w:val="fr-FR"/>
        </w:rPr>
        <w:t xml:space="preserve"> </w:t>
      </w:r>
      <w:r w:rsidR="001D2F26">
        <w:rPr>
          <w:lang w:val="fr-CH"/>
        </w:rPr>
        <w:t>novem</w:t>
      </w:r>
      <w:r w:rsidR="00B06D2B">
        <w:rPr>
          <w:lang w:val="fr-CH"/>
        </w:rPr>
        <w:t>bre</w:t>
      </w:r>
      <w:r w:rsidR="00A52652" w:rsidRPr="00126A31">
        <w:t> 20</w:t>
      </w:r>
      <w:r w:rsidR="007743EF" w:rsidRPr="00126A31">
        <w:t>1</w:t>
      </w:r>
      <w:r w:rsidR="00D562E7">
        <w:t>7</w:t>
      </w:r>
    </w:p>
    <w:p w:rsidR="008810F0" w:rsidRPr="00126A31" w:rsidRDefault="008810F0" w:rsidP="001D2F26">
      <w:pPr>
        <w:pStyle w:val="Endofdocument-Annex"/>
      </w:pPr>
      <w:bookmarkStart w:id="1" w:name="_GoBack"/>
      <w:bookmarkEnd w:id="1"/>
    </w:p>
    <w:p w:rsidR="00126A31" w:rsidRPr="00126A31" w:rsidRDefault="00126A31" w:rsidP="00992CE7">
      <w:pPr>
        <w:pStyle w:val="Endofdocument-Annex"/>
      </w:pPr>
    </w:p>
    <w:sectPr w:rsidR="00126A31" w:rsidRPr="00126A31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8B64D0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445CD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6A31"/>
    <w:rsid w:val="001272E3"/>
    <w:rsid w:val="00131BD8"/>
    <w:rsid w:val="00133F53"/>
    <w:rsid w:val="001362EE"/>
    <w:rsid w:val="0015037D"/>
    <w:rsid w:val="0016170B"/>
    <w:rsid w:val="00166299"/>
    <w:rsid w:val="00182AAC"/>
    <w:rsid w:val="001832A6"/>
    <w:rsid w:val="00185E31"/>
    <w:rsid w:val="00186DE1"/>
    <w:rsid w:val="001A2E63"/>
    <w:rsid w:val="001C2D7E"/>
    <w:rsid w:val="001D2F26"/>
    <w:rsid w:val="001E3850"/>
    <w:rsid w:val="001F1B95"/>
    <w:rsid w:val="001F3E84"/>
    <w:rsid w:val="001F717F"/>
    <w:rsid w:val="00203295"/>
    <w:rsid w:val="0020551F"/>
    <w:rsid w:val="0022493E"/>
    <w:rsid w:val="00224F61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C1554"/>
    <w:rsid w:val="002C38D8"/>
    <w:rsid w:val="002C400B"/>
    <w:rsid w:val="002D3700"/>
    <w:rsid w:val="002E1A51"/>
    <w:rsid w:val="002F0D10"/>
    <w:rsid w:val="002F1FE6"/>
    <w:rsid w:val="002F4E68"/>
    <w:rsid w:val="002F4F86"/>
    <w:rsid w:val="002F63BD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D2B79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A66"/>
    <w:rsid w:val="0047006A"/>
    <w:rsid w:val="00474062"/>
    <w:rsid w:val="00477D6B"/>
    <w:rsid w:val="00477EF9"/>
    <w:rsid w:val="00482D4A"/>
    <w:rsid w:val="004927EA"/>
    <w:rsid w:val="004932D5"/>
    <w:rsid w:val="004936FC"/>
    <w:rsid w:val="004947C5"/>
    <w:rsid w:val="004B0093"/>
    <w:rsid w:val="004B336C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184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E2055"/>
    <w:rsid w:val="007F4D09"/>
    <w:rsid w:val="007F62D1"/>
    <w:rsid w:val="00804EC4"/>
    <w:rsid w:val="00813078"/>
    <w:rsid w:val="00850343"/>
    <w:rsid w:val="00853FA8"/>
    <w:rsid w:val="00854071"/>
    <w:rsid w:val="00875FCC"/>
    <w:rsid w:val="008810F0"/>
    <w:rsid w:val="0088509A"/>
    <w:rsid w:val="00885618"/>
    <w:rsid w:val="008948BE"/>
    <w:rsid w:val="008977D0"/>
    <w:rsid w:val="008B1027"/>
    <w:rsid w:val="008B23F7"/>
    <w:rsid w:val="008B2CC1"/>
    <w:rsid w:val="008B60B2"/>
    <w:rsid w:val="008B64D0"/>
    <w:rsid w:val="008B69AD"/>
    <w:rsid w:val="008C2828"/>
    <w:rsid w:val="008C2D2F"/>
    <w:rsid w:val="008C2FE6"/>
    <w:rsid w:val="008F1F70"/>
    <w:rsid w:val="008F74F5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11DC"/>
    <w:rsid w:val="00A42DAF"/>
    <w:rsid w:val="00A456E7"/>
    <w:rsid w:val="00A45BD8"/>
    <w:rsid w:val="00A52652"/>
    <w:rsid w:val="00A64310"/>
    <w:rsid w:val="00A76D1D"/>
    <w:rsid w:val="00A869B7"/>
    <w:rsid w:val="00A9013F"/>
    <w:rsid w:val="00A93BA5"/>
    <w:rsid w:val="00A93D5D"/>
    <w:rsid w:val="00A975C1"/>
    <w:rsid w:val="00AA1EEF"/>
    <w:rsid w:val="00AA7A41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1A5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07D6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17</cp:revision>
  <cp:lastPrinted>2017-11-01T08:48:00Z</cp:lastPrinted>
  <dcterms:created xsi:type="dcterms:W3CDTF">2017-10-19T11:13:00Z</dcterms:created>
  <dcterms:modified xsi:type="dcterms:W3CDTF">2017-11-01T08:48:00Z</dcterms:modified>
</cp:coreProperties>
</file>