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9C35C4" w:rsidRPr="007161E8" w:rsidTr="009F2437">
        <w:tc>
          <w:tcPr>
            <w:tcW w:w="4513" w:type="dxa"/>
            <w:tcMar>
              <w:left w:w="0" w:type="dxa"/>
              <w:right w:w="0" w:type="dxa"/>
            </w:tcMar>
          </w:tcPr>
          <w:p w:rsidR="009C35C4" w:rsidRPr="007161E8" w:rsidRDefault="009C35C4" w:rsidP="009F2437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9C35C4" w:rsidRPr="007161E8" w:rsidRDefault="009C35C4" w:rsidP="009F2437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35C4" w:rsidRPr="007161E8" w:rsidRDefault="009C35C4" w:rsidP="009C35C4"/>
    <w:p w:rsidR="009C35C4" w:rsidRPr="007161E8" w:rsidRDefault="009C35C4" w:rsidP="009C35C4">
      <w:pPr>
        <w:jc w:val="right"/>
        <w:rPr>
          <w:lang w:val="fr-CH"/>
        </w:rPr>
      </w:pPr>
      <w:r w:rsidRPr="0038344B">
        <w:rPr>
          <w:rFonts w:ascii="Arial Black" w:hAnsi="Arial Black"/>
          <w:sz w:val="15"/>
          <w:szCs w:val="15"/>
          <w:lang w:val="fr-CH"/>
        </w:rPr>
        <w:t>AVIS N° </w:t>
      </w:r>
      <w:r w:rsidR="00920B80">
        <w:rPr>
          <w:rFonts w:ascii="Arial Black" w:hAnsi="Arial Black"/>
          <w:sz w:val="15"/>
          <w:szCs w:val="15"/>
          <w:lang w:val="fr-CH"/>
        </w:rPr>
        <w:t>13</w:t>
      </w:r>
      <w:r w:rsidRPr="0038344B">
        <w:rPr>
          <w:rFonts w:ascii="Arial Black" w:hAnsi="Arial Black"/>
          <w:sz w:val="15"/>
          <w:szCs w:val="15"/>
          <w:lang w:val="fr-CH"/>
        </w:rPr>
        <w:t>/2014</w:t>
      </w: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9C35C4" w:rsidRPr="007161E8" w:rsidRDefault="009C35C4" w:rsidP="009C35C4">
      <w:pPr>
        <w:rPr>
          <w:lang w:val="fr-CH"/>
        </w:rPr>
      </w:pPr>
    </w:p>
    <w:p w:rsidR="00CC5016" w:rsidRPr="002D3DA7" w:rsidRDefault="002D3DA7" w:rsidP="00CD330E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D3DA7">
        <w:rPr>
          <w:b/>
          <w:bCs/>
          <w:sz w:val="28"/>
          <w:szCs w:val="28"/>
          <w:lang w:val="fr-FR"/>
        </w:rPr>
        <w:t>Arrangement et Protocole de Madrid concernant l</w:t>
      </w:r>
      <w:r w:rsidR="00CD3867">
        <w:rPr>
          <w:b/>
          <w:bCs/>
          <w:sz w:val="28"/>
          <w:szCs w:val="28"/>
          <w:lang w:val="fr-FR"/>
        </w:rPr>
        <w:t>’</w:t>
      </w:r>
      <w:r w:rsidRPr="002D3DA7">
        <w:rPr>
          <w:b/>
          <w:bCs/>
          <w:sz w:val="28"/>
          <w:szCs w:val="28"/>
          <w:lang w:val="fr-FR"/>
        </w:rPr>
        <w:t>enregistrement international des marques</w:t>
      </w: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2D3DA7" w:rsidRDefault="00CC5016" w:rsidP="00CD330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04B6E" w:rsidRPr="002D3DA7" w:rsidRDefault="002D3DA7" w:rsidP="00CD330E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38344B">
        <w:rPr>
          <w:b/>
          <w:bCs/>
          <w:sz w:val="24"/>
          <w:szCs w:val="24"/>
          <w:lang w:val="fr-FR"/>
        </w:rPr>
        <w:t>L</w:t>
      </w:r>
      <w:r w:rsidR="00441689">
        <w:rPr>
          <w:b/>
          <w:bCs/>
          <w:sz w:val="24"/>
          <w:szCs w:val="24"/>
          <w:lang w:val="fr-FR"/>
        </w:rPr>
        <w:t>e</w:t>
      </w:r>
      <w:r w:rsidRPr="0038344B">
        <w:rPr>
          <w:b/>
          <w:bCs/>
          <w:sz w:val="24"/>
          <w:szCs w:val="24"/>
          <w:lang w:val="fr-FR"/>
        </w:rPr>
        <w:t xml:space="preserve"> système de</w:t>
      </w:r>
      <w:r>
        <w:rPr>
          <w:b/>
          <w:bCs/>
          <w:i/>
          <w:sz w:val="24"/>
          <w:szCs w:val="24"/>
          <w:lang w:val="fr-FR"/>
        </w:rPr>
        <w:t xml:space="preserve"> désignation postérieure en ligne</w:t>
      </w:r>
      <w:r w:rsidR="00441689" w:rsidRPr="00441689">
        <w:rPr>
          <w:b/>
          <w:bCs/>
          <w:sz w:val="24"/>
          <w:szCs w:val="24"/>
          <w:lang w:val="fr-FR"/>
        </w:rPr>
        <w:t xml:space="preserve"> </w:t>
      </w:r>
      <w:r w:rsidR="00441689">
        <w:rPr>
          <w:b/>
          <w:bCs/>
          <w:sz w:val="24"/>
          <w:szCs w:val="24"/>
          <w:lang w:val="fr-FR"/>
        </w:rPr>
        <w:t>est maintenant disponible</w:t>
      </w:r>
    </w:p>
    <w:p w:rsidR="00A04B6E" w:rsidRPr="002D3DA7" w:rsidRDefault="00A04B6E" w:rsidP="00CD330E">
      <w:pPr>
        <w:autoSpaceDE w:val="0"/>
        <w:autoSpaceDN w:val="0"/>
        <w:adjustRightInd w:val="0"/>
        <w:rPr>
          <w:szCs w:val="22"/>
          <w:lang w:val="fr-FR"/>
        </w:rPr>
      </w:pPr>
    </w:p>
    <w:p w:rsidR="000E73ED" w:rsidRPr="002D3DA7" w:rsidRDefault="000E73ED" w:rsidP="00CD330E">
      <w:pPr>
        <w:rPr>
          <w:lang w:val="fr-FR"/>
        </w:rPr>
      </w:pPr>
    </w:p>
    <w:p w:rsidR="00CD3867" w:rsidRDefault="008B2C1E" w:rsidP="00684C6C">
      <w:pPr>
        <w:pStyle w:val="ONUMFS"/>
        <w:rPr>
          <w:lang w:val="fr-FR"/>
        </w:rPr>
      </w:pPr>
      <w:r w:rsidRPr="008B2C1E">
        <w:rPr>
          <w:lang w:val="fr-FR"/>
        </w:rPr>
        <w:t>Le système de</w:t>
      </w:r>
      <w:r>
        <w:rPr>
          <w:i/>
          <w:lang w:val="fr-FR"/>
        </w:rPr>
        <w:t xml:space="preserve"> désignation postérieure en ligne</w:t>
      </w:r>
      <w:r w:rsidR="00663BB3" w:rsidRPr="002D3DA7">
        <w:rPr>
          <w:lang w:val="fr-FR"/>
        </w:rPr>
        <w:t xml:space="preserve"> </w:t>
      </w:r>
      <w:r>
        <w:rPr>
          <w:lang w:val="fr-FR"/>
        </w:rPr>
        <w:t xml:space="preserve">est un nouvel outil en ligne visant à répondre aux besoins </w:t>
      </w:r>
      <w:r w:rsidR="00945A88">
        <w:rPr>
          <w:lang w:val="fr-FR"/>
        </w:rPr>
        <w:t xml:space="preserve">des utilisateurs du système de Madrid.  Il est fondé sur </w:t>
      </w:r>
      <w:r w:rsidR="00C0327C">
        <w:rPr>
          <w:lang w:val="fr-FR"/>
        </w:rPr>
        <w:t xml:space="preserve">un dispositif </w:t>
      </w:r>
      <w:r w:rsidR="00C0327C" w:rsidRPr="00C0327C">
        <w:rPr>
          <w:i/>
          <w:lang w:val="fr-FR"/>
        </w:rPr>
        <w:t>intelligent</w:t>
      </w:r>
      <w:r w:rsidR="00C0327C">
        <w:rPr>
          <w:lang w:val="fr-FR"/>
        </w:rPr>
        <w:t xml:space="preserve"> grâce auquel la plupart des éléments de données obligatoires sont fournis automatiquement par le système.</w:t>
      </w:r>
      <w:r w:rsidR="0038344B">
        <w:rPr>
          <w:lang w:val="fr-FR"/>
        </w:rPr>
        <w:t xml:space="preserve">  </w:t>
      </w:r>
    </w:p>
    <w:p w:rsidR="00CD3867" w:rsidRDefault="00ED3B4B" w:rsidP="00684C6C">
      <w:pPr>
        <w:pStyle w:val="ONUMFS"/>
        <w:rPr>
          <w:lang w:val="fr-FR"/>
        </w:rPr>
      </w:pPr>
      <w:r>
        <w:rPr>
          <w:lang w:val="fr-FR"/>
        </w:rPr>
        <w:t>Le</w:t>
      </w:r>
      <w:r w:rsidR="00C0327C">
        <w:rPr>
          <w:lang w:val="fr-FR"/>
        </w:rPr>
        <w:t xml:space="preserve"> système de </w:t>
      </w:r>
      <w:r w:rsidR="00C0327C" w:rsidRPr="00C0327C">
        <w:rPr>
          <w:i/>
          <w:lang w:val="fr-FR"/>
        </w:rPr>
        <w:t>désignation postérieure en ligne</w:t>
      </w:r>
      <w:r w:rsidRPr="00ED3B4B">
        <w:rPr>
          <w:lang w:val="fr-FR"/>
        </w:rPr>
        <w:t xml:space="preserve"> </w:t>
      </w:r>
      <w:r>
        <w:rPr>
          <w:lang w:val="fr-FR"/>
        </w:rPr>
        <w:t>est très facile à utiliser</w:t>
      </w:r>
      <w:r w:rsidR="00663BB3" w:rsidRPr="002D3DA7">
        <w:rPr>
          <w:lang w:val="fr-FR"/>
        </w:rPr>
        <w:t>;</w:t>
      </w:r>
      <w:r w:rsidR="005E6213" w:rsidRPr="002D3DA7">
        <w:rPr>
          <w:lang w:val="fr-FR"/>
        </w:rPr>
        <w:t xml:space="preserve"> </w:t>
      </w:r>
      <w:r w:rsidR="00663BB3" w:rsidRPr="002D3DA7">
        <w:rPr>
          <w:lang w:val="fr-FR"/>
        </w:rPr>
        <w:t xml:space="preserve"> </w:t>
      </w:r>
      <w:r w:rsidR="00EB66B3">
        <w:rPr>
          <w:lang w:val="fr-FR"/>
        </w:rPr>
        <w:t xml:space="preserve">il </w:t>
      </w:r>
      <w:r>
        <w:rPr>
          <w:lang w:val="fr-FR"/>
        </w:rPr>
        <w:t>suffit de saisir un numéro d</w:t>
      </w:r>
      <w:r w:rsidR="00CD3867">
        <w:rPr>
          <w:lang w:val="fr-FR"/>
        </w:rPr>
        <w:t>’</w:t>
      </w:r>
      <w:r>
        <w:rPr>
          <w:lang w:val="fr-FR"/>
        </w:rPr>
        <w:t xml:space="preserve">enregistrement </w:t>
      </w:r>
      <w:r w:rsidR="00663BB3" w:rsidRPr="002D3DA7">
        <w:rPr>
          <w:lang w:val="fr-FR"/>
        </w:rPr>
        <w:t>international</w:t>
      </w:r>
      <w:r>
        <w:rPr>
          <w:lang w:val="fr-FR"/>
        </w:rPr>
        <w:t>, de sélectionner la ou les parties contractantes faisant l</w:t>
      </w:r>
      <w:r w:rsidR="00CD3867">
        <w:rPr>
          <w:lang w:val="fr-FR"/>
        </w:rPr>
        <w:t>’</w:t>
      </w:r>
      <w:r>
        <w:rPr>
          <w:lang w:val="fr-FR"/>
        </w:rPr>
        <w:t>objet de la désignation postérieure, d</w:t>
      </w:r>
      <w:r w:rsidR="00CD3867">
        <w:rPr>
          <w:lang w:val="fr-FR"/>
        </w:rPr>
        <w:t>’</w:t>
      </w:r>
      <w:r>
        <w:rPr>
          <w:lang w:val="fr-FR"/>
        </w:rPr>
        <w:t xml:space="preserve">indiquer les produits et </w:t>
      </w:r>
      <w:r w:rsidR="00663BB3" w:rsidRPr="002D3DA7">
        <w:rPr>
          <w:lang w:val="fr-FR"/>
        </w:rPr>
        <w:t>services (</w:t>
      </w:r>
      <w:r>
        <w:rPr>
          <w:lang w:val="fr-FR"/>
        </w:rPr>
        <w:t xml:space="preserve">la totalité ou une partie seulement des produits et </w:t>
      </w:r>
      <w:r w:rsidR="00663BB3" w:rsidRPr="002D3DA7">
        <w:rPr>
          <w:lang w:val="fr-FR"/>
        </w:rPr>
        <w:t>services co</w:t>
      </w:r>
      <w:r w:rsidR="00441689">
        <w:rPr>
          <w:lang w:val="fr-FR"/>
        </w:rPr>
        <w:t>uverts</w:t>
      </w:r>
      <w:r>
        <w:rPr>
          <w:lang w:val="fr-FR"/>
        </w:rPr>
        <w:t xml:space="preserve"> par l</w:t>
      </w:r>
      <w:r w:rsidR="00CD3867">
        <w:rPr>
          <w:lang w:val="fr-FR"/>
        </w:rPr>
        <w:t>’</w:t>
      </w:r>
      <w:r>
        <w:rPr>
          <w:lang w:val="fr-FR"/>
        </w:rPr>
        <w:t xml:space="preserve">enregistrement </w:t>
      </w:r>
      <w:r w:rsidR="00663BB3" w:rsidRPr="002D3DA7">
        <w:rPr>
          <w:lang w:val="fr-FR"/>
        </w:rPr>
        <w:t xml:space="preserve">international) </w:t>
      </w:r>
      <w:r>
        <w:rPr>
          <w:lang w:val="fr-FR"/>
        </w:rPr>
        <w:t xml:space="preserve">et de </w:t>
      </w:r>
      <w:r w:rsidR="00663BB3" w:rsidRPr="002D3DA7">
        <w:rPr>
          <w:lang w:val="fr-FR"/>
        </w:rPr>
        <w:t>pay</w:t>
      </w:r>
      <w:r>
        <w:rPr>
          <w:lang w:val="fr-FR"/>
        </w:rPr>
        <w:t>er la taxe en ligne au moyen d</w:t>
      </w:r>
      <w:r w:rsidR="00CD3867">
        <w:rPr>
          <w:lang w:val="fr-FR"/>
        </w:rPr>
        <w:t>’</w:t>
      </w:r>
      <w:r>
        <w:rPr>
          <w:lang w:val="fr-FR"/>
        </w:rPr>
        <w:t>une carte de crédit ou par l</w:t>
      </w:r>
      <w:r w:rsidR="00CD3867">
        <w:rPr>
          <w:lang w:val="fr-FR"/>
        </w:rPr>
        <w:t>’</w:t>
      </w:r>
      <w:r>
        <w:rPr>
          <w:lang w:val="fr-FR"/>
        </w:rPr>
        <w:t>intermédiaire d</w:t>
      </w:r>
      <w:r w:rsidR="00CD3867">
        <w:rPr>
          <w:lang w:val="fr-FR"/>
        </w:rPr>
        <w:t>’</w:t>
      </w:r>
      <w:r>
        <w:rPr>
          <w:lang w:val="fr-FR"/>
        </w:rPr>
        <w:t>un compte courant ouvert auprès de l</w:t>
      </w:r>
      <w:r w:rsidR="00CD3867">
        <w:rPr>
          <w:lang w:val="fr-FR"/>
        </w:rPr>
        <w:t>’</w:t>
      </w:r>
      <w:r>
        <w:rPr>
          <w:lang w:val="fr-FR"/>
        </w:rPr>
        <w:t>OMPI.</w:t>
      </w:r>
    </w:p>
    <w:p w:rsidR="00CD3867" w:rsidRDefault="00754DB3" w:rsidP="00684C6C">
      <w:pPr>
        <w:pStyle w:val="ONUMFS"/>
        <w:rPr>
          <w:lang w:val="fr-FR"/>
        </w:rPr>
      </w:pPr>
      <w:r>
        <w:rPr>
          <w:lang w:val="fr-FR"/>
        </w:rPr>
        <w:t>Lorsqu</w:t>
      </w:r>
      <w:r w:rsidR="00CD3867">
        <w:rPr>
          <w:lang w:val="fr-FR"/>
        </w:rPr>
        <w:t>’</w:t>
      </w:r>
      <w:r>
        <w:rPr>
          <w:lang w:val="fr-FR"/>
        </w:rPr>
        <w:t xml:space="preserve">ils présentent le formulaire de </w:t>
      </w:r>
      <w:r w:rsidRPr="00754DB3">
        <w:rPr>
          <w:i/>
          <w:lang w:val="fr-FR"/>
        </w:rPr>
        <w:t>désignation postérieure en ligne</w:t>
      </w:r>
      <w:r>
        <w:rPr>
          <w:lang w:val="fr-FR"/>
        </w:rPr>
        <w:t xml:space="preserve"> à l</w:t>
      </w:r>
      <w:r w:rsidR="00CD3867">
        <w:rPr>
          <w:lang w:val="fr-FR"/>
        </w:rPr>
        <w:t>’</w:t>
      </w:r>
      <w:r>
        <w:rPr>
          <w:lang w:val="fr-FR"/>
        </w:rPr>
        <w:t>OMPI, les utilisateurs reçoivent immédiatement un accusé de réception</w:t>
      </w:r>
      <w:r w:rsidRPr="00754DB3">
        <w:rPr>
          <w:lang w:val="fr-FR"/>
        </w:rPr>
        <w:t xml:space="preserve"> </w:t>
      </w:r>
      <w:r>
        <w:rPr>
          <w:lang w:val="fr-FR"/>
        </w:rPr>
        <w:t xml:space="preserve">par </w:t>
      </w:r>
      <w:r w:rsidR="00441689">
        <w:rPr>
          <w:lang w:val="fr-FR"/>
        </w:rPr>
        <w:t>l’intermédiaire d’</w:t>
      </w:r>
      <w:r>
        <w:rPr>
          <w:lang w:val="fr-FR"/>
        </w:rPr>
        <w:t>un écran de confirmation, suivi d</w:t>
      </w:r>
      <w:r w:rsidR="00CD3867">
        <w:rPr>
          <w:lang w:val="fr-FR"/>
        </w:rPr>
        <w:t>’</w:t>
      </w:r>
      <w:r>
        <w:rPr>
          <w:lang w:val="fr-FR"/>
        </w:rPr>
        <w:t xml:space="preserve">un </w:t>
      </w:r>
      <w:r w:rsidR="00441689">
        <w:rPr>
          <w:lang w:val="fr-FR"/>
        </w:rPr>
        <w:t>courrier</w:t>
      </w:r>
      <w:r>
        <w:rPr>
          <w:lang w:val="fr-FR"/>
        </w:rPr>
        <w:t xml:space="preserve"> électronique</w:t>
      </w:r>
      <w:r w:rsidR="00663BB3" w:rsidRPr="002D3DA7">
        <w:rPr>
          <w:lang w:val="fr-FR"/>
        </w:rPr>
        <w:t>.</w:t>
      </w:r>
      <w:r w:rsidR="00441689">
        <w:rPr>
          <w:lang w:val="fr-FR"/>
        </w:rPr>
        <w:t xml:space="preserve">  </w:t>
      </w:r>
    </w:p>
    <w:p w:rsidR="00663BB3" w:rsidRPr="002D3DA7" w:rsidRDefault="00754DB3" w:rsidP="00684C6C">
      <w:pPr>
        <w:pStyle w:val="ONUMFS"/>
        <w:rPr>
          <w:lang w:val="fr-FR"/>
        </w:rPr>
      </w:pPr>
      <w:r>
        <w:rPr>
          <w:lang w:val="fr-FR"/>
        </w:rPr>
        <w:t>Veuillez noter qu</w:t>
      </w:r>
      <w:r w:rsidR="00CD3867">
        <w:rPr>
          <w:lang w:val="fr-FR"/>
        </w:rPr>
        <w:t>’</w:t>
      </w:r>
      <w:r>
        <w:rPr>
          <w:lang w:val="fr-FR"/>
        </w:rPr>
        <w:t>il est toujours nécessaire d</w:t>
      </w:r>
      <w:r w:rsidR="00CD3867">
        <w:rPr>
          <w:lang w:val="fr-FR"/>
        </w:rPr>
        <w:t>’</w:t>
      </w:r>
      <w:r>
        <w:rPr>
          <w:lang w:val="fr-FR"/>
        </w:rPr>
        <w:t xml:space="preserve">utiliser le formulaire papier </w:t>
      </w:r>
      <w:r w:rsidR="00663BB3" w:rsidRPr="002D3DA7">
        <w:rPr>
          <w:lang w:val="fr-FR"/>
        </w:rPr>
        <w:t>MM4</w:t>
      </w:r>
      <w:r w:rsidR="00177186" w:rsidRPr="002D3DA7">
        <w:rPr>
          <w:lang w:val="fr-FR"/>
        </w:rPr>
        <w:t>,</w:t>
      </w:r>
      <w:r w:rsidR="00D40064" w:rsidRPr="002D3DA7">
        <w:rPr>
          <w:lang w:val="fr-FR"/>
        </w:rPr>
        <w:t xml:space="preserve"> </w:t>
      </w:r>
      <w:r w:rsidR="00D40064" w:rsidRPr="002D3DA7">
        <w:rPr>
          <w:i/>
          <w:lang w:val="fr-FR"/>
        </w:rPr>
        <w:t>D</w:t>
      </w:r>
      <w:r w:rsidR="00DE3C3A">
        <w:rPr>
          <w:i/>
          <w:lang w:val="fr-FR"/>
        </w:rPr>
        <w:t>é</w:t>
      </w:r>
      <w:r w:rsidR="00D40064" w:rsidRPr="002D3DA7">
        <w:rPr>
          <w:i/>
          <w:lang w:val="fr-FR"/>
        </w:rPr>
        <w:t xml:space="preserve">signation </w:t>
      </w:r>
      <w:r w:rsidR="00DE3C3A">
        <w:rPr>
          <w:i/>
          <w:lang w:val="fr-FR"/>
        </w:rPr>
        <w:t>postérieure à l</w:t>
      </w:r>
      <w:r w:rsidR="00CD3867">
        <w:rPr>
          <w:i/>
          <w:lang w:val="fr-FR"/>
        </w:rPr>
        <w:t>’</w:t>
      </w:r>
      <w:r w:rsidR="00DE3C3A">
        <w:rPr>
          <w:i/>
          <w:lang w:val="fr-FR"/>
        </w:rPr>
        <w:t>enregistrement i</w:t>
      </w:r>
      <w:r w:rsidR="00D40064" w:rsidRPr="002D3DA7">
        <w:rPr>
          <w:i/>
          <w:lang w:val="fr-FR"/>
        </w:rPr>
        <w:t>nternational</w:t>
      </w:r>
      <w:r w:rsidR="00663BB3" w:rsidRPr="002D3DA7">
        <w:rPr>
          <w:lang w:val="fr-FR"/>
        </w:rPr>
        <w:t xml:space="preserve">, </w:t>
      </w:r>
      <w:r w:rsidR="00DE3C3A">
        <w:rPr>
          <w:lang w:val="fr-FR"/>
        </w:rPr>
        <w:t>lorsque le titulaire</w:t>
      </w:r>
      <w:r w:rsidR="00920B80">
        <w:rPr>
          <w:lang w:val="fr-FR"/>
        </w:rPr>
        <w:t xml:space="preserve"> ou son mandataire</w:t>
      </w:r>
      <w:bookmarkStart w:id="0" w:name="_GoBack"/>
      <w:bookmarkEnd w:id="0"/>
    </w:p>
    <w:p w:rsidR="00CD3867" w:rsidRDefault="00663BB3" w:rsidP="00663BB3">
      <w:pPr>
        <w:ind w:left="1134" w:hanging="567"/>
        <w:rPr>
          <w:lang w:val="fr-FR"/>
        </w:rPr>
      </w:pPr>
      <w:r w:rsidRPr="002D3DA7">
        <w:rPr>
          <w:lang w:val="fr-FR"/>
        </w:rPr>
        <w:t>–</w:t>
      </w:r>
      <w:r w:rsidRPr="002D3DA7">
        <w:rPr>
          <w:lang w:val="fr-FR"/>
        </w:rPr>
        <w:tab/>
      </w:r>
      <w:r w:rsidR="00DE3C3A">
        <w:rPr>
          <w:lang w:val="fr-FR"/>
        </w:rPr>
        <w:t xml:space="preserve">souhaite incorporer diverses </w:t>
      </w:r>
      <w:r w:rsidRPr="002D3DA7">
        <w:rPr>
          <w:lang w:val="fr-FR"/>
        </w:rPr>
        <w:t>indications</w:t>
      </w:r>
      <w:r w:rsidR="006D6FDC" w:rsidRPr="002D3DA7">
        <w:rPr>
          <w:lang w:val="fr-FR"/>
        </w:rPr>
        <w:t xml:space="preserve"> </w:t>
      </w:r>
      <w:r w:rsidR="00DE3C3A">
        <w:rPr>
          <w:lang w:val="fr-FR"/>
        </w:rPr>
        <w:t>qui ne figuraient pas dans la demande internationale</w:t>
      </w:r>
      <w:r w:rsidR="00BC658E">
        <w:rPr>
          <w:lang w:val="fr-FR"/>
        </w:rPr>
        <w:t>, telles que la forme juridique d</w:t>
      </w:r>
      <w:r w:rsidR="00CD3867">
        <w:rPr>
          <w:lang w:val="fr-FR"/>
        </w:rPr>
        <w:t>’</w:t>
      </w:r>
      <w:r w:rsidR="00BC658E">
        <w:rPr>
          <w:lang w:val="fr-FR"/>
        </w:rPr>
        <w:t>une personne morale ou une traduction de la marque</w:t>
      </w:r>
      <w:r w:rsidRPr="002D3DA7">
        <w:rPr>
          <w:lang w:val="fr-FR"/>
        </w:rPr>
        <w:t>;</w:t>
      </w:r>
    </w:p>
    <w:p w:rsidR="00663BB3" w:rsidRPr="002D3DA7" w:rsidRDefault="00663BB3" w:rsidP="00663BB3">
      <w:pPr>
        <w:rPr>
          <w:lang w:val="fr-FR"/>
        </w:rPr>
      </w:pPr>
    </w:p>
    <w:p w:rsidR="00CD3867" w:rsidRDefault="00663BB3" w:rsidP="00663BB3">
      <w:pPr>
        <w:ind w:left="1134" w:hanging="567"/>
        <w:rPr>
          <w:lang w:val="fr-FR"/>
        </w:rPr>
      </w:pPr>
      <w:r w:rsidRPr="002D3DA7">
        <w:rPr>
          <w:lang w:val="fr-FR"/>
        </w:rPr>
        <w:t>–</w:t>
      </w:r>
      <w:r w:rsidRPr="002D3DA7">
        <w:rPr>
          <w:lang w:val="fr-FR"/>
        </w:rPr>
        <w:tab/>
      </w:r>
      <w:r w:rsidR="00BC658E">
        <w:rPr>
          <w:lang w:val="fr-FR"/>
        </w:rPr>
        <w:t>demande à ce que la désignation postérieure ne soit inscrite qu</w:t>
      </w:r>
      <w:r w:rsidR="00CD3867">
        <w:rPr>
          <w:lang w:val="fr-FR"/>
        </w:rPr>
        <w:t>’</w:t>
      </w:r>
      <w:r w:rsidR="00BC658E">
        <w:rPr>
          <w:lang w:val="fr-FR"/>
        </w:rPr>
        <w:t>après l</w:t>
      </w:r>
      <w:r w:rsidR="00CD3867">
        <w:rPr>
          <w:lang w:val="fr-FR"/>
        </w:rPr>
        <w:t>’</w:t>
      </w:r>
      <w:r w:rsidR="00BC658E">
        <w:rPr>
          <w:lang w:val="fr-FR"/>
        </w:rPr>
        <w:t>inscription d</w:t>
      </w:r>
      <w:r w:rsidR="00CD3867">
        <w:rPr>
          <w:lang w:val="fr-FR"/>
        </w:rPr>
        <w:t>’</w:t>
      </w:r>
      <w:r w:rsidR="00BC658E">
        <w:rPr>
          <w:lang w:val="fr-FR"/>
        </w:rPr>
        <w:t>un renouvellement ou d</w:t>
      </w:r>
      <w:r w:rsidR="00CD3867">
        <w:rPr>
          <w:lang w:val="fr-FR"/>
        </w:rPr>
        <w:t>’</w:t>
      </w:r>
      <w:r w:rsidR="00BC658E">
        <w:rPr>
          <w:lang w:val="fr-FR"/>
        </w:rPr>
        <w:t>un changement, tel qu</w:t>
      </w:r>
      <w:r w:rsidR="00CD3867">
        <w:rPr>
          <w:lang w:val="fr-FR"/>
        </w:rPr>
        <w:t>’</w:t>
      </w:r>
      <w:r w:rsidR="00BC658E">
        <w:rPr>
          <w:lang w:val="fr-FR"/>
        </w:rPr>
        <w:t>une radiation partielle</w:t>
      </w:r>
      <w:r w:rsidRPr="002D3DA7">
        <w:rPr>
          <w:lang w:val="fr-FR"/>
        </w:rPr>
        <w:t>;</w:t>
      </w:r>
    </w:p>
    <w:p w:rsidR="00663BB3" w:rsidRPr="002D3DA7" w:rsidRDefault="00663BB3" w:rsidP="00663BB3">
      <w:pPr>
        <w:rPr>
          <w:lang w:val="fr-FR"/>
        </w:rPr>
      </w:pPr>
    </w:p>
    <w:p w:rsidR="00CD3867" w:rsidRDefault="00663BB3" w:rsidP="00663BB3">
      <w:pPr>
        <w:ind w:left="1134" w:hanging="567"/>
        <w:rPr>
          <w:lang w:val="fr-FR"/>
        </w:rPr>
      </w:pPr>
      <w:r w:rsidRPr="002D3DA7">
        <w:rPr>
          <w:lang w:val="fr-FR"/>
        </w:rPr>
        <w:t>–</w:t>
      </w:r>
      <w:r w:rsidRPr="002D3DA7">
        <w:rPr>
          <w:lang w:val="fr-FR"/>
        </w:rPr>
        <w:tab/>
      </w:r>
      <w:r w:rsidR="00BC658E">
        <w:rPr>
          <w:lang w:val="fr-FR"/>
        </w:rPr>
        <w:t xml:space="preserve">souhaite, parallèlement, constituer un mandataire ou </w:t>
      </w:r>
      <w:r w:rsidR="00441689">
        <w:rPr>
          <w:lang w:val="fr-FR"/>
        </w:rPr>
        <w:t xml:space="preserve">recevoir </w:t>
      </w:r>
      <w:r w:rsidR="000575DC">
        <w:rPr>
          <w:lang w:val="fr-FR"/>
        </w:rPr>
        <w:t xml:space="preserve">des </w:t>
      </w:r>
      <w:r w:rsidR="00D40064" w:rsidRPr="002D3DA7">
        <w:rPr>
          <w:lang w:val="fr-FR"/>
        </w:rPr>
        <w:t>c</w:t>
      </w:r>
      <w:r w:rsidRPr="002D3DA7">
        <w:rPr>
          <w:lang w:val="fr-FR"/>
        </w:rPr>
        <w:t>ommunications</w:t>
      </w:r>
      <w:r w:rsidR="000575DC">
        <w:rPr>
          <w:lang w:val="fr-FR"/>
        </w:rPr>
        <w:t xml:space="preserve"> </w:t>
      </w:r>
      <w:r w:rsidR="00441689">
        <w:rPr>
          <w:lang w:val="fr-FR"/>
        </w:rPr>
        <w:t>électroniques</w:t>
      </w:r>
      <w:r w:rsidRPr="002D3DA7">
        <w:rPr>
          <w:lang w:val="fr-FR"/>
        </w:rPr>
        <w:t>;</w:t>
      </w:r>
      <w:r w:rsidR="00441689">
        <w:rPr>
          <w:lang w:val="fr-FR"/>
        </w:rPr>
        <w:t xml:space="preserve">  </w:t>
      </w:r>
    </w:p>
    <w:p w:rsidR="00663BB3" w:rsidRPr="002D3DA7" w:rsidRDefault="00663BB3" w:rsidP="00663BB3">
      <w:pPr>
        <w:rPr>
          <w:lang w:val="fr-FR"/>
        </w:rPr>
      </w:pPr>
    </w:p>
    <w:p w:rsidR="00CD3867" w:rsidRDefault="00663BB3" w:rsidP="00663BB3">
      <w:pPr>
        <w:ind w:left="1134" w:hanging="567"/>
        <w:rPr>
          <w:color w:val="000000" w:themeColor="text1"/>
          <w:lang w:val="fr-FR"/>
        </w:rPr>
      </w:pPr>
      <w:r w:rsidRPr="002D3DA7">
        <w:rPr>
          <w:lang w:val="fr-FR"/>
        </w:rPr>
        <w:t>–</w:t>
      </w:r>
      <w:r w:rsidRPr="002D3DA7">
        <w:rPr>
          <w:lang w:val="fr-FR"/>
        </w:rPr>
        <w:tab/>
      </w:r>
      <w:r w:rsidR="000575DC">
        <w:rPr>
          <w:lang w:val="fr-FR"/>
        </w:rPr>
        <w:t>doit présenter la désignation postérieure par l</w:t>
      </w:r>
      <w:r w:rsidR="00CD3867">
        <w:rPr>
          <w:lang w:val="fr-FR"/>
        </w:rPr>
        <w:t>’</w:t>
      </w:r>
      <w:r w:rsidR="000575DC">
        <w:rPr>
          <w:lang w:val="fr-FR"/>
        </w:rPr>
        <w:t>intermédiaire de l</w:t>
      </w:r>
      <w:r w:rsidR="00CD3867">
        <w:rPr>
          <w:lang w:val="fr-FR"/>
        </w:rPr>
        <w:t>’</w:t>
      </w:r>
      <w:r w:rsidR="00B72E59">
        <w:rPr>
          <w:lang w:val="fr-FR"/>
        </w:rPr>
        <w:t>O</w:t>
      </w:r>
      <w:r w:rsidR="000575DC">
        <w:rPr>
          <w:lang w:val="fr-FR"/>
        </w:rPr>
        <w:t>ffice de la partie contractante du titulaire (lorsque l</w:t>
      </w:r>
      <w:r w:rsidR="00CD3867">
        <w:rPr>
          <w:lang w:val="fr-FR"/>
        </w:rPr>
        <w:t>’</w:t>
      </w:r>
      <w:r w:rsidR="000575DC">
        <w:rPr>
          <w:lang w:val="fr-FR"/>
        </w:rPr>
        <w:t>Algérie fait l</w:t>
      </w:r>
      <w:r w:rsidR="00CD3867">
        <w:rPr>
          <w:lang w:val="fr-FR"/>
        </w:rPr>
        <w:t>’</w:t>
      </w:r>
      <w:r w:rsidR="000575DC">
        <w:rPr>
          <w:lang w:val="fr-FR"/>
        </w:rPr>
        <w:t>objet d</w:t>
      </w:r>
      <w:r w:rsidR="00CD3867">
        <w:rPr>
          <w:lang w:val="fr-FR"/>
        </w:rPr>
        <w:t>’</w:t>
      </w:r>
      <w:r w:rsidR="000575DC">
        <w:rPr>
          <w:lang w:val="fr-FR"/>
        </w:rPr>
        <w:t xml:space="preserve">une désignation postérieure ou que son </w:t>
      </w:r>
      <w:r w:rsidR="00B72E59">
        <w:rPr>
          <w:lang w:val="fr-FR"/>
        </w:rPr>
        <w:t>O</w:t>
      </w:r>
      <w:r w:rsidR="000575DC">
        <w:rPr>
          <w:lang w:val="fr-FR"/>
        </w:rPr>
        <w:t>ffice est celui de la partie contractante du titulaire</w:t>
      </w:r>
      <w:r w:rsidR="000575DC">
        <w:rPr>
          <w:color w:val="000000" w:themeColor="text1"/>
          <w:lang w:val="fr-FR"/>
        </w:rPr>
        <w:t>).</w:t>
      </w:r>
      <w:r w:rsidR="00B72E59">
        <w:rPr>
          <w:color w:val="000000" w:themeColor="text1"/>
          <w:lang w:val="fr-FR"/>
        </w:rPr>
        <w:t xml:space="preserve">  </w:t>
      </w:r>
    </w:p>
    <w:p w:rsidR="00B72E59" w:rsidRDefault="00B72E59" w:rsidP="00663BB3">
      <w:pPr>
        <w:ind w:left="1134" w:hanging="567"/>
        <w:rPr>
          <w:color w:val="000000" w:themeColor="text1"/>
          <w:lang w:val="fr-FR"/>
        </w:rPr>
      </w:pPr>
    </w:p>
    <w:p w:rsidR="00CD3867" w:rsidRDefault="00C85DE4" w:rsidP="00684C6C">
      <w:pPr>
        <w:pStyle w:val="ONUMFS"/>
        <w:rPr>
          <w:lang w:val="fr-FR"/>
        </w:rPr>
      </w:pPr>
      <w:r>
        <w:rPr>
          <w:lang w:val="fr-FR"/>
        </w:rPr>
        <w:t>Par ailleurs, lorsque la désignation postérieure est issue d</w:t>
      </w:r>
      <w:r w:rsidR="00CD3867">
        <w:rPr>
          <w:lang w:val="fr-FR"/>
        </w:rPr>
        <w:t>’</w:t>
      </w:r>
      <w:r>
        <w:rPr>
          <w:lang w:val="fr-FR"/>
        </w:rPr>
        <w:t xml:space="preserve">une </w:t>
      </w:r>
      <w:r w:rsidR="00663BB3" w:rsidRPr="002D3DA7">
        <w:rPr>
          <w:lang w:val="fr-FR"/>
        </w:rPr>
        <w:t>conversion, i</w:t>
      </w:r>
      <w:r>
        <w:rPr>
          <w:lang w:val="fr-FR"/>
        </w:rPr>
        <w:t>l est toujours nécessaire d</w:t>
      </w:r>
      <w:r w:rsidR="00CD3867">
        <w:rPr>
          <w:lang w:val="fr-FR"/>
        </w:rPr>
        <w:t>’</w:t>
      </w:r>
      <w:r>
        <w:rPr>
          <w:lang w:val="fr-FR"/>
        </w:rPr>
        <w:t xml:space="preserve">utiliser le formulaire papier </w:t>
      </w:r>
      <w:r w:rsidR="00663BB3" w:rsidRPr="002D3DA7">
        <w:rPr>
          <w:lang w:val="fr-FR"/>
        </w:rPr>
        <w:t>MM16</w:t>
      </w:r>
      <w:r w:rsidR="00D40064" w:rsidRPr="002D3DA7">
        <w:rPr>
          <w:lang w:val="fr-FR"/>
        </w:rPr>
        <w:t xml:space="preserve"> </w:t>
      </w:r>
      <w:r>
        <w:rPr>
          <w:i/>
          <w:lang w:val="fr-FR"/>
        </w:rPr>
        <w:t>Désignation postérieure issue d</w:t>
      </w:r>
      <w:r w:rsidR="00CD3867">
        <w:rPr>
          <w:i/>
          <w:lang w:val="fr-FR"/>
        </w:rPr>
        <w:t>’</w:t>
      </w:r>
      <w:r>
        <w:rPr>
          <w:i/>
          <w:lang w:val="fr-FR"/>
        </w:rPr>
        <w:t>une c</w:t>
      </w:r>
      <w:r w:rsidR="00D40064" w:rsidRPr="002D3DA7">
        <w:rPr>
          <w:i/>
          <w:lang w:val="fr-FR"/>
        </w:rPr>
        <w:t>onversion (Union</w:t>
      </w:r>
      <w:r>
        <w:rPr>
          <w:i/>
          <w:lang w:val="fr-FR"/>
        </w:rPr>
        <w:t xml:space="preserve"> européenne</w:t>
      </w:r>
      <w:r w:rsidR="00D40064" w:rsidRPr="002D3DA7">
        <w:rPr>
          <w:i/>
          <w:lang w:val="fr-FR"/>
        </w:rPr>
        <w:t>)</w:t>
      </w:r>
      <w:r w:rsidR="00663BB3" w:rsidRPr="002D3DA7">
        <w:rPr>
          <w:lang w:val="fr-FR"/>
        </w:rPr>
        <w:t>.</w:t>
      </w:r>
      <w:r w:rsidR="00B72E59">
        <w:rPr>
          <w:lang w:val="fr-FR"/>
        </w:rPr>
        <w:t xml:space="preserve">  </w:t>
      </w:r>
    </w:p>
    <w:p w:rsidR="00CD3867" w:rsidRDefault="00C85DE4" w:rsidP="00B72E59">
      <w:pPr>
        <w:pStyle w:val="ONUMFS"/>
        <w:keepLines/>
        <w:rPr>
          <w:lang w:val="fr-FR"/>
        </w:rPr>
      </w:pPr>
      <w:r>
        <w:rPr>
          <w:lang w:val="fr-FR"/>
        </w:rPr>
        <w:lastRenderedPageBreak/>
        <w:t xml:space="preserve">Une </w:t>
      </w:r>
      <w:r w:rsidR="00663BB3" w:rsidRPr="002D3DA7">
        <w:rPr>
          <w:lang w:val="fr-FR"/>
        </w:rPr>
        <w:t>vid</w:t>
      </w:r>
      <w:r>
        <w:rPr>
          <w:lang w:val="fr-FR"/>
        </w:rPr>
        <w:t>é</w:t>
      </w:r>
      <w:r w:rsidR="00663BB3" w:rsidRPr="002D3DA7">
        <w:rPr>
          <w:lang w:val="fr-FR"/>
        </w:rPr>
        <w:t xml:space="preserve">o </w:t>
      </w:r>
      <w:r>
        <w:rPr>
          <w:lang w:val="fr-FR"/>
        </w:rPr>
        <w:t xml:space="preserve">pédagogique de présentation du nouveau système de </w:t>
      </w:r>
      <w:r>
        <w:rPr>
          <w:i/>
          <w:lang w:val="fr-FR"/>
        </w:rPr>
        <w:t>désignation postérieure en ligne</w:t>
      </w:r>
      <w:r w:rsidR="00663BB3" w:rsidRPr="002D3DA7">
        <w:rPr>
          <w:lang w:val="fr-FR"/>
        </w:rPr>
        <w:t xml:space="preserve"> </w:t>
      </w:r>
      <w:r>
        <w:rPr>
          <w:lang w:val="fr-FR"/>
        </w:rPr>
        <w:t xml:space="preserve">est disponible </w:t>
      </w:r>
      <w:r w:rsidR="008747D2">
        <w:rPr>
          <w:lang w:val="fr-FR"/>
        </w:rPr>
        <w:t xml:space="preserve">en anglais </w:t>
      </w:r>
      <w:r>
        <w:rPr>
          <w:lang w:val="fr-FR"/>
        </w:rPr>
        <w:t>à l</w:t>
      </w:r>
      <w:r w:rsidR="00CD3867">
        <w:rPr>
          <w:lang w:val="fr-FR"/>
        </w:rPr>
        <w:t>’</w:t>
      </w:r>
      <w:r>
        <w:rPr>
          <w:lang w:val="fr-FR"/>
        </w:rPr>
        <w:t>adresse suivante </w:t>
      </w:r>
      <w:r w:rsidR="00663BB3" w:rsidRPr="002D3DA7">
        <w:rPr>
          <w:lang w:val="fr-FR"/>
        </w:rPr>
        <w:t>:</w:t>
      </w:r>
      <w:r w:rsidR="00D40064" w:rsidRPr="002D3DA7">
        <w:rPr>
          <w:lang w:val="fr-FR"/>
        </w:rPr>
        <w:t xml:space="preserve"> </w:t>
      </w:r>
      <w:r w:rsidR="00D40064" w:rsidRPr="00684C6C">
        <w:rPr>
          <w:i/>
          <w:lang w:val="fr-FR"/>
        </w:rPr>
        <w:t>http://www.wipo.int/madrid/en/video/osd.html</w:t>
      </w:r>
      <w:r w:rsidR="00D40064" w:rsidRPr="002D3DA7">
        <w:rPr>
          <w:lang w:val="fr-FR"/>
        </w:rPr>
        <w:t>.</w:t>
      </w:r>
    </w:p>
    <w:p w:rsidR="00663BB3" w:rsidRPr="002D3DA7" w:rsidRDefault="00631F71" w:rsidP="009C35C4">
      <w:pPr>
        <w:pStyle w:val="ONUMFS"/>
        <w:spacing w:after="0"/>
        <w:rPr>
          <w:lang w:val="fr-FR"/>
        </w:rPr>
      </w:pPr>
      <w:r>
        <w:rPr>
          <w:lang w:val="fr-FR"/>
        </w:rPr>
        <w:t xml:space="preserve">Le système de </w:t>
      </w:r>
      <w:r w:rsidRPr="00B72E59">
        <w:rPr>
          <w:i/>
          <w:lang w:val="fr-FR"/>
        </w:rPr>
        <w:t>désignation postérieure en ligne</w:t>
      </w:r>
      <w:r>
        <w:rPr>
          <w:lang w:val="fr-FR"/>
        </w:rPr>
        <w:t xml:space="preserve"> </w:t>
      </w:r>
      <w:r w:rsidR="00FB33F5">
        <w:rPr>
          <w:lang w:val="fr-FR"/>
        </w:rPr>
        <w:t>est</w:t>
      </w:r>
      <w:r>
        <w:rPr>
          <w:lang w:val="fr-FR"/>
        </w:rPr>
        <w:t xml:space="preserve"> mis à disposition à l</w:t>
      </w:r>
      <w:r w:rsidR="00CD3867">
        <w:rPr>
          <w:lang w:val="fr-FR"/>
        </w:rPr>
        <w:t>’</w:t>
      </w:r>
      <w:r>
        <w:rPr>
          <w:lang w:val="fr-FR"/>
        </w:rPr>
        <w:t>adresse suivante </w:t>
      </w:r>
      <w:r w:rsidR="00663BB3" w:rsidRPr="002D3DA7">
        <w:rPr>
          <w:lang w:val="fr-FR"/>
        </w:rPr>
        <w:t>:</w:t>
      </w:r>
      <w:r w:rsidR="00D40064" w:rsidRPr="002D3DA7">
        <w:rPr>
          <w:lang w:val="fr-FR"/>
        </w:rPr>
        <w:t xml:space="preserve"> </w:t>
      </w:r>
      <w:hyperlink r:id="rId11" w:history="1">
        <w:r w:rsidR="009A4CF3" w:rsidRPr="00B72E59">
          <w:rPr>
            <w:rStyle w:val="Hyperlink"/>
            <w:i/>
            <w:color w:val="auto"/>
            <w:u w:val="none"/>
            <w:lang w:val="fr-FR"/>
          </w:rPr>
          <w:t>https</w:t>
        </w:r>
        <w:r w:rsidR="00684C6C" w:rsidRPr="00B72E59">
          <w:rPr>
            <w:rStyle w:val="Hyperlink"/>
            <w:i/>
            <w:color w:val="auto"/>
            <w:u w:val="none"/>
            <w:lang w:val="fr-FR"/>
          </w:rPr>
          <w:t>:</w:t>
        </w:r>
        <w:r w:rsidR="009A4CF3" w:rsidRPr="00B72E59">
          <w:rPr>
            <w:rStyle w:val="Hyperlink"/>
            <w:i/>
            <w:color w:val="auto"/>
            <w:u w:val="none"/>
            <w:lang w:val="fr-FR"/>
          </w:rPr>
          <w:t>//www3.wipo.int/osd/</w:t>
        </w:r>
      </w:hyperlink>
      <w:r w:rsidR="007E3259" w:rsidRPr="002D3DA7">
        <w:rPr>
          <w:i/>
          <w:lang w:val="fr-FR"/>
        </w:rPr>
        <w:t>.</w:t>
      </w:r>
      <w:r w:rsidR="007E3259" w:rsidRPr="00B72E59">
        <w:rPr>
          <w:lang w:val="fr-FR"/>
        </w:rPr>
        <w:t xml:space="preserve"> </w:t>
      </w:r>
      <w:r w:rsidR="009A4CF3" w:rsidRPr="00B72E59">
        <w:rPr>
          <w:lang w:val="fr-FR"/>
        </w:rPr>
        <w:t xml:space="preserve"> </w:t>
      </w:r>
      <w:r w:rsidR="007E3259" w:rsidRPr="002D3DA7">
        <w:rPr>
          <w:lang w:val="fr-FR"/>
        </w:rPr>
        <w:t>I</w:t>
      </w:r>
      <w:r>
        <w:rPr>
          <w:lang w:val="fr-FR"/>
        </w:rPr>
        <w:t xml:space="preserve">l </w:t>
      </w:r>
      <w:r w:rsidR="00FB33F5">
        <w:rPr>
          <w:lang w:val="fr-FR"/>
        </w:rPr>
        <w:t>est</w:t>
      </w:r>
      <w:r>
        <w:rPr>
          <w:lang w:val="fr-FR"/>
        </w:rPr>
        <w:t xml:space="preserve"> également mis à disposition par l</w:t>
      </w:r>
      <w:r w:rsidR="00CD3867">
        <w:rPr>
          <w:lang w:val="fr-FR"/>
        </w:rPr>
        <w:t>’</w:t>
      </w:r>
      <w:r>
        <w:rPr>
          <w:lang w:val="fr-FR"/>
        </w:rPr>
        <w:t xml:space="preserve">intermédiaire du </w:t>
      </w:r>
      <w:r w:rsidR="009A4CF3" w:rsidRPr="0034770B">
        <w:rPr>
          <w:i/>
          <w:lang w:val="fr-FR"/>
        </w:rPr>
        <w:t>Madrid Portfolio Manager</w:t>
      </w:r>
      <w:r w:rsidR="009A4CF3" w:rsidRPr="002D3DA7">
        <w:rPr>
          <w:lang w:val="fr-FR"/>
        </w:rPr>
        <w:t xml:space="preserve"> (MPM) (</w:t>
      </w:r>
      <w:r w:rsidR="00B72E59" w:rsidRPr="006A5FD4">
        <w:rPr>
          <w:i/>
          <w:lang w:val="fr-FR"/>
        </w:rPr>
        <w:t>https://www3.wipo.int/login/en/mpm/index.jspand</w:t>
      </w:r>
      <w:r w:rsidR="009A4CF3" w:rsidRPr="002D3DA7">
        <w:rPr>
          <w:lang w:val="fr-FR"/>
        </w:rPr>
        <w:t>)</w:t>
      </w:r>
      <w:r w:rsidR="00B72E59">
        <w:rPr>
          <w:lang w:val="fr-FR"/>
        </w:rPr>
        <w:t xml:space="preserve">.  </w:t>
      </w:r>
    </w:p>
    <w:p w:rsidR="003C2450" w:rsidRPr="002D3DA7" w:rsidRDefault="003C2450" w:rsidP="009C35C4">
      <w:pPr>
        <w:rPr>
          <w:lang w:val="fr-FR"/>
        </w:rPr>
      </w:pPr>
    </w:p>
    <w:p w:rsidR="006D529E" w:rsidRDefault="006D529E" w:rsidP="009C35C4">
      <w:pPr>
        <w:rPr>
          <w:lang w:val="fr-FR"/>
        </w:rPr>
      </w:pPr>
    </w:p>
    <w:p w:rsidR="009C35C4" w:rsidRPr="002D3DA7" w:rsidRDefault="009C35C4" w:rsidP="009C35C4">
      <w:pPr>
        <w:rPr>
          <w:lang w:val="fr-FR"/>
        </w:rPr>
      </w:pPr>
    </w:p>
    <w:p w:rsidR="004936FC" w:rsidRPr="002D3DA7" w:rsidRDefault="00631F71" w:rsidP="00CD330E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920B80">
        <w:rPr>
          <w:lang w:val="fr-FR"/>
        </w:rPr>
        <w:t>8</w:t>
      </w:r>
      <w:r>
        <w:rPr>
          <w:lang w:val="fr-FR"/>
        </w:rPr>
        <w:t> </w:t>
      </w:r>
      <w:r w:rsidR="00920B80">
        <w:rPr>
          <w:lang w:val="fr-FR"/>
        </w:rPr>
        <w:t>juillet</w:t>
      </w:r>
      <w:r>
        <w:rPr>
          <w:lang w:val="fr-FR"/>
        </w:rPr>
        <w:t> </w:t>
      </w:r>
      <w:r w:rsidR="006F33FF" w:rsidRPr="002D3DA7">
        <w:rPr>
          <w:lang w:val="fr-FR"/>
        </w:rPr>
        <w:t>2014</w:t>
      </w:r>
    </w:p>
    <w:sectPr w:rsidR="004936FC" w:rsidRPr="002D3DA7" w:rsidSect="009C35C4"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39" w:rsidRDefault="00EB6B39">
      <w:r>
        <w:separator/>
      </w:r>
    </w:p>
  </w:endnote>
  <w:endnote w:type="continuationSeparator" w:id="0">
    <w:p w:rsidR="00EB6B39" w:rsidRDefault="00EB6B39" w:rsidP="003B38C1">
      <w:r>
        <w:separator/>
      </w:r>
    </w:p>
    <w:p w:rsidR="00EB6B39" w:rsidRPr="003B38C1" w:rsidRDefault="00EB6B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6B39" w:rsidRPr="003B38C1" w:rsidRDefault="00EB6B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39" w:rsidRDefault="00EB6B39">
      <w:r>
        <w:separator/>
      </w:r>
    </w:p>
  </w:footnote>
  <w:footnote w:type="continuationSeparator" w:id="0">
    <w:p w:rsidR="00EB6B39" w:rsidRDefault="00EB6B39" w:rsidP="008B60B2">
      <w:r>
        <w:separator/>
      </w:r>
    </w:p>
    <w:p w:rsidR="00EB6B39" w:rsidRPr="00ED77FB" w:rsidRDefault="00EB6B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6B39" w:rsidRPr="00ED77FB" w:rsidRDefault="00EB6B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1" w:name="Code2"/>
    <w:bookmarkEnd w:id="1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13ED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47D5"/>
    <w:rsid w:val="00005CFF"/>
    <w:rsid w:val="000123A6"/>
    <w:rsid w:val="000150FC"/>
    <w:rsid w:val="00042E33"/>
    <w:rsid w:val="00043313"/>
    <w:rsid w:val="00043CAA"/>
    <w:rsid w:val="000575DC"/>
    <w:rsid w:val="00065151"/>
    <w:rsid w:val="000728FF"/>
    <w:rsid w:val="00075432"/>
    <w:rsid w:val="000968ED"/>
    <w:rsid w:val="000A525D"/>
    <w:rsid w:val="000C69E2"/>
    <w:rsid w:val="000D3921"/>
    <w:rsid w:val="000E73ED"/>
    <w:rsid w:val="000F4B27"/>
    <w:rsid w:val="000F58DA"/>
    <w:rsid w:val="000F5E56"/>
    <w:rsid w:val="001272E3"/>
    <w:rsid w:val="00131BD8"/>
    <w:rsid w:val="00133F53"/>
    <w:rsid w:val="001362EE"/>
    <w:rsid w:val="0015037D"/>
    <w:rsid w:val="00166299"/>
    <w:rsid w:val="00177186"/>
    <w:rsid w:val="001809F6"/>
    <w:rsid w:val="00182AAC"/>
    <w:rsid w:val="001832A6"/>
    <w:rsid w:val="00185E31"/>
    <w:rsid w:val="00186DE1"/>
    <w:rsid w:val="001C2D7E"/>
    <w:rsid w:val="001E3850"/>
    <w:rsid w:val="001F1B95"/>
    <w:rsid w:val="001F717F"/>
    <w:rsid w:val="0020551F"/>
    <w:rsid w:val="0022493E"/>
    <w:rsid w:val="00224A8A"/>
    <w:rsid w:val="00246F47"/>
    <w:rsid w:val="00251890"/>
    <w:rsid w:val="0025278E"/>
    <w:rsid w:val="002634C4"/>
    <w:rsid w:val="00271540"/>
    <w:rsid w:val="002928D3"/>
    <w:rsid w:val="002A2E4F"/>
    <w:rsid w:val="002B6590"/>
    <w:rsid w:val="002C1554"/>
    <w:rsid w:val="002C168C"/>
    <w:rsid w:val="002C38D8"/>
    <w:rsid w:val="002D3DA7"/>
    <w:rsid w:val="002F1FE6"/>
    <w:rsid w:val="002F4E68"/>
    <w:rsid w:val="003071B6"/>
    <w:rsid w:val="00312F7F"/>
    <w:rsid w:val="00317670"/>
    <w:rsid w:val="00335EC1"/>
    <w:rsid w:val="00347330"/>
    <w:rsid w:val="0034770B"/>
    <w:rsid w:val="00357985"/>
    <w:rsid w:val="00357DA4"/>
    <w:rsid w:val="00361450"/>
    <w:rsid w:val="00365541"/>
    <w:rsid w:val="003673CF"/>
    <w:rsid w:val="0038344B"/>
    <w:rsid w:val="003845C1"/>
    <w:rsid w:val="003A6F89"/>
    <w:rsid w:val="003B38C1"/>
    <w:rsid w:val="003C2450"/>
    <w:rsid w:val="003E0D9F"/>
    <w:rsid w:val="004052E1"/>
    <w:rsid w:val="00411FB2"/>
    <w:rsid w:val="00414A9E"/>
    <w:rsid w:val="00421469"/>
    <w:rsid w:val="00423E3E"/>
    <w:rsid w:val="00427AF4"/>
    <w:rsid w:val="00441689"/>
    <w:rsid w:val="004530A7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3C83"/>
    <w:rsid w:val="005868B8"/>
    <w:rsid w:val="005A192B"/>
    <w:rsid w:val="005B20BE"/>
    <w:rsid w:val="005B5479"/>
    <w:rsid w:val="005C6649"/>
    <w:rsid w:val="005E6213"/>
    <w:rsid w:val="005F2F3B"/>
    <w:rsid w:val="00605827"/>
    <w:rsid w:val="00621A19"/>
    <w:rsid w:val="00631F71"/>
    <w:rsid w:val="00644AA2"/>
    <w:rsid w:val="00646050"/>
    <w:rsid w:val="00647B0C"/>
    <w:rsid w:val="00654AE9"/>
    <w:rsid w:val="00663BB3"/>
    <w:rsid w:val="006659A7"/>
    <w:rsid w:val="006713CA"/>
    <w:rsid w:val="00674ABA"/>
    <w:rsid w:val="00676C5C"/>
    <w:rsid w:val="00684699"/>
    <w:rsid w:val="00684C6C"/>
    <w:rsid w:val="006A5FD4"/>
    <w:rsid w:val="006D529E"/>
    <w:rsid w:val="006D6FDC"/>
    <w:rsid w:val="006F073B"/>
    <w:rsid w:val="006F33FF"/>
    <w:rsid w:val="00713ED5"/>
    <w:rsid w:val="007227A5"/>
    <w:rsid w:val="00754DB3"/>
    <w:rsid w:val="00767C4D"/>
    <w:rsid w:val="00773CE3"/>
    <w:rsid w:val="00775EBD"/>
    <w:rsid w:val="00790A94"/>
    <w:rsid w:val="007B7F73"/>
    <w:rsid w:val="007C3E9B"/>
    <w:rsid w:val="007D1613"/>
    <w:rsid w:val="007D250A"/>
    <w:rsid w:val="007E3259"/>
    <w:rsid w:val="007F4D09"/>
    <w:rsid w:val="007F62D1"/>
    <w:rsid w:val="00804EC4"/>
    <w:rsid w:val="008429A9"/>
    <w:rsid w:val="00853FA8"/>
    <w:rsid w:val="00854071"/>
    <w:rsid w:val="008747D2"/>
    <w:rsid w:val="00885618"/>
    <w:rsid w:val="008948BE"/>
    <w:rsid w:val="008977D0"/>
    <w:rsid w:val="008B23F7"/>
    <w:rsid w:val="008B2C1E"/>
    <w:rsid w:val="008B2CC1"/>
    <w:rsid w:val="008B60B2"/>
    <w:rsid w:val="008C2D2F"/>
    <w:rsid w:val="008C2FE6"/>
    <w:rsid w:val="008F1F70"/>
    <w:rsid w:val="00906C66"/>
    <w:rsid w:val="0090731E"/>
    <w:rsid w:val="00916EE2"/>
    <w:rsid w:val="00920B80"/>
    <w:rsid w:val="00922789"/>
    <w:rsid w:val="009378BE"/>
    <w:rsid w:val="00940793"/>
    <w:rsid w:val="009449F2"/>
    <w:rsid w:val="00945A88"/>
    <w:rsid w:val="00965EC2"/>
    <w:rsid w:val="00966A22"/>
    <w:rsid w:val="0096722F"/>
    <w:rsid w:val="00980843"/>
    <w:rsid w:val="009820CB"/>
    <w:rsid w:val="00987E9A"/>
    <w:rsid w:val="00997AAD"/>
    <w:rsid w:val="009A4CF3"/>
    <w:rsid w:val="009A591F"/>
    <w:rsid w:val="009B2765"/>
    <w:rsid w:val="009C0C04"/>
    <w:rsid w:val="009C35C4"/>
    <w:rsid w:val="009E22AF"/>
    <w:rsid w:val="009E2791"/>
    <w:rsid w:val="009E3F6F"/>
    <w:rsid w:val="009E5F9F"/>
    <w:rsid w:val="009F2A14"/>
    <w:rsid w:val="009F499F"/>
    <w:rsid w:val="00A04B6E"/>
    <w:rsid w:val="00A1570B"/>
    <w:rsid w:val="00A21684"/>
    <w:rsid w:val="00A25430"/>
    <w:rsid w:val="00A353ED"/>
    <w:rsid w:val="00A42DAF"/>
    <w:rsid w:val="00A456E7"/>
    <w:rsid w:val="00A45BD8"/>
    <w:rsid w:val="00A869B7"/>
    <w:rsid w:val="00AA1EEF"/>
    <w:rsid w:val="00AC205C"/>
    <w:rsid w:val="00AD38EE"/>
    <w:rsid w:val="00AE5A89"/>
    <w:rsid w:val="00AF0A6B"/>
    <w:rsid w:val="00AF5108"/>
    <w:rsid w:val="00B05A69"/>
    <w:rsid w:val="00B1322D"/>
    <w:rsid w:val="00B21387"/>
    <w:rsid w:val="00B2247B"/>
    <w:rsid w:val="00B46D7E"/>
    <w:rsid w:val="00B54D7D"/>
    <w:rsid w:val="00B72E59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C658E"/>
    <w:rsid w:val="00BE55D6"/>
    <w:rsid w:val="00BE5857"/>
    <w:rsid w:val="00C0327C"/>
    <w:rsid w:val="00C11BFE"/>
    <w:rsid w:val="00C146FC"/>
    <w:rsid w:val="00C32F61"/>
    <w:rsid w:val="00C45642"/>
    <w:rsid w:val="00C46447"/>
    <w:rsid w:val="00C47421"/>
    <w:rsid w:val="00C556FE"/>
    <w:rsid w:val="00C634D0"/>
    <w:rsid w:val="00C67841"/>
    <w:rsid w:val="00C771EA"/>
    <w:rsid w:val="00C85DE4"/>
    <w:rsid w:val="00C977DB"/>
    <w:rsid w:val="00CB132F"/>
    <w:rsid w:val="00CB13CA"/>
    <w:rsid w:val="00CC5016"/>
    <w:rsid w:val="00CD330E"/>
    <w:rsid w:val="00CD3867"/>
    <w:rsid w:val="00CE0A51"/>
    <w:rsid w:val="00CE0F4D"/>
    <w:rsid w:val="00CE6390"/>
    <w:rsid w:val="00CF4536"/>
    <w:rsid w:val="00D22BD4"/>
    <w:rsid w:val="00D30CC7"/>
    <w:rsid w:val="00D31C2F"/>
    <w:rsid w:val="00D40064"/>
    <w:rsid w:val="00D409DF"/>
    <w:rsid w:val="00D40A98"/>
    <w:rsid w:val="00D424EC"/>
    <w:rsid w:val="00D45252"/>
    <w:rsid w:val="00D57F87"/>
    <w:rsid w:val="00D57F90"/>
    <w:rsid w:val="00D71B4D"/>
    <w:rsid w:val="00D74384"/>
    <w:rsid w:val="00D76F38"/>
    <w:rsid w:val="00D86DE3"/>
    <w:rsid w:val="00D90EE5"/>
    <w:rsid w:val="00D93D55"/>
    <w:rsid w:val="00DA527B"/>
    <w:rsid w:val="00DB42CB"/>
    <w:rsid w:val="00DC3E50"/>
    <w:rsid w:val="00DE3C3A"/>
    <w:rsid w:val="00E06002"/>
    <w:rsid w:val="00E213EE"/>
    <w:rsid w:val="00E335FE"/>
    <w:rsid w:val="00E42B9A"/>
    <w:rsid w:val="00E532DC"/>
    <w:rsid w:val="00E55177"/>
    <w:rsid w:val="00E55BFC"/>
    <w:rsid w:val="00E66C2C"/>
    <w:rsid w:val="00EB50E5"/>
    <w:rsid w:val="00EB66B3"/>
    <w:rsid w:val="00EB6B39"/>
    <w:rsid w:val="00EC23FC"/>
    <w:rsid w:val="00EC4E49"/>
    <w:rsid w:val="00ED3B4B"/>
    <w:rsid w:val="00ED4C4F"/>
    <w:rsid w:val="00ED77FB"/>
    <w:rsid w:val="00EE45FA"/>
    <w:rsid w:val="00EE5748"/>
    <w:rsid w:val="00EF0146"/>
    <w:rsid w:val="00F0720F"/>
    <w:rsid w:val="00F201C4"/>
    <w:rsid w:val="00F52AC0"/>
    <w:rsid w:val="00F66152"/>
    <w:rsid w:val="00F7721F"/>
    <w:rsid w:val="00FA4D40"/>
    <w:rsid w:val="00FB33F5"/>
    <w:rsid w:val="00FC3D36"/>
    <w:rsid w:val="00FC4C8A"/>
    <w:rsid w:val="00FD502F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3.wipo.int/osd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63E1-B275-439A-81AF-25230FD42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E509C-2FB1-461C-A585-C3342C6D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ST/mhf$</cp:keywords>
  <cp:lastModifiedBy>DIAZ Natacha</cp:lastModifiedBy>
  <cp:revision>16</cp:revision>
  <cp:lastPrinted>2014-06-11T12:48:00Z</cp:lastPrinted>
  <dcterms:created xsi:type="dcterms:W3CDTF">2014-05-28T06:11:00Z</dcterms:created>
  <dcterms:modified xsi:type="dcterms:W3CDTF">2014-07-07T09:32:00Z</dcterms:modified>
</cp:coreProperties>
</file>