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AB56BA">
              <w:rPr>
                <w:rFonts w:ascii="Arial Black" w:hAnsi="Arial Black"/>
                <w:color w:val="000000"/>
                <w:sz w:val="15"/>
                <w:lang w:val="es-ES_tradnl"/>
              </w:rPr>
              <w:t>24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572AF">
        <w:rPr>
          <w:b/>
          <w:sz w:val="24"/>
          <w:szCs w:val="24"/>
          <w:lang w:val="es-ES_tradnl"/>
        </w:rPr>
        <w:t>Noruega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3D7D3C">
        <w:rPr>
          <w:lang w:val="es-ES_tradnl" w:eastAsia="ja-JP"/>
        </w:rPr>
        <w:t xml:space="preserve"> </w:t>
      </w:r>
      <w:r w:rsidR="00B572AF">
        <w:rPr>
          <w:lang w:val="es-ES_tradnl" w:eastAsia="ja-JP"/>
        </w:rPr>
        <w:t>Noruega</w:t>
      </w:r>
      <w:r w:rsidRPr="0071201D">
        <w:rPr>
          <w:lang w:val="es-ES_tradnl" w:eastAsia="ja-JP"/>
        </w:rPr>
        <w:t xml:space="preserve"> </w:t>
      </w:r>
      <w:r w:rsidR="00C7073A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B572AF">
        <w:rPr>
          <w:lang w:val="es-ES_tradnl" w:eastAsia="ja-JP"/>
        </w:rPr>
        <w:t>Noruega</w:t>
      </w:r>
      <w:r w:rsidR="00AF0D28">
        <w:rPr>
          <w:lang w:val="es-ES_tradnl" w:eastAsia="ja-JP"/>
        </w:rPr>
        <w:t>.</w:t>
      </w:r>
    </w:p>
    <w:p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CD25F1">
        <w:rPr>
          <w:lang w:val="es-ES_tradnl" w:eastAsia="ja-JP"/>
        </w:rPr>
        <w:t>21</w:t>
      </w:r>
      <w:r w:rsidR="005C73E5">
        <w:rPr>
          <w:lang w:val="es-ES_tradnl" w:eastAsia="ja-JP"/>
        </w:rPr>
        <w:t> </w:t>
      </w:r>
      <w:r w:rsidR="005C73E5" w:rsidRPr="00652108">
        <w:rPr>
          <w:lang w:val="es-ES_tradnl" w:eastAsia="ja-JP"/>
        </w:rPr>
        <w:t xml:space="preserve">de </w:t>
      </w:r>
      <w:r w:rsidR="005C73E5">
        <w:rPr>
          <w:lang w:val="es-ES_tradnl" w:eastAsia="ja-JP"/>
        </w:rPr>
        <w:t>agosto</w:t>
      </w:r>
      <w:r w:rsidR="005C73E5" w:rsidRPr="00652108">
        <w:rPr>
          <w:lang w:val="es-ES_tradnl" w:eastAsia="ja-JP"/>
        </w:rPr>
        <w:t xml:space="preserve"> </w:t>
      </w:r>
      <w:r w:rsidR="00E62AE7" w:rsidRPr="00E62AE7">
        <w:rPr>
          <w:lang w:val="es-ES_tradnl" w:eastAsia="ja-JP"/>
        </w:rPr>
        <w:t>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B572AF">
        <w:rPr>
          <w:lang w:val="es-ES_tradnl" w:eastAsia="ja-JP"/>
        </w:rPr>
        <w:t>Noruega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3911"/>
        <w:gridCol w:w="1896"/>
        <w:gridCol w:w="1808"/>
      </w:tblGrid>
      <w:tr w:rsidR="00E57BA1" w:rsidRPr="00615097" w:rsidTr="00FA08FC">
        <w:trPr>
          <w:trHeight w:val="76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E57BA1" w:rsidRPr="004E34B0" w:rsidRDefault="00E57BA1" w:rsidP="00FA08FC">
            <w:pPr>
              <w:rPr>
                <w:lang w:val="es-ES_tradnl"/>
              </w:rPr>
            </w:pPr>
          </w:p>
          <w:p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E57BA1" w:rsidRPr="004E34B0" w:rsidRDefault="00E57BA1" w:rsidP="00FA08FC">
            <w:pPr>
              <w:rPr>
                <w:lang w:val="es-ES_tradnl"/>
              </w:rPr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BA1" w:rsidRPr="004E34B0" w:rsidRDefault="00E57BA1" w:rsidP="00FA08FC">
            <w:pPr>
              <w:rPr>
                <w:lang w:val="es-ES_tradnl"/>
              </w:rPr>
            </w:pPr>
          </w:p>
          <w:p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E57BA1" w:rsidRPr="004E34B0" w:rsidRDefault="00E57BA1" w:rsidP="00FA08FC">
            <w:pPr>
              <w:jc w:val="center"/>
              <w:rPr>
                <w:lang w:val="es-ES_tradnl"/>
              </w:rPr>
            </w:pPr>
          </w:p>
          <w:p w:rsidR="00E57BA1" w:rsidRPr="004E34B0" w:rsidRDefault="00E57BA1" w:rsidP="00FA08FC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E57BA1" w:rsidRPr="004E34B0" w:rsidRDefault="00E57BA1" w:rsidP="00FA08FC">
            <w:pPr>
              <w:rPr>
                <w:lang w:val="es-ES_tradnl"/>
              </w:rPr>
            </w:pPr>
          </w:p>
        </w:tc>
      </w:tr>
      <w:tr w:rsidR="00E57BA1" w:rsidRPr="008A4F9D" w:rsidTr="00FA08FC">
        <w:trPr>
          <w:trHeight w:val="760"/>
        </w:trPr>
        <w:tc>
          <w:tcPr>
            <w:tcW w:w="5759" w:type="dxa"/>
            <w:gridSpan w:val="2"/>
            <w:vMerge/>
            <w:shd w:val="clear" w:color="auto" w:fill="auto"/>
          </w:tcPr>
          <w:p w:rsidR="00E57BA1" w:rsidRPr="004E34B0" w:rsidRDefault="00E57BA1" w:rsidP="00FA08FC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E57BA1" w:rsidRDefault="00E57BA1" w:rsidP="00FA08FC">
            <w:pPr>
              <w:jc w:val="center"/>
              <w:rPr>
                <w:lang w:val="es-CU" w:eastAsia="ja-JP"/>
              </w:rPr>
            </w:pPr>
          </w:p>
          <w:p w:rsidR="00E57BA1" w:rsidRDefault="00E57BA1" w:rsidP="00FA08FC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E57BA1" w:rsidRDefault="00B35A43" w:rsidP="00FA08FC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20</w:t>
            </w:r>
            <w:r w:rsidR="00E57BA1" w:rsidRPr="00C06825">
              <w:rPr>
                <w:lang w:val="es-CU" w:eastAsia="ja-JP"/>
              </w:rPr>
              <w:t xml:space="preserve"> de agosto </w:t>
            </w:r>
          </w:p>
          <w:p w:rsidR="00E57BA1" w:rsidRDefault="00E57BA1" w:rsidP="00FA08FC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2023</w:t>
            </w:r>
          </w:p>
          <w:p w:rsidR="00E57BA1" w:rsidRPr="00893138" w:rsidRDefault="00E57BA1" w:rsidP="00FA08FC">
            <w:pPr>
              <w:rPr>
                <w:lang w:val="es-CU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E57BA1" w:rsidRDefault="00E57BA1" w:rsidP="00FA08FC">
            <w:pPr>
              <w:rPr>
                <w:lang w:val="es-ES_tradnl"/>
              </w:rPr>
            </w:pPr>
          </w:p>
          <w:p w:rsidR="00E57BA1" w:rsidRDefault="00E57BA1" w:rsidP="00FA08FC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:rsidR="00E57BA1" w:rsidRPr="004E34B0" w:rsidRDefault="00CD25F1" w:rsidP="00FA08FC">
            <w:pPr>
              <w:jc w:val="center"/>
              <w:rPr>
                <w:lang w:val="es-ES_tradnl"/>
              </w:rPr>
            </w:pPr>
            <w:r>
              <w:rPr>
                <w:b/>
                <w:lang w:val="es-ES_tradnl" w:eastAsia="ja-JP"/>
              </w:rPr>
              <w:t>21</w:t>
            </w:r>
            <w:r w:rsidR="00E57BA1" w:rsidRPr="00C06825">
              <w:rPr>
                <w:b/>
                <w:lang w:val="es-ES_tradnl" w:eastAsia="ja-JP"/>
              </w:rPr>
              <w:t xml:space="preserve"> de agosto de 2023</w:t>
            </w:r>
          </w:p>
        </w:tc>
      </w:tr>
      <w:tr w:rsidR="001E4431" w:rsidRPr="00615097" w:rsidTr="00FA08FC">
        <w:trPr>
          <w:trHeight w:val="256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  <w:p w:rsidR="001E4431" w:rsidRDefault="001E4431" w:rsidP="001E4431">
            <w:pPr>
              <w:jc w:val="center"/>
              <w:rPr>
                <w:lang w:val="es-ES_tradnl"/>
              </w:rPr>
            </w:pPr>
          </w:p>
          <w:p w:rsidR="005C271C" w:rsidRDefault="005C271C" w:rsidP="001E4431">
            <w:pPr>
              <w:jc w:val="center"/>
              <w:rPr>
                <w:lang w:val="es-ES_tradnl"/>
              </w:rPr>
            </w:pP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rPr>
                <w:lang w:val="es-ES_tradnl"/>
              </w:rPr>
            </w:pPr>
          </w:p>
          <w:p w:rsidR="001E4431" w:rsidRPr="004E34B0" w:rsidRDefault="001E4431" w:rsidP="001E4431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E57BA1" w:rsidRDefault="001E4431" w:rsidP="001E4431">
            <w:pPr>
              <w:jc w:val="center"/>
              <w:rPr>
                <w:lang w:val="es-ES"/>
              </w:rPr>
            </w:pPr>
          </w:p>
          <w:p w:rsidR="001E4431" w:rsidRPr="000E7A4F" w:rsidRDefault="001E4431" w:rsidP="001E4431">
            <w:pPr>
              <w:jc w:val="center"/>
              <w:rPr>
                <w:lang w:val="es-ES"/>
              </w:rPr>
            </w:pPr>
          </w:p>
          <w:p w:rsidR="001E4431" w:rsidRPr="00E57BA1" w:rsidRDefault="001E4431" w:rsidP="001E4431">
            <w:pPr>
              <w:jc w:val="center"/>
            </w:pPr>
            <w:r w:rsidRPr="00E57BA1">
              <w:t>280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431" w:rsidRPr="00037F7B" w:rsidRDefault="001E4431" w:rsidP="001E4431">
            <w:pPr>
              <w:jc w:val="center"/>
              <w:rPr>
                <w:b/>
              </w:rPr>
            </w:pPr>
          </w:p>
          <w:p w:rsidR="00AA05B6" w:rsidRDefault="00AA05B6" w:rsidP="001E4431">
            <w:pPr>
              <w:jc w:val="center"/>
              <w:rPr>
                <w:b/>
              </w:rPr>
            </w:pPr>
          </w:p>
          <w:p w:rsidR="001E4431" w:rsidRPr="00037F7B" w:rsidRDefault="001E4431" w:rsidP="001E4431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</w:tr>
      <w:tr w:rsidR="001E4431" w:rsidRPr="00615097" w:rsidTr="00FA08FC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rPr>
                <w:lang w:val="es-ES_tradnl"/>
              </w:rPr>
            </w:pPr>
          </w:p>
          <w:p w:rsidR="001E4431" w:rsidRPr="004E34B0" w:rsidRDefault="001E4431" w:rsidP="001E4431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57BA1">
              <w:rPr>
                <w:rFonts w:eastAsia="MS Mincho"/>
                <w:szCs w:val="22"/>
                <w:lang w:eastAsia="ja-JP"/>
              </w:rPr>
              <w:t>72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431" w:rsidRPr="00037F7B" w:rsidRDefault="001E4431" w:rsidP="001E443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E4431" w:rsidRPr="00037F7B" w:rsidRDefault="001E4431" w:rsidP="001E443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64</w:t>
            </w:r>
          </w:p>
        </w:tc>
      </w:tr>
      <w:tr w:rsidR="001E4431" w:rsidRPr="008A4F9D" w:rsidTr="00FA08FC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1E4431" w:rsidRPr="004E34B0" w:rsidRDefault="005C271C" w:rsidP="001E443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colectiva, de garantía o de certificación</w:t>
            </w:r>
            <w:r w:rsidR="001E4431"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431" w:rsidRPr="005C271C" w:rsidRDefault="001E4431" w:rsidP="001E4431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1E4431" w:rsidRPr="00615097" w:rsidTr="00FA08FC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rPr>
                <w:lang w:val="es-ES_tradnl"/>
              </w:rPr>
            </w:pPr>
          </w:p>
          <w:p w:rsidR="001E4431" w:rsidRPr="004E34B0" w:rsidRDefault="001E4431" w:rsidP="001E4431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1E4431" w:rsidRPr="000E7A4F" w:rsidRDefault="001E4431" w:rsidP="001E4431">
            <w:pPr>
              <w:jc w:val="center"/>
              <w:rPr>
                <w:lang w:val="es-ES"/>
              </w:rPr>
            </w:pPr>
          </w:p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57BA1">
              <w:t>386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431" w:rsidRPr="00037F7B" w:rsidRDefault="001E4431" w:rsidP="001E4431">
            <w:pPr>
              <w:jc w:val="center"/>
              <w:rPr>
                <w:b/>
              </w:rPr>
            </w:pPr>
          </w:p>
          <w:p w:rsidR="00AA05B6" w:rsidRDefault="00AA05B6" w:rsidP="001E4431">
            <w:pPr>
              <w:jc w:val="center"/>
              <w:rPr>
                <w:b/>
              </w:rPr>
            </w:pPr>
          </w:p>
          <w:p w:rsidR="001E4431" w:rsidRPr="00037F7B" w:rsidRDefault="001E4431" w:rsidP="001E443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342</w:t>
            </w:r>
          </w:p>
        </w:tc>
      </w:tr>
      <w:tr w:rsidR="001E4431" w:rsidRPr="00615097" w:rsidTr="00FA08FC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rPr>
                <w:lang w:val="es-ES_tradnl"/>
              </w:rPr>
            </w:pPr>
          </w:p>
          <w:p w:rsidR="001E4431" w:rsidRPr="004E34B0" w:rsidRDefault="001E4431" w:rsidP="001E4431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1E4431" w:rsidRPr="004E34B0" w:rsidRDefault="001E4431" w:rsidP="001E4431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57BA1">
              <w:rPr>
                <w:rFonts w:eastAsia="MS Mincho"/>
                <w:szCs w:val="22"/>
                <w:lang w:eastAsia="ja-JP"/>
              </w:rPr>
              <w:t>159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31" w:rsidRPr="00037F7B" w:rsidRDefault="001E4431" w:rsidP="001E443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E4431" w:rsidRPr="00037F7B" w:rsidRDefault="001E4431" w:rsidP="001E443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141</w:t>
            </w:r>
          </w:p>
        </w:tc>
      </w:tr>
    </w:tbl>
    <w:p w:rsidR="00E57BA1" w:rsidRDefault="00E57BA1" w:rsidP="00AF0D28">
      <w:pPr>
        <w:pStyle w:val="ONUMFS"/>
        <w:numPr>
          <w:ilvl w:val="0"/>
          <w:numId w:val="0"/>
        </w:numPr>
        <w:rPr>
          <w:lang w:val="es-ES_tradnl"/>
        </w:rPr>
      </w:pPr>
    </w:p>
    <w:p w:rsidR="00E57BA1" w:rsidRDefault="00E57BA1" w:rsidP="00AF0D28">
      <w:pPr>
        <w:pStyle w:val="ONUMFS"/>
        <w:numPr>
          <w:ilvl w:val="0"/>
          <w:numId w:val="0"/>
        </w:numPr>
        <w:rPr>
          <w:lang w:val="es-ES_tradnl"/>
        </w:rPr>
      </w:pPr>
      <w:bookmarkStart w:id="1" w:name="_GoBack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3911"/>
        <w:gridCol w:w="1896"/>
        <w:gridCol w:w="1808"/>
      </w:tblGrid>
      <w:tr w:rsidR="00E57BA1" w:rsidRPr="00615097" w:rsidTr="00FA08FC">
        <w:trPr>
          <w:trHeight w:val="76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E57BA1" w:rsidRPr="004E34B0" w:rsidRDefault="00E57BA1" w:rsidP="00FA08FC">
            <w:pPr>
              <w:rPr>
                <w:lang w:val="es-ES_tradnl"/>
              </w:rPr>
            </w:pPr>
          </w:p>
          <w:p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:rsidR="00E57BA1" w:rsidRDefault="00E57BA1" w:rsidP="00FA08FC">
            <w:pPr>
              <w:jc w:val="center"/>
              <w:rPr>
                <w:b/>
                <w:bCs/>
                <w:lang w:val="es-ES_tradnl"/>
              </w:rPr>
            </w:pPr>
          </w:p>
          <w:p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E57BA1" w:rsidRPr="004E34B0" w:rsidRDefault="00E57BA1" w:rsidP="00FA08FC">
            <w:pPr>
              <w:rPr>
                <w:lang w:val="es-ES_tradnl"/>
              </w:rPr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7BA1" w:rsidRPr="004E34B0" w:rsidRDefault="00E57BA1" w:rsidP="00FA08FC">
            <w:pPr>
              <w:rPr>
                <w:lang w:val="es-ES_tradnl"/>
              </w:rPr>
            </w:pPr>
          </w:p>
          <w:p w:rsidR="00E57BA1" w:rsidRPr="004E34B0" w:rsidRDefault="00E57BA1" w:rsidP="00FA08F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E57BA1" w:rsidRPr="004E34B0" w:rsidRDefault="00E57BA1" w:rsidP="00FA08FC">
            <w:pPr>
              <w:jc w:val="center"/>
              <w:rPr>
                <w:lang w:val="es-ES_tradnl"/>
              </w:rPr>
            </w:pPr>
          </w:p>
          <w:p w:rsidR="00E57BA1" w:rsidRPr="004E34B0" w:rsidRDefault="00E57BA1" w:rsidP="00FA08FC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E57BA1" w:rsidRPr="004E34B0" w:rsidRDefault="00E57BA1" w:rsidP="00FA08FC">
            <w:pPr>
              <w:rPr>
                <w:lang w:val="es-ES_tradnl"/>
              </w:rPr>
            </w:pPr>
          </w:p>
        </w:tc>
      </w:tr>
      <w:tr w:rsidR="00E57BA1" w:rsidRPr="008A4F9D" w:rsidTr="00FA08FC">
        <w:trPr>
          <w:trHeight w:val="760"/>
        </w:trPr>
        <w:tc>
          <w:tcPr>
            <w:tcW w:w="5759" w:type="dxa"/>
            <w:gridSpan w:val="2"/>
            <w:vMerge/>
            <w:shd w:val="clear" w:color="auto" w:fill="auto"/>
          </w:tcPr>
          <w:p w:rsidR="00E57BA1" w:rsidRPr="004E34B0" w:rsidRDefault="00E57BA1" w:rsidP="00FA08FC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E57BA1" w:rsidRDefault="00E57BA1" w:rsidP="00FA08FC">
            <w:pPr>
              <w:jc w:val="center"/>
              <w:rPr>
                <w:lang w:val="es-CU" w:eastAsia="ja-JP"/>
              </w:rPr>
            </w:pPr>
          </w:p>
          <w:p w:rsidR="00E57BA1" w:rsidRDefault="00E57BA1" w:rsidP="00FA08FC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</w:t>
            </w:r>
          </w:p>
          <w:p w:rsidR="00E57BA1" w:rsidRDefault="00B35A43" w:rsidP="00FA08FC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20</w:t>
            </w:r>
            <w:r w:rsidR="00E57BA1" w:rsidRPr="00C06825">
              <w:rPr>
                <w:lang w:val="es-CU" w:eastAsia="ja-JP"/>
              </w:rPr>
              <w:t xml:space="preserve"> de agosto </w:t>
            </w:r>
          </w:p>
          <w:p w:rsidR="00E57BA1" w:rsidRDefault="00E57BA1" w:rsidP="00FA08FC">
            <w:pPr>
              <w:jc w:val="center"/>
              <w:rPr>
                <w:lang w:val="es-CU" w:eastAsia="ja-JP"/>
              </w:rPr>
            </w:pPr>
            <w:r w:rsidRPr="00C06825">
              <w:rPr>
                <w:lang w:val="es-CU" w:eastAsia="ja-JP"/>
              </w:rPr>
              <w:t>de 2023</w:t>
            </w:r>
          </w:p>
          <w:p w:rsidR="00E57BA1" w:rsidRPr="00893138" w:rsidRDefault="00E57BA1" w:rsidP="00FA08FC">
            <w:pPr>
              <w:jc w:val="center"/>
              <w:rPr>
                <w:lang w:val="es-CU" w:eastAsia="ja-JP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E57BA1" w:rsidRDefault="00E57BA1" w:rsidP="00FA08FC">
            <w:pPr>
              <w:jc w:val="center"/>
              <w:rPr>
                <w:lang w:val="es-ES_tradnl"/>
              </w:rPr>
            </w:pPr>
          </w:p>
          <w:p w:rsidR="00E57BA1" w:rsidRDefault="00E57BA1" w:rsidP="00FA08FC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</w:p>
          <w:p w:rsidR="00E57BA1" w:rsidRPr="005E1832" w:rsidRDefault="00CD25F1" w:rsidP="00FA08FC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21</w:t>
            </w:r>
            <w:r w:rsidR="00E57BA1" w:rsidRPr="00C06825">
              <w:rPr>
                <w:b/>
                <w:lang w:val="es-ES_tradnl" w:eastAsia="ja-JP"/>
              </w:rPr>
              <w:t xml:space="preserve"> de agosto de 2023</w:t>
            </w:r>
          </w:p>
        </w:tc>
      </w:tr>
      <w:tr w:rsidR="001E4431" w:rsidRPr="00615097" w:rsidTr="00FA08FC">
        <w:trPr>
          <w:trHeight w:val="206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rPr>
                <w:lang w:val="es-ES_tradnl"/>
              </w:rPr>
            </w:pP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</w:p>
          <w:p w:rsidR="001E4431" w:rsidRDefault="001E4431" w:rsidP="001E4431">
            <w:pPr>
              <w:jc w:val="center"/>
              <w:rPr>
                <w:lang w:val="es-ES_tradnl"/>
              </w:rPr>
            </w:pPr>
          </w:p>
          <w:p w:rsidR="005C271C" w:rsidRDefault="005C271C" w:rsidP="001E4431">
            <w:pPr>
              <w:jc w:val="center"/>
              <w:rPr>
                <w:lang w:val="es-ES_tradnl"/>
              </w:rPr>
            </w:pPr>
          </w:p>
          <w:p w:rsidR="001E4431" w:rsidRPr="004E34B0" w:rsidRDefault="001E4431" w:rsidP="001E4431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1E4431" w:rsidRPr="004E34B0" w:rsidRDefault="001E4431" w:rsidP="001E4431">
            <w:pPr>
              <w:rPr>
                <w:lang w:val="es-ES_tradnl"/>
              </w:rPr>
            </w:pPr>
          </w:p>
          <w:p w:rsidR="001E4431" w:rsidRPr="004E34B0" w:rsidRDefault="001E4431" w:rsidP="001E4431">
            <w:pPr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rPr>
                <w:lang w:val="es-ES_tradnl"/>
              </w:rPr>
            </w:pPr>
          </w:p>
          <w:p w:rsidR="001E4431" w:rsidRPr="004E34B0" w:rsidRDefault="001E4431" w:rsidP="001E4431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1E4431" w:rsidRPr="000E7A4F" w:rsidRDefault="001E4431" w:rsidP="001E4431">
            <w:pPr>
              <w:jc w:val="center"/>
              <w:rPr>
                <w:lang w:val="es-ES"/>
              </w:rPr>
            </w:pPr>
          </w:p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57BA1">
              <w:t>251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4431" w:rsidRPr="00037F7B" w:rsidRDefault="001E4431" w:rsidP="001E4431">
            <w:pPr>
              <w:jc w:val="center"/>
              <w:rPr>
                <w:b/>
              </w:rPr>
            </w:pPr>
          </w:p>
          <w:p w:rsidR="00AA05B6" w:rsidRDefault="00AA05B6" w:rsidP="001E4431">
            <w:pPr>
              <w:jc w:val="center"/>
              <w:rPr>
                <w:b/>
              </w:rPr>
            </w:pPr>
          </w:p>
          <w:p w:rsidR="001E4431" w:rsidRPr="00037F7B" w:rsidRDefault="001E4431" w:rsidP="001E443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222</w:t>
            </w:r>
          </w:p>
        </w:tc>
      </w:tr>
      <w:tr w:rsidR="001E4431" w:rsidRPr="00615097" w:rsidTr="00FA08FC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4431" w:rsidRDefault="001E4431" w:rsidP="001E4431"/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1E4431" w:rsidRPr="004E34B0" w:rsidRDefault="001E4431" w:rsidP="001E4431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57BA1">
              <w:rPr>
                <w:rFonts w:eastAsia="MS Mincho"/>
                <w:szCs w:val="22"/>
                <w:lang w:eastAsia="ja-JP"/>
              </w:rPr>
              <w:t>97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431" w:rsidRPr="00037F7B" w:rsidRDefault="001E4431" w:rsidP="001E443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E4431" w:rsidRPr="00037F7B" w:rsidRDefault="001E4431" w:rsidP="001E443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86</w:t>
            </w:r>
          </w:p>
        </w:tc>
      </w:tr>
      <w:tr w:rsidR="001E4431" w:rsidRPr="008A4F9D" w:rsidTr="00FA08FC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4431" w:rsidRDefault="001E4431" w:rsidP="001E4431"/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1E4431" w:rsidRPr="004E34B0" w:rsidRDefault="005C271C" w:rsidP="001E443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5C271C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colectiva, de garantía o de certificación</w:t>
            </w:r>
            <w:r w:rsidR="001E4431"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4431" w:rsidRPr="005C271C" w:rsidRDefault="001E4431" w:rsidP="001E4431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1E4431" w:rsidRPr="00615097" w:rsidTr="00FA08FC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4431" w:rsidRPr="00417D19" w:rsidRDefault="001E4431" w:rsidP="001E4431">
            <w:pPr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31" w:rsidRPr="004E34B0" w:rsidRDefault="001E4431" w:rsidP="001E4431">
            <w:pPr>
              <w:rPr>
                <w:lang w:val="es-ES_tradnl"/>
              </w:rPr>
            </w:pPr>
          </w:p>
          <w:p w:rsidR="001E4431" w:rsidRPr="004E34B0" w:rsidRDefault="001E4431" w:rsidP="001E4431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E4431" w:rsidRPr="004E34B0" w:rsidRDefault="001E4431" w:rsidP="001E4431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1E4431" w:rsidRPr="004E34B0" w:rsidRDefault="001E4431" w:rsidP="001E4431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1E4431" w:rsidRPr="004E34B0" w:rsidRDefault="001E4431" w:rsidP="001E4431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E443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57BA1">
              <w:rPr>
                <w:rFonts w:eastAsia="MS Mincho"/>
                <w:szCs w:val="22"/>
                <w:lang w:eastAsia="ja-JP"/>
              </w:rPr>
              <w:t>497</w:t>
            </w:r>
          </w:p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E4431" w:rsidRPr="00E57BA1" w:rsidRDefault="001E4431" w:rsidP="001E443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57BA1">
              <w:rPr>
                <w:rFonts w:eastAsia="MS Mincho"/>
                <w:szCs w:val="22"/>
                <w:lang w:eastAsia="ja-JP"/>
              </w:rPr>
              <w:t>203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31" w:rsidRPr="00037F7B" w:rsidRDefault="001E4431" w:rsidP="001E4431">
            <w:pPr>
              <w:jc w:val="center"/>
              <w:rPr>
                <w:b/>
              </w:rPr>
            </w:pPr>
          </w:p>
          <w:p w:rsidR="00AA05B6" w:rsidRDefault="00AA05B6" w:rsidP="001E4431">
            <w:pPr>
              <w:jc w:val="center"/>
              <w:rPr>
                <w:b/>
              </w:rPr>
            </w:pPr>
          </w:p>
          <w:p w:rsidR="001E4431" w:rsidRDefault="001E4431" w:rsidP="001E4431">
            <w:pPr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  <w:p w:rsidR="001E4431" w:rsidRPr="00037F7B" w:rsidRDefault="001E4431" w:rsidP="001E4431">
            <w:pPr>
              <w:jc w:val="center"/>
              <w:rPr>
                <w:b/>
              </w:rPr>
            </w:pPr>
          </w:p>
          <w:p w:rsidR="001E4431" w:rsidRPr="00037F7B" w:rsidRDefault="001E4431" w:rsidP="001E443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180</w:t>
            </w:r>
          </w:p>
        </w:tc>
      </w:tr>
    </w:tbl>
    <w:p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B572AF">
        <w:rPr>
          <w:snapToGrid w:val="0"/>
          <w:lang w:val="es-ES_tradnl"/>
        </w:rPr>
        <w:t>Noruega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C7073A">
        <w:rPr>
          <w:rFonts w:eastAsia="MS Mincho"/>
          <w:szCs w:val="22"/>
          <w:lang w:val="es-ES_tradnl" w:eastAsia="ja-JP"/>
        </w:rPr>
        <w:t>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CD25F1">
        <w:rPr>
          <w:lang w:val="es-ES_tradnl" w:eastAsia="ja-JP"/>
        </w:rPr>
        <w:t>21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577848">
        <w:rPr>
          <w:lang w:val="es-ES_tradnl" w:eastAsia="ja-JP"/>
        </w:rPr>
        <w:t>agosto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AB56BA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21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577848">
        <w:rPr>
          <w:lang w:val="es-ES_tradnl"/>
        </w:rPr>
        <w:t>jul</w:t>
      </w:r>
      <w:r w:rsidR="00AE74EB">
        <w:rPr>
          <w:lang w:val="es-ES_tradnl"/>
        </w:rPr>
        <w:t>io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65" w:rsidRDefault="00FF0B65">
      <w:r>
        <w:separator/>
      </w:r>
    </w:p>
  </w:endnote>
  <w:endnote w:type="continuationSeparator" w:id="0">
    <w:p w:rsidR="00FF0B65" w:rsidRDefault="00FF0B65" w:rsidP="003B38C1">
      <w:r>
        <w:separator/>
      </w:r>
    </w:p>
    <w:p w:rsidR="00FF0B65" w:rsidRPr="003B38C1" w:rsidRDefault="00FF0B6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0B65" w:rsidRPr="003B38C1" w:rsidRDefault="00FF0B6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65" w:rsidRDefault="00FF0B65">
      <w:r>
        <w:separator/>
      </w:r>
    </w:p>
  </w:footnote>
  <w:footnote w:type="continuationSeparator" w:id="0">
    <w:p w:rsidR="00FF0B65" w:rsidRDefault="00FF0B65" w:rsidP="008B60B2">
      <w:r>
        <w:separator/>
      </w:r>
    </w:p>
    <w:p w:rsidR="00FF0B65" w:rsidRPr="00ED77FB" w:rsidRDefault="00FF0B6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0B65" w:rsidRPr="00ED77FB" w:rsidRDefault="00FF0B6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72DA"/>
    <w:rsid w:val="005408EF"/>
    <w:rsid w:val="00546473"/>
    <w:rsid w:val="00546A94"/>
    <w:rsid w:val="0054762F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83157"/>
    <w:rsid w:val="00B83438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D1D00D1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39</cp:revision>
  <cp:lastPrinted>2023-03-22T12:36:00Z</cp:lastPrinted>
  <dcterms:created xsi:type="dcterms:W3CDTF">2023-06-29T19:59:00Z</dcterms:created>
  <dcterms:modified xsi:type="dcterms:W3CDTF">2023-07-21T08:50:00Z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