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A13545">
              <w:rPr>
                <w:rFonts w:ascii="Arial Black" w:hAnsi="Arial Black"/>
                <w:color w:val="000000"/>
                <w:sz w:val="15"/>
                <w:lang w:val="es-ES_tradnl"/>
              </w:rPr>
              <w:t>12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/2023</w:t>
            </w:r>
          </w:p>
        </w:tc>
      </w:tr>
    </w:tbl>
    <w:p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3D7D3C">
        <w:rPr>
          <w:b/>
          <w:sz w:val="24"/>
          <w:szCs w:val="24"/>
          <w:lang w:val="es-ES_tradnl"/>
        </w:rPr>
        <w:t>Bailía de Guernsey</w:t>
      </w:r>
    </w:p>
    <w:p w:rsidR="002E5166" w:rsidRDefault="000F11B2" w:rsidP="00573981">
      <w:pPr>
        <w:pStyle w:val="ONUMFS"/>
        <w:rPr>
          <w:lang w:val="es-ES_tradnl"/>
        </w:rPr>
      </w:pPr>
      <w:r w:rsidRPr="00E376AC">
        <w:rPr>
          <w:lang w:val="es-ES_tradnl" w:eastAsia="ja-JP"/>
        </w:rPr>
        <w:t>De conformidad con la Regla 35.2)d) del Reglamento del P</w:t>
      </w:r>
      <w:r w:rsidR="00ED7DF5">
        <w:rPr>
          <w:lang w:val="es-ES_tradnl" w:eastAsia="ja-JP"/>
        </w:rPr>
        <w:t>rotocolo de Madrid, el Director </w:t>
      </w:r>
      <w:r w:rsidRPr="00E376AC">
        <w:rPr>
          <w:lang w:val="es-ES_tradnl" w:eastAsia="ja-JP"/>
        </w:rPr>
        <w:t>General de la Organización Mundial de la Propiedad Intelectual (OMP</w:t>
      </w:r>
      <w:r w:rsidR="00AF0D28"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individual pagadera respecto de </w:t>
      </w:r>
      <w:r w:rsidR="003D7D3C">
        <w:rPr>
          <w:lang w:val="es-ES_tradnl" w:eastAsia="ja-JP"/>
        </w:rPr>
        <w:t>la Bailía de Guernsey</w:t>
      </w:r>
      <w:r w:rsidRPr="0071201D"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>cuando es designada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>la Bailía de Guernsey</w:t>
      </w:r>
      <w:r w:rsidR="00AF0D28">
        <w:rPr>
          <w:lang w:val="es-ES_tradnl" w:eastAsia="ja-JP"/>
        </w:rPr>
        <w:t>.</w:t>
      </w:r>
    </w:p>
    <w:p w:rsidR="009E159D" w:rsidRPr="009E159D" w:rsidRDefault="00F36F09" w:rsidP="009E159D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A13545">
        <w:rPr>
          <w:lang w:val="es-ES_tradnl" w:eastAsia="ja-JP"/>
        </w:rPr>
        <w:t>26</w:t>
      </w:r>
      <w:r w:rsidR="00E62AE7" w:rsidRPr="00E62AE7">
        <w:rPr>
          <w:lang w:val="es-ES_tradnl" w:eastAsia="ja-JP"/>
        </w:rPr>
        <w:t xml:space="preserve"> de </w:t>
      </w:r>
      <w:r w:rsidR="00DB4D0A">
        <w:rPr>
          <w:lang w:val="es-ES_tradnl" w:eastAsia="ja-JP"/>
        </w:rPr>
        <w:t>mayo</w:t>
      </w:r>
      <w:r w:rsidR="00E62AE7" w:rsidRPr="00E62AE7">
        <w:rPr>
          <w:lang w:val="es-ES_tradnl" w:eastAsia="ja-JP"/>
        </w:rPr>
        <w:t xml:space="preserve"> de 2023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163C76">
        <w:rPr>
          <w:lang w:val="es-ES_tradnl"/>
        </w:rPr>
        <w:t>pagadera respecto a</w:t>
      </w:r>
      <w:r w:rsidR="008E5BF2">
        <w:rPr>
          <w:lang w:val="es-ES_tradnl" w:eastAsia="ja-JP"/>
        </w:rPr>
        <w:t xml:space="preserve"> </w:t>
      </w:r>
      <w:r w:rsidR="003D7D3C">
        <w:rPr>
          <w:lang w:val="es-ES_tradnl" w:eastAsia="ja-JP"/>
        </w:rPr>
        <w:t>la Bailía de Guernsey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394"/>
        <w:gridCol w:w="1843"/>
        <w:gridCol w:w="1843"/>
      </w:tblGrid>
      <w:tr w:rsidR="009E159D" w:rsidTr="007F0CF9">
        <w:trPr>
          <w:trHeight w:val="630"/>
        </w:trPr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AF0D28" w:rsidRDefault="009E159D" w:rsidP="007F0CF9">
            <w:pPr>
              <w:rPr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F0D28" w:rsidRDefault="009E159D" w:rsidP="007F0CF9">
            <w:pPr>
              <w:jc w:val="center"/>
              <w:rPr>
                <w:b/>
                <w:bCs/>
                <w:lang w:val="es-CU"/>
              </w:rPr>
            </w:pPr>
          </w:p>
          <w:p w:rsidR="009E159D" w:rsidRPr="00A61328" w:rsidRDefault="009E159D" w:rsidP="007F0CF9">
            <w:pPr>
              <w:jc w:val="center"/>
              <w:rPr>
                <w:b/>
                <w:bCs/>
                <w:lang w:val="es-ES"/>
              </w:rPr>
            </w:pPr>
          </w:p>
          <w:p w:rsidR="009E159D" w:rsidRDefault="009E159D" w:rsidP="007F0CF9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Pr="00454A4F" w:rsidRDefault="009E159D" w:rsidP="007F0CF9">
            <w:pPr>
              <w:jc w:val="center"/>
              <w:rPr>
                <w:b/>
                <w:bCs/>
                <w:lang w:val="es-CU"/>
              </w:rPr>
            </w:pPr>
            <w:r w:rsidRPr="00454A4F">
              <w:rPr>
                <w:b/>
                <w:bCs/>
                <w:lang w:val="es-CU"/>
              </w:rPr>
              <w:t>Importes</w:t>
            </w:r>
          </w:p>
          <w:p w:rsidR="009E159D" w:rsidRDefault="009E159D" w:rsidP="007F0CF9">
            <w:pPr>
              <w:jc w:val="center"/>
              <w:rPr>
                <w:b/>
                <w:bCs/>
              </w:rPr>
            </w:pPr>
          </w:p>
          <w:p w:rsidR="009E159D" w:rsidRDefault="009E159D" w:rsidP="007F0CF9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:rsidR="009E159D" w:rsidRDefault="009E159D" w:rsidP="007F0CF9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9E159D" w:rsidRPr="00104E02" w:rsidTr="007F0CF9">
        <w:trPr>
          <w:trHeight w:val="630"/>
        </w:trPr>
        <w:tc>
          <w:tcPr>
            <w:tcW w:w="6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DC42FA" w:rsidRDefault="009E159D" w:rsidP="007F0CF9">
            <w:pPr>
              <w:jc w:val="center"/>
              <w:rPr>
                <w:lang w:val="es-CU" w:eastAsia="ja-JP"/>
              </w:rPr>
            </w:pPr>
          </w:p>
          <w:p w:rsidR="009E159D" w:rsidRPr="00E533D5" w:rsidRDefault="009E159D" w:rsidP="007F0CF9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Pr="00E533D5">
              <w:rPr>
                <w:lang w:val="es-CU" w:eastAsia="ja-JP"/>
              </w:rPr>
              <w:t>asta el</w:t>
            </w:r>
          </w:p>
          <w:p w:rsidR="009E159D" w:rsidRDefault="00A13545" w:rsidP="007F0CF9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25</w:t>
            </w:r>
            <w:r w:rsidR="009E159D">
              <w:rPr>
                <w:lang w:val="es-CU" w:eastAsia="ja-JP"/>
              </w:rPr>
              <w:t xml:space="preserve"> de </w:t>
            </w:r>
            <w:r w:rsidR="00FA0C4B">
              <w:rPr>
                <w:lang w:val="es-CU" w:eastAsia="ja-JP"/>
              </w:rPr>
              <w:t>mayo</w:t>
            </w:r>
            <w:r w:rsidR="009E159D">
              <w:rPr>
                <w:lang w:val="es-CU" w:eastAsia="ja-JP"/>
              </w:rPr>
              <w:t xml:space="preserve"> de 2023</w:t>
            </w:r>
          </w:p>
          <w:p w:rsidR="009E159D" w:rsidRPr="00E533D5" w:rsidRDefault="009E159D" w:rsidP="007F0CF9">
            <w:pPr>
              <w:jc w:val="center"/>
              <w:rPr>
                <w:lang w:val="es-C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0E3C14" w:rsidRDefault="009E159D" w:rsidP="007F0CF9">
            <w:pPr>
              <w:jc w:val="center"/>
              <w:rPr>
                <w:b/>
                <w:lang w:val="es-CU"/>
              </w:rPr>
            </w:pPr>
          </w:p>
          <w:p w:rsidR="009E159D" w:rsidRDefault="009E159D" w:rsidP="007F0CF9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:rsidR="009E159D" w:rsidRDefault="00A13545" w:rsidP="007F0CF9">
            <w:pPr>
              <w:jc w:val="center"/>
              <w:rPr>
                <w:b/>
                <w:lang w:val="es-ES_tradnl" w:eastAsia="ja-JP"/>
              </w:rPr>
            </w:pPr>
            <w:r>
              <w:rPr>
                <w:b/>
                <w:lang w:val="es-ES_tradnl" w:eastAsia="ja-JP"/>
              </w:rPr>
              <w:t>26</w:t>
            </w:r>
            <w:r w:rsidR="009E159D">
              <w:rPr>
                <w:b/>
                <w:lang w:val="es-ES_tradnl" w:eastAsia="ja-JP"/>
              </w:rPr>
              <w:t> </w:t>
            </w:r>
            <w:r w:rsidR="009E159D" w:rsidRPr="000E3C14">
              <w:rPr>
                <w:b/>
                <w:lang w:val="es-ES_tradnl" w:eastAsia="ja-JP"/>
              </w:rPr>
              <w:t xml:space="preserve">de </w:t>
            </w:r>
            <w:r w:rsidR="00FA0C4B">
              <w:rPr>
                <w:b/>
                <w:lang w:val="es-ES_tradnl" w:eastAsia="ja-JP"/>
              </w:rPr>
              <w:t>mayo</w:t>
            </w:r>
            <w:r w:rsidR="009E159D">
              <w:rPr>
                <w:b/>
                <w:lang w:val="es-ES_tradnl" w:eastAsia="ja-JP"/>
              </w:rPr>
              <w:t xml:space="preserve"> de 2023</w:t>
            </w:r>
          </w:p>
          <w:p w:rsidR="009E159D" w:rsidRPr="000E3C14" w:rsidRDefault="009E159D" w:rsidP="007F0CF9">
            <w:pPr>
              <w:jc w:val="center"/>
              <w:rPr>
                <w:b/>
                <w:i/>
                <w:iCs/>
                <w:lang w:val="es-CU" w:eastAsia="ja-JP"/>
              </w:rPr>
            </w:pPr>
          </w:p>
        </w:tc>
      </w:tr>
      <w:tr w:rsidR="009E159D" w:rsidTr="007F0CF9">
        <w:trPr>
          <w:trHeight w:val="1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Pr="000E3C14" w:rsidRDefault="009E159D" w:rsidP="007F0CF9">
            <w:pPr>
              <w:jc w:val="center"/>
              <w:rPr>
                <w:lang w:val="es-CU"/>
              </w:rPr>
            </w:pPr>
          </w:p>
          <w:p w:rsidR="009E159D" w:rsidRDefault="009E159D" w:rsidP="007F0CF9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Pr="00454A4F" w:rsidRDefault="009E159D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9E159D" w:rsidRPr="00454A4F" w:rsidRDefault="009E159D" w:rsidP="007F0CF9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9E159D" w:rsidRPr="00454A4F" w:rsidRDefault="009E159D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 w:rsidRPr="00454A4F">
              <w:rPr>
                <w:lang w:val="es-CU"/>
              </w:rPr>
              <w:t xml:space="preserve">por cada clase adicional </w:t>
            </w:r>
          </w:p>
          <w:p w:rsidR="009E159D" w:rsidRDefault="009E159D" w:rsidP="007F0CF9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DD2DCB" w:rsidRDefault="009E159D" w:rsidP="007F0CF9"/>
          <w:p w:rsidR="009E159D" w:rsidRPr="00DD2DCB" w:rsidRDefault="00FA0C4B" w:rsidP="007F0CF9">
            <w:pPr>
              <w:jc w:val="center"/>
            </w:pPr>
            <w:r>
              <w:t>255</w:t>
            </w:r>
          </w:p>
          <w:p w:rsidR="009E159D" w:rsidRPr="00DD2DCB" w:rsidRDefault="009E159D" w:rsidP="007F0CF9">
            <w:pPr>
              <w:jc w:val="center"/>
            </w:pPr>
          </w:p>
          <w:p w:rsidR="009E159D" w:rsidRPr="00DD2DCB" w:rsidRDefault="00FA0C4B" w:rsidP="007F0CF9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CC3325" w:rsidRDefault="009E159D" w:rsidP="007F0CF9">
            <w:pPr>
              <w:jc w:val="center"/>
              <w:rPr>
                <w:b/>
              </w:rPr>
            </w:pPr>
          </w:p>
          <w:p w:rsidR="009E159D" w:rsidRPr="00CC3325" w:rsidRDefault="00FA0C4B" w:rsidP="007F0CF9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  <w:p w:rsidR="009E159D" w:rsidRPr="00CC3325" w:rsidRDefault="009E159D" w:rsidP="007F0CF9">
            <w:pPr>
              <w:jc w:val="center"/>
              <w:rPr>
                <w:b/>
              </w:rPr>
            </w:pPr>
          </w:p>
          <w:p w:rsidR="009E159D" w:rsidRPr="00CC3325" w:rsidRDefault="00FA0C4B" w:rsidP="007F0C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9E159D" w:rsidTr="007F0CF9">
        <w:trPr>
          <w:trHeight w:val="1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Default="009E159D" w:rsidP="007F0CF9">
            <w:pPr>
              <w:jc w:val="center"/>
            </w:pPr>
          </w:p>
          <w:p w:rsidR="009E159D" w:rsidRDefault="009E159D" w:rsidP="007F0CF9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:rsidR="009E159D" w:rsidRDefault="009E159D" w:rsidP="007F0CF9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Default="009E159D" w:rsidP="007F0CF9"/>
          <w:p w:rsidR="009E159D" w:rsidRPr="00454A4F" w:rsidRDefault="009E159D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9E159D" w:rsidRPr="00454A4F" w:rsidRDefault="009E159D" w:rsidP="007F0CF9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9E159D" w:rsidRPr="00454A4F" w:rsidRDefault="009E159D" w:rsidP="009E159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 w:rsidRPr="00454A4F">
              <w:rPr>
                <w:lang w:val="es-CU"/>
              </w:rPr>
              <w:t>por cada clase adicional</w:t>
            </w:r>
          </w:p>
          <w:p w:rsidR="009E159D" w:rsidRPr="00B33C4B" w:rsidRDefault="009E159D" w:rsidP="007F0CF9">
            <w:pPr>
              <w:rPr>
                <w:lang w:val="es-C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DD2DCB" w:rsidRDefault="009E159D" w:rsidP="007F0CF9">
            <w:pPr>
              <w:rPr>
                <w:rFonts w:eastAsia="MS Mincho"/>
                <w:szCs w:val="22"/>
                <w:lang w:val="es-CU" w:eastAsia="ja-JP"/>
              </w:rPr>
            </w:pPr>
          </w:p>
          <w:p w:rsidR="00FA0C4B" w:rsidRPr="00DD2DCB" w:rsidRDefault="00FA0C4B" w:rsidP="00FA0C4B">
            <w:pPr>
              <w:jc w:val="center"/>
            </w:pPr>
            <w:r>
              <w:t>255</w:t>
            </w:r>
          </w:p>
          <w:p w:rsidR="00FA0C4B" w:rsidRPr="00DD2DCB" w:rsidRDefault="00FA0C4B" w:rsidP="00FA0C4B">
            <w:pPr>
              <w:jc w:val="center"/>
            </w:pPr>
          </w:p>
          <w:p w:rsidR="009E159D" w:rsidRPr="00DD2DCB" w:rsidRDefault="00FA0C4B" w:rsidP="00FA0C4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9D" w:rsidRPr="00CC3325" w:rsidRDefault="009E159D" w:rsidP="007F0CF9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FA0C4B" w:rsidRPr="00CC3325" w:rsidRDefault="00FA0C4B" w:rsidP="00FA0C4B">
            <w:pPr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  <w:p w:rsidR="00FA0C4B" w:rsidRPr="00CC3325" w:rsidRDefault="00FA0C4B" w:rsidP="00FA0C4B">
            <w:pPr>
              <w:jc w:val="center"/>
              <w:rPr>
                <w:b/>
              </w:rPr>
            </w:pPr>
          </w:p>
          <w:p w:rsidR="009E159D" w:rsidRPr="00CC3325" w:rsidRDefault="00FA0C4B" w:rsidP="00FA0C4B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b/>
              </w:rPr>
              <w:t>23</w:t>
            </w:r>
          </w:p>
        </w:tc>
      </w:tr>
    </w:tbl>
    <w:p w:rsidR="002B5E1D" w:rsidRDefault="002B5E1D" w:rsidP="00AF0D28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br w:type="page"/>
      </w:r>
    </w:p>
    <w:p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 </w:t>
      </w:r>
      <w:r w:rsidR="00C972EF">
        <w:rPr>
          <w:lang w:val="es-ES_tradnl" w:eastAsia="ja-JP"/>
        </w:rPr>
        <w:t xml:space="preserve">la </w:t>
      </w:r>
      <w:r w:rsidR="003D7D3C">
        <w:rPr>
          <w:snapToGrid w:val="0"/>
          <w:lang w:val="es-ES_tradnl"/>
        </w:rPr>
        <w:t>Bailía de Guernsey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C972EF">
        <w:rPr>
          <w:rFonts w:eastAsia="MS Mincho"/>
          <w:szCs w:val="22"/>
          <w:lang w:val="es-ES_tradnl" w:eastAsia="ja-JP"/>
        </w:rPr>
        <w:t>sea designada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</w:t>
      </w:r>
      <w:r w:rsidR="000048BF">
        <w:rPr>
          <w:rFonts w:eastAsia="MS Mincho"/>
          <w:szCs w:val="22"/>
          <w:lang w:val="es-ES_tradnl" w:eastAsia="ja-JP"/>
        </w:rPr>
        <w:t>recibida</w:t>
      </w:r>
      <w:r w:rsidR="0027396E" w:rsidRPr="006A5B48">
        <w:rPr>
          <w:rFonts w:eastAsia="MS Mincho"/>
          <w:szCs w:val="22"/>
          <w:lang w:val="es-ES_tradnl" w:eastAsia="ja-JP"/>
        </w:rPr>
        <w:t xml:space="preserve">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A13545">
        <w:rPr>
          <w:lang w:val="es-ES_tradnl" w:eastAsia="ja-JP"/>
        </w:rPr>
        <w:t>26</w:t>
      </w:r>
      <w:r w:rsidR="000048BF">
        <w:rPr>
          <w:lang w:val="es-ES_tradnl" w:eastAsia="ja-JP"/>
        </w:rPr>
        <w:t> </w:t>
      </w:r>
      <w:r w:rsidR="00652108" w:rsidRPr="00652108">
        <w:rPr>
          <w:lang w:val="es-ES_tradnl" w:eastAsia="ja-JP"/>
        </w:rPr>
        <w:t xml:space="preserve">de </w:t>
      </w:r>
      <w:r w:rsidR="00DB4D0A">
        <w:rPr>
          <w:lang w:val="es-ES_tradnl" w:eastAsia="ja-JP"/>
        </w:rPr>
        <w:t>mayo</w:t>
      </w:r>
      <w:r w:rsidR="00652108" w:rsidRPr="00652108">
        <w:rPr>
          <w:lang w:val="es-ES_tradnl" w:eastAsia="ja-JP"/>
        </w:rPr>
        <w:t xml:space="preserve"> de 2023</w:t>
      </w:r>
      <w:r w:rsidR="00652108">
        <w:rPr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o </w:t>
      </w:r>
      <w:r w:rsidR="000048BF" w:rsidRPr="000048BF">
        <w:rPr>
          <w:rFonts w:eastAsia="MS Mincho"/>
          <w:szCs w:val="22"/>
          <w:lang w:val="es-ES_tradnl" w:eastAsia="ja-JP"/>
        </w:rPr>
        <w:t>después de esa fecha</w:t>
      </w:r>
      <w:r w:rsidR="000048BF">
        <w:rPr>
          <w:rFonts w:eastAsia="MS Mincho"/>
          <w:szCs w:val="22"/>
          <w:lang w:val="es-ES_tradnl" w:eastAsia="ja-JP"/>
        </w:rPr>
        <w:t xml:space="preserve">; 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 xml:space="preserve">sea objeto de una designación posterior </w:t>
      </w:r>
      <w:r w:rsidR="0071378F">
        <w:rPr>
          <w:rFonts w:eastAsia="MS Mincho"/>
          <w:szCs w:val="22"/>
          <w:lang w:val="es-ES_tradnl" w:eastAsia="ja-JP"/>
        </w:rPr>
        <w:t>q</w:t>
      </w:r>
      <w:r w:rsidR="0071378F" w:rsidRPr="0071378F">
        <w:rPr>
          <w:lang w:val="es-ES"/>
        </w:rPr>
        <w:t xml:space="preserve">ue haya sido </w:t>
      </w:r>
      <w:r w:rsidRPr="00A76562">
        <w:rPr>
          <w:rFonts w:eastAsia="MS Mincho"/>
          <w:szCs w:val="22"/>
          <w:lang w:val="es-ES_tradnl" w:eastAsia="ja-JP"/>
        </w:rPr>
        <w:t>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0048BF">
        <w:rPr>
          <w:rFonts w:eastAsia="MS Mincho"/>
          <w:szCs w:val="22"/>
          <w:lang w:val="es-ES_tradnl" w:eastAsia="ja-JP"/>
        </w:rPr>
        <w:t>o</w:t>
      </w:r>
      <w:r w:rsidRPr="00A76562">
        <w:rPr>
          <w:rFonts w:eastAsia="MS Mincho"/>
          <w:szCs w:val="22"/>
          <w:lang w:val="es-ES_tradnl" w:eastAsia="ja-JP"/>
        </w:rPr>
        <w:t xml:space="preserve"> presentada directamente a</w:t>
      </w:r>
      <w:r w:rsidR="000048BF">
        <w:rPr>
          <w:rFonts w:eastAsia="MS Mincho"/>
          <w:szCs w:val="22"/>
          <w:lang w:val="es-ES_tradnl" w:eastAsia="ja-JP"/>
        </w:rPr>
        <w:t>nte</w:t>
      </w:r>
      <w:r w:rsidRPr="00A76562">
        <w:rPr>
          <w:rFonts w:eastAsia="MS Mincho"/>
          <w:szCs w:val="22"/>
          <w:lang w:val="es-ES_tradnl" w:eastAsia="ja-JP"/>
        </w:rPr>
        <w:t xml:space="preserve">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Default="00C972EF" w:rsidP="000048BF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</w:t>
      </w:r>
      <w:r w:rsidR="000048BF">
        <w:rPr>
          <w:rFonts w:eastAsia="MS Mincho"/>
          <w:szCs w:val="22"/>
          <w:lang w:val="es-ES_tradnl" w:eastAsia="ja-JP"/>
        </w:rPr>
        <w:t xml:space="preserve">renueva en dicha fecha o </w:t>
      </w:r>
      <w:r w:rsidR="000048BF" w:rsidRPr="000048BF">
        <w:rPr>
          <w:rFonts w:eastAsia="MS Mincho"/>
          <w:szCs w:val="22"/>
          <w:lang w:val="es-ES_tradnl" w:eastAsia="ja-JP"/>
        </w:rPr>
        <w:t>posteriormente</w:t>
      </w:r>
      <w:r w:rsidR="00A76562" w:rsidRPr="00A76562">
        <w:rPr>
          <w:rFonts w:eastAsia="MS Mincho"/>
          <w:szCs w:val="22"/>
          <w:lang w:val="es-ES_tradnl" w:eastAsia="ja-JP"/>
        </w:rPr>
        <w:t>.</w:t>
      </w:r>
    </w:p>
    <w:p w:rsidR="000255C9" w:rsidRPr="00DE624B" w:rsidRDefault="00A13545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26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B4525C">
        <w:rPr>
          <w:lang w:val="es-ES_tradnl"/>
        </w:rPr>
        <w:t>abril</w:t>
      </w:r>
      <w:r w:rsidR="00772C7E">
        <w:rPr>
          <w:lang w:val="es-ES_tradnl"/>
        </w:rPr>
        <w:t xml:space="preserve"> de 2023</w:t>
      </w:r>
    </w:p>
    <w:sectPr w:rsidR="000255C9" w:rsidRPr="00DE624B" w:rsidSect="00537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C5" w:rsidRDefault="00F05DC5">
      <w:r>
        <w:separator/>
      </w:r>
    </w:p>
  </w:endnote>
  <w:endnote w:type="continuationSeparator" w:id="0">
    <w:p w:rsidR="00F05DC5" w:rsidRDefault="00F05DC5" w:rsidP="003B38C1">
      <w:r>
        <w:separator/>
      </w:r>
    </w:p>
    <w:p w:rsidR="00F05DC5" w:rsidRPr="003B38C1" w:rsidRDefault="00F05DC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05DC5" w:rsidRPr="003B38C1" w:rsidRDefault="00F05DC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C5" w:rsidRDefault="00F05DC5">
      <w:r>
        <w:separator/>
      </w:r>
    </w:p>
  </w:footnote>
  <w:footnote w:type="continuationSeparator" w:id="0">
    <w:p w:rsidR="00F05DC5" w:rsidRDefault="00F05DC5" w:rsidP="008B60B2">
      <w:r>
        <w:separator/>
      </w:r>
    </w:p>
    <w:p w:rsidR="00F05DC5" w:rsidRPr="00ED77FB" w:rsidRDefault="00F05DC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05DC5" w:rsidRPr="00ED77FB" w:rsidRDefault="00F05DC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04E0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8A032F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C87" w:rsidRDefault="00314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471CC"/>
    <w:rsid w:val="00054DF5"/>
    <w:rsid w:val="00055BAD"/>
    <w:rsid w:val="00065151"/>
    <w:rsid w:val="000728FF"/>
    <w:rsid w:val="00075432"/>
    <w:rsid w:val="00076149"/>
    <w:rsid w:val="00077BE0"/>
    <w:rsid w:val="000832D1"/>
    <w:rsid w:val="00084B68"/>
    <w:rsid w:val="00087FD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44A1"/>
    <w:rsid w:val="000C1884"/>
    <w:rsid w:val="000C71B3"/>
    <w:rsid w:val="000D3921"/>
    <w:rsid w:val="000E146A"/>
    <w:rsid w:val="000E1DDC"/>
    <w:rsid w:val="000E3C14"/>
    <w:rsid w:val="000E73ED"/>
    <w:rsid w:val="000F11B2"/>
    <w:rsid w:val="000F5E56"/>
    <w:rsid w:val="000F7A69"/>
    <w:rsid w:val="00104E02"/>
    <w:rsid w:val="001272E3"/>
    <w:rsid w:val="00131BD8"/>
    <w:rsid w:val="001335FF"/>
    <w:rsid w:val="00133B7C"/>
    <w:rsid w:val="00133F53"/>
    <w:rsid w:val="001362EE"/>
    <w:rsid w:val="0014031B"/>
    <w:rsid w:val="0014556A"/>
    <w:rsid w:val="0015037D"/>
    <w:rsid w:val="00150ECF"/>
    <w:rsid w:val="00163C76"/>
    <w:rsid w:val="00163F0D"/>
    <w:rsid w:val="00166299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D7E"/>
    <w:rsid w:val="001C6635"/>
    <w:rsid w:val="001D6B4C"/>
    <w:rsid w:val="001E1F47"/>
    <w:rsid w:val="001E3850"/>
    <w:rsid w:val="001E594A"/>
    <w:rsid w:val="001F1B95"/>
    <w:rsid w:val="001F4E88"/>
    <w:rsid w:val="001F717F"/>
    <w:rsid w:val="00202410"/>
    <w:rsid w:val="00205035"/>
    <w:rsid w:val="0020551F"/>
    <w:rsid w:val="00213E14"/>
    <w:rsid w:val="0022087F"/>
    <w:rsid w:val="002231FE"/>
    <w:rsid w:val="0022493E"/>
    <w:rsid w:val="00227B86"/>
    <w:rsid w:val="00231895"/>
    <w:rsid w:val="00240B70"/>
    <w:rsid w:val="00244DB0"/>
    <w:rsid w:val="002453E8"/>
    <w:rsid w:val="00250BCC"/>
    <w:rsid w:val="00251890"/>
    <w:rsid w:val="0025278E"/>
    <w:rsid w:val="00254F87"/>
    <w:rsid w:val="00257193"/>
    <w:rsid w:val="002634C4"/>
    <w:rsid w:val="0026441D"/>
    <w:rsid w:val="00271292"/>
    <w:rsid w:val="00271540"/>
    <w:rsid w:val="0027396E"/>
    <w:rsid w:val="00275D8E"/>
    <w:rsid w:val="00285313"/>
    <w:rsid w:val="002859E2"/>
    <w:rsid w:val="00290DA5"/>
    <w:rsid w:val="0029191F"/>
    <w:rsid w:val="002928D3"/>
    <w:rsid w:val="002A10D1"/>
    <w:rsid w:val="002A2E4F"/>
    <w:rsid w:val="002B5E1D"/>
    <w:rsid w:val="002C1554"/>
    <w:rsid w:val="002C2267"/>
    <w:rsid w:val="002C32AD"/>
    <w:rsid w:val="002C34BE"/>
    <w:rsid w:val="002C38D8"/>
    <w:rsid w:val="002C7D2B"/>
    <w:rsid w:val="002C7E9F"/>
    <w:rsid w:val="002D373B"/>
    <w:rsid w:val="002D4C58"/>
    <w:rsid w:val="002D5FFD"/>
    <w:rsid w:val="002E5166"/>
    <w:rsid w:val="002E6718"/>
    <w:rsid w:val="002F1FE6"/>
    <w:rsid w:val="002F3B70"/>
    <w:rsid w:val="002F4E68"/>
    <w:rsid w:val="002F56A6"/>
    <w:rsid w:val="00302F7F"/>
    <w:rsid w:val="00303D78"/>
    <w:rsid w:val="003075C4"/>
    <w:rsid w:val="003110E9"/>
    <w:rsid w:val="00312F7F"/>
    <w:rsid w:val="00313383"/>
    <w:rsid w:val="00314C87"/>
    <w:rsid w:val="003160F7"/>
    <w:rsid w:val="00317670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802A4"/>
    <w:rsid w:val="00380429"/>
    <w:rsid w:val="003845C1"/>
    <w:rsid w:val="003879B9"/>
    <w:rsid w:val="003911F0"/>
    <w:rsid w:val="003926A7"/>
    <w:rsid w:val="003A6F89"/>
    <w:rsid w:val="003B01F4"/>
    <w:rsid w:val="003B38C1"/>
    <w:rsid w:val="003B46CB"/>
    <w:rsid w:val="003C22D1"/>
    <w:rsid w:val="003C2450"/>
    <w:rsid w:val="003C6569"/>
    <w:rsid w:val="003D0843"/>
    <w:rsid w:val="003D1301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76B"/>
    <w:rsid w:val="00424995"/>
    <w:rsid w:val="004275BB"/>
    <w:rsid w:val="00427AF4"/>
    <w:rsid w:val="0043341F"/>
    <w:rsid w:val="0043636D"/>
    <w:rsid w:val="0044034D"/>
    <w:rsid w:val="00447718"/>
    <w:rsid w:val="00447A31"/>
    <w:rsid w:val="004522FF"/>
    <w:rsid w:val="00452C01"/>
    <w:rsid w:val="00455407"/>
    <w:rsid w:val="004630B4"/>
    <w:rsid w:val="004647DA"/>
    <w:rsid w:val="00464F68"/>
    <w:rsid w:val="0047006A"/>
    <w:rsid w:val="00474062"/>
    <w:rsid w:val="00474C68"/>
    <w:rsid w:val="00477D6B"/>
    <w:rsid w:val="00477EF9"/>
    <w:rsid w:val="0048232C"/>
    <w:rsid w:val="0048756F"/>
    <w:rsid w:val="004936FC"/>
    <w:rsid w:val="004947C5"/>
    <w:rsid w:val="004962C0"/>
    <w:rsid w:val="004A1FFC"/>
    <w:rsid w:val="004A3108"/>
    <w:rsid w:val="004B0093"/>
    <w:rsid w:val="004B336C"/>
    <w:rsid w:val="004B68F2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1C2B"/>
    <w:rsid w:val="00512515"/>
    <w:rsid w:val="00515B2E"/>
    <w:rsid w:val="00523DCE"/>
    <w:rsid w:val="005243B1"/>
    <w:rsid w:val="0053024B"/>
    <w:rsid w:val="0053057A"/>
    <w:rsid w:val="005372DA"/>
    <w:rsid w:val="00546473"/>
    <w:rsid w:val="00546A94"/>
    <w:rsid w:val="0054762F"/>
    <w:rsid w:val="005505ED"/>
    <w:rsid w:val="00555FB8"/>
    <w:rsid w:val="00560A29"/>
    <w:rsid w:val="005618CE"/>
    <w:rsid w:val="00563C83"/>
    <w:rsid w:val="005678D8"/>
    <w:rsid w:val="005709B6"/>
    <w:rsid w:val="00573981"/>
    <w:rsid w:val="00573DC5"/>
    <w:rsid w:val="00577D39"/>
    <w:rsid w:val="00581227"/>
    <w:rsid w:val="005813CE"/>
    <w:rsid w:val="00582076"/>
    <w:rsid w:val="00585C7E"/>
    <w:rsid w:val="005868B8"/>
    <w:rsid w:val="0059431F"/>
    <w:rsid w:val="00597D88"/>
    <w:rsid w:val="005A1A3A"/>
    <w:rsid w:val="005A25C0"/>
    <w:rsid w:val="005A3D3E"/>
    <w:rsid w:val="005A5183"/>
    <w:rsid w:val="005B0D66"/>
    <w:rsid w:val="005B14E6"/>
    <w:rsid w:val="005B5479"/>
    <w:rsid w:val="005B5790"/>
    <w:rsid w:val="005C09DD"/>
    <w:rsid w:val="005C4C8F"/>
    <w:rsid w:val="005C6649"/>
    <w:rsid w:val="005C7965"/>
    <w:rsid w:val="005D09DA"/>
    <w:rsid w:val="005E2346"/>
    <w:rsid w:val="005E5CFA"/>
    <w:rsid w:val="005F2F3B"/>
    <w:rsid w:val="00600876"/>
    <w:rsid w:val="00601B0F"/>
    <w:rsid w:val="00605827"/>
    <w:rsid w:val="00610854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6294F"/>
    <w:rsid w:val="006646EC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8776C"/>
    <w:rsid w:val="0069307C"/>
    <w:rsid w:val="0069461F"/>
    <w:rsid w:val="006A3653"/>
    <w:rsid w:val="006A5B48"/>
    <w:rsid w:val="006A7458"/>
    <w:rsid w:val="006B2A4F"/>
    <w:rsid w:val="006B56F6"/>
    <w:rsid w:val="006B5F50"/>
    <w:rsid w:val="006C2CE7"/>
    <w:rsid w:val="006D1292"/>
    <w:rsid w:val="006D529E"/>
    <w:rsid w:val="006F073B"/>
    <w:rsid w:val="006F1C9B"/>
    <w:rsid w:val="006F2878"/>
    <w:rsid w:val="006F33FF"/>
    <w:rsid w:val="006F353D"/>
    <w:rsid w:val="0071378F"/>
    <w:rsid w:val="007145B6"/>
    <w:rsid w:val="00715924"/>
    <w:rsid w:val="00721187"/>
    <w:rsid w:val="00723889"/>
    <w:rsid w:val="00734549"/>
    <w:rsid w:val="00740C5B"/>
    <w:rsid w:val="00741470"/>
    <w:rsid w:val="0075340D"/>
    <w:rsid w:val="00756B15"/>
    <w:rsid w:val="00757B62"/>
    <w:rsid w:val="00762AF4"/>
    <w:rsid w:val="00762C24"/>
    <w:rsid w:val="00762D37"/>
    <w:rsid w:val="00767C4D"/>
    <w:rsid w:val="00767CC8"/>
    <w:rsid w:val="00772C7E"/>
    <w:rsid w:val="00773CE3"/>
    <w:rsid w:val="007743EF"/>
    <w:rsid w:val="00775EBD"/>
    <w:rsid w:val="00776441"/>
    <w:rsid w:val="007774D5"/>
    <w:rsid w:val="00785FA4"/>
    <w:rsid w:val="00786FDB"/>
    <w:rsid w:val="007908D0"/>
    <w:rsid w:val="00790A94"/>
    <w:rsid w:val="00797D67"/>
    <w:rsid w:val="007A6E3E"/>
    <w:rsid w:val="007B7F73"/>
    <w:rsid w:val="007C31F8"/>
    <w:rsid w:val="007C3E9B"/>
    <w:rsid w:val="007D1613"/>
    <w:rsid w:val="007D250A"/>
    <w:rsid w:val="007E0395"/>
    <w:rsid w:val="007F2558"/>
    <w:rsid w:val="007F2B32"/>
    <w:rsid w:val="007F4D09"/>
    <w:rsid w:val="007F62D1"/>
    <w:rsid w:val="007F6B61"/>
    <w:rsid w:val="00803DA2"/>
    <w:rsid w:val="008042E5"/>
    <w:rsid w:val="00804EC4"/>
    <w:rsid w:val="008051DF"/>
    <w:rsid w:val="008126FC"/>
    <w:rsid w:val="00813E42"/>
    <w:rsid w:val="00814549"/>
    <w:rsid w:val="008208C1"/>
    <w:rsid w:val="00820F23"/>
    <w:rsid w:val="0083318D"/>
    <w:rsid w:val="00850844"/>
    <w:rsid w:val="00851F65"/>
    <w:rsid w:val="00852029"/>
    <w:rsid w:val="00853FA8"/>
    <w:rsid w:val="00854071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48BE"/>
    <w:rsid w:val="008977D0"/>
    <w:rsid w:val="008A032F"/>
    <w:rsid w:val="008A1EA8"/>
    <w:rsid w:val="008B23F7"/>
    <w:rsid w:val="008B2CC1"/>
    <w:rsid w:val="008B60B2"/>
    <w:rsid w:val="008C2D2F"/>
    <w:rsid w:val="008C2FE6"/>
    <w:rsid w:val="008C3F09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731E"/>
    <w:rsid w:val="009162E2"/>
    <w:rsid w:val="00916E0C"/>
    <w:rsid w:val="00916EE2"/>
    <w:rsid w:val="00922789"/>
    <w:rsid w:val="009378BE"/>
    <w:rsid w:val="00940793"/>
    <w:rsid w:val="009419FB"/>
    <w:rsid w:val="0095770F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760A"/>
    <w:rsid w:val="00987E9A"/>
    <w:rsid w:val="00995381"/>
    <w:rsid w:val="00997AAD"/>
    <w:rsid w:val="009A591F"/>
    <w:rsid w:val="009C0C04"/>
    <w:rsid w:val="009C757E"/>
    <w:rsid w:val="009D4EC3"/>
    <w:rsid w:val="009D6D67"/>
    <w:rsid w:val="009E159D"/>
    <w:rsid w:val="009E2791"/>
    <w:rsid w:val="009E3F6F"/>
    <w:rsid w:val="009E5711"/>
    <w:rsid w:val="009E5F9F"/>
    <w:rsid w:val="009E7B70"/>
    <w:rsid w:val="009F1968"/>
    <w:rsid w:val="009F2A14"/>
    <w:rsid w:val="009F499F"/>
    <w:rsid w:val="009F7085"/>
    <w:rsid w:val="00A04B6E"/>
    <w:rsid w:val="00A10413"/>
    <w:rsid w:val="00A13545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70C31"/>
    <w:rsid w:val="00A72B1F"/>
    <w:rsid w:val="00A74F88"/>
    <w:rsid w:val="00A76562"/>
    <w:rsid w:val="00A80BEC"/>
    <w:rsid w:val="00A8534F"/>
    <w:rsid w:val="00A869B7"/>
    <w:rsid w:val="00A9349C"/>
    <w:rsid w:val="00A95D65"/>
    <w:rsid w:val="00A96B1D"/>
    <w:rsid w:val="00A97803"/>
    <w:rsid w:val="00AA01C8"/>
    <w:rsid w:val="00AA0CD0"/>
    <w:rsid w:val="00AA1EEF"/>
    <w:rsid w:val="00AB4428"/>
    <w:rsid w:val="00AC205C"/>
    <w:rsid w:val="00AC3562"/>
    <w:rsid w:val="00AD38EE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4261F"/>
    <w:rsid w:val="00B4525C"/>
    <w:rsid w:val="00B45BDB"/>
    <w:rsid w:val="00B46D7E"/>
    <w:rsid w:val="00B50683"/>
    <w:rsid w:val="00B52EC5"/>
    <w:rsid w:val="00B54D7D"/>
    <w:rsid w:val="00B6795E"/>
    <w:rsid w:val="00B83157"/>
    <w:rsid w:val="00B83438"/>
    <w:rsid w:val="00B9734B"/>
    <w:rsid w:val="00B97A85"/>
    <w:rsid w:val="00BA59F8"/>
    <w:rsid w:val="00BA63F6"/>
    <w:rsid w:val="00BA6DE5"/>
    <w:rsid w:val="00BB30F3"/>
    <w:rsid w:val="00BB5A5F"/>
    <w:rsid w:val="00BB7278"/>
    <w:rsid w:val="00BB78C7"/>
    <w:rsid w:val="00BC0FDE"/>
    <w:rsid w:val="00BC2CC9"/>
    <w:rsid w:val="00BC375A"/>
    <w:rsid w:val="00BD3F14"/>
    <w:rsid w:val="00BE2729"/>
    <w:rsid w:val="00BE55D6"/>
    <w:rsid w:val="00BE5857"/>
    <w:rsid w:val="00BF3038"/>
    <w:rsid w:val="00BF4D90"/>
    <w:rsid w:val="00C023DA"/>
    <w:rsid w:val="00C11BFE"/>
    <w:rsid w:val="00C14E91"/>
    <w:rsid w:val="00C219F0"/>
    <w:rsid w:val="00C2775F"/>
    <w:rsid w:val="00C32F61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56FE"/>
    <w:rsid w:val="00C60644"/>
    <w:rsid w:val="00C61B1F"/>
    <w:rsid w:val="00C63F9E"/>
    <w:rsid w:val="00C65F83"/>
    <w:rsid w:val="00C738A0"/>
    <w:rsid w:val="00C7617D"/>
    <w:rsid w:val="00C7675A"/>
    <w:rsid w:val="00C771EA"/>
    <w:rsid w:val="00C80F8F"/>
    <w:rsid w:val="00C93067"/>
    <w:rsid w:val="00C95095"/>
    <w:rsid w:val="00C972EF"/>
    <w:rsid w:val="00C977DB"/>
    <w:rsid w:val="00C97D2D"/>
    <w:rsid w:val="00CA1156"/>
    <w:rsid w:val="00CB0F2D"/>
    <w:rsid w:val="00CB132F"/>
    <w:rsid w:val="00CB13CA"/>
    <w:rsid w:val="00CB5E7A"/>
    <w:rsid w:val="00CB5FAB"/>
    <w:rsid w:val="00CC150C"/>
    <w:rsid w:val="00CC2811"/>
    <w:rsid w:val="00CC4EDF"/>
    <w:rsid w:val="00CC5016"/>
    <w:rsid w:val="00CD026C"/>
    <w:rsid w:val="00CD09B8"/>
    <w:rsid w:val="00CD0BF8"/>
    <w:rsid w:val="00CD12EE"/>
    <w:rsid w:val="00CD1DFA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6390"/>
    <w:rsid w:val="00CF0D51"/>
    <w:rsid w:val="00CF4536"/>
    <w:rsid w:val="00CF76C2"/>
    <w:rsid w:val="00D12695"/>
    <w:rsid w:val="00D22BD4"/>
    <w:rsid w:val="00D235B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6F38"/>
    <w:rsid w:val="00D84272"/>
    <w:rsid w:val="00D87D75"/>
    <w:rsid w:val="00D90EE5"/>
    <w:rsid w:val="00D93D55"/>
    <w:rsid w:val="00D95311"/>
    <w:rsid w:val="00DA1C0E"/>
    <w:rsid w:val="00DA5FE3"/>
    <w:rsid w:val="00DB129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213EE"/>
    <w:rsid w:val="00E335FE"/>
    <w:rsid w:val="00E40713"/>
    <w:rsid w:val="00E42B9A"/>
    <w:rsid w:val="00E438C5"/>
    <w:rsid w:val="00E532DC"/>
    <w:rsid w:val="00E533D5"/>
    <w:rsid w:val="00E539DC"/>
    <w:rsid w:val="00E62906"/>
    <w:rsid w:val="00E62AE7"/>
    <w:rsid w:val="00E66C2C"/>
    <w:rsid w:val="00E67B4C"/>
    <w:rsid w:val="00E7182A"/>
    <w:rsid w:val="00E74DC1"/>
    <w:rsid w:val="00E8035A"/>
    <w:rsid w:val="00E83E5C"/>
    <w:rsid w:val="00E935EA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7F02"/>
    <w:rsid w:val="00EF0146"/>
    <w:rsid w:val="00F0067D"/>
    <w:rsid w:val="00F011ED"/>
    <w:rsid w:val="00F05DC5"/>
    <w:rsid w:val="00F060F9"/>
    <w:rsid w:val="00F0720F"/>
    <w:rsid w:val="00F10AD1"/>
    <w:rsid w:val="00F10CFB"/>
    <w:rsid w:val="00F172CF"/>
    <w:rsid w:val="00F201C4"/>
    <w:rsid w:val="00F24361"/>
    <w:rsid w:val="00F328E1"/>
    <w:rsid w:val="00F36F09"/>
    <w:rsid w:val="00F4005D"/>
    <w:rsid w:val="00F41701"/>
    <w:rsid w:val="00F55994"/>
    <w:rsid w:val="00F559BC"/>
    <w:rsid w:val="00F643BE"/>
    <w:rsid w:val="00F65495"/>
    <w:rsid w:val="00F66152"/>
    <w:rsid w:val="00F74474"/>
    <w:rsid w:val="00F7721F"/>
    <w:rsid w:val="00F77FF6"/>
    <w:rsid w:val="00F90FEF"/>
    <w:rsid w:val="00F91A49"/>
    <w:rsid w:val="00FA0C4B"/>
    <w:rsid w:val="00FA58D7"/>
    <w:rsid w:val="00FB4EBE"/>
    <w:rsid w:val="00FC17D3"/>
    <w:rsid w:val="00FC3506"/>
    <w:rsid w:val="00FC3D36"/>
    <w:rsid w:val="00FC4305"/>
    <w:rsid w:val="00FC4C8A"/>
    <w:rsid w:val="00FC71BC"/>
    <w:rsid w:val="00FC7B76"/>
    <w:rsid w:val="00FD0137"/>
    <w:rsid w:val="00FD431E"/>
    <w:rsid w:val="00FD5892"/>
    <w:rsid w:val="00FD7BF7"/>
    <w:rsid w:val="00FE0E35"/>
    <w:rsid w:val="00FE488D"/>
    <w:rsid w:val="00FE4AC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0B14-C651-4878-9160-1F301549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25</cp:revision>
  <cp:lastPrinted>2023-03-22T12:36:00Z</cp:lastPrinted>
  <dcterms:created xsi:type="dcterms:W3CDTF">2023-04-11T07:52:00Z</dcterms:created>
  <dcterms:modified xsi:type="dcterms:W3CDTF">2023-04-26T12:24:00Z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