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3330" w:rsidRPr="00C93330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C93330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071DA069" w:rsidR="00163F61" w:rsidRPr="00C93330" w:rsidRDefault="00491C61" w:rsidP="003C2450">
            <w:pPr>
              <w:keepNext/>
              <w:keepLines/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69F9B29" wp14:editId="04104485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C93330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C93330" w:rsidRPr="00C93330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C9333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C93330" w:rsidRPr="00491C6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20F0220" w:rsidR="00163F61" w:rsidRPr="00491C61" w:rsidRDefault="00CD782A" w:rsidP="005C16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91C61">
              <w:rPr>
                <w:rFonts w:ascii="Arial Black" w:hAnsi="Arial Black"/>
                <w:caps/>
                <w:sz w:val="15"/>
              </w:rPr>
              <w:t>AVIS N°</w:t>
            </w:r>
            <w:r w:rsidR="003226A4">
              <w:rPr>
                <w:rFonts w:ascii="Arial Black" w:hAnsi="Arial Black"/>
                <w:caps/>
                <w:sz w:val="15"/>
              </w:rPr>
              <w:t> </w:t>
            </w:r>
            <w:r w:rsidR="005C164E">
              <w:rPr>
                <w:rFonts w:ascii="Arial Black" w:hAnsi="Arial Black"/>
                <w:caps/>
                <w:sz w:val="15"/>
              </w:rPr>
              <w:t>7</w:t>
            </w:r>
            <w:r w:rsidR="009D7614">
              <w:rPr>
                <w:rFonts w:ascii="Arial Black" w:hAnsi="Arial Black"/>
                <w:caps/>
                <w:sz w:val="15"/>
              </w:rPr>
              <w:t>/</w:t>
            </w:r>
            <w:r w:rsidRPr="00491C61">
              <w:rPr>
                <w:rFonts w:ascii="Arial Black" w:hAnsi="Arial Black"/>
                <w:caps/>
                <w:sz w:val="15"/>
              </w:rPr>
              <w:t>202</w:t>
            </w:r>
            <w:r w:rsidR="009D7614">
              <w:rPr>
                <w:rFonts w:ascii="Arial Black" w:hAnsi="Arial Black"/>
                <w:caps/>
                <w:sz w:val="15"/>
              </w:rPr>
              <w:t>3</w:t>
            </w:r>
          </w:p>
        </w:tc>
      </w:tr>
    </w:tbl>
    <w:p w14:paraId="22072B56" w14:textId="23C835E3" w:rsidR="003226A4" w:rsidRPr="00397D6E" w:rsidRDefault="003226A4" w:rsidP="003226A4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CH"/>
        </w:rPr>
      </w:pPr>
      <w:r w:rsidRPr="00397D6E">
        <w:rPr>
          <w:b/>
          <w:bCs/>
          <w:sz w:val="28"/>
          <w:szCs w:val="28"/>
          <w:lang w:val="fr-CH"/>
        </w:rPr>
        <w:t>Arrangement de La Haye concernant l’enregistrement international des dessins et modèles industriels</w:t>
      </w:r>
    </w:p>
    <w:p w14:paraId="5A9E3CE8" w14:textId="315C5150" w:rsidR="003226A4" w:rsidRPr="00397D6E" w:rsidRDefault="003226A4" w:rsidP="003226A4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CH"/>
        </w:rPr>
      </w:pPr>
      <w:r w:rsidRPr="00397D6E">
        <w:rPr>
          <w:b/>
          <w:bCs/>
          <w:sz w:val="24"/>
          <w:szCs w:val="24"/>
          <w:lang w:val="fr-CH"/>
        </w:rPr>
        <w:t>Modification des montants de la taxe de désignation individuelle : États-Unis d’Amérique</w:t>
      </w:r>
    </w:p>
    <w:p w14:paraId="4AD667DD" w14:textId="48B022BF" w:rsidR="003226A4" w:rsidRDefault="003226A4" w:rsidP="00BB0E45">
      <w:pPr>
        <w:pStyle w:val="ONUME"/>
        <w:rPr>
          <w:rFonts w:cstheme="minorBidi"/>
          <w:sz w:val="20"/>
          <w:lang w:val="fr-CH"/>
        </w:rPr>
      </w:pPr>
      <w:r w:rsidRPr="00397D6E">
        <w:rPr>
          <w:lang w:val="fr-CH"/>
        </w:rPr>
        <w:t xml:space="preserve">Le Gouvernement des États-Unis d’Amérique a notifié au Directeur général de l’Organisation Mondiale de la Propriété Intellectuelle (OMPI) une déclaration modifiant les montants de la taxe de désignation individuelle </w:t>
      </w:r>
      <w:r w:rsidR="007C68A3">
        <w:rPr>
          <w:lang w:val="fr-CH"/>
        </w:rPr>
        <w:t xml:space="preserve">pour </w:t>
      </w:r>
      <w:r w:rsidR="008F387B">
        <w:rPr>
          <w:lang w:val="fr-CH"/>
        </w:rPr>
        <w:t>d</w:t>
      </w:r>
      <w:r w:rsidR="007C68A3">
        <w:rPr>
          <w:lang w:val="fr-CH"/>
        </w:rPr>
        <w:t>es petites et micro entités</w:t>
      </w:r>
      <w:r w:rsidR="009E0713">
        <w:rPr>
          <w:lang w:val="fr-CH"/>
        </w:rPr>
        <w:t>,</w:t>
      </w:r>
      <w:r w:rsidR="007C68A3" w:rsidRPr="00397D6E">
        <w:rPr>
          <w:lang w:val="fr-CH"/>
        </w:rPr>
        <w:t xml:space="preserve"> </w:t>
      </w:r>
      <w:r w:rsidRPr="00397D6E">
        <w:rPr>
          <w:lang w:val="fr-CH"/>
        </w:rPr>
        <w:t xml:space="preserve">à payer en ce </w:t>
      </w:r>
      <w:proofErr w:type="gramStart"/>
      <w:r w:rsidRPr="00397D6E">
        <w:rPr>
          <w:lang w:val="fr-CH"/>
        </w:rPr>
        <w:t>qui</w:t>
      </w:r>
      <w:proofErr w:type="gramEnd"/>
      <w:r w:rsidRPr="00397D6E">
        <w:rPr>
          <w:lang w:val="fr-CH"/>
        </w:rPr>
        <w:t xml:space="preserve"> concerne une demande internationale dans laquelle les États-Unis d’Amérique sont désignés en vertu de l’article 7.2) de l’Acte de Genève de l’Arrangement de La Haye concernant l’enregistrement international des dessins et modèles industriels</w:t>
      </w:r>
      <w:r w:rsidR="00BB0E45">
        <w:rPr>
          <w:lang w:val="fr-CH"/>
        </w:rPr>
        <w:t xml:space="preserve"> </w:t>
      </w:r>
      <w:r w:rsidR="00BB0E45" w:rsidRPr="00BB0E45">
        <w:rPr>
          <w:rFonts w:cstheme="minorBidi"/>
          <w:szCs w:val="22"/>
          <w:lang w:val="fr-CH"/>
        </w:rPr>
        <w:t>(“Acte de 1999”).</w:t>
      </w:r>
    </w:p>
    <w:p w14:paraId="64F11B01" w14:textId="132AB439" w:rsidR="002F6A4A" w:rsidRDefault="003226A4" w:rsidP="003226A4">
      <w:pPr>
        <w:pStyle w:val="ONUME"/>
        <w:rPr>
          <w:lang w:val="fr-CH"/>
        </w:rPr>
      </w:pPr>
      <w:r w:rsidRPr="00397D6E">
        <w:rPr>
          <w:lang w:val="fr-CH"/>
        </w:rPr>
        <w:t>Conformément à la règle </w:t>
      </w:r>
      <w:proofErr w:type="gramStart"/>
      <w:r w:rsidRPr="00397D6E">
        <w:rPr>
          <w:lang w:val="fr-CH"/>
        </w:rPr>
        <w:t>28.2)b</w:t>
      </w:r>
      <w:proofErr w:type="gramEnd"/>
      <w:r w:rsidRPr="00397D6E">
        <w:rPr>
          <w:lang w:val="fr-CH"/>
        </w:rPr>
        <w:t>) du Règlement d’exécution commun à l’Acte de 1999 et l’Acte de 1960 de l’Arrangement de La Haye, le Directeur général de l’OMPI a établi, après consultation de l’Office des brevets et des marques des États-Unis d’Amérique (USPTO), les nouveaux montants ci-après en francs suisses de ladite taxe de désignation individuelle 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690"/>
        <w:gridCol w:w="2070"/>
        <w:gridCol w:w="2070"/>
      </w:tblGrid>
      <w:tr w:rsidR="009D7614" w:rsidRPr="007D1265" w14:paraId="1ABF413E" w14:textId="2408F4B7" w:rsidTr="004B28C9">
        <w:trPr>
          <w:cantSplit/>
          <w:trHeight w:val="736"/>
        </w:trPr>
        <w:tc>
          <w:tcPr>
            <w:tcW w:w="5310" w:type="dxa"/>
            <w:gridSpan w:val="2"/>
            <w:vAlign w:val="center"/>
          </w:tcPr>
          <w:p w14:paraId="10A5DC8B" w14:textId="7529C961" w:rsidR="009D7614" w:rsidRPr="00397D6E" w:rsidRDefault="009D7614" w:rsidP="009D7614">
            <w:pPr>
              <w:jc w:val="center"/>
              <w:rPr>
                <w:b/>
              </w:rPr>
            </w:pPr>
            <w:r w:rsidRPr="00397D6E">
              <w:rPr>
                <w:spacing w:val="-3"/>
                <w:lang w:val="fr-CH"/>
              </w:rPr>
              <w:br w:type="page"/>
            </w:r>
            <w:r w:rsidRPr="00397D6E">
              <w:rPr>
                <w:lang w:val="fr-CH"/>
              </w:rPr>
              <w:br w:type="page"/>
            </w:r>
            <w:r>
              <w:rPr>
                <w:b/>
                <w:lang w:val="fr-CH"/>
              </w:rPr>
              <w:t xml:space="preserve">Taxe de </w:t>
            </w:r>
            <w:r w:rsidR="007C68A3">
              <w:rPr>
                <w:b/>
                <w:lang w:val="fr-CH"/>
              </w:rPr>
              <w:t>désignation</w:t>
            </w:r>
            <w:r>
              <w:rPr>
                <w:b/>
                <w:lang w:val="fr-CH"/>
              </w:rPr>
              <w:t xml:space="preserve"> individuelle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1CC5662" w14:textId="77777777" w:rsidR="009D7614" w:rsidRDefault="009D7614" w:rsidP="003226A4">
            <w:pPr>
              <w:jc w:val="center"/>
              <w:rPr>
                <w:b/>
                <w:lang w:val="fr-CH"/>
              </w:rPr>
            </w:pPr>
            <w:r w:rsidRPr="009D7614">
              <w:rPr>
                <w:b/>
                <w:lang w:val="fr-CH"/>
              </w:rPr>
              <w:t xml:space="preserve">Montants </w:t>
            </w:r>
          </w:p>
          <w:p w14:paraId="460A788B" w14:textId="0F77CBA6" w:rsidR="009D7614" w:rsidRPr="009D7614" w:rsidRDefault="009D7614" w:rsidP="004B28C9">
            <w:pPr>
              <w:ind w:right="-11"/>
              <w:jc w:val="center"/>
              <w:rPr>
                <w:b/>
                <w:lang w:val="fr-CH"/>
              </w:rPr>
            </w:pPr>
            <w:r w:rsidRPr="009D7614">
              <w:rPr>
                <w:b/>
                <w:lang w:val="fr-CH"/>
              </w:rPr>
              <w:t>actuels</w:t>
            </w:r>
            <w:r w:rsidRPr="009D7614">
              <w:rPr>
                <w:b/>
                <w:i/>
                <w:lang w:val="fr-CH"/>
              </w:rPr>
              <w:br/>
            </w:r>
            <w:r w:rsidRPr="009D7614">
              <w:rPr>
                <w:i/>
                <w:lang w:val="fr-CH"/>
              </w:rPr>
              <w:t>(en francs suisses)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6D8D65A" w14:textId="77777777" w:rsidR="009D7614" w:rsidRDefault="009D7614" w:rsidP="003226A4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Nouveaux montants</w:t>
            </w:r>
          </w:p>
          <w:p w14:paraId="06A0DB6A" w14:textId="2E4656F8" w:rsidR="009D7614" w:rsidRPr="009D7614" w:rsidRDefault="009D7614" w:rsidP="003226A4">
            <w:pPr>
              <w:jc w:val="center"/>
              <w:rPr>
                <w:i/>
                <w:lang w:val="fr-CH"/>
              </w:rPr>
            </w:pPr>
            <w:r w:rsidRPr="009D7614">
              <w:rPr>
                <w:i/>
                <w:lang w:val="fr-CH"/>
              </w:rPr>
              <w:t>(en francs suisses)</w:t>
            </w:r>
          </w:p>
        </w:tc>
      </w:tr>
      <w:tr w:rsidR="004F4772" w:rsidRPr="00C17EA3" w14:paraId="0C33E1F7" w14:textId="640E1732" w:rsidTr="004B28C9">
        <w:trPr>
          <w:trHeight w:val="512"/>
        </w:trPr>
        <w:tc>
          <w:tcPr>
            <w:tcW w:w="1620" w:type="dxa"/>
            <w:vMerge w:val="restart"/>
            <w:vAlign w:val="center"/>
          </w:tcPr>
          <w:p w14:paraId="3636ABB6" w14:textId="70D3C74B" w:rsidR="004F4772" w:rsidRPr="00C17EA3" w:rsidRDefault="004F4772" w:rsidP="004F4772">
            <w:proofErr w:type="spellStart"/>
            <w:r w:rsidRPr="00397D6E">
              <w:t>Demande</w:t>
            </w:r>
            <w:proofErr w:type="spellEnd"/>
            <w:r w:rsidRPr="00397D6E">
              <w:t xml:space="preserve"> </w:t>
            </w:r>
            <w:proofErr w:type="spellStart"/>
            <w:r w:rsidRPr="00397D6E">
              <w:t>internationale</w:t>
            </w:r>
            <w:proofErr w:type="spellEnd"/>
          </w:p>
        </w:tc>
        <w:tc>
          <w:tcPr>
            <w:tcW w:w="3690" w:type="dxa"/>
            <w:tcBorders>
              <w:bottom w:val="nil"/>
            </w:tcBorders>
          </w:tcPr>
          <w:p w14:paraId="31DCE0F9" w14:textId="13CD5CFA" w:rsidR="004F4772" w:rsidRPr="00397D6E" w:rsidRDefault="004F4772" w:rsidP="004F4772">
            <w:pPr>
              <w:spacing w:before="120"/>
              <w:rPr>
                <w:lang w:val="fr-CH"/>
              </w:rPr>
            </w:pPr>
            <w:r w:rsidRPr="00397D6E">
              <w:rPr>
                <w:u w:val="single"/>
                <w:lang w:val="fr-CH"/>
              </w:rPr>
              <w:t>Première partie</w:t>
            </w:r>
            <w:r w:rsidRPr="00397D6E">
              <w:rPr>
                <w:lang w:val="fr-CH"/>
              </w:rPr>
              <w:t> :</w:t>
            </w:r>
          </w:p>
          <w:p w14:paraId="01AF77B8" w14:textId="77777777" w:rsidR="004F4772" w:rsidRPr="007F7D9F" w:rsidRDefault="004F4772" w:rsidP="004F4772">
            <w:pPr>
              <w:rPr>
                <w:lang w:val="fr-CH"/>
              </w:rPr>
            </w:pPr>
          </w:p>
          <w:p w14:paraId="2ED01FD2" w14:textId="4E6D9F55" w:rsidR="004F4772" w:rsidRPr="00397D6E" w:rsidRDefault="004F4772" w:rsidP="004F4772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>montant par défaut</w:t>
            </w:r>
          </w:p>
        </w:tc>
        <w:tc>
          <w:tcPr>
            <w:tcW w:w="2070" w:type="dxa"/>
            <w:tcBorders>
              <w:bottom w:val="nil"/>
            </w:tcBorders>
          </w:tcPr>
          <w:p w14:paraId="4390775B" w14:textId="77777777" w:rsidR="004F4772" w:rsidRDefault="004F4772" w:rsidP="004F4772">
            <w:pPr>
              <w:tabs>
                <w:tab w:val="right" w:pos="1167"/>
              </w:tabs>
              <w:spacing w:before="120"/>
              <w:rPr>
                <w:lang w:val="fr-CH"/>
              </w:rPr>
            </w:pPr>
          </w:p>
          <w:p w14:paraId="183FA9AB" w14:textId="77777777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0171F796" w14:textId="77777777" w:rsidR="004F4772" w:rsidRPr="00C17EA3" w:rsidRDefault="004F4772" w:rsidP="004F4772">
            <w:pPr>
              <w:tabs>
                <w:tab w:val="right" w:pos="1167"/>
              </w:tabs>
            </w:pPr>
            <w:r w:rsidRPr="003226A4">
              <w:rPr>
                <w:lang w:val="fr-CH"/>
              </w:rPr>
              <w:tab/>
            </w:r>
            <w:r>
              <w:t>989</w:t>
            </w:r>
          </w:p>
        </w:tc>
        <w:tc>
          <w:tcPr>
            <w:tcW w:w="2070" w:type="dxa"/>
            <w:tcBorders>
              <w:bottom w:val="nil"/>
            </w:tcBorders>
          </w:tcPr>
          <w:p w14:paraId="591B2A35" w14:textId="31F3BC8D" w:rsidR="004F4772" w:rsidRDefault="004F4772" w:rsidP="004F4772">
            <w:pPr>
              <w:tabs>
                <w:tab w:val="right" w:pos="1167"/>
              </w:tabs>
              <w:spacing w:before="120"/>
              <w:rPr>
                <w:lang w:val="fr-CH"/>
              </w:rPr>
            </w:pPr>
          </w:p>
          <w:p w14:paraId="0B9CC105" w14:textId="07ACACED" w:rsidR="004F4772" w:rsidRDefault="004F4772" w:rsidP="004F4772">
            <w:pPr>
              <w:tabs>
                <w:tab w:val="right" w:pos="1167"/>
              </w:tabs>
              <w:spacing w:before="240"/>
              <w:rPr>
                <w:lang w:val="fr-CH"/>
              </w:rPr>
            </w:pPr>
            <w:r w:rsidRPr="003226A4">
              <w:rPr>
                <w:lang w:val="fr-CH"/>
              </w:rPr>
              <w:tab/>
            </w:r>
            <w:r>
              <w:t>941</w:t>
            </w:r>
          </w:p>
        </w:tc>
      </w:tr>
      <w:tr w:rsidR="004F4772" w:rsidRPr="00C17EA3" w14:paraId="38633D2A" w14:textId="17A586DB" w:rsidTr="004B28C9">
        <w:tc>
          <w:tcPr>
            <w:tcW w:w="1620" w:type="dxa"/>
            <w:vMerge/>
            <w:vAlign w:val="center"/>
          </w:tcPr>
          <w:p w14:paraId="3D707FDC" w14:textId="77777777" w:rsidR="004F4772" w:rsidRPr="00C17EA3" w:rsidRDefault="004F4772" w:rsidP="004F4772"/>
        </w:tc>
        <w:tc>
          <w:tcPr>
            <w:tcW w:w="3690" w:type="dxa"/>
            <w:tcBorders>
              <w:top w:val="nil"/>
              <w:bottom w:val="nil"/>
            </w:tcBorders>
          </w:tcPr>
          <w:p w14:paraId="5D5CB3CD" w14:textId="77777777" w:rsidR="004F4772" w:rsidRPr="000456E4" w:rsidRDefault="004F4772" w:rsidP="004F4772">
            <w:pPr>
              <w:rPr>
                <w:lang w:val="fr-CH"/>
              </w:rPr>
            </w:pPr>
          </w:p>
          <w:p w14:paraId="52F479A2" w14:textId="7DC32A0D" w:rsidR="004F4772" w:rsidRPr="00397D6E" w:rsidRDefault="004F4772" w:rsidP="004F4772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 xml:space="preserve">montant pour </w:t>
            </w:r>
            <w:r>
              <w:rPr>
                <w:lang w:val="fr-CH"/>
              </w:rPr>
              <w:t xml:space="preserve">une </w:t>
            </w:r>
            <w:r w:rsidRPr="00397D6E">
              <w:rPr>
                <w:lang w:val="fr-CH"/>
              </w:rPr>
              <w:t xml:space="preserve">“petite entité” 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86A9F88" w14:textId="77777777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61F969F8" w14:textId="77777777" w:rsidR="004F4772" w:rsidRPr="00C17EA3" w:rsidRDefault="004F4772" w:rsidP="004F4772">
            <w:pPr>
              <w:tabs>
                <w:tab w:val="right" w:pos="1167"/>
              </w:tabs>
              <w:ind w:left="175"/>
            </w:pPr>
            <w:r w:rsidRPr="003226A4">
              <w:rPr>
                <w:lang w:val="fr-CH"/>
              </w:rPr>
              <w:tab/>
            </w:r>
            <w:r>
              <w:t>495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A047C54" w14:textId="77777777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44332F37" w14:textId="2D786021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  <w:r w:rsidRPr="003226A4">
              <w:rPr>
                <w:lang w:val="fr-CH"/>
              </w:rPr>
              <w:tab/>
            </w:r>
            <w:r>
              <w:t>377</w:t>
            </w:r>
          </w:p>
        </w:tc>
      </w:tr>
      <w:tr w:rsidR="004F4772" w:rsidRPr="00C17EA3" w14:paraId="7CBCAB3F" w14:textId="7AA71889" w:rsidTr="004B28C9">
        <w:tc>
          <w:tcPr>
            <w:tcW w:w="1620" w:type="dxa"/>
            <w:vMerge/>
            <w:vAlign w:val="center"/>
          </w:tcPr>
          <w:p w14:paraId="522E4794" w14:textId="77777777" w:rsidR="004F4772" w:rsidRPr="00C17EA3" w:rsidRDefault="004F4772" w:rsidP="004F4772"/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3D76F900" w14:textId="77777777" w:rsidR="004F4772" w:rsidRPr="000456E4" w:rsidRDefault="004F4772" w:rsidP="004F4772">
            <w:pPr>
              <w:rPr>
                <w:lang w:val="fr-CH"/>
              </w:rPr>
            </w:pPr>
          </w:p>
          <w:p w14:paraId="36B6BAFE" w14:textId="0AED951F" w:rsidR="004F4772" w:rsidRPr="00397D6E" w:rsidRDefault="004F4772" w:rsidP="004F4772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 xml:space="preserve">montant pour </w:t>
            </w:r>
            <w:r>
              <w:rPr>
                <w:lang w:val="fr-CH"/>
              </w:rPr>
              <w:t xml:space="preserve">une </w:t>
            </w:r>
            <w:r w:rsidRPr="00397D6E">
              <w:rPr>
                <w:lang w:val="fr-CH"/>
              </w:rPr>
              <w:t>“micro entité”</w:t>
            </w:r>
          </w:p>
          <w:p w14:paraId="09C40874" w14:textId="183B519D" w:rsidR="004F4772" w:rsidRPr="00397D6E" w:rsidRDefault="004F4772" w:rsidP="004F4772">
            <w:pPr>
              <w:tabs>
                <w:tab w:val="left" w:pos="317"/>
              </w:tabs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1B307CA4" w14:textId="77777777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46D1E14A" w14:textId="77777777" w:rsidR="004F4772" w:rsidRPr="00C17EA3" w:rsidRDefault="004F4772" w:rsidP="004F4772">
            <w:pPr>
              <w:tabs>
                <w:tab w:val="right" w:pos="1167"/>
              </w:tabs>
            </w:pPr>
            <w:r w:rsidRPr="003226A4">
              <w:rPr>
                <w:lang w:val="fr-CH"/>
              </w:rPr>
              <w:tab/>
            </w:r>
            <w:r>
              <w:t>247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C8AAF66" w14:textId="77777777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77652B83" w14:textId="34C2D68F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  <w:r w:rsidRPr="003226A4">
              <w:rPr>
                <w:lang w:val="fr-CH"/>
              </w:rPr>
              <w:tab/>
            </w:r>
            <w:r>
              <w:t>188</w:t>
            </w:r>
          </w:p>
        </w:tc>
      </w:tr>
      <w:tr w:rsidR="004F4772" w:rsidRPr="00C17EA3" w14:paraId="7F1A8181" w14:textId="7F434895" w:rsidTr="004B28C9">
        <w:trPr>
          <w:trHeight w:val="350"/>
        </w:trPr>
        <w:tc>
          <w:tcPr>
            <w:tcW w:w="1620" w:type="dxa"/>
            <w:vMerge/>
            <w:vAlign w:val="center"/>
          </w:tcPr>
          <w:p w14:paraId="6D028825" w14:textId="77777777" w:rsidR="004F4772" w:rsidRPr="00C17EA3" w:rsidRDefault="004F4772" w:rsidP="004F4772"/>
        </w:tc>
        <w:tc>
          <w:tcPr>
            <w:tcW w:w="3690" w:type="dxa"/>
            <w:tcBorders>
              <w:bottom w:val="nil"/>
            </w:tcBorders>
          </w:tcPr>
          <w:p w14:paraId="29174DE1" w14:textId="6A0D44EB" w:rsidR="004F4772" w:rsidRPr="00397D6E" w:rsidRDefault="004F4772" w:rsidP="004F4772">
            <w:pPr>
              <w:spacing w:before="120"/>
              <w:rPr>
                <w:lang w:val="fr-CH"/>
              </w:rPr>
            </w:pPr>
            <w:r w:rsidRPr="00397D6E">
              <w:rPr>
                <w:u w:val="single"/>
                <w:lang w:val="fr-CH"/>
              </w:rPr>
              <w:t>Seconde partie</w:t>
            </w:r>
            <w:r w:rsidRPr="00E26A81">
              <w:rPr>
                <w:lang w:val="fr-CH"/>
              </w:rPr>
              <w:t> </w:t>
            </w:r>
            <w:r w:rsidRPr="00397D6E">
              <w:rPr>
                <w:lang w:val="fr-CH"/>
              </w:rPr>
              <w:t>:</w:t>
            </w:r>
          </w:p>
          <w:p w14:paraId="7E138195" w14:textId="77777777" w:rsidR="004F4772" w:rsidRPr="00397D6E" w:rsidRDefault="004F4772" w:rsidP="004F4772">
            <w:pPr>
              <w:rPr>
                <w:lang w:val="fr-CH"/>
              </w:rPr>
            </w:pPr>
          </w:p>
          <w:p w14:paraId="5F711851" w14:textId="1B804C21" w:rsidR="004F4772" w:rsidRPr="00397D6E" w:rsidRDefault="004F4772" w:rsidP="004F4772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>montant par défaut</w:t>
            </w:r>
          </w:p>
        </w:tc>
        <w:tc>
          <w:tcPr>
            <w:tcW w:w="2070" w:type="dxa"/>
            <w:tcBorders>
              <w:bottom w:val="nil"/>
            </w:tcBorders>
          </w:tcPr>
          <w:p w14:paraId="4D5F30F5" w14:textId="77777777" w:rsidR="004F4772" w:rsidRDefault="004F4772" w:rsidP="004F4772">
            <w:pPr>
              <w:tabs>
                <w:tab w:val="right" w:pos="1167"/>
              </w:tabs>
              <w:spacing w:before="120"/>
              <w:rPr>
                <w:lang w:val="fr-CH"/>
              </w:rPr>
            </w:pPr>
          </w:p>
          <w:p w14:paraId="57E5FC59" w14:textId="77777777" w:rsidR="004F4772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6E885464" w14:textId="77777777" w:rsidR="004F4772" w:rsidRPr="00C17EA3" w:rsidRDefault="004F4772" w:rsidP="004F4772">
            <w:pPr>
              <w:tabs>
                <w:tab w:val="right" w:pos="1167"/>
              </w:tabs>
            </w:pPr>
            <w:r w:rsidRPr="003226A4">
              <w:rPr>
                <w:lang w:val="fr-CH"/>
              </w:rPr>
              <w:tab/>
            </w:r>
            <w:r>
              <w:t>718</w:t>
            </w:r>
          </w:p>
        </w:tc>
        <w:tc>
          <w:tcPr>
            <w:tcW w:w="2070" w:type="dxa"/>
            <w:tcBorders>
              <w:bottom w:val="nil"/>
            </w:tcBorders>
          </w:tcPr>
          <w:p w14:paraId="74EE5A26" w14:textId="77777777" w:rsidR="004F4772" w:rsidRDefault="004F4772" w:rsidP="004F4772">
            <w:pPr>
              <w:tabs>
                <w:tab w:val="right" w:pos="1167"/>
              </w:tabs>
              <w:spacing w:before="240"/>
              <w:rPr>
                <w:lang w:val="fr-CH"/>
              </w:rPr>
            </w:pPr>
          </w:p>
          <w:p w14:paraId="5344700B" w14:textId="2802EE79" w:rsidR="004F4772" w:rsidRDefault="004F4772" w:rsidP="004F4772">
            <w:pPr>
              <w:tabs>
                <w:tab w:val="right" w:pos="1167"/>
              </w:tabs>
              <w:spacing w:before="120"/>
              <w:rPr>
                <w:lang w:val="fr-CH"/>
              </w:rPr>
            </w:pPr>
            <w:r w:rsidRPr="003226A4">
              <w:rPr>
                <w:lang w:val="fr-CH"/>
              </w:rPr>
              <w:tab/>
            </w:r>
            <w:r>
              <w:t>683</w:t>
            </w:r>
          </w:p>
        </w:tc>
      </w:tr>
      <w:tr w:rsidR="004F4772" w:rsidRPr="00C17EA3" w14:paraId="18B2EE80" w14:textId="038B2FD7" w:rsidTr="004B28C9">
        <w:trPr>
          <w:trHeight w:val="350"/>
        </w:trPr>
        <w:tc>
          <w:tcPr>
            <w:tcW w:w="1620" w:type="dxa"/>
            <w:vMerge/>
            <w:vAlign w:val="center"/>
          </w:tcPr>
          <w:p w14:paraId="36E71CF0" w14:textId="77777777" w:rsidR="004F4772" w:rsidRPr="00C17EA3" w:rsidRDefault="004F4772" w:rsidP="004F4772"/>
        </w:tc>
        <w:tc>
          <w:tcPr>
            <w:tcW w:w="3690" w:type="dxa"/>
            <w:tcBorders>
              <w:top w:val="nil"/>
              <w:bottom w:val="nil"/>
            </w:tcBorders>
          </w:tcPr>
          <w:p w14:paraId="2D0EB7E7" w14:textId="77777777" w:rsidR="004F4772" w:rsidRPr="000456E4" w:rsidRDefault="004F4772" w:rsidP="004F4772">
            <w:pPr>
              <w:rPr>
                <w:lang w:val="fr-CH"/>
              </w:rPr>
            </w:pPr>
          </w:p>
          <w:p w14:paraId="5772A3ED" w14:textId="162CC516" w:rsidR="004F4772" w:rsidRPr="000456E4" w:rsidRDefault="004F4772" w:rsidP="004F4772">
            <w:pPr>
              <w:tabs>
                <w:tab w:val="left" w:pos="317"/>
              </w:tabs>
              <w:rPr>
                <w:lang w:val="fr-CH"/>
              </w:rPr>
            </w:pPr>
            <w:r w:rsidRPr="000456E4">
              <w:rPr>
                <w:lang w:val="fr-CH"/>
              </w:rPr>
              <w:t>–</w:t>
            </w:r>
            <w:r w:rsidRPr="000456E4">
              <w:rPr>
                <w:lang w:val="fr-CH"/>
              </w:rPr>
              <w:tab/>
            </w:r>
            <w:r w:rsidRPr="00397D6E">
              <w:rPr>
                <w:lang w:val="fr-CH"/>
              </w:rPr>
              <w:t xml:space="preserve">montant pour </w:t>
            </w:r>
            <w:r>
              <w:rPr>
                <w:lang w:val="fr-CH"/>
              </w:rPr>
              <w:t xml:space="preserve">une </w:t>
            </w:r>
            <w:r w:rsidRPr="00397D6E">
              <w:rPr>
                <w:lang w:val="fr-CH"/>
              </w:rPr>
              <w:t>“petite entité”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8B1DD08" w14:textId="77777777" w:rsidR="004F4772" w:rsidRPr="000456E4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10F817BA" w14:textId="77777777" w:rsidR="004F4772" w:rsidRPr="00C17EA3" w:rsidRDefault="004F4772" w:rsidP="004F4772">
            <w:pPr>
              <w:tabs>
                <w:tab w:val="right" w:pos="1167"/>
              </w:tabs>
            </w:pPr>
            <w:r w:rsidRPr="000456E4">
              <w:rPr>
                <w:lang w:val="fr-CH"/>
              </w:rPr>
              <w:tab/>
            </w:r>
            <w:r>
              <w:t>359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23410FF" w14:textId="77777777" w:rsidR="004F4772" w:rsidRPr="000456E4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0DB6F66B" w14:textId="4C6E5560" w:rsidR="004F4772" w:rsidRPr="000456E4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  <w:r w:rsidRPr="000456E4">
              <w:rPr>
                <w:lang w:val="fr-CH"/>
              </w:rPr>
              <w:tab/>
            </w:r>
            <w:r>
              <w:t>273</w:t>
            </w:r>
          </w:p>
        </w:tc>
      </w:tr>
      <w:tr w:rsidR="004F4772" w:rsidRPr="00C17EA3" w14:paraId="15716838" w14:textId="3F1819E6" w:rsidTr="004B28C9">
        <w:trPr>
          <w:trHeight w:val="350"/>
        </w:trPr>
        <w:tc>
          <w:tcPr>
            <w:tcW w:w="1620" w:type="dxa"/>
            <w:vMerge/>
            <w:vAlign w:val="center"/>
          </w:tcPr>
          <w:p w14:paraId="23745342" w14:textId="77777777" w:rsidR="004F4772" w:rsidRPr="00C17EA3" w:rsidRDefault="004F4772" w:rsidP="004F4772"/>
        </w:tc>
        <w:tc>
          <w:tcPr>
            <w:tcW w:w="3690" w:type="dxa"/>
            <w:tcBorders>
              <w:top w:val="nil"/>
            </w:tcBorders>
          </w:tcPr>
          <w:p w14:paraId="4A7933A7" w14:textId="77777777" w:rsidR="004F4772" w:rsidRPr="000456E4" w:rsidRDefault="004F4772" w:rsidP="004F4772">
            <w:pPr>
              <w:rPr>
                <w:lang w:val="fr-CH"/>
              </w:rPr>
            </w:pPr>
          </w:p>
          <w:p w14:paraId="7353230C" w14:textId="34C9D3AE" w:rsidR="004F4772" w:rsidRPr="000456E4" w:rsidRDefault="004F4772" w:rsidP="004F4772">
            <w:pPr>
              <w:tabs>
                <w:tab w:val="left" w:pos="317"/>
              </w:tabs>
              <w:rPr>
                <w:lang w:val="fr-CH"/>
              </w:rPr>
            </w:pPr>
            <w:r w:rsidRPr="000456E4">
              <w:rPr>
                <w:lang w:val="fr-CH"/>
              </w:rPr>
              <w:t>–</w:t>
            </w:r>
            <w:r w:rsidRPr="000456E4">
              <w:rPr>
                <w:lang w:val="fr-CH"/>
              </w:rPr>
              <w:tab/>
            </w:r>
            <w:r w:rsidRPr="00397D6E">
              <w:rPr>
                <w:lang w:val="fr-CH"/>
              </w:rPr>
              <w:t>montant pour</w:t>
            </w:r>
            <w:r>
              <w:rPr>
                <w:lang w:val="fr-CH"/>
              </w:rPr>
              <w:t xml:space="preserve"> une</w:t>
            </w:r>
            <w:r w:rsidRPr="00397D6E">
              <w:rPr>
                <w:lang w:val="fr-CH"/>
              </w:rPr>
              <w:t xml:space="preserve"> “micro entité”</w:t>
            </w:r>
          </w:p>
        </w:tc>
        <w:tc>
          <w:tcPr>
            <w:tcW w:w="2070" w:type="dxa"/>
            <w:tcBorders>
              <w:top w:val="nil"/>
            </w:tcBorders>
          </w:tcPr>
          <w:p w14:paraId="26BF6CE7" w14:textId="77777777" w:rsidR="004F4772" w:rsidRPr="000456E4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2C60B7A1" w14:textId="77777777" w:rsidR="004F4772" w:rsidRPr="00C17EA3" w:rsidRDefault="004F4772" w:rsidP="004F4772">
            <w:pPr>
              <w:tabs>
                <w:tab w:val="right" w:pos="1167"/>
              </w:tabs>
              <w:spacing w:after="120"/>
            </w:pPr>
            <w:r w:rsidRPr="000456E4">
              <w:rPr>
                <w:lang w:val="fr-CH"/>
              </w:rPr>
              <w:tab/>
            </w:r>
            <w:r>
              <w:t>179</w:t>
            </w:r>
          </w:p>
        </w:tc>
        <w:tc>
          <w:tcPr>
            <w:tcW w:w="2070" w:type="dxa"/>
            <w:tcBorders>
              <w:top w:val="nil"/>
            </w:tcBorders>
          </w:tcPr>
          <w:p w14:paraId="48FF198C" w14:textId="77777777" w:rsidR="004F4772" w:rsidRPr="000456E4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</w:p>
          <w:p w14:paraId="1AA65AC8" w14:textId="00069996" w:rsidR="004F4772" w:rsidRPr="000456E4" w:rsidRDefault="004F4772" w:rsidP="004F4772">
            <w:pPr>
              <w:tabs>
                <w:tab w:val="right" w:pos="1167"/>
              </w:tabs>
              <w:rPr>
                <w:lang w:val="fr-CH"/>
              </w:rPr>
            </w:pPr>
            <w:r w:rsidRPr="000456E4">
              <w:rPr>
                <w:lang w:val="fr-CH"/>
              </w:rPr>
              <w:tab/>
            </w:r>
            <w:r>
              <w:t>137</w:t>
            </w:r>
          </w:p>
        </w:tc>
      </w:tr>
    </w:tbl>
    <w:p w14:paraId="18C1AE97" w14:textId="0FD1E293" w:rsidR="00AC3F1D" w:rsidRDefault="00AC3F1D" w:rsidP="002F6A4A">
      <w:pPr>
        <w:pStyle w:val="ONUME"/>
        <w:numPr>
          <w:ilvl w:val="0"/>
          <w:numId w:val="0"/>
        </w:numPr>
      </w:pPr>
    </w:p>
    <w:p w14:paraId="44D37977" w14:textId="45120CE5" w:rsidR="003226A4" w:rsidRPr="00397D6E" w:rsidRDefault="003226A4" w:rsidP="003226A4">
      <w:pPr>
        <w:pStyle w:val="ONUME"/>
        <w:rPr>
          <w:lang w:val="fr-CH"/>
        </w:rPr>
      </w:pPr>
      <w:r w:rsidRPr="00397D6E">
        <w:rPr>
          <w:lang w:val="fr-CH"/>
        </w:rPr>
        <w:lastRenderedPageBreak/>
        <w:t xml:space="preserve">Conformément à l’article 30.1)ii) de l’Acte de 1999 et à la déclaration reçue, ces nouveaux montants s’appliqueront à compter du </w:t>
      </w:r>
      <w:r w:rsidR="009E0713">
        <w:rPr>
          <w:lang w:val="fr-CH"/>
        </w:rPr>
        <w:t>1</w:t>
      </w:r>
      <w:r w:rsidR="009E0713" w:rsidRPr="009E0713">
        <w:rPr>
          <w:vertAlign w:val="superscript"/>
          <w:lang w:val="fr-CH"/>
        </w:rPr>
        <w:t>er</w:t>
      </w:r>
      <w:r w:rsidR="009E0713">
        <w:rPr>
          <w:lang w:val="fr-CH"/>
        </w:rPr>
        <w:t xml:space="preserve"> mai 2023</w:t>
      </w:r>
      <w:r w:rsidRPr="00397D6E">
        <w:rPr>
          <w:lang w:val="fr-CH"/>
        </w:rPr>
        <w:t>.</w:t>
      </w:r>
      <w:r w:rsidR="002F6A4A" w:rsidRPr="00397D6E">
        <w:rPr>
          <w:lang w:val="fr-CH"/>
        </w:rPr>
        <w:t xml:space="preserve"> </w:t>
      </w:r>
      <w:r w:rsidR="00397D6E">
        <w:rPr>
          <w:lang w:val="fr-CH"/>
        </w:rPr>
        <w:t xml:space="preserve"> </w:t>
      </w:r>
      <w:r w:rsidRPr="00397D6E">
        <w:rPr>
          <w:lang w:val="fr-CH"/>
        </w:rPr>
        <w:t xml:space="preserve">À ce sujet, il convient de noter que les nouveaux montants seront à payer lorsque les États-Unis d’Amérique seront désignés dans une demande internationale dont la date de l’enregistrement international est le </w:t>
      </w:r>
      <w:r w:rsidR="009E0713">
        <w:rPr>
          <w:lang w:val="fr-CH"/>
        </w:rPr>
        <w:t>1</w:t>
      </w:r>
      <w:r w:rsidR="009E0713" w:rsidRPr="009E0713">
        <w:rPr>
          <w:vertAlign w:val="superscript"/>
          <w:lang w:val="fr-CH"/>
        </w:rPr>
        <w:t>er</w:t>
      </w:r>
      <w:r w:rsidR="009E0713">
        <w:rPr>
          <w:lang w:val="fr-CH"/>
        </w:rPr>
        <w:t xml:space="preserve"> mai 2023</w:t>
      </w:r>
      <w:r w:rsidRPr="00397D6E">
        <w:rPr>
          <w:lang w:val="fr-CH"/>
        </w:rPr>
        <w:t xml:space="preserve"> ou une date postérieure, en application de l’article 10.2) de l’Acte de 1999.</w:t>
      </w:r>
      <w:r w:rsidR="00C34278">
        <w:rPr>
          <w:lang w:val="fr-CH"/>
        </w:rPr>
        <w:t xml:space="preserve">  </w:t>
      </w:r>
      <w:r w:rsidRPr="00397D6E">
        <w:rPr>
          <w:lang w:val="fr-CH"/>
        </w:rPr>
        <w:t xml:space="preserve">Par conséquent, toute notification relative au paiement de la seconde partie de la taxe de désignation individuelle </w:t>
      </w:r>
      <w:r w:rsidRPr="00126AFB">
        <w:rPr>
          <w:lang w:val="fr-CH"/>
        </w:rPr>
        <w:t>invitera le titulaire</w:t>
      </w:r>
      <w:r w:rsidRPr="00397D6E">
        <w:rPr>
          <w:lang w:val="fr-CH"/>
        </w:rPr>
        <w:t xml:space="preserve"> à procéder au paiement du </w:t>
      </w:r>
      <w:r w:rsidR="00397D6E">
        <w:rPr>
          <w:lang w:val="fr-CH"/>
        </w:rPr>
        <w:t>montant</w:t>
      </w:r>
      <w:r w:rsidRPr="00397D6E">
        <w:rPr>
          <w:lang w:val="fr-CH"/>
        </w:rPr>
        <w:t xml:space="preserve"> applicable, en fonction de la date de l’enregistrement international concerné</w:t>
      </w:r>
      <w:r w:rsidRPr="00397D6E">
        <w:rPr>
          <w:rStyle w:val="FootnoteReference"/>
          <w:lang w:val="fr-CH"/>
        </w:rPr>
        <w:footnoteReference w:id="2"/>
      </w:r>
      <w:r w:rsidRPr="00397D6E">
        <w:rPr>
          <w:lang w:val="fr-CH"/>
        </w:rPr>
        <w:t>.</w:t>
      </w:r>
    </w:p>
    <w:p w14:paraId="771A9ADA" w14:textId="2D2B78DE" w:rsidR="003226A4" w:rsidRPr="00397D6E" w:rsidRDefault="003226A4" w:rsidP="003226A4">
      <w:pPr>
        <w:pStyle w:val="Endofdocument-Annex"/>
        <w:spacing w:before="480"/>
      </w:pPr>
      <w:r w:rsidRPr="00397D6E">
        <w:t>Le</w:t>
      </w:r>
      <w:r w:rsidR="00802CE8">
        <w:t xml:space="preserve"> </w:t>
      </w:r>
      <w:r w:rsidR="007D1265">
        <w:t xml:space="preserve">28 </w:t>
      </w:r>
      <w:bookmarkStart w:id="1" w:name="_GoBack"/>
      <w:bookmarkEnd w:id="1"/>
      <w:r w:rsidR="00F10A9D">
        <w:t>mars</w:t>
      </w:r>
      <w:r w:rsidRPr="00397D6E">
        <w:t> 202</w:t>
      </w:r>
      <w:r w:rsidR="00F10A9D">
        <w:t>3</w:t>
      </w:r>
    </w:p>
    <w:p w14:paraId="52B38E43" w14:textId="77777777" w:rsidR="003226A4" w:rsidRPr="00397D6E" w:rsidRDefault="003226A4" w:rsidP="00F87C3E">
      <w:pPr>
        <w:pStyle w:val="Endofdocument-Annex"/>
        <w:rPr>
          <w:lang w:val="fr-FR"/>
        </w:rPr>
      </w:pPr>
    </w:p>
    <w:sectPr w:rsidR="003226A4" w:rsidRPr="00397D6E" w:rsidSect="006812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2" w:right="1138" w:bottom="1080" w:left="1411" w:header="504" w:footer="13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403A" w14:textId="77777777" w:rsidR="00F453C6" w:rsidRDefault="00F453C6">
      <w:r>
        <w:separator/>
      </w:r>
    </w:p>
  </w:endnote>
  <w:endnote w:type="continuationSeparator" w:id="0">
    <w:p w14:paraId="50751A1F" w14:textId="77777777" w:rsidR="00F453C6" w:rsidRDefault="00F453C6" w:rsidP="003B38C1">
      <w:r>
        <w:separator/>
      </w:r>
    </w:p>
    <w:p w14:paraId="3777F453" w14:textId="77777777" w:rsidR="00F453C6" w:rsidRPr="003B38C1" w:rsidRDefault="00F453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3AD596" w14:textId="77777777" w:rsidR="00F453C6" w:rsidRPr="003B38C1" w:rsidRDefault="00F453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82DC" w14:textId="77777777" w:rsidR="00000B42" w:rsidRDefault="00000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E9569" w14:textId="77777777" w:rsidR="00000B42" w:rsidRDefault="00000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B0125" w14:textId="77777777" w:rsidR="00000B42" w:rsidRDefault="00000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2E2BB" w14:textId="77777777" w:rsidR="00F453C6" w:rsidRDefault="00F453C6">
      <w:r>
        <w:separator/>
      </w:r>
    </w:p>
  </w:footnote>
  <w:footnote w:type="continuationSeparator" w:id="0">
    <w:p w14:paraId="3AD4FCF3" w14:textId="77777777" w:rsidR="00F453C6" w:rsidRDefault="00F453C6" w:rsidP="008B60B2">
      <w:r>
        <w:separator/>
      </w:r>
    </w:p>
    <w:p w14:paraId="17F8C016" w14:textId="77777777" w:rsidR="00F453C6" w:rsidRPr="00ED77FB" w:rsidRDefault="00F453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5B95D5" w14:textId="77777777" w:rsidR="00F453C6" w:rsidRPr="00ED77FB" w:rsidRDefault="00F453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6C3C706" w14:textId="3495CB45" w:rsidR="003226A4" w:rsidRPr="003226A4" w:rsidRDefault="003226A4" w:rsidP="003226A4">
      <w:pPr>
        <w:pStyle w:val="FootnoteText"/>
        <w:rPr>
          <w:lang w:val="fr-CH"/>
        </w:rPr>
      </w:pPr>
      <w:r w:rsidRPr="00397D6E">
        <w:rPr>
          <w:rStyle w:val="FootnoteReference"/>
        </w:rPr>
        <w:footnoteRef/>
      </w:r>
      <w:r w:rsidRPr="00397D6E">
        <w:rPr>
          <w:lang w:val="fr-CH"/>
        </w:rPr>
        <w:t xml:space="preserve"> </w:t>
      </w:r>
      <w:r w:rsidRPr="00397D6E">
        <w:rPr>
          <w:lang w:val="fr-CH"/>
        </w:rPr>
        <w:tab/>
        <w:t xml:space="preserve">Pour les enregistrements internationaux dont la date d’enregistrement international est comprise entre </w:t>
      </w:r>
      <w:r w:rsidR="00495758">
        <w:rPr>
          <w:lang w:val="fr-CH"/>
        </w:rPr>
        <w:t xml:space="preserve">         </w:t>
      </w:r>
      <w:r w:rsidRPr="00397D6E">
        <w:rPr>
          <w:lang w:val="fr-CH"/>
        </w:rPr>
        <w:t xml:space="preserve"> le 16 janvier 2018 et le 1</w:t>
      </w:r>
      <w:r w:rsidRPr="00397D6E">
        <w:rPr>
          <w:vertAlign w:val="superscript"/>
          <w:lang w:val="fr-CH"/>
        </w:rPr>
        <w:t>er</w:t>
      </w:r>
      <w:r w:rsidRPr="00397D6E">
        <w:rPr>
          <w:lang w:val="fr-CH"/>
        </w:rPr>
        <w:t xml:space="preserve"> octobre 2020, </w:t>
      </w:r>
      <w:proofErr w:type="spellStart"/>
      <w:r w:rsidRPr="00397D6E">
        <w:rPr>
          <w:lang w:val="fr-CH"/>
        </w:rPr>
        <w:t>veuillez vous</w:t>
      </w:r>
      <w:proofErr w:type="spellEnd"/>
      <w:r w:rsidRPr="00397D6E">
        <w:rPr>
          <w:lang w:val="fr-CH"/>
        </w:rPr>
        <w:t xml:space="preserve"> reporter à l’avis n</w:t>
      </w:r>
      <w:r w:rsidR="00397D6E">
        <w:rPr>
          <w:lang w:val="fr-CH"/>
        </w:rPr>
        <w:t>° </w:t>
      </w:r>
      <w:r w:rsidR="00C90C6F">
        <w:rPr>
          <w:lang w:val="fr-CH"/>
        </w:rPr>
        <w:t>1/</w:t>
      </w:r>
      <w:proofErr w:type="gramStart"/>
      <w:r w:rsidR="00C90C6F">
        <w:rPr>
          <w:lang w:val="fr-CH"/>
        </w:rPr>
        <w:t>2018;  p</w:t>
      </w:r>
      <w:r w:rsidR="00C90C6F" w:rsidRPr="00397D6E">
        <w:rPr>
          <w:lang w:val="fr-CH"/>
        </w:rPr>
        <w:t>our</w:t>
      </w:r>
      <w:proofErr w:type="gramEnd"/>
      <w:r w:rsidR="00C90C6F" w:rsidRPr="00397D6E">
        <w:rPr>
          <w:lang w:val="fr-CH"/>
        </w:rPr>
        <w:t xml:space="preserve"> </w:t>
      </w:r>
      <w:r w:rsidR="00A63715">
        <w:rPr>
          <w:lang w:val="fr-CH"/>
        </w:rPr>
        <w:t>ceux</w:t>
      </w:r>
      <w:r w:rsidR="00C90C6F" w:rsidRPr="00397D6E">
        <w:rPr>
          <w:lang w:val="fr-CH"/>
        </w:rPr>
        <w:t xml:space="preserve"> dont la date d’enregistrement international est comprise entre</w:t>
      </w:r>
      <w:r w:rsidR="00C90C6F">
        <w:rPr>
          <w:lang w:val="fr-CH"/>
        </w:rPr>
        <w:t xml:space="preserve"> le 2 octobre 202</w:t>
      </w:r>
      <w:r w:rsidR="00A63715">
        <w:rPr>
          <w:lang w:val="fr-CH"/>
        </w:rPr>
        <w:t>0</w:t>
      </w:r>
      <w:r w:rsidR="00C90C6F">
        <w:rPr>
          <w:lang w:val="fr-CH"/>
        </w:rPr>
        <w:t xml:space="preserve"> et l</w:t>
      </w:r>
      <w:r w:rsidR="007C68A3">
        <w:rPr>
          <w:lang w:val="fr-CH"/>
        </w:rPr>
        <w:t xml:space="preserve">e 30 avril 2023, </w:t>
      </w:r>
      <w:proofErr w:type="spellStart"/>
      <w:r w:rsidR="007C68A3">
        <w:rPr>
          <w:lang w:val="fr-CH"/>
        </w:rPr>
        <w:t>veuillez vous</w:t>
      </w:r>
      <w:proofErr w:type="spellEnd"/>
      <w:r w:rsidR="007C68A3">
        <w:rPr>
          <w:lang w:val="fr-CH"/>
        </w:rPr>
        <w:t xml:space="preserve"> reporter à l’avis</w:t>
      </w:r>
      <w:r w:rsidR="00A63715">
        <w:rPr>
          <w:lang w:val="fr-CH"/>
        </w:rPr>
        <w:t> </w:t>
      </w:r>
      <w:r w:rsidR="007C68A3">
        <w:rPr>
          <w:lang w:val="fr-CH"/>
        </w:rPr>
        <w:t>n° 32/2020.</w:t>
      </w:r>
      <w:r w:rsidR="00C90C6F" w:rsidRPr="00397D6E">
        <w:rPr>
          <w:lang w:val="fr-CH"/>
        </w:rPr>
        <w:t xml:space="preserve"> </w:t>
      </w:r>
      <w:r w:rsidR="00C90C6F">
        <w:rPr>
          <w:lang w:val="fr-CH"/>
        </w:rPr>
        <w:t xml:space="preserve">         </w:t>
      </w:r>
      <w:r w:rsidR="00C90C6F" w:rsidRPr="00397D6E">
        <w:rPr>
          <w:lang w:val="fr-CH"/>
        </w:rPr>
        <w:t xml:space="preserve"> </w:t>
      </w:r>
      <w:r w:rsidR="00C90C6F">
        <w:rPr>
          <w:lang w:val="fr-CH"/>
        </w:rPr>
        <w:t xml:space="preserve">  </w:t>
      </w:r>
      <w:r w:rsidRPr="00397D6E">
        <w:rPr>
          <w:lang w:val="fr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0F86D94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1265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DD6AC47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12033D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26AFB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FBC2" w14:textId="77777777" w:rsidR="00000B42" w:rsidRDefault="00000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CC5016"/>
    <w:rsid w:val="00000B42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2835"/>
    <w:rsid w:val="00043313"/>
    <w:rsid w:val="00043CAA"/>
    <w:rsid w:val="000456E4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419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1330"/>
    <w:rsid w:val="0011476C"/>
    <w:rsid w:val="00117CE0"/>
    <w:rsid w:val="0012033D"/>
    <w:rsid w:val="00122C67"/>
    <w:rsid w:val="0012343B"/>
    <w:rsid w:val="00126AF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2779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2535"/>
    <w:rsid w:val="002F4E68"/>
    <w:rsid w:val="002F565F"/>
    <w:rsid w:val="002F589C"/>
    <w:rsid w:val="002F6A4A"/>
    <w:rsid w:val="002F7B33"/>
    <w:rsid w:val="002F7CE7"/>
    <w:rsid w:val="00300795"/>
    <w:rsid w:val="00302381"/>
    <w:rsid w:val="00310575"/>
    <w:rsid w:val="0031058B"/>
    <w:rsid w:val="00311847"/>
    <w:rsid w:val="00312F7F"/>
    <w:rsid w:val="0031589D"/>
    <w:rsid w:val="00315BB3"/>
    <w:rsid w:val="00317670"/>
    <w:rsid w:val="003226A4"/>
    <w:rsid w:val="003235A0"/>
    <w:rsid w:val="00324A0A"/>
    <w:rsid w:val="00324A92"/>
    <w:rsid w:val="003311BC"/>
    <w:rsid w:val="00332D57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D39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97D6E"/>
    <w:rsid w:val="003A6F89"/>
    <w:rsid w:val="003B0495"/>
    <w:rsid w:val="003B38C1"/>
    <w:rsid w:val="003B45F8"/>
    <w:rsid w:val="003C06B7"/>
    <w:rsid w:val="003C0AB5"/>
    <w:rsid w:val="003C0DB2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306E"/>
    <w:rsid w:val="00453CC8"/>
    <w:rsid w:val="004630B4"/>
    <w:rsid w:val="004647DA"/>
    <w:rsid w:val="004658DD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1C61"/>
    <w:rsid w:val="004935CA"/>
    <w:rsid w:val="004936FC"/>
    <w:rsid w:val="004947C5"/>
    <w:rsid w:val="00495758"/>
    <w:rsid w:val="004971BD"/>
    <w:rsid w:val="004B0093"/>
    <w:rsid w:val="004B279C"/>
    <w:rsid w:val="004B28C9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4772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47A8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164E"/>
    <w:rsid w:val="005C2ACD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1708E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285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0D4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4257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68A3"/>
    <w:rsid w:val="007C7A4F"/>
    <w:rsid w:val="007D0ADC"/>
    <w:rsid w:val="007D1265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7F7D9F"/>
    <w:rsid w:val="00802CE8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2BB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1BBE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387B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1EF"/>
    <w:rsid w:val="009C571A"/>
    <w:rsid w:val="009C71EF"/>
    <w:rsid w:val="009D4892"/>
    <w:rsid w:val="009D6716"/>
    <w:rsid w:val="009D7614"/>
    <w:rsid w:val="009E0713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48E8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0BB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3715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3F1D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2F6A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4D0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0E4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164F7"/>
    <w:rsid w:val="00C20357"/>
    <w:rsid w:val="00C20E0D"/>
    <w:rsid w:val="00C22AA1"/>
    <w:rsid w:val="00C23DAE"/>
    <w:rsid w:val="00C30B85"/>
    <w:rsid w:val="00C32F61"/>
    <w:rsid w:val="00C34119"/>
    <w:rsid w:val="00C34151"/>
    <w:rsid w:val="00C34278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0C6F"/>
    <w:rsid w:val="00C93330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4D6A"/>
    <w:rsid w:val="00CD5320"/>
    <w:rsid w:val="00CD782A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26A81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82DDE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0A9D"/>
    <w:rsid w:val="00F201C4"/>
    <w:rsid w:val="00F26807"/>
    <w:rsid w:val="00F30CF8"/>
    <w:rsid w:val="00F37F68"/>
    <w:rsid w:val="00F407E2"/>
    <w:rsid w:val="00F453C6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2F6A4A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676C-18A8-4229-89BF-4FF8E02B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5</cp:revision>
  <cp:lastPrinted>2020-03-06T13:52:00Z</cp:lastPrinted>
  <dcterms:created xsi:type="dcterms:W3CDTF">2023-03-17T16:17:00Z</dcterms:created>
  <dcterms:modified xsi:type="dcterms:W3CDTF">2023-03-28T09:29:00Z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5d1766be-8f7f-4aae-a38a-e9f434ec1692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