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B86A3E" w14:paraId="5DCB90ED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24DF481" w14:textId="77777777" w:rsidR="00EC4E49" w:rsidRPr="00AD3BF2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A9AB25" w14:textId="7FFB5A23" w:rsidR="00EC4E49" w:rsidRPr="00B86A3E" w:rsidRDefault="00125DA8" w:rsidP="00916EE2">
            <w:pPr>
              <w:rPr>
                <w:lang w:val="fr-FR"/>
              </w:rPr>
            </w:pPr>
            <w:r w:rsidRPr="00B86A3E">
              <w:rPr>
                <w:noProof/>
                <w:lang w:eastAsia="en-US"/>
              </w:rPr>
              <w:drawing>
                <wp:inline distT="0" distB="0" distL="0" distR="0" wp14:anchorId="477177C0" wp14:editId="0D4A8C77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17595A" w14:textId="77777777" w:rsidR="00EC4E49" w:rsidRPr="00B86A3E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B86A3E" w14:paraId="072C17F8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583AA60" w14:textId="77777777" w:rsidR="008B2CC1" w:rsidRPr="00B86A3E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B86A3E" w14:paraId="3AA70AB6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41A03892" w14:textId="62225D69" w:rsidR="008B2CC1" w:rsidRPr="00B86A3E" w:rsidRDefault="00125DA8" w:rsidP="00125D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86A3E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B86A3E" w:rsidRPr="00B86A3E">
              <w:rPr>
                <w:rFonts w:ascii="Arial Black" w:hAnsi="Arial Black"/>
                <w:caps/>
                <w:sz w:val="15"/>
                <w:lang w:val="fr-FR"/>
              </w:rPr>
              <w:t>35</w:t>
            </w:r>
            <w:r w:rsidR="009B2582" w:rsidRPr="00B86A3E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500883" w:rsidRPr="00B86A3E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A42DAF" w:rsidRPr="00B86A3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B86A3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3552C182" w14:textId="0B359F3B" w:rsidR="00CC5016" w:rsidRPr="00B86A3E" w:rsidRDefault="00027A6E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B86A3E">
        <w:rPr>
          <w:b/>
          <w:bCs/>
          <w:sz w:val="28"/>
          <w:szCs w:val="28"/>
          <w:lang w:val="fr-FR"/>
        </w:rPr>
        <w:t>Arrangement de La Haye concernant l’enregistrement international des dessins et modèles industriels</w:t>
      </w:r>
    </w:p>
    <w:p w14:paraId="42D66674" w14:textId="115394EC" w:rsidR="001F1B95" w:rsidRPr="00B86A3E" w:rsidRDefault="006F358E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bookmarkStart w:id="2" w:name="_GoBack"/>
      <w:r w:rsidRPr="00B86A3E">
        <w:rPr>
          <w:rFonts w:eastAsia="Arial"/>
          <w:b/>
          <w:bCs/>
          <w:sz w:val="24"/>
          <w:szCs w:val="24"/>
          <w:lang w:val="fr-FR"/>
        </w:rPr>
        <w:t>Modification</w:t>
      </w:r>
      <w:r w:rsidR="00C30A7D" w:rsidRPr="00B86A3E">
        <w:rPr>
          <w:rFonts w:eastAsia="Arial"/>
          <w:b/>
          <w:bCs/>
          <w:sz w:val="24"/>
          <w:szCs w:val="24"/>
          <w:lang w:val="fr-FR"/>
        </w:rPr>
        <w:t>s</w:t>
      </w:r>
      <w:r w:rsidR="00040129" w:rsidRPr="00B86A3E">
        <w:rPr>
          <w:rFonts w:eastAsia="Arial"/>
          <w:b/>
          <w:bCs/>
          <w:sz w:val="24"/>
          <w:szCs w:val="24"/>
          <w:lang w:val="fr-FR"/>
        </w:rPr>
        <w:t xml:space="preserve"> de la taxe de désignation : </w:t>
      </w:r>
      <w:r w:rsidR="00E33E5C" w:rsidRPr="00B86A3E">
        <w:rPr>
          <w:b/>
          <w:bCs/>
          <w:sz w:val="24"/>
          <w:szCs w:val="24"/>
          <w:lang w:val="fr-FR"/>
        </w:rPr>
        <w:t>R</w:t>
      </w:r>
      <w:r w:rsidR="00040129" w:rsidRPr="00B86A3E">
        <w:rPr>
          <w:b/>
          <w:bCs/>
          <w:sz w:val="24"/>
          <w:szCs w:val="24"/>
          <w:lang w:val="fr-FR"/>
        </w:rPr>
        <w:t>épublique de Corée</w:t>
      </w:r>
    </w:p>
    <w:bookmarkEnd w:id="2"/>
    <w:p w14:paraId="6B90A2A8" w14:textId="6B0A923F" w:rsidR="008412D1" w:rsidRPr="00B86A3E" w:rsidRDefault="00036CDA" w:rsidP="009A43E6">
      <w:pPr>
        <w:pStyle w:val="ONUME"/>
        <w:rPr>
          <w:szCs w:val="22"/>
          <w:lang w:val="fr-FR"/>
        </w:rPr>
      </w:pPr>
      <w:r w:rsidRPr="00B86A3E">
        <w:rPr>
          <w:szCs w:val="22"/>
          <w:lang w:val="fr-FR"/>
        </w:rPr>
        <w:t>I</w:t>
      </w:r>
      <w:r w:rsidR="009A43E6" w:rsidRPr="00B86A3E">
        <w:rPr>
          <w:szCs w:val="22"/>
          <w:lang w:val="fr-FR"/>
        </w:rPr>
        <w:t xml:space="preserve">l convient de rappeler que, au moment de son adhésion à l’Acte de Genève de l’Arrangement de La Haye concernant l’enregistrement international des dessins et modèles industriels </w:t>
      </w:r>
      <w:r w:rsidR="00F753B7" w:rsidRPr="00B86A3E">
        <w:rPr>
          <w:szCs w:val="22"/>
          <w:lang w:val="fr-FR"/>
        </w:rPr>
        <w:t>(</w:t>
      </w:r>
      <w:r w:rsidR="009A43E6" w:rsidRPr="00B86A3E">
        <w:rPr>
          <w:szCs w:val="22"/>
          <w:lang w:val="fr-FR"/>
        </w:rPr>
        <w:t>ci</w:t>
      </w:r>
      <w:r w:rsidR="008140DF" w:rsidRPr="00B86A3E">
        <w:rPr>
          <w:szCs w:val="22"/>
          <w:lang w:val="fr-FR"/>
        </w:rPr>
        <w:noBreakHyphen/>
      </w:r>
      <w:r w:rsidR="009A43E6" w:rsidRPr="00B86A3E">
        <w:rPr>
          <w:szCs w:val="22"/>
          <w:lang w:val="fr-FR"/>
        </w:rPr>
        <w:t xml:space="preserve">après dénommé </w:t>
      </w:r>
      <w:r w:rsidR="00F753B7" w:rsidRPr="00B86A3E">
        <w:rPr>
          <w:szCs w:val="22"/>
          <w:lang w:val="fr-FR"/>
        </w:rPr>
        <w:t>“</w:t>
      </w:r>
      <w:r w:rsidR="009A43E6" w:rsidRPr="00B86A3E">
        <w:rPr>
          <w:szCs w:val="22"/>
          <w:lang w:val="fr-FR"/>
        </w:rPr>
        <w:t xml:space="preserve">Acte de </w:t>
      </w:r>
      <w:r w:rsidR="00F753B7" w:rsidRPr="00B86A3E">
        <w:rPr>
          <w:szCs w:val="22"/>
          <w:lang w:val="fr-FR"/>
        </w:rPr>
        <w:t>1999”),</w:t>
      </w:r>
      <w:r w:rsidR="00E75A63" w:rsidRPr="00B86A3E">
        <w:rPr>
          <w:szCs w:val="22"/>
          <w:lang w:val="fr-FR"/>
        </w:rPr>
        <w:t xml:space="preserve"> </w:t>
      </w:r>
      <w:r w:rsidR="009A43E6" w:rsidRPr="00B86A3E">
        <w:rPr>
          <w:szCs w:val="22"/>
          <w:lang w:val="fr-FR"/>
        </w:rPr>
        <w:t xml:space="preserve">le Gouvernement de la République de Corée avait fait une déclaration </w:t>
      </w:r>
      <w:r w:rsidR="00F7157D" w:rsidRPr="00B86A3E">
        <w:rPr>
          <w:szCs w:val="22"/>
          <w:lang w:val="fr-FR"/>
        </w:rPr>
        <w:t>en vertu de</w:t>
      </w:r>
      <w:r w:rsidR="009A43E6" w:rsidRPr="00B86A3E">
        <w:rPr>
          <w:szCs w:val="22"/>
          <w:lang w:val="fr-FR"/>
        </w:rPr>
        <w:t xml:space="preserve"> l’article </w:t>
      </w:r>
      <w:r w:rsidRPr="00B86A3E">
        <w:rPr>
          <w:szCs w:val="22"/>
          <w:lang w:val="fr-FR"/>
        </w:rPr>
        <w:t>7</w:t>
      </w:r>
      <w:r w:rsidR="009A43E6" w:rsidRPr="00B86A3E">
        <w:rPr>
          <w:szCs w:val="22"/>
          <w:lang w:val="fr-FR"/>
        </w:rPr>
        <w:t>.</w:t>
      </w:r>
      <w:r w:rsidRPr="00B86A3E">
        <w:rPr>
          <w:szCs w:val="22"/>
          <w:lang w:val="fr-FR"/>
        </w:rPr>
        <w:t xml:space="preserve">2) </w:t>
      </w:r>
      <w:r w:rsidR="009A43E6" w:rsidRPr="00B86A3E">
        <w:rPr>
          <w:szCs w:val="22"/>
          <w:lang w:val="fr-FR"/>
        </w:rPr>
        <w:t xml:space="preserve">de l’Acte de </w:t>
      </w:r>
      <w:r w:rsidR="00F753B7" w:rsidRPr="00B86A3E">
        <w:rPr>
          <w:szCs w:val="22"/>
          <w:lang w:val="fr-FR"/>
        </w:rPr>
        <w:t>1</w:t>
      </w:r>
      <w:r w:rsidRPr="00B86A3E">
        <w:rPr>
          <w:szCs w:val="22"/>
          <w:lang w:val="fr-FR"/>
        </w:rPr>
        <w:t xml:space="preserve">999 </w:t>
      </w:r>
      <w:r w:rsidR="009A43E6" w:rsidRPr="00B86A3E">
        <w:rPr>
          <w:szCs w:val="22"/>
          <w:lang w:val="fr-FR"/>
        </w:rPr>
        <w:t xml:space="preserve">et une déclaration </w:t>
      </w:r>
      <w:r w:rsidR="00F7157D" w:rsidRPr="00B86A3E">
        <w:rPr>
          <w:szCs w:val="22"/>
          <w:lang w:val="fr-FR"/>
        </w:rPr>
        <w:t>en vertu de</w:t>
      </w:r>
      <w:r w:rsidR="009A43E6" w:rsidRPr="00B86A3E">
        <w:rPr>
          <w:szCs w:val="22"/>
          <w:lang w:val="fr-FR"/>
        </w:rPr>
        <w:t xml:space="preserve"> la règle </w:t>
      </w:r>
      <w:r w:rsidR="00F753B7" w:rsidRPr="00B86A3E">
        <w:rPr>
          <w:szCs w:val="22"/>
          <w:lang w:val="fr-FR"/>
        </w:rPr>
        <w:t>12</w:t>
      </w:r>
      <w:r w:rsidR="009A43E6" w:rsidRPr="00B86A3E">
        <w:rPr>
          <w:szCs w:val="22"/>
          <w:lang w:val="fr-FR"/>
        </w:rPr>
        <w:t>.</w:t>
      </w:r>
      <w:r w:rsidR="00F753B7" w:rsidRPr="00B86A3E">
        <w:rPr>
          <w:szCs w:val="22"/>
          <w:lang w:val="fr-FR"/>
        </w:rPr>
        <w:t xml:space="preserve">1)c)i) </w:t>
      </w:r>
      <w:r w:rsidR="009A43E6" w:rsidRPr="00B86A3E">
        <w:rPr>
          <w:szCs w:val="22"/>
          <w:lang w:val="fr-FR"/>
        </w:rPr>
        <w:t>du Règlement d’exécution commun à l’Acte de 1999 et l’Acte de 1960 de l’Arrangement de La</w:t>
      </w:r>
      <w:r w:rsidR="008140DF" w:rsidRPr="00B86A3E">
        <w:rPr>
          <w:szCs w:val="22"/>
          <w:lang w:val="fr-FR"/>
        </w:rPr>
        <w:t> </w:t>
      </w:r>
      <w:r w:rsidR="009A43E6" w:rsidRPr="00B86A3E">
        <w:rPr>
          <w:szCs w:val="22"/>
          <w:lang w:val="fr-FR"/>
        </w:rPr>
        <w:t>Haye (</w:t>
      </w:r>
      <w:r w:rsidR="00D26E8B" w:rsidRPr="00B86A3E">
        <w:rPr>
          <w:szCs w:val="22"/>
          <w:lang w:val="fr-FR"/>
        </w:rPr>
        <w:t>“</w:t>
      </w:r>
      <w:r w:rsidR="009A43E6" w:rsidRPr="00B86A3E">
        <w:rPr>
          <w:szCs w:val="22"/>
          <w:lang w:val="fr-FR"/>
        </w:rPr>
        <w:t>règlement d’exécution commun”)</w:t>
      </w:r>
      <w:r w:rsidR="008412D1" w:rsidRPr="00B86A3E">
        <w:rPr>
          <w:szCs w:val="22"/>
          <w:lang w:val="fr-FR"/>
        </w:rPr>
        <w:t>.</w:t>
      </w:r>
    </w:p>
    <w:p w14:paraId="5AD0C001" w14:textId="5C6C174A" w:rsidR="00036CDA" w:rsidRPr="00B86A3E" w:rsidRDefault="008140DF" w:rsidP="00741390">
      <w:pPr>
        <w:pStyle w:val="ONUME"/>
        <w:rPr>
          <w:lang w:val="fr-FR"/>
        </w:rPr>
      </w:pPr>
      <w:r w:rsidRPr="00B86A3E">
        <w:rPr>
          <w:lang w:val="fr-FR"/>
        </w:rPr>
        <w:t>Conformément à ces deux déclarations, le niveau trois de la taxe de désignation standard s’applique à une demande internationale concernant des produits appartenant aux classes </w:t>
      </w:r>
      <w:r w:rsidR="00E30C1F" w:rsidRPr="00B86A3E">
        <w:rPr>
          <w:lang w:val="fr-FR"/>
        </w:rPr>
        <w:t>2,</w:t>
      </w:r>
      <w:r w:rsidR="00D32CF7" w:rsidRPr="00B86A3E">
        <w:rPr>
          <w:lang w:val="fr-FR"/>
        </w:rPr>
        <w:t> </w:t>
      </w:r>
      <w:r w:rsidR="00E30C1F" w:rsidRPr="00B86A3E">
        <w:rPr>
          <w:lang w:val="fr-FR"/>
        </w:rPr>
        <w:t>5</w:t>
      </w:r>
      <w:r w:rsidR="00D32CF7" w:rsidRPr="00B86A3E">
        <w:rPr>
          <w:lang w:val="fr-FR"/>
        </w:rPr>
        <w:t> </w:t>
      </w:r>
      <w:r w:rsidR="00E30C1F" w:rsidRPr="00B86A3E">
        <w:rPr>
          <w:lang w:val="fr-FR"/>
        </w:rPr>
        <w:t xml:space="preserve"> o</w:t>
      </w:r>
      <w:r w:rsidRPr="00B86A3E">
        <w:rPr>
          <w:lang w:val="fr-FR"/>
        </w:rPr>
        <w:t>u</w:t>
      </w:r>
      <w:r w:rsidR="00E30C1F" w:rsidRPr="00B86A3E">
        <w:rPr>
          <w:lang w:val="fr-FR"/>
        </w:rPr>
        <w:t xml:space="preserve"> 19 </w:t>
      </w:r>
      <w:r w:rsidR="00F7157D" w:rsidRPr="00B86A3E">
        <w:rPr>
          <w:rFonts w:eastAsia="Times New Roman"/>
          <w:lang w:val="fr-FR" w:eastAsia="en-US"/>
        </w:rPr>
        <w:t xml:space="preserve">de la </w:t>
      </w:r>
      <w:r w:rsidR="00525D4B" w:rsidRPr="00B86A3E">
        <w:rPr>
          <w:rFonts w:eastAsia="Times New Roman"/>
          <w:szCs w:val="22"/>
          <w:lang w:val="fr-FR" w:eastAsia="en-US"/>
        </w:rPr>
        <w:t>c</w:t>
      </w:r>
      <w:r w:rsidR="00741390" w:rsidRPr="00B86A3E">
        <w:rPr>
          <w:rFonts w:eastAsia="Times New Roman"/>
          <w:szCs w:val="22"/>
          <w:lang w:val="fr-FR" w:eastAsia="en-US"/>
        </w:rPr>
        <w:t>lassification internationale pour les d</w:t>
      </w:r>
      <w:r w:rsidR="00525D4B" w:rsidRPr="00B86A3E">
        <w:rPr>
          <w:rFonts w:eastAsia="Times New Roman"/>
          <w:szCs w:val="22"/>
          <w:lang w:val="fr-FR" w:eastAsia="en-US"/>
        </w:rPr>
        <w:t>essins et modèles industriels (</w:t>
      </w:r>
      <w:r w:rsidR="00525D4B" w:rsidRPr="00B86A3E">
        <w:rPr>
          <w:szCs w:val="22"/>
          <w:lang w:val="fr-FR"/>
        </w:rPr>
        <w:t>“</w:t>
      </w:r>
      <w:r w:rsidR="00525D4B" w:rsidRPr="00B86A3E">
        <w:rPr>
          <w:rFonts w:eastAsia="Times New Roman"/>
          <w:szCs w:val="22"/>
          <w:lang w:val="fr-FR" w:eastAsia="en-US"/>
        </w:rPr>
        <w:t>c</w:t>
      </w:r>
      <w:r w:rsidR="00741390" w:rsidRPr="00B86A3E">
        <w:rPr>
          <w:rFonts w:eastAsia="Times New Roman"/>
          <w:szCs w:val="22"/>
          <w:lang w:val="fr-FR" w:eastAsia="en-US"/>
        </w:rPr>
        <w:t>lassification de Locarno</w:t>
      </w:r>
      <w:r w:rsidR="00525D4B" w:rsidRPr="00B86A3E">
        <w:rPr>
          <w:szCs w:val="22"/>
          <w:lang w:val="fr-FR"/>
        </w:rPr>
        <w:t>”</w:t>
      </w:r>
      <w:r w:rsidR="00741390" w:rsidRPr="00B86A3E">
        <w:rPr>
          <w:rFonts w:eastAsia="Times New Roman"/>
          <w:szCs w:val="22"/>
          <w:lang w:val="fr-FR" w:eastAsia="en-US"/>
        </w:rPr>
        <w:t>)</w:t>
      </w:r>
      <w:r w:rsidR="00E30C1F" w:rsidRPr="00B86A3E">
        <w:rPr>
          <w:lang w:val="fr-FR"/>
        </w:rPr>
        <w:t xml:space="preserve">, </w:t>
      </w:r>
      <w:r w:rsidR="00F7157D" w:rsidRPr="00B86A3E">
        <w:rPr>
          <w:lang w:val="fr-FR"/>
        </w:rPr>
        <w:t>tandis que la taxe de désignation individuelle s’applique à une demande internationale concernant des produits appartenant aux autres classes, ainsi qu’au renouvellement d’un enregistrement international qui en est issu</w:t>
      </w:r>
      <w:r w:rsidR="007266BD" w:rsidRPr="00B86A3E">
        <w:rPr>
          <w:rStyle w:val="FootnoteReference"/>
          <w:szCs w:val="22"/>
          <w:lang w:val="fr-FR"/>
        </w:rPr>
        <w:footnoteReference w:id="2"/>
      </w:r>
      <w:r w:rsidR="00E75A63" w:rsidRPr="00B86A3E">
        <w:rPr>
          <w:lang w:val="fr-FR"/>
        </w:rPr>
        <w:t>.</w:t>
      </w:r>
      <w:r w:rsidR="00036CDA" w:rsidRPr="00B86A3E">
        <w:rPr>
          <w:lang w:val="fr-FR"/>
        </w:rPr>
        <w:t xml:space="preserve"> </w:t>
      </w:r>
    </w:p>
    <w:p w14:paraId="36253BE5" w14:textId="6E1E0BAA" w:rsidR="006117F6" w:rsidRPr="00B86A3E" w:rsidRDefault="00F7157D" w:rsidP="00F7157D">
      <w:pPr>
        <w:pStyle w:val="ONUME"/>
        <w:rPr>
          <w:szCs w:val="22"/>
          <w:lang w:val="fr-FR"/>
        </w:rPr>
      </w:pPr>
      <w:r w:rsidRPr="00B86A3E">
        <w:rPr>
          <w:szCs w:val="22"/>
          <w:lang w:val="fr-FR"/>
        </w:rPr>
        <w:t xml:space="preserve">Le Gouvernement de la République de Corée a notifié au Directeur général de l’Organisation Mondiale de la Propriété Intellectuelle (OMPI) de nouvelles déclarations visant à modifier la portée des deux déclarations susmentionnées, en précisant que : </w:t>
      </w:r>
    </w:p>
    <w:p w14:paraId="2F8986B4" w14:textId="110520E0" w:rsidR="00E30C1F" w:rsidRPr="00B86A3E" w:rsidRDefault="00D26E8B" w:rsidP="002C326A">
      <w:pPr>
        <w:pStyle w:val="ONUME"/>
        <w:numPr>
          <w:ilvl w:val="0"/>
          <w:numId w:val="0"/>
        </w:numPr>
        <w:ind w:left="567"/>
        <w:rPr>
          <w:szCs w:val="22"/>
          <w:lang w:val="fr-FR"/>
        </w:rPr>
      </w:pPr>
      <w:r w:rsidRPr="00B86A3E">
        <w:rPr>
          <w:szCs w:val="22"/>
          <w:lang w:val="fr-FR"/>
        </w:rPr>
        <w:t>–</w:t>
      </w:r>
      <w:r w:rsidR="00BF0F69" w:rsidRPr="00B86A3E">
        <w:rPr>
          <w:szCs w:val="22"/>
          <w:lang w:val="fr-FR"/>
        </w:rPr>
        <w:tab/>
      </w:r>
      <w:r w:rsidR="00797E31" w:rsidRPr="00B86A3E">
        <w:rPr>
          <w:szCs w:val="22"/>
          <w:lang w:val="fr-FR"/>
        </w:rPr>
        <w:t>le</w:t>
      </w:r>
      <w:r w:rsidR="00F7157D" w:rsidRPr="00B86A3E">
        <w:rPr>
          <w:szCs w:val="22"/>
          <w:lang w:val="fr-FR"/>
        </w:rPr>
        <w:t xml:space="preserve"> niveau trois de la taxe de désignation sta</w:t>
      </w:r>
      <w:r w:rsidR="00E30C1F" w:rsidRPr="00B86A3E">
        <w:rPr>
          <w:szCs w:val="22"/>
          <w:lang w:val="fr-FR"/>
        </w:rPr>
        <w:t xml:space="preserve">ndard </w:t>
      </w:r>
      <w:r w:rsidR="00364700" w:rsidRPr="00B86A3E">
        <w:rPr>
          <w:szCs w:val="22"/>
          <w:lang w:val="fr-FR"/>
        </w:rPr>
        <w:t xml:space="preserve">s’applique à une demande internationale concernant des produits appartenant aux </w:t>
      </w:r>
      <w:r w:rsidR="00E30C1F" w:rsidRPr="00B86A3E">
        <w:rPr>
          <w:szCs w:val="22"/>
          <w:lang w:val="fr-FR"/>
        </w:rPr>
        <w:t>class</w:t>
      </w:r>
      <w:r w:rsidR="000B0539" w:rsidRPr="00B86A3E">
        <w:rPr>
          <w:szCs w:val="22"/>
          <w:lang w:val="fr-FR"/>
        </w:rPr>
        <w:t>es</w:t>
      </w:r>
      <w:r w:rsidR="00364700" w:rsidRPr="00B86A3E">
        <w:rPr>
          <w:szCs w:val="22"/>
          <w:lang w:val="fr-FR"/>
        </w:rPr>
        <w:t> </w:t>
      </w:r>
      <w:r w:rsidR="00E30C1F" w:rsidRPr="00B86A3E">
        <w:rPr>
          <w:szCs w:val="22"/>
          <w:lang w:val="fr-FR"/>
        </w:rPr>
        <w:t>1, 2, 3, 5, 9, 11 o</w:t>
      </w:r>
      <w:r w:rsidR="00364700" w:rsidRPr="00B86A3E">
        <w:rPr>
          <w:szCs w:val="22"/>
          <w:lang w:val="fr-FR"/>
        </w:rPr>
        <w:t>u</w:t>
      </w:r>
      <w:r w:rsidR="00E30C1F" w:rsidRPr="00B86A3E">
        <w:rPr>
          <w:szCs w:val="22"/>
          <w:lang w:val="fr-FR"/>
        </w:rPr>
        <w:t xml:space="preserve"> 19 </w:t>
      </w:r>
      <w:r w:rsidR="00364700" w:rsidRPr="00B86A3E">
        <w:rPr>
          <w:szCs w:val="22"/>
          <w:lang w:val="fr-FR"/>
        </w:rPr>
        <w:t xml:space="preserve">de la classification de </w:t>
      </w:r>
      <w:proofErr w:type="gramStart"/>
      <w:r w:rsidR="0021439A" w:rsidRPr="00B86A3E">
        <w:rPr>
          <w:szCs w:val="22"/>
          <w:lang w:val="fr-FR"/>
        </w:rPr>
        <w:t xml:space="preserve">Locarno; </w:t>
      </w:r>
      <w:r w:rsidR="002C326A" w:rsidRPr="00B86A3E">
        <w:rPr>
          <w:szCs w:val="22"/>
          <w:lang w:val="fr-FR"/>
        </w:rPr>
        <w:t xml:space="preserve"> </w:t>
      </w:r>
      <w:r w:rsidR="0021439A" w:rsidRPr="00B86A3E">
        <w:rPr>
          <w:szCs w:val="22"/>
          <w:lang w:val="fr-FR"/>
        </w:rPr>
        <w:t>et</w:t>
      </w:r>
      <w:proofErr w:type="gramEnd"/>
    </w:p>
    <w:p w14:paraId="4D778C2B" w14:textId="75785E90" w:rsidR="007B17B9" w:rsidRPr="00B86A3E" w:rsidRDefault="00D26E8B" w:rsidP="002C326A">
      <w:pPr>
        <w:pStyle w:val="ONUME"/>
        <w:numPr>
          <w:ilvl w:val="0"/>
          <w:numId w:val="0"/>
        </w:numPr>
        <w:ind w:left="567"/>
        <w:rPr>
          <w:szCs w:val="22"/>
          <w:lang w:val="fr-FR"/>
        </w:rPr>
      </w:pPr>
      <w:r w:rsidRPr="00B86A3E">
        <w:rPr>
          <w:szCs w:val="22"/>
          <w:lang w:val="fr-FR"/>
        </w:rPr>
        <w:t>–</w:t>
      </w:r>
      <w:r w:rsidR="00E30C1F" w:rsidRPr="00B86A3E">
        <w:rPr>
          <w:szCs w:val="22"/>
          <w:lang w:val="fr-FR"/>
        </w:rPr>
        <w:tab/>
      </w:r>
      <w:r w:rsidR="00364700" w:rsidRPr="00B86A3E">
        <w:rPr>
          <w:szCs w:val="22"/>
          <w:lang w:val="fr-FR"/>
        </w:rPr>
        <w:t>la taxe de désignation individuelle s’applique à une demande internationale concernant des produits appartenant aux autres classes, ainsi qu’au renouvellement d’un enregistrement international qui en est issu</w:t>
      </w:r>
      <w:r w:rsidR="00E30C1F" w:rsidRPr="00B86A3E">
        <w:rPr>
          <w:szCs w:val="22"/>
          <w:lang w:val="fr-FR"/>
        </w:rPr>
        <w:t xml:space="preserve">. </w:t>
      </w:r>
      <w:r w:rsidR="00364700" w:rsidRPr="00B86A3E">
        <w:rPr>
          <w:szCs w:val="22"/>
          <w:lang w:val="fr-FR"/>
        </w:rPr>
        <w:t xml:space="preserve"> </w:t>
      </w:r>
    </w:p>
    <w:p w14:paraId="25C7EF7F" w14:textId="77777777" w:rsidR="007B17B9" w:rsidRPr="00B86A3E" w:rsidRDefault="007B17B9">
      <w:pPr>
        <w:rPr>
          <w:szCs w:val="22"/>
          <w:lang w:val="fr-FR"/>
        </w:rPr>
      </w:pPr>
      <w:r w:rsidRPr="00B86A3E">
        <w:rPr>
          <w:szCs w:val="22"/>
          <w:lang w:val="fr-FR"/>
        </w:rPr>
        <w:br w:type="page"/>
      </w:r>
    </w:p>
    <w:p w14:paraId="7E492E80" w14:textId="39C657C9" w:rsidR="004B3FA4" w:rsidRPr="00B86A3E" w:rsidRDefault="007426FF" w:rsidP="00AD3BF2">
      <w:pPr>
        <w:pStyle w:val="ONUME"/>
        <w:rPr>
          <w:rFonts w:eastAsia="Arial"/>
          <w:szCs w:val="22"/>
          <w:lang w:val="fr-FR"/>
        </w:rPr>
      </w:pPr>
      <w:r w:rsidRPr="00B86A3E">
        <w:rPr>
          <w:szCs w:val="22"/>
          <w:lang w:val="fr-FR"/>
        </w:rPr>
        <w:lastRenderedPageBreak/>
        <w:t>En ce qui concerne la déclaration modifiée en vertu de l’article </w:t>
      </w:r>
      <w:r w:rsidR="003A28B9" w:rsidRPr="00B86A3E">
        <w:rPr>
          <w:szCs w:val="22"/>
          <w:lang w:val="fr-FR"/>
        </w:rPr>
        <w:t>7</w:t>
      </w:r>
      <w:r w:rsidRPr="00B86A3E">
        <w:rPr>
          <w:szCs w:val="22"/>
          <w:lang w:val="fr-FR"/>
        </w:rPr>
        <w:t>.</w:t>
      </w:r>
      <w:r w:rsidR="003A28B9" w:rsidRPr="00B86A3E">
        <w:rPr>
          <w:szCs w:val="22"/>
          <w:lang w:val="fr-FR"/>
        </w:rPr>
        <w:t xml:space="preserve">2) </w:t>
      </w:r>
      <w:r w:rsidRPr="00B86A3E">
        <w:rPr>
          <w:szCs w:val="22"/>
          <w:lang w:val="fr-FR"/>
        </w:rPr>
        <w:t>de l’Acte de</w:t>
      </w:r>
      <w:r w:rsidR="003A28B9" w:rsidRPr="00B86A3E">
        <w:rPr>
          <w:szCs w:val="22"/>
          <w:lang w:val="fr-FR"/>
        </w:rPr>
        <w:t xml:space="preserve"> 1999, </w:t>
      </w:r>
      <w:r w:rsidRPr="00B86A3E">
        <w:rPr>
          <w:szCs w:val="22"/>
          <w:lang w:val="fr-FR"/>
        </w:rPr>
        <w:t>conformément à la règle </w:t>
      </w:r>
      <w:proofErr w:type="gramStart"/>
      <w:r w:rsidR="0076210D" w:rsidRPr="00B86A3E">
        <w:rPr>
          <w:szCs w:val="22"/>
          <w:lang w:val="fr-FR"/>
        </w:rPr>
        <w:t>28</w:t>
      </w:r>
      <w:r w:rsidRPr="00B86A3E">
        <w:rPr>
          <w:szCs w:val="22"/>
          <w:lang w:val="fr-FR"/>
        </w:rPr>
        <w:t>.</w:t>
      </w:r>
      <w:r w:rsidR="0076210D" w:rsidRPr="00B86A3E">
        <w:rPr>
          <w:szCs w:val="22"/>
          <w:lang w:val="fr-FR"/>
        </w:rPr>
        <w:t>2)</w:t>
      </w:r>
      <w:r w:rsidR="006117F6" w:rsidRPr="00B86A3E">
        <w:rPr>
          <w:szCs w:val="22"/>
          <w:lang w:val="fr-FR"/>
        </w:rPr>
        <w:t>b</w:t>
      </w:r>
      <w:proofErr w:type="gramEnd"/>
      <w:r w:rsidR="0076210D" w:rsidRPr="00B86A3E">
        <w:rPr>
          <w:szCs w:val="22"/>
          <w:lang w:val="fr-FR"/>
        </w:rPr>
        <w:t xml:space="preserve">) </w:t>
      </w:r>
      <w:r w:rsidRPr="00B86A3E">
        <w:rPr>
          <w:szCs w:val="22"/>
          <w:lang w:val="fr-FR"/>
        </w:rPr>
        <w:t>du règlement d’exécution commun, le Directeur général de</w:t>
      </w:r>
      <w:r w:rsidR="00447DFD" w:rsidRPr="00B86A3E">
        <w:rPr>
          <w:szCs w:val="22"/>
          <w:lang w:val="fr-FR"/>
        </w:rPr>
        <w:t> </w:t>
      </w:r>
      <w:r w:rsidRPr="00B86A3E">
        <w:rPr>
          <w:szCs w:val="22"/>
          <w:lang w:val="fr-FR"/>
        </w:rPr>
        <w:t xml:space="preserve">l’OMPI a établi, après </w:t>
      </w:r>
      <w:r w:rsidR="006117F6" w:rsidRPr="00B86A3E">
        <w:rPr>
          <w:szCs w:val="22"/>
          <w:lang w:val="fr-FR"/>
        </w:rPr>
        <w:t xml:space="preserve">consultation </w:t>
      </w:r>
      <w:r w:rsidRPr="00B86A3E">
        <w:rPr>
          <w:szCs w:val="22"/>
          <w:lang w:val="fr-FR"/>
        </w:rPr>
        <w:t xml:space="preserve">de l’Office coréen de la propriété intellectuelle </w:t>
      </w:r>
      <w:r w:rsidR="00571C45" w:rsidRPr="00B86A3E">
        <w:rPr>
          <w:szCs w:val="22"/>
          <w:lang w:val="fr-FR"/>
        </w:rPr>
        <w:t>(KIPO)</w:t>
      </w:r>
      <w:r w:rsidR="0076210D" w:rsidRPr="00B86A3E">
        <w:rPr>
          <w:szCs w:val="22"/>
          <w:lang w:val="fr-FR"/>
        </w:rPr>
        <w:t xml:space="preserve">, </w:t>
      </w:r>
      <w:r w:rsidR="00AD3BF2" w:rsidRPr="00B86A3E">
        <w:rPr>
          <w:rFonts w:eastAsia="Arial"/>
          <w:spacing w:val="1"/>
          <w:szCs w:val="22"/>
          <w:lang w:val="fr-FR"/>
        </w:rPr>
        <w:t>les nouveaux montants ci</w:t>
      </w:r>
      <w:r w:rsidR="00AD3BF2" w:rsidRPr="00B86A3E">
        <w:rPr>
          <w:rFonts w:eastAsia="Arial"/>
          <w:spacing w:val="1"/>
          <w:szCs w:val="22"/>
          <w:lang w:val="fr-FR"/>
        </w:rPr>
        <w:noBreakHyphen/>
        <w:t xml:space="preserve">après en francs suisses de la taxe de désignation individuelle </w:t>
      </w:r>
      <w:r w:rsidR="00057C4D" w:rsidRPr="00B86A3E">
        <w:rPr>
          <w:rFonts w:eastAsia="Arial"/>
          <w:szCs w:val="22"/>
          <w:lang w:val="fr-FR"/>
        </w:rPr>
        <w:t xml:space="preserve">payable </w:t>
      </w:r>
      <w:r w:rsidR="00AD3BF2" w:rsidRPr="00B86A3E">
        <w:rPr>
          <w:rFonts w:eastAsia="Arial"/>
          <w:szCs w:val="22"/>
          <w:lang w:val="fr-FR"/>
        </w:rPr>
        <w:t>à l’égard de la République de Corée </w:t>
      </w:r>
      <w:r w:rsidR="004B3FA4" w:rsidRPr="00B86A3E">
        <w:rPr>
          <w:rFonts w:eastAsia="Arial"/>
          <w:szCs w:val="22"/>
          <w:lang w:val="fr-FR"/>
        </w:rPr>
        <w:t>:</w:t>
      </w:r>
    </w:p>
    <w:tbl>
      <w:tblPr>
        <w:tblW w:w="8677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510"/>
        <w:gridCol w:w="2039"/>
      </w:tblGrid>
      <w:tr w:rsidR="00456261" w:rsidRPr="00B86A3E" w14:paraId="51BD14B8" w14:textId="77777777" w:rsidTr="00AD3BF2">
        <w:trPr>
          <w:trHeight w:hRule="exact" w:val="680"/>
        </w:trPr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DF62" w14:textId="27D6EB56" w:rsidR="00456261" w:rsidRPr="00B86A3E" w:rsidRDefault="00AD3BF2" w:rsidP="00205868">
            <w:pPr>
              <w:ind w:left="102" w:right="-20"/>
              <w:jc w:val="center"/>
              <w:rPr>
                <w:rFonts w:eastAsia="Arial"/>
                <w:szCs w:val="22"/>
                <w:lang w:val="fr-FR"/>
              </w:rPr>
            </w:pPr>
            <w:r w:rsidRPr="00B86A3E">
              <w:rPr>
                <w:rFonts w:eastAsia="Arial"/>
                <w:b/>
                <w:bCs/>
                <w:szCs w:val="22"/>
                <w:lang w:val="fr-FR"/>
              </w:rPr>
              <w:t>Taxe de désignation individuelle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883F" w14:textId="43AE2606" w:rsidR="00456261" w:rsidRPr="00B86A3E" w:rsidRDefault="00AD3BF2" w:rsidP="00205868">
            <w:pPr>
              <w:jc w:val="center"/>
              <w:rPr>
                <w:b/>
                <w:szCs w:val="22"/>
                <w:lang w:val="fr-FR"/>
              </w:rPr>
            </w:pPr>
            <w:r w:rsidRPr="00B86A3E">
              <w:rPr>
                <w:b/>
                <w:szCs w:val="22"/>
                <w:lang w:val="fr-FR"/>
              </w:rPr>
              <w:t>Montan</w:t>
            </w:r>
            <w:r w:rsidR="00456261" w:rsidRPr="00B86A3E">
              <w:rPr>
                <w:b/>
                <w:szCs w:val="22"/>
                <w:lang w:val="fr-FR"/>
              </w:rPr>
              <w:t>ts</w:t>
            </w:r>
          </w:p>
          <w:p w14:paraId="38B6A3F7" w14:textId="0BB96A39" w:rsidR="00456261" w:rsidRPr="00B86A3E" w:rsidRDefault="00AD3BF2" w:rsidP="00AD3BF2">
            <w:pPr>
              <w:ind w:left="40"/>
              <w:jc w:val="center"/>
              <w:rPr>
                <w:rFonts w:eastAsia="Arial"/>
                <w:i/>
                <w:szCs w:val="22"/>
                <w:lang w:val="fr-FR"/>
              </w:rPr>
            </w:pPr>
            <w:r w:rsidRPr="00B86A3E">
              <w:rPr>
                <w:i/>
                <w:szCs w:val="22"/>
                <w:lang w:val="fr-FR"/>
              </w:rPr>
              <w:t>(e</w:t>
            </w:r>
            <w:r w:rsidR="00456261" w:rsidRPr="00B86A3E">
              <w:rPr>
                <w:i/>
                <w:szCs w:val="22"/>
                <w:lang w:val="fr-FR"/>
              </w:rPr>
              <w:t xml:space="preserve">n </w:t>
            </w:r>
            <w:r w:rsidRPr="00B86A3E">
              <w:rPr>
                <w:i/>
                <w:szCs w:val="22"/>
                <w:lang w:val="fr-FR"/>
              </w:rPr>
              <w:t>francs suisses</w:t>
            </w:r>
            <w:r w:rsidR="00456261" w:rsidRPr="00B86A3E">
              <w:rPr>
                <w:i/>
                <w:szCs w:val="22"/>
                <w:lang w:val="fr-FR"/>
              </w:rPr>
              <w:t>)</w:t>
            </w:r>
          </w:p>
        </w:tc>
      </w:tr>
      <w:tr w:rsidR="00456261" w:rsidRPr="00B86A3E" w14:paraId="077A86A3" w14:textId="77777777" w:rsidTr="00AD3BF2">
        <w:trPr>
          <w:trHeight w:hRule="exact" w:val="575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B673" w14:textId="06BC0EC6" w:rsidR="004C1D7A" w:rsidRPr="00B86A3E" w:rsidRDefault="00AD3BF2" w:rsidP="00C02F6E">
            <w:pPr>
              <w:ind w:left="182" w:right="102"/>
              <w:rPr>
                <w:rFonts w:eastAsia="Arial"/>
                <w:szCs w:val="22"/>
                <w:lang w:val="fr-FR"/>
              </w:rPr>
            </w:pPr>
            <w:r w:rsidRPr="00B86A3E">
              <w:rPr>
                <w:szCs w:val="22"/>
                <w:lang w:val="fr-FR"/>
              </w:rPr>
              <w:t>Demande internationale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514A" w14:textId="17793E7F" w:rsidR="00A27AC0" w:rsidRPr="00B86A3E" w:rsidRDefault="00AD3BF2" w:rsidP="00C02F6E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  <w:rPr>
                <w:szCs w:val="22"/>
                <w:lang w:val="fr-FR"/>
              </w:rPr>
            </w:pPr>
            <w:r w:rsidRPr="00B86A3E">
              <w:rPr>
                <w:szCs w:val="22"/>
                <w:lang w:val="fr-FR"/>
              </w:rPr>
              <w:t>pour chaque dessin ou modèle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52DB" w14:textId="0ED8C5F5" w:rsidR="00AF12AC" w:rsidRPr="00B86A3E" w:rsidRDefault="00A4295D" w:rsidP="002C326A">
            <w:pPr>
              <w:tabs>
                <w:tab w:val="right" w:pos="1406"/>
              </w:tabs>
              <w:ind w:right="-4"/>
              <w:jc w:val="center"/>
              <w:rPr>
                <w:rFonts w:eastAsia="Arial"/>
                <w:szCs w:val="22"/>
                <w:lang w:val="fr-FR"/>
              </w:rPr>
            </w:pPr>
            <w:r w:rsidRPr="00B86A3E">
              <w:rPr>
                <w:rFonts w:eastAsia="Arial"/>
                <w:szCs w:val="22"/>
                <w:lang w:val="fr-FR"/>
              </w:rPr>
              <w:t>184</w:t>
            </w:r>
          </w:p>
        </w:tc>
      </w:tr>
      <w:tr w:rsidR="00A4295D" w:rsidRPr="00B86A3E" w14:paraId="6818170B" w14:textId="77777777" w:rsidTr="00AD3BF2">
        <w:trPr>
          <w:trHeight w:hRule="exact" w:val="569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AE30E6" w14:textId="2D2F0AB1" w:rsidR="00C02F6E" w:rsidRPr="00B86A3E" w:rsidRDefault="00AD3BF2" w:rsidP="00C02F6E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  <w:rPr>
                <w:szCs w:val="22"/>
                <w:lang w:val="fr-FR"/>
              </w:rPr>
            </w:pPr>
            <w:r w:rsidRPr="00B86A3E">
              <w:rPr>
                <w:szCs w:val="22"/>
                <w:lang w:val="fr-FR"/>
              </w:rPr>
              <w:t>Taxe de renouvellement</w:t>
            </w:r>
          </w:p>
          <w:p w14:paraId="028BBE10" w14:textId="7F00E716" w:rsidR="00A4295D" w:rsidRPr="00B86A3E" w:rsidRDefault="00A4295D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  <w:rPr>
                <w:szCs w:val="22"/>
                <w:lang w:val="fr-FR"/>
              </w:rPr>
            </w:pPr>
            <w:r w:rsidRPr="00B86A3E">
              <w:rPr>
                <w:szCs w:val="22"/>
                <w:lang w:val="fr-FR"/>
              </w:rPr>
              <w:t>(</w:t>
            </w:r>
            <w:r w:rsidR="00AD3BF2" w:rsidRPr="00B86A3E">
              <w:rPr>
                <w:szCs w:val="22"/>
                <w:lang w:val="fr-FR"/>
              </w:rPr>
              <w:t>pour chaque dessin ou modèle</w:t>
            </w:r>
            <w:r w:rsidRPr="00B86A3E">
              <w:rPr>
                <w:szCs w:val="22"/>
                <w:lang w:val="fr-FR"/>
              </w:rPr>
              <w:t>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0AAF" w14:textId="384B679C" w:rsidR="00A4295D" w:rsidRPr="00B86A3E" w:rsidRDefault="00AD3BF2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  <w:lang w:val="fr-FR"/>
              </w:rPr>
            </w:pPr>
            <w:r w:rsidRPr="00B86A3E">
              <w:rPr>
                <w:szCs w:val="22"/>
                <w:lang w:val="fr-FR"/>
              </w:rPr>
              <w:t>pour le premier renouvellement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AF20" w14:textId="00B9F51B" w:rsidR="00A4295D" w:rsidRPr="00B86A3E" w:rsidRDefault="008E4337" w:rsidP="002C326A">
            <w:pPr>
              <w:tabs>
                <w:tab w:val="right" w:pos="1406"/>
              </w:tabs>
              <w:ind w:left="40"/>
              <w:jc w:val="center"/>
              <w:rPr>
                <w:rFonts w:eastAsia="Arial"/>
                <w:spacing w:val="-1"/>
                <w:szCs w:val="22"/>
                <w:lang w:val="fr-FR"/>
              </w:rPr>
            </w:pPr>
            <w:r w:rsidRPr="00B86A3E">
              <w:rPr>
                <w:rFonts w:eastAsia="Arial"/>
                <w:spacing w:val="-1"/>
                <w:szCs w:val="22"/>
                <w:lang w:val="fr-FR"/>
              </w:rPr>
              <w:t>296</w:t>
            </w:r>
          </w:p>
        </w:tc>
      </w:tr>
      <w:tr w:rsidR="00A4295D" w:rsidRPr="00B86A3E" w14:paraId="40FDF226" w14:textId="77777777" w:rsidTr="00AD3BF2">
        <w:trPr>
          <w:trHeight w:hRule="exact" w:val="575"/>
        </w:trPr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8F894" w14:textId="77777777" w:rsidR="00A4295D" w:rsidRPr="00B86A3E" w:rsidRDefault="00A4295D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  <w:rPr>
                <w:szCs w:val="22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4212" w14:textId="28BF2A0E" w:rsidR="00A4295D" w:rsidRPr="00B86A3E" w:rsidRDefault="00AD3BF2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  <w:lang w:val="fr-FR"/>
              </w:rPr>
            </w:pPr>
            <w:r w:rsidRPr="00B86A3E">
              <w:rPr>
                <w:szCs w:val="22"/>
                <w:lang w:val="fr-FR"/>
              </w:rPr>
              <w:t>pour le deuxième renouvellement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9391" w14:textId="78FCC740" w:rsidR="00A4295D" w:rsidRPr="00B86A3E" w:rsidRDefault="008E4337" w:rsidP="002C326A">
            <w:pPr>
              <w:tabs>
                <w:tab w:val="right" w:pos="1406"/>
              </w:tabs>
              <w:jc w:val="center"/>
              <w:rPr>
                <w:rFonts w:eastAsia="Arial"/>
                <w:szCs w:val="22"/>
                <w:lang w:val="fr-FR"/>
              </w:rPr>
            </w:pPr>
            <w:r w:rsidRPr="00B86A3E">
              <w:rPr>
                <w:rFonts w:eastAsia="Arial"/>
                <w:szCs w:val="22"/>
                <w:lang w:val="fr-FR"/>
              </w:rPr>
              <w:t>699</w:t>
            </w:r>
          </w:p>
        </w:tc>
      </w:tr>
      <w:tr w:rsidR="00A4295D" w:rsidRPr="00B86A3E" w14:paraId="35D79857" w14:textId="77777777" w:rsidTr="00AD3BF2">
        <w:trPr>
          <w:trHeight w:hRule="exact" w:val="557"/>
        </w:trPr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78CA" w14:textId="77777777" w:rsidR="00A4295D" w:rsidRPr="00B86A3E" w:rsidRDefault="00A4295D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  <w:rPr>
                <w:szCs w:val="22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C72F" w14:textId="103C7351" w:rsidR="00A4295D" w:rsidRPr="00B86A3E" w:rsidRDefault="00AD3BF2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  <w:lang w:val="fr-FR"/>
              </w:rPr>
            </w:pPr>
            <w:r w:rsidRPr="00B86A3E">
              <w:rPr>
                <w:szCs w:val="22"/>
                <w:lang w:val="fr-FR"/>
              </w:rPr>
              <w:t>pour le troisième renouvellement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1BD5" w14:textId="1474D62B" w:rsidR="00A4295D" w:rsidRPr="00B86A3E" w:rsidRDefault="008E4337" w:rsidP="002C326A">
            <w:pPr>
              <w:tabs>
                <w:tab w:val="right" w:pos="1406"/>
              </w:tabs>
              <w:ind w:right="-20"/>
              <w:jc w:val="center"/>
              <w:rPr>
                <w:rFonts w:eastAsia="Arial"/>
                <w:spacing w:val="-1"/>
                <w:szCs w:val="22"/>
                <w:lang w:val="fr-FR"/>
              </w:rPr>
            </w:pPr>
            <w:r w:rsidRPr="00B86A3E">
              <w:rPr>
                <w:rFonts w:eastAsia="Arial"/>
                <w:spacing w:val="-1"/>
                <w:szCs w:val="22"/>
                <w:lang w:val="fr-FR"/>
              </w:rPr>
              <w:t>806</w:t>
            </w:r>
          </w:p>
        </w:tc>
      </w:tr>
    </w:tbl>
    <w:p w14:paraId="6D455ABF" w14:textId="7299FF35" w:rsidR="008412D1" w:rsidRPr="00B86A3E" w:rsidRDefault="003365EB" w:rsidP="00CE0ED1">
      <w:pPr>
        <w:pStyle w:val="ONUME"/>
        <w:spacing w:before="240" w:after="120"/>
        <w:rPr>
          <w:szCs w:val="22"/>
          <w:lang w:val="fr-FR"/>
        </w:rPr>
      </w:pPr>
      <w:r w:rsidRPr="00B86A3E">
        <w:rPr>
          <w:szCs w:val="22"/>
          <w:lang w:val="fr-FR"/>
        </w:rPr>
        <w:t>Conformément à l’article </w:t>
      </w:r>
      <w:proofErr w:type="gramStart"/>
      <w:r w:rsidR="006117F6" w:rsidRPr="00B86A3E">
        <w:rPr>
          <w:szCs w:val="22"/>
          <w:lang w:val="fr-FR"/>
        </w:rPr>
        <w:t>30</w:t>
      </w:r>
      <w:r w:rsidRPr="00B86A3E">
        <w:rPr>
          <w:szCs w:val="22"/>
          <w:lang w:val="fr-FR"/>
        </w:rPr>
        <w:t>.</w:t>
      </w:r>
      <w:r w:rsidR="006117F6" w:rsidRPr="00B86A3E">
        <w:rPr>
          <w:szCs w:val="22"/>
          <w:lang w:val="fr-FR"/>
        </w:rPr>
        <w:t>1)ii</w:t>
      </w:r>
      <w:proofErr w:type="gramEnd"/>
      <w:r w:rsidR="006117F6" w:rsidRPr="00B86A3E">
        <w:rPr>
          <w:szCs w:val="22"/>
          <w:lang w:val="fr-FR"/>
        </w:rPr>
        <w:t xml:space="preserve">) </w:t>
      </w:r>
      <w:r w:rsidRPr="00B86A3E">
        <w:rPr>
          <w:szCs w:val="22"/>
          <w:lang w:val="fr-FR"/>
        </w:rPr>
        <w:t xml:space="preserve">de l’Acte de </w:t>
      </w:r>
      <w:r w:rsidR="006117F6" w:rsidRPr="00B86A3E">
        <w:rPr>
          <w:szCs w:val="22"/>
          <w:lang w:val="fr-FR"/>
        </w:rPr>
        <w:t xml:space="preserve">1999 </w:t>
      </w:r>
      <w:r w:rsidRPr="00B86A3E">
        <w:rPr>
          <w:szCs w:val="22"/>
          <w:lang w:val="fr-FR"/>
        </w:rPr>
        <w:t>et à la règle </w:t>
      </w:r>
      <w:r w:rsidR="00057C4D" w:rsidRPr="00B86A3E">
        <w:rPr>
          <w:szCs w:val="22"/>
          <w:lang w:val="fr-FR"/>
        </w:rPr>
        <w:t>12</w:t>
      </w:r>
      <w:r w:rsidRPr="00B86A3E">
        <w:rPr>
          <w:szCs w:val="22"/>
          <w:lang w:val="fr-FR"/>
        </w:rPr>
        <w:t>.</w:t>
      </w:r>
      <w:r w:rsidR="00057C4D" w:rsidRPr="00B86A3E">
        <w:rPr>
          <w:szCs w:val="22"/>
          <w:lang w:val="fr-FR"/>
        </w:rPr>
        <w:t xml:space="preserve">1)c)ii) </w:t>
      </w:r>
      <w:r w:rsidRPr="00B86A3E">
        <w:rPr>
          <w:szCs w:val="22"/>
          <w:lang w:val="fr-FR"/>
        </w:rPr>
        <w:t>du règlement d’exécution commun, et à la déclaration reçue, les modifications susmentionnées, y compris les nouveaux montants de la taxe de désignation individuelle, s’appliqueront à compter du</w:t>
      </w:r>
      <w:r w:rsidR="00447DFD" w:rsidRPr="00B86A3E">
        <w:rPr>
          <w:szCs w:val="22"/>
          <w:lang w:val="fr-FR"/>
        </w:rPr>
        <w:t> </w:t>
      </w:r>
      <w:r w:rsidRPr="00B86A3E">
        <w:rPr>
          <w:szCs w:val="22"/>
          <w:lang w:val="fr-FR"/>
        </w:rPr>
        <w:t>1</w:t>
      </w:r>
      <w:r w:rsidRPr="00B86A3E">
        <w:rPr>
          <w:szCs w:val="22"/>
          <w:vertAlign w:val="superscript"/>
          <w:lang w:val="fr-FR"/>
        </w:rPr>
        <w:t>er</w:t>
      </w:r>
      <w:r w:rsidRPr="00B86A3E">
        <w:rPr>
          <w:szCs w:val="22"/>
          <w:lang w:val="fr-FR"/>
        </w:rPr>
        <w:t> décembre </w:t>
      </w:r>
      <w:r w:rsidR="006117F6" w:rsidRPr="00B86A3E">
        <w:rPr>
          <w:szCs w:val="22"/>
          <w:lang w:val="fr-FR"/>
        </w:rPr>
        <w:t>2020</w:t>
      </w:r>
      <w:r w:rsidR="00D3555E" w:rsidRPr="00B86A3E">
        <w:rPr>
          <w:szCs w:val="22"/>
          <w:lang w:val="fr-FR"/>
        </w:rPr>
        <w:t>.</w:t>
      </w:r>
      <w:r w:rsidR="00586D30" w:rsidRPr="00B86A3E">
        <w:rPr>
          <w:szCs w:val="22"/>
          <w:lang w:val="fr-FR"/>
        </w:rPr>
        <w:t xml:space="preserve"> </w:t>
      </w:r>
      <w:r w:rsidR="00057C4D" w:rsidRPr="00B86A3E">
        <w:rPr>
          <w:szCs w:val="22"/>
          <w:lang w:val="fr-FR"/>
        </w:rPr>
        <w:t xml:space="preserve"> </w:t>
      </w:r>
      <w:r w:rsidRPr="00B86A3E">
        <w:rPr>
          <w:szCs w:val="22"/>
          <w:lang w:val="fr-FR"/>
        </w:rPr>
        <w:t>À cet égard, il convient également de noter que ces modifications s’appliqueront lorsque la République de Corée sera désigné</w:t>
      </w:r>
      <w:r w:rsidR="00E30273" w:rsidRPr="00B86A3E">
        <w:rPr>
          <w:szCs w:val="22"/>
          <w:lang w:val="fr-FR"/>
        </w:rPr>
        <w:t>e</w:t>
      </w:r>
      <w:r w:rsidRPr="00B86A3E">
        <w:rPr>
          <w:szCs w:val="22"/>
          <w:lang w:val="fr-FR"/>
        </w:rPr>
        <w:t xml:space="preserve"> dans une demande internationale dont la date de l’enregistrement international </w:t>
      </w:r>
      <w:r w:rsidR="00282A09" w:rsidRPr="00B86A3E">
        <w:rPr>
          <w:szCs w:val="22"/>
          <w:lang w:val="fr-FR"/>
        </w:rPr>
        <w:t xml:space="preserve">correspond à la date susmentionnée ou </w:t>
      </w:r>
      <w:r w:rsidRPr="00B86A3E">
        <w:rPr>
          <w:szCs w:val="22"/>
          <w:lang w:val="fr-FR"/>
        </w:rPr>
        <w:t>postérieure</w:t>
      </w:r>
      <w:r w:rsidR="00282A09" w:rsidRPr="00B86A3E">
        <w:rPr>
          <w:szCs w:val="22"/>
          <w:lang w:val="fr-FR"/>
        </w:rPr>
        <w:t xml:space="preserve"> à celle-ci</w:t>
      </w:r>
      <w:r w:rsidRPr="00B86A3E">
        <w:rPr>
          <w:szCs w:val="22"/>
          <w:lang w:val="fr-FR"/>
        </w:rPr>
        <w:t>, en application de l’article </w:t>
      </w:r>
      <w:r w:rsidR="00586D30" w:rsidRPr="00B86A3E">
        <w:rPr>
          <w:szCs w:val="22"/>
          <w:lang w:val="fr-FR"/>
        </w:rPr>
        <w:t>10</w:t>
      </w:r>
      <w:r w:rsidR="00790A7E" w:rsidRPr="00B86A3E">
        <w:rPr>
          <w:szCs w:val="22"/>
          <w:lang w:val="fr-FR"/>
        </w:rPr>
        <w:t>.</w:t>
      </w:r>
      <w:r w:rsidR="00586D30" w:rsidRPr="00B86A3E">
        <w:rPr>
          <w:szCs w:val="22"/>
          <w:lang w:val="fr-FR"/>
        </w:rPr>
        <w:t xml:space="preserve">2) </w:t>
      </w:r>
      <w:r w:rsidR="00790A7E" w:rsidRPr="00B86A3E">
        <w:rPr>
          <w:szCs w:val="22"/>
          <w:lang w:val="fr-FR"/>
        </w:rPr>
        <w:t>de l’Acte</w:t>
      </w:r>
      <w:r w:rsidR="00282A09" w:rsidRPr="00B86A3E">
        <w:rPr>
          <w:szCs w:val="22"/>
          <w:lang w:val="fr-FR"/>
        </w:rPr>
        <w:t> </w:t>
      </w:r>
      <w:r w:rsidR="00790A7E" w:rsidRPr="00B86A3E">
        <w:rPr>
          <w:szCs w:val="22"/>
          <w:lang w:val="fr-FR"/>
        </w:rPr>
        <w:t xml:space="preserve">de </w:t>
      </w:r>
      <w:r w:rsidR="00586D30" w:rsidRPr="00B86A3E">
        <w:rPr>
          <w:szCs w:val="22"/>
          <w:lang w:val="fr-FR"/>
        </w:rPr>
        <w:t>1999.</w:t>
      </w:r>
    </w:p>
    <w:p w14:paraId="1C6DB6DC" w14:textId="4762927B" w:rsidR="00057C4D" w:rsidRPr="00B86A3E" w:rsidRDefault="00790A7E" w:rsidP="00CE0ED1">
      <w:pPr>
        <w:pStyle w:val="ONUME"/>
        <w:rPr>
          <w:szCs w:val="22"/>
          <w:lang w:val="fr-FR"/>
        </w:rPr>
      </w:pPr>
      <w:r w:rsidRPr="00B86A3E">
        <w:rPr>
          <w:szCs w:val="22"/>
          <w:lang w:val="fr-FR"/>
        </w:rPr>
        <w:t>Enfin</w:t>
      </w:r>
      <w:r w:rsidR="00057C4D" w:rsidRPr="00B86A3E">
        <w:rPr>
          <w:szCs w:val="22"/>
          <w:lang w:val="fr-FR"/>
        </w:rPr>
        <w:t xml:space="preserve">, </w:t>
      </w:r>
      <w:r w:rsidR="00F30C52" w:rsidRPr="00B86A3E">
        <w:rPr>
          <w:szCs w:val="22"/>
          <w:lang w:val="fr-FR"/>
        </w:rPr>
        <w:t>par suite de ces</w:t>
      </w:r>
      <w:r w:rsidR="00057C4D" w:rsidRPr="00B86A3E">
        <w:rPr>
          <w:szCs w:val="22"/>
          <w:lang w:val="fr-FR"/>
        </w:rPr>
        <w:t xml:space="preserve"> modifications, </w:t>
      </w:r>
      <w:r w:rsidR="00F30C52" w:rsidRPr="00B86A3E">
        <w:rPr>
          <w:szCs w:val="22"/>
          <w:lang w:val="fr-FR"/>
        </w:rPr>
        <w:t xml:space="preserve">le délai de refus de </w:t>
      </w:r>
      <w:r w:rsidR="00057C4D" w:rsidRPr="00B86A3E">
        <w:rPr>
          <w:szCs w:val="22"/>
          <w:lang w:val="fr-FR"/>
        </w:rPr>
        <w:t>12</w:t>
      </w:r>
      <w:r w:rsidR="00F30C52" w:rsidRPr="00B86A3E">
        <w:rPr>
          <w:szCs w:val="22"/>
          <w:lang w:val="fr-FR"/>
        </w:rPr>
        <w:t> mois déclaré par la République de Corée en vertu de la règle </w:t>
      </w:r>
      <w:proofErr w:type="gramStart"/>
      <w:r w:rsidR="00057C4D" w:rsidRPr="00B86A3E">
        <w:rPr>
          <w:szCs w:val="22"/>
          <w:lang w:val="fr-FR"/>
        </w:rPr>
        <w:t>18</w:t>
      </w:r>
      <w:r w:rsidR="00F30C52" w:rsidRPr="00B86A3E">
        <w:rPr>
          <w:szCs w:val="22"/>
          <w:lang w:val="fr-FR"/>
        </w:rPr>
        <w:t>.</w:t>
      </w:r>
      <w:r w:rsidR="00057C4D" w:rsidRPr="00B86A3E">
        <w:rPr>
          <w:szCs w:val="22"/>
          <w:lang w:val="fr-FR"/>
        </w:rPr>
        <w:t>1)b</w:t>
      </w:r>
      <w:proofErr w:type="gramEnd"/>
      <w:r w:rsidR="00057C4D" w:rsidRPr="00B86A3E">
        <w:rPr>
          <w:szCs w:val="22"/>
          <w:lang w:val="fr-FR"/>
        </w:rPr>
        <w:t xml:space="preserve">) </w:t>
      </w:r>
      <w:r w:rsidR="00F30C52" w:rsidRPr="00B86A3E">
        <w:rPr>
          <w:szCs w:val="22"/>
          <w:lang w:val="fr-FR"/>
        </w:rPr>
        <w:t xml:space="preserve">du règlement d’exécution commun ne s’applique pas à un enregistrement </w:t>
      </w:r>
      <w:r w:rsidR="00057C4D" w:rsidRPr="00B86A3E">
        <w:rPr>
          <w:szCs w:val="22"/>
          <w:lang w:val="fr-FR"/>
        </w:rPr>
        <w:t>in</w:t>
      </w:r>
      <w:r w:rsidR="00B76290" w:rsidRPr="00B86A3E">
        <w:rPr>
          <w:szCs w:val="22"/>
          <w:lang w:val="fr-FR"/>
        </w:rPr>
        <w:t>ternational</w:t>
      </w:r>
      <w:r w:rsidR="00F30C52" w:rsidRPr="00B86A3E">
        <w:rPr>
          <w:szCs w:val="22"/>
          <w:lang w:val="fr-FR"/>
        </w:rPr>
        <w:t xml:space="preserve"> concernant des produits appartenant aux classes </w:t>
      </w:r>
      <w:r w:rsidR="00360D50" w:rsidRPr="00B86A3E">
        <w:rPr>
          <w:szCs w:val="22"/>
          <w:lang w:val="fr-FR"/>
        </w:rPr>
        <w:t xml:space="preserve">1, </w:t>
      </w:r>
      <w:r w:rsidR="00B76290" w:rsidRPr="00B86A3E">
        <w:rPr>
          <w:szCs w:val="22"/>
          <w:lang w:val="fr-FR"/>
        </w:rPr>
        <w:t>3, 9</w:t>
      </w:r>
      <w:r w:rsidR="00595109" w:rsidRPr="00B86A3E">
        <w:rPr>
          <w:szCs w:val="22"/>
          <w:lang w:val="fr-FR"/>
        </w:rPr>
        <w:t xml:space="preserve"> o</w:t>
      </w:r>
      <w:r w:rsidR="00F30C52" w:rsidRPr="00B86A3E">
        <w:rPr>
          <w:szCs w:val="22"/>
          <w:lang w:val="fr-FR"/>
        </w:rPr>
        <w:t>u</w:t>
      </w:r>
      <w:r w:rsidR="00B76290" w:rsidRPr="00B86A3E">
        <w:rPr>
          <w:szCs w:val="22"/>
          <w:lang w:val="fr-FR"/>
        </w:rPr>
        <w:t xml:space="preserve"> 11 </w:t>
      </w:r>
      <w:r w:rsidR="00F30C52" w:rsidRPr="00B86A3E">
        <w:rPr>
          <w:szCs w:val="22"/>
          <w:lang w:val="fr-FR"/>
        </w:rPr>
        <w:t xml:space="preserve">de la classification de </w:t>
      </w:r>
      <w:r w:rsidR="00B76290" w:rsidRPr="00B86A3E">
        <w:rPr>
          <w:szCs w:val="22"/>
          <w:lang w:val="fr-FR"/>
        </w:rPr>
        <w:t xml:space="preserve">Locarno </w:t>
      </w:r>
      <w:r w:rsidR="00F30C52" w:rsidRPr="00B86A3E">
        <w:rPr>
          <w:szCs w:val="22"/>
          <w:lang w:val="fr-FR"/>
        </w:rPr>
        <w:t>et dont la date d’enregistrement international est le 1</w:t>
      </w:r>
      <w:r w:rsidR="00F30C52" w:rsidRPr="00B86A3E">
        <w:rPr>
          <w:szCs w:val="22"/>
          <w:vertAlign w:val="superscript"/>
          <w:lang w:val="fr-FR"/>
        </w:rPr>
        <w:t>er</w:t>
      </w:r>
      <w:r w:rsidR="00F30C52" w:rsidRPr="00B86A3E">
        <w:rPr>
          <w:szCs w:val="22"/>
          <w:lang w:val="fr-FR"/>
        </w:rPr>
        <w:t xml:space="preserve"> décembre 2020 ou une date postérieure.  Il convient de rappeler que ledit délai de refus </w:t>
      </w:r>
      <w:r w:rsidR="00E30273" w:rsidRPr="00B86A3E">
        <w:rPr>
          <w:szCs w:val="22"/>
          <w:lang w:val="fr-FR"/>
        </w:rPr>
        <w:t xml:space="preserve">de 12 mois ne s’appliquait déjà pas à un enregistrement </w:t>
      </w:r>
      <w:r w:rsidR="00360D50" w:rsidRPr="00B86A3E">
        <w:rPr>
          <w:szCs w:val="22"/>
          <w:lang w:val="fr-FR"/>
        </w:rPr>
        <w:t xml:space="preserve">international </w:t>
      </w:r>
      <w:r w:rsidR="00E30273" w:rsidRPr="00B86A3E">
        <w:rPr>
          <w:szCs w:val="22"/>
          <w:lang w:val="fr-FR"/>
        </w:rPr>
        <w:t xml:space="preserve">concernant des produits appartenant aux </w:t>
      </w:r>
      <w:r w:rsidR="00797E31" w:rsidRPr="00B86A3E">
        <w:rPr>
          <w:szCs w:val="22"/>
          <w:lang w:val="fr-FR"/>
        </w:rPr>
        <w:t>classes</w:t>
      </w:r>
      <w:r w:rsidR="00E30273" w:rsidRPr="00B86A3E">
        <w:rPr>
          <w:szCs w:val="22"/>
          <w:lang w:val="fr-FR"/>
        </w:rPr>
        <w:t> </w:t>
      </w:r>
      <w:r w:rsidR="00797E31" w:rsidRPr="00B86A3E">
        <w:rPr>
          <w:szCs w:val="22"/>
          <w:lang w:val="fr-FR"/>
        </w:rPr>
        <w:t>2, 5</w:t>
      </w:r>
      <w:r w:rsidR="00360D50" w:rsidRPr="00B86A3E">
        <w:rPr>
          <w:szCs w:val="22"/>
          <w:lang w:val="fr-FR"/>
        </w:rPr>
        <w:t xml:space="preserve"> o</w:t>
      </w:r>
      <w:r w:rsidR="00E30273" w:rsidRPr="00B86A3E">
        <w:rPr>
          <w:szCs w:val="22"/>
          <w:lang w:val="fr-FR"/>
        </w:rPr>
        <w:t>u</w:t>
      </w:r>
      <w:r w:rsidR="00360D50" w:rsidRPr="00B86A3E">
        <w:rPr>
          <w:szCs w:val="22"/>
          <w:lang w:val="fr-FR"/>
        </w:rPr>
        <w:t xml:space="preserve"> 19 </w:t>
      </w:r>
      <w:r w:rsidR="00E30273" w:rsidRPr="00B86A3E">
        <w:rPr>
          <w:szCs w:val="22"/>
          <w:lang w:val="fr-FR"/>
        </w:rPr>
        <w:t xml:space="preserve">de la classification de </w:t>
      </w:r>
      <w:r w:rsidR="00360D50" w:rsidRPr="00B86A3E">
        <w:rPr>
          <w:szCs w:val="22"/>
          <w:lang w:val="fr-FR"/>
        </w:rPr>
        <w:t>Locarno</w:t>
      </w:r>
      <w:r w:rsidR="007266BD" w:rsidRPr="00B86A3E">
        <w:rPr>
          <w:rStyle w:val="FootnoteReference"/>
          <w:szCs w:val="22"/>
          <w:lang w:val="fr-FR"/>
        </w:rPr>
        <w:footnoteReference w:id="3"/>
      </w:r>
      <w:r w:rsidR="00360D50" w:rsidRPr="00B86A3E">
        <w:rPr>
          <w:szCs w:val="22"/>
          <w:lang w:val="fr-FR"/>
        </w:rPr>
        <w:t>.</w:t>
      </w:r>
    </w:p>
    <w:p w14:paraId="236E04D5" w14:textId="4A5F5AA9" w:rsidR="004936FC" w:rsidRPr="002C326A" w:rsidRDefault="00E30273" w:rsidP="0082042A">
      <w:pPr>
        <w:pStyle w:val="Endofdocument-Annex"/>
        <w:spacing w:before="480"/>
        <w:rPr>
          <w:szCs w:val="22"/>
          <w:lang w:val="fr-FR"/>
        </w:rPr>
      </w:pPr>
      <w:r w:rsidRPr="00B86A3E">
        <w:rPr>
          <w:szCs w:val="22"/>
          <w:lang w:val="fr-FR"/>
        </w:rPr>
        <w:t xml:space="preserve">Le </w:t>
      </w:r>
      <w:r w:rsidR="00B86A3E" w:rsidRPr="00B86A3E">
        <w:rPr>
          <w:szCs w:val="22"/>
          <w:lang w:val="fr-FR"/>
        </w:rPr>
        <w:t>19</w:t>
      </w:r>
      <w:r w:rsidRPr="00B86A3E">
        <w:rPr>
          <w:szCs w:val="22"/>
          <w:lang w:val="fr-FR"/>
        </w:rPr>
        <w:t> </w:t>
      </w:r>
      <w:r w:rsidR="00C02F6E" w:rsidRPr="00B86A3E">
        <w:rPr>
          <w:szCs w:val="22"/>
          <w:lang w:val="fr-FR"/>
        </w:rPr>
        <w:t>octobre </w:t>
      </w:r>
      <w:r w:rsidR="007F45DD" w:rsidRPr="00B86A3E">
        <w:rPr>
          <w:szCs w:val="22"/>
          <w:lang w:val="fr-FR"/>
        </w:rPr>
        <w:t>20</w:t>
      </w:r>
      <w:r w:rsidR="00500883" w:rsidRPr="00B86A3E">
        <w:rPr>
          <w:szCs w:val="22"/>
          <w:lang w:val="fr-FR"/>
        </w:rPr>
        <w:t>20</w:t>
      </w:r>
    </w:p>
    <w:sectPr w:rsidR="004936FC" w:rsidRPr="002C326A" w:rsidSect="00D06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383F" w14:textId="77777777" w:rsidR="00B14D40" w:rsidRDefault="00B14D40">
      <w:r>
        <w:separator/>
      </w:r>
    </w:p>
  </w:endnote>
  <w:endnote w:type="continuationSeparator" w:id="0">
    <w:p w14:paraId="71E082D9" w14:textId="77777777" w:rsidR="00B14D40" w:rsidRDefault="00B14D40" w:rsidP="003B38C1">
      <w:r>
        <w:separator/>
      </w:r>
    </w:p>
    <w:p w14:paraId="4D08C5ED" w14:textId="77777777" w:rsidR="00B14D40" w:rsidRPr="003B38C1" w:rsidRDefault="00B14D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C41DC1" w14:textId="77777777" w:rsidR="00B14D40" w:rsidRPr="003B38C1" w:rsidRDefault="00B14D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C59A" w14:textId="77777777" w:rsidR="00E30273" w:rsidRDefault="00E30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D1B4" w14:textId="77777777" w:rsidR="00E30273" w:rsidRDefault="00E30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AB055" w14:textId="77777777" w:rsidR="00E30273" w:rsidRDefault="00E30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BDEB5" w14:textId="77777777" w:rsidR="00B14D40" w:rsidRDefault="00B14D40">
      <w:r>
        <w:separator/>
      </w:r>
    </w:p>
  </w:footnote>
  <w:footnote w:type="continuationSeparator" w:id="0">
    <w:p w14:paraId="3AC1E5C7" w14:textId="77777777" w:rsidR="00B14D40" w:rsidRDefault="00B14D40" w:rsidP="008B60B2">
      <w:r>
        <w:separator/>
      </w:r>
    </w:p>
    <w:p w14:paraId="3B98CE86" w14:textId="77777777" w:rsidR="00B14D40" w:rsidRPr="00ED77FB" w:rsidRDefault="00B14D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D79DE4" w14:textId="77777777" w:rsidR="00B14D40" w:rsidRPr="00ED77FB" w:rsidRDefault="00B14D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79FDD41" w14:textId="43FC1EB4" w:rsidR="007266BD" w:rsidRPr="00951C20" w:rsidRDefault="007266B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fr-CH"/>
        </w:rPr>
        <w:tab/>
        <w:t xml:space="preserve">Voir les avis </w:t>
      </w:r>
      <w:r w:rsidR="00D32CF7" w:rsidRPr="00D32CF7">
        <w:rPr>
          <w:lang w:val="fr-CH"/>
        </w:rPr>
        <w:t>n</w:t>
      </w:r>
      <w:r w:rsidR="00D32CF7" w:rsidRPr="00951C20">
        <w:rPr>
          <w:vertAlign w:val="superscript"/>
          <w:lang w:val="fr-CH"/>
        </w:rPr>
        <w:t>os</w:t>
      </w:r>
      <w:r w:rsidRPr="002C326A">
        <w:rPr>
          <w:szCs w:val="22"/>
          <w:lang w:val="fr-FR"/>
        </w:rPr>
        <w:t> 1</w:t>
      </w:r>
      <w:r>
        <w:rPr>
          <w:szCs w:val="22"/>
          <w:lang w:val="fr-FR"/>
        </w:rPr>
        <w:t>/2014</w:t>
      </w:r>
      <w:r w:rsidRPr="002C326A">
        <w:rPr>
          <w:szCs w:val="22"/>
          <w:lang w:val="fr-FR"/>
        </w:rPr>
        <w:t xml:space="preserve"> et 2/201</w:t>
      </w:r>
      <w:r>
        <w:rPr>
          <w:szCs w:val="22"/>
          <w:lang w:val="fr-FR"/>
        </w:rPr>
        <w:t>4.</w:t>
      </w:r>
    </w:p>
  </w:footnote>
  <w:footnote w:id="3">
    <w:p w14:paraId="2BDCD0DC" w14:textId="517CB0AF" w:rsidR="007266BD" w:rsidRPr="00951C20" w:rsidRDefault="007266BD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  <w:t>Voir l’avis n</w:t>
      </w:r>
      <w:r w:rsidRPr="002C326A">
        <w:rPr>
          <w:szCs w:val="22"/>
          <w:lang w:val="fr-FR"/>
        </w:rPr>
        <w:t>° 1</w:t>
      </w:r>
      <w:r>
        <w:rPr>
          <w:szCs w:val="22"/>
          <w:lang w:val="fr-FR"/>
        </w:rPr>
        <w:t>/2014.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ADD7" w14:textId="77777777" w:rsidR="00D06AD6" w:rsidRDefault="00D06AD6" w:rsidP="00D06AD6">
    <w:pPr>
      <w:jc w:val="right"/>
    </w:pPr>
  </w:p>
  <w:p w14:paraId="7567FE20" w14:textId="05BABE51" w:rsidR="00D06AD6" w:rsidRDefault="00D06AD6" w:rsidP="00D06AD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87BB9">
      <w:rPr>
        <w:noProof/>
      </w:rPr>
      <w:t>2</w:t>
    </w:r>
    <w:r>
      <w:fldChar w:fldCharType="end"/>
    </w:r>
  </w:p>
  <w:p w14:paraId="318CF67B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AE83" w14:textId="77777777" w:rsidR="002A513E" w:rsidRDefault="002A513E" w:rsidP="00477D6B">
    <w:pPr>
      <w:jc w:val="right"/>
    </w:pPr>
  </w:p>
  <w:p w14:paraId="6E71B77F" w14:textId="37F2DE31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25D4B">
      <w:rPr>
        <w:noProof/>
      </w:rPr>
      <w:t>3</w:t>
    </w:r>
    <w:r>
      <w:fldChar w:fldCharType="end"/>
    </w:r>
  </w:p>
  <w:p w14:paraId="1B997029" w14:textId="77777777" w:rsidR="002A513E" w:rsidRDefault="002A513E" w:rsidP="00477D6B">
    <w:pPr>
      <w:jc w:val="right"/>
    </w:pPr>
  </w:p>
  <w:p w14:paraId="68709375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25784" w14:textId="77777777" w:rsidR="00E30273" w:rsidRDefault="00E30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445D"/>
    <w:rsid w:val="00005CFF"/>
    <w:rsid w:val="000077C7"/>
    <w:rsid w:val="000118EA"/>
    <w:rsid w:val="000123A6"/>
    <w:rsid w:val="00012C9D"/>
    <w:rsid w:val="00012F8C"/>
    <w:rsid w:val="0002095F"/>
    <w:rsid w:val="00027A6E"/>
    <w:rsid w:val="00036CDA"/>
    <w:rsid w:val="00040129"/>
    <w:rsid w:val="000407F4"/>
    <w:rsid w:val="00043313"/>
    <w:rsid w:val="00043CAA"/>
    <w:rsid w:val="00050D24"/>
    <w:rsid w:val="00054522"/>
    <w:rsid w:val="00057C4D"/>
    <w:rsid w:val="000647AF"/>
    <w:rsid w:val="0006559F"/>
    <w:rsid w:val="000728FF"/>
    <w:rsid w:val="00075432"/>
    <w:rsid w:val="000968ED"/>
    <w:rsid w:val="000A4488"/>
    <w:rsid w:val="000A525D"/>
    <w:rsid w:val="000B0539"/>
    <w:rsid w:val="000B4320"/>
    <w:rsid w:val="000B6460"/>
    <w:rsid w:val="000D3921"/>
    <w:rsid w:val="000E4050"/>
    <w:rsid w:val="000E4FB3"/>
    <w:rsid w:val="000F5E56"/>
    <w:rsid w:val="0010122A"/>
    <w:rsid w:val="001076D4"/>
    <w:rsid w:val="0011103E"/>
    <w:rsid w:val="00122387"/>
    <w:rsid w:val="0012304E"/>
    <w:rsid w:val="00125DA8"/>
    <w:rsid w:val="001272E3"/>
    <w:rsid w:val="00131BD8"/>
    <w:rsid w:val="00133F53"/>
    <w:rsid w:val="001362EE"/>
    <w:rsid w:val="001371C1"/>
    <w:rsid w:val="0014531F"/>
    <w:rsid w:val="0015037D"/>
    <w:rsid w:val="001541A8"/>
    <w:rsid w:val="00162E57"/>
    <w:rsid w:val="00165217"/>
    <w:rsid w:val="00166299"/>
    <w:rsid w:val="00166D8E"/>
    <w:rsid w:val="001832A6"/>
    <w:rsid w:val="00184E22"/>
    <w:rsid w:val="00185E31"/>
    <w:rsid w:val="00186DE1"/>
    <w:rsid w:val="001A5468"/>
    <w:rsid w:val="001C2D7E"/>
    <w:rsid w:val="001C5026"/>
    <w:rsid w:val="001D4F09"/>
    <w:rsid w:val="001E3850"/>
    <w:rsid w:val="001F1B95"/>
    <w:rsid w:val="001F717F"/>
    <w:rsid w:val="0020341D"/>
    <w:rsid w:val="0020551F"/>
    <w:rsid w:val="00205868"/>
    <w:rsid w:val="0021439A"/>
    <w:rsid w:val="0022235E"/>
    <w:rsid w:val="0022493E"/>
    <w:rsid w:val="002356BD"/>
    <w:rsid w:val="00251890"/>
    <w:rsid w:val="0025278E"/>
    <w:rsid w:val="00255B32"/>
    <w:rsid w:val="002634C4"/>
    <w:rsid w:val="00270516"/>
    <w:rsid w:val="00274486"/>
    <w:rsid w:val="00282A09"/>
    <w:rsid w:val="00286515"/>
    <w:rsid w:val="00287BB9"/>
    <w:rsid w:val="002928D3"/>
    <w:rsid w:val="002A2E4F"/>
    <w:rsid w:val="002A513E"/>
    <w:rsid w:val="002B0492"/>
    <w:rsid w:val="002B3FB8"/>
    <w:rsid w:val="002B6C6E"/>
    <w:rsid w:val="002C1554"/>
    <w:rsid w:val="002C326A"/>
    <w:rsid w:val="002C38D8"/>
    <w:rsid w:val="002C432E"/>
    <w:rsid w:val="002E041C"/>
    <w:rsid w:val="002E18A9"/>
    <w:rsid w:val="002F1FE6"/>
    <w:rsid w:val="002F4E68"/>
    <w:rsid w:val="00304163"/>
    <w:rsid w:val="003114D8"/>
    <w:rsid w:val="00312F7F"/>
    <w:rsid w:val="0031575F"/>
    <w:rsid w:val="00317670"/>
    <w:rsid w:val="00321F2B"/>
    <w:rsid w:val="00330DCC"/>
    <w:rsid w:val="00335EC1"/>
    <w:rsid w:val="00336445"/>
    <w:rsid w:val="003365EB"/>
    <w:rsid w:val="00347330"/>
    <w:rsid w:val="0035419C"/>
    <w:rsid w:val="00357985"/>
    <w:rsid w:val="00360D50"/>
    <w:rsid w:val="00361450"/>
    <w:rsid w:val="00364700"/>
    <w:rsid w:val="003673CF"/>
    <w:rsid w:val="00375EB6"/>
    <w:rsid w:val="0038127D"/>
    <w:rsid w:val="00383EC2"/>
    <w:rsid w:val="003845C1"/>
    <w:rsid w:val="00395255"/>
    <w:rsid w:val="003A25D7"/>
    <w:rsid w:val="003A274E"/>
    <w:rsid w:val="003A28B9"/>
    <w:rsid w:val="003A6F89"/>
    <w:rsid w:val="003B38C1"/>
    <w:rsid w:val="003C2453"/>
    <w:rsid w:val="003C6433"/>
    <w:rsid w:val="003D2E5E"/>
    <w:rsid w:val="003E0D9F"/>
    <w:rsid w:val="003E2652"/>
    <w:rsid w:val="003E3D0F"/>
    <w:rsid w:val="003E785F"/>
    <w:rsid w:val="003F2D92"/>
    <w:rsid w:val="004052E1"/>
    <w:rsid w:val="00410415"/>
    <w:rsid w:val="00411FB2"/>
    <w:rsid w:val="004160A7"/>
    <w:rsid w:val="00423386"/>
    <w:rsid w:val="00423E3E"/>
    <w:rsid w:val="00427AF4"/>
    <w:rsid w:val="00447DFD"/>
    <w:rsid w:val="00451667"/>
    <w:rsid w:val="00456261"/>
    <w:rsid w:val="0045757F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7EE4"/>
    <w:rsid w:val="004D5C29"/>
    <w:rsid w:val="004E24E3"/>
    <w:rsid w:val="004F02CD"/>
    <w:rsid w:val="004F5A30"/>
    <w:rsid w:val="00500883"/>
    <w:rsid w:val="005019FF"/>
    <w:rsid w:val="00507723"/>
    <w:rsid w:val="00507AA0"/>
    <w:rsid w:val="00523A01"/>
    <w:rsid w:val="005243B1"/>
    <w:rsid w:val="00524B55"/>
    <w:rsid w:val="00525D4B"/>
    <w:rsid w:val="0053057A"/>
    <w:rsid w:val="00545639"/>
    <w:rsid w:val="00545766"/>
    <w:rsid w:val="00545E21"/>
    <w:rsid w:val="00546473"/>
    <w:rsid w:val="00546A94"/>
    <w:rsid w:val="00560649"/>
    <w:rsid w:val="00560A29"/>
    <w:rsid w:val="00571C45"/>
    <w:rsid w:val="00576AC6"/>
    <w:rsid w:val="005868B8"/>
    <w:rsid w:val="00586D30"/>
    <w:rsid w:val="00587548"/>
    <w:rsid w:val="00595109"/>
    <w:rsid w:val="005A78E1"/>
    <w:rsid w:val="005C52E8"/>
    <w:rsid w:val="005C6649"/>
    <w:rsid w:val="005D6952"/>
    <w:rsid w:val="005E0625"/>
    <w:rsid w:val="005F2F3B"/>
    <w:rsid w:val="005F4AAF"/>
    <w:rsid w:val="006008FC"/>
    <w:rsid w:val="006017A8"/>
    <w:rsid w:val="006035B9"/>
    <w:rsid w:val="00605827"/>
    <w:rsid w:val="006117F6"/>
    <w:rsid w:val="006223DB"/>
    <w:rsid w:val="0062790A"/>
    <w:rsid w:val="006317B8"/>
    <w:rsid w:val="00633631"/>
    <w:rsid w:val="00644AA2"/>
    <w:rsid w:val="00646050"/>
    <w:rsid w:val="00647B0C"/>
    <w:rsid w:val="00654AE9"/>
    <w:rsid w:val="006659A7"/>
    <w:rsid w:val="00666862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A0AC7"/>
    <w:rsid w:val="006B514F"/>
    <w:rsid w:val="006C664C"/>
    <w:rsid w:val="006D7BD8"/>
    <w:rsid w:val="006E31D0"/>
    <w:rsid w:val="006E3324"/>
    <w:rsid w:val="006F29F6"/>
    <w:rsid w:val="006F358E"/>
    <w:rsid w:val="006F64F4"/>
    <w:rsid w:val="006F7C9D"/>
    <w:rsid w:val="00706231"/>
    <w:rsid w:val="007266BD"/>
    <w:rsid w:val="00741390"/>
    <w:rsid w:val="007426FF"/>
    <w:rsid w:val="00750E27"/>
    <w:rsid w:val="00761B8F"/>
    <w:rsid w:val="0076210D"/>
    <w:rsid w:val="007633FD"/>
    <w:rsid w:val="00767C4D"/>
    <w:rsid w:val="007721BA"/>
    <w:rsid w:val="00773CE3"/>
    <w:rsid w:val="0077451E"/>
    <w:rsid w:val="00775EBD"/>
    <w:rsid w:val="00781B10"/>
    <w:rsid w:val="00790747"/>
    <w:rsid w:val="00790A7E"/>
    <w:rsid w:val="00790A94"/>
    <w:rsid w:val="00797E31"/>
    <w:rsid w:val="007B17B9"/>
    <w:rsid w:val="007B1B2E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97F"/>
    <w:rsid w:val="00812CFA"/>
    <w:rsid w:val="008140DF"/>
    <w:rsid w:val="00815E06"/>
    <w:rsid w:val="0082042A"/>
    <w:rsid w:val="00824E57"/>
    <w:rsid w:val="008412D1"/>
    <w:rsid w:val="00854071"/>
    <w:rsid w:val="00862599"/>
    <w:rsid w:val="00876A3C"/>
    <w:rsid w:val="0088405C"/>
    <w:rsid w:val="00885618"/>
    <w:rsid w:val="008948BE"/>
    <w:rsid w:val="00895C02"/>
    <w:rsid w:val="008977D0"/>
    <w:rsid w:val="008A6724"/>
    <w:rsid w:val="008A6ACB"/>
    <w:rsid w:val="008B21DC"/>
    <w:rsid w:val="008B2CC1"/>
    <w:rsid w:val="008B60B2"/>
    <w:rsid w:val="008C24C1"/>
    <w:rsid w:val="008C2D2F"/>
    <w:rsid w:val="008C2FE6"/>
    <w:rsid w:val="008C67A6"/>
    <w:rsid w:val="008E4337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50579"/>
    <w:rsid w:val="00951C20"/>
    <w:rsid w:val="009621CA"/>
    <w:rsid w:val="00964994"/>
    <w:rsid w:val="00966A22"/>
    <w:rsid w:val="0096722F"/>
    <w:rsid w:val="00980843"/>
    <w:rsid w:val="00982880"/>
    <w:rsid w:val="00991FC3"/>
    <w:rsid w:val="00997AAD"/>
    <w:rsid w:val="009A0FBE"/>
    <w:rsid w:val="009A43E6"/>
    <w:rsid w:val="009A591F"/>
    <w:rsid w:val="009B2582"/>
    <w:rsid w:val="009C0C04"/>
    <w:rsid w:val="009E1445"/>
    <w:rsid w:val="009E2791"/>
    <w:rsid w:val="009E3F6F"/>
    <w:rsid w:val="009E5F9F"/>
    <w:rsid w:val="009F2A14"/>
    <w:rsid w:val="009F499F"/>
    <w:rsid w:val="009F6841"/>
    <w:rsid w:val="00A113BC"/>
    <w:rsid w:val="00A13175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95D"/>
    <w:rsid w:val="00A42DAF"/>
    <w:rsid w:val="00A45BD8"/>
    <w:rsid w:val="00A468E2"/>
    <w:rsid w:val="00A546BA"/>
    <w:rsid w:val="00A54D57"/>
    <w:rsid w:val="00A6014F"/>
    <w:rsid w:val="00A869B7"/>
    <w:rsid w:val="00A91836"/>
    <w:rsid w:val="00A961AC"/>
    <w:rsid w:val="00AA1EEF"/>
    <w:rsid w:val="00AC205C"/>
    <w:rsid w:val="00AC793E"/>
    <w:rsid w:val="00AD38EE"/>
    <w:rsid w:val="00AD3BF2"/>
    <w:rsid w:val="00AF0A6B"/>
    <w:rsid w:val="00AF12AC"/>
    <w:rsid w:val="00AF5108"/>
    <w:rsid w:val="00B05A69"/>
    <w:rsid w:val="00B14D40"/>
    <w:rsid w:val="00B14FEF"/>
    <w:rsid w:val="00B21387"/>
    <w:rsid w:val="00B2247B"/>
    <w:rsid w:val="00B378AE"/>
    <w:rsid w:val="00B40F10"/>
    <w:rsid w:val="00B43FDF"/>
    <w:rsid w:val="00B468B8"/>
    <w:rsid w:val="00B46D7E"/>
    <w:rsid w:val="00B478C5"/>
    <w:rsid w:val="00B54D7D"/>
    <w:rsid w:val="00B5757B"/>
    <w:rsid w:val="00B76290"/>
    <w:rsid w:val="00B83157"/>
    <w:rsid w:val="00B86A3E"/>
    <w:rsid w:val="00B9188F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55D6"/>
    <w:rsid w:val="00BE5857"/>
    <w:rsid w:val="00BE5F8C"/>
    <w:rsid w:val="00BE735F"/>
    <w:rsid w:val="00BF01CE"/>
    <w:rsid w:val="00BF0F69"/>
    <w:rsid w:val="00C02F6E"/>
    <w:rsid w:val="00C10FFF"/>
    <w:rsid w:val="00C11BFE"/>
    <w:rsid w:val="00C17EA3"/>
    <w:rsid w:val="00C2015E"/>
    <w:rsid w:val="00C2638A"/>
    <w:rsid w:val="00C30A7D"/>
    <w:rsid w:val="00C3152F"/>
    <w:rsid w:val="00C322FB"/>
    <w:rsid w:val="00C45642"/>
    <w:rsid w:val="00C47421"/>
    <w:rsid w:val="00C556FE"/>
    <w:rsid w:val="00C578E5"/>
    <w:rsid w:val="00C71922"/>
    <w:rsid w:val="00C74FFE"/>
    <w:rsid w:val="00C80362"/>
    <w:rsid w:val="00C977DB"/>
    <w:rsid w:val="00CB132F"/>
    <w:rsid w:val="00CC5016"/>
    <w:rsid w:val="00CD22AD"/>
    <w:rsid w:val="00CD7002"/>
    <w:rsid w:val="00CE0A51"/>
    <w:rsid w:val="00CE0ED1"/>
    <w:rsid w:val="00CE0F4D"/>
    <w:rsid w:val="00CE3726"/>
    <w:rsid w:val="00CE5FD2"/>
    <w:rsid w:val="00CE6390"/>
    <w:rsid w:val="00CF4536"/>
    <w:rsid w:val="00D06AD6"/>
    <w:rsid w:val="00D06EBB"/>
    <w:rsid w:val="00D22BD4"/>
    <w:rsid w:val="00D24E5F"/>
    <w:rsid w:val="00D26E8B"/>
    <w:rsid w:val="00D30CC7"/>
    <w:rsid w:val="00D31C2F"/>
    <w:rsid w:val="00D32CF7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D28"/>
    <w:rsid w:val="00D70F71"/>
    <w:rsid w:val="00D71B4D"/>
    <w:rsid w:val="00D76F38"/>
    <w:rsid w:val="00D80603"/>
    <w:rsid w:val="00D80B0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02EEC"/>
    <w:rsid w:val="00E1115B"/>
    <w:rsid w:val="00E16750"/>
    <w:rsid w:val="00E24971"/>
    <w:rsid w:val="00E30273"/>
    <w:rsid w:val="00E30C1F"/>
    <w:rsid w:val="00E335FE"/>
    <w:rsid w:val="00E33E5C"/>
    <w:rsid w:val="00E348AA"/>
    <w:rsid w:val="00E35460"/>
    <w:rsid w:val="00E42B9A"/>
    <w:rsid w:val="00E532DC"/>
    <w:rsid w:val="00E5512A"/>
    <w:rsid w:val="00E66C2C"/>
    <w:rsid w:val="00E75A63"/>
    <w:rsid w:val="00E75BA2"/>
    <w:rsid w:val="00E868D1"/>
    <w:rsid w:val="00E940A4"/>
    <w:rsid w:val="00EA31EE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0BD0"/>
    <w:rsid w:val="00F0720F"/>
    <w:rsid w:val="00F13A8B"/>
    <w:rsid w:val="00F201C4"/>
    <w:rsid w:val="00F25E2C"/>
    <w:rsid w:val="00F30C52"/>
    <w:rsid w:val="00F37362"/>
    <w:rsid w:val="00F66152"/>
    <w:rsid w:val="00F7157D"/>
    <w:rsid w:val="00F753B7"/>
    <w:rsid w:val="00F7721F"/>
    <w:rsid w:val="00FA156A"/>
    <w:rsid w:val="00FB0A04"/>
    <w:rsid w:val="00FC3D36"/>
    <w:rsid w:val="00FC48AC"/>
    <w:rsid w:val="00FC4C8A"/>
    <w:rsid w:val="00FD5E70"/>
    <w:rsid w:val="00FD6532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236E5FDF"/>
  <w15:docId w15:val="{0C87F43C-6D49-4DA0-A119-F66359ED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basedOn w:val="DefaultParagraphFont"/>
    <w:semiHidden/>
    <w:unhideWhenUsed/>
    <w:rsid w:val="00586D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D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6D3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6D3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14D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semiHidden/>
    <w:unhideWhenUsed/>
    <w:rsid w:val="00726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9CA7-4B27-4C9E-8B0D-33F29920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3235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DiazN</dc:creator>
  <cp:keywords>FOR OFFICIAL USE ONLY</cp:keywords>
  <dc:description/>
  <cp:lastModifiedBy>ST LEGER Nathalie</cp:lastModifiedBy>
  <cp:revision>4</cp:revision>
  <cp:lastPrinted>2020-10-19T09:20:00Z</cp:lastPrinted>
  <dcterms:created xsi:type="dcterms:W3CDTF">2020-10-15T14:47:00Z</dcterms:created>
  <dcterms:modified xsi:type="dcterms:W3CDTF">2020-10-19T09:22:00Z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69edc794-9852-4d63-88eb-eedff78d14bc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