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1F2312" w14:paraId="33FB0FD9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34B389" w14:textId="77777777" w:rsidR="00EC4E49" w:rsidRPr="001F2312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D8593F" w14:textId="21C8447B" w:rsidR="00EC4E49" w:rsidRPr="001F2312" w:rsidRDefault="00B93243" w:rsidP="00916EE2">
            <w:pPr>
              <w:rPr>
                <w:lang w:val="es-ES_tradnl"/>
              </w:rPr>
            </w:pPr>
            <w:r w:rsidRPr="001F2312">
              <w:rPr>
                <w:noProof/>
                <w:lang w:eastAsia="en-US"/>
              </w:rPr>
              <w:drawing>
                <wp:inline distT="0" distB="0" distL="0" distR="0" wp14:anchorId="1AF7E646" wp14:editId="3349B8C3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E4B4DA" w14:textId="77777777" w:rsidR="00EC4E49" w:rsidRPr="001F2312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8B2CC1" w:rsidRPr="001F2312" w14:paraId="11154D2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19BCD07" w14:textId="77777777" w:rsidR="008B2CC1" w:rsidRPr="001F231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8B2CC1" w:rsidRPr="001F2312" w14:paraId="7272876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B1445CD" w14:textId="77777777" w:rsidR="004E53E2" w:rsidRPr="001F2312" w:rsidRDefault="00B93243" w:rsidP="007D75E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1F2312">
              <w:rPr>
                <w:rFonts w:ascii="Arial Black" w:hAnsi="Arial Black"/>
                <w:caps/>
                <w:sz w:val="15"/>
                <w:lang w:val="es-ES_tradnl"/>
              </w:rPr>
              <w:t>aviso N</w:t>
            </w:r>
            <w:r w:rsidR="00CC5016" w:rsidRPr="001F2312">
              <w:rPr>
                <w:rFonts w:ascii="Arial Black" w:hAnsi="Arial Black"/>
                <w:caps/>
                <w:sz w:val="15"/>
                <w:lang w:val="es-ES_tradnl"/>
              </w:rPr>
              <w:t>.</w:t>
            </w:r>
            <w:r w:rsidRPr="001F2312">
              <w:rPr>
                <w:rFonts w:ascii="Arial Black" w:hAnsi="Arial Black"/>
                <w:caps/>
                <w:sz w:val="15"/>
                <w:lang w:val="es-ES_tradnl"/>
              </w:rPr>
              <w:t>º</w:t>
            </w:r>
            <w:r w:rsidR="00CC5016" w:rsidRPr="001F2312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FD2790" w:rsidRPr="001F2312">
              <w:rPr>
                <w:rFonts w:ascii="Arial Black" w:hAnsi="Arial Black"/>
                <w:caps/>
                <w:sz w:val="15"/>
                <w:lang w:val="es-ES_tradnl"/>
              </w:rPr>
              <w:t>11</w:t>
            </w:r>
            <w:r w:rsidR="00CC5016" w:rsidRPr="001F2312">
              <w:rPr>
                <w:rFonts w:ascii="Arial Black" w:hAnsi="Arial Black"/>
                <w:caps/>
                <w:sz w:val="15"/>
                <w:lang w:val="es-ES_tradnl"/>
              </w:rPr>
              <w:t>/20</w:t>
            </w:r>
            <w:r w:rsidR="00502C99" w:rsidRPr="001F2312">
              <w:rPr>
                <w:rFonts w:ascii="Arial Black" w:hAnsi="Arial Black"/>
                <w:caps/>
                <w:sz w:val="15"/>
                <w:lang w:val="es-ES_tradnl"/>
              </w:rPr>
              <w:t>21</w:t>
            </w:r>
          </w:p>
          <w:p w14:paraId="6E4F4763" w14:textId="2EB7C551" w:rsidR="008B2CC1" w:rsidRPr="001F2312" w:rsidRDefault="001F2312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1F2312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53A53170" w14:textId="72F4C974" w:rsidR="004E53E2" w:rsidRPr="001F2312" w:rsidRDefault="004E53E2" w:rsidP="004E53E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1F2312">
        <w:rPr>
          <w:b/>
          <w:bCs/>
          <w:sz w:val="28"/>
          <w:szCs w:val="28"/>
          <w:lang w:val="es-ES_tradnl"/>
        </w:rPr>
        <w:t>Arreglo de La Haya relativo al Registro Internacional de Dibujos y Modelos Industriales</w:t>
      </w:r>
    </w:p>
    <w:p w14:paraId="0F1E79B2" w14:textId="7A65E70F" w:rsidR="004E53E2" w:rsidRPr="001F2312" w:rsidRDefault="004E53E2" w:rsidP="004E53E2">
      <w:pPr>
        <w:spacing w:before="720" w:after="240"/>
        <w:outlineLvl w:val="0"/>
        <w:rPr>
          <w:b/>
          <w:bCs/>
          <w:iCs/>
          <w:sz w:val="24"/>
          <w:szCs w:val="24"/>
          <w:lang w:val="es-ES_tradnl"/>
        </w:rPr>
      </w:pPr>
      <w:r w:rsidRPr="001F2312">
        <w:rPr>
          <w:b/>
          <w:bCs/>
          <w:iCs/>
          <w:sz w:val="24"/>
          <w:szCs w:val="24"/>
          <w:lang w:val="es-ES_tradnl"/>
        </w:rPr>
        <w:t>Adhesión al Acta de 1999:</w:t>
      </w:r>
      <w:r w:rsidR="001F2312" w:rsidRPr="001F2312">
        <w:rPr>
          <w:b/>
          <w:bCs/>
          <w:iCs/>
          <w:sz w:val="24"/>
          <w:szCs w:val="24"/>
          <w:lang w:val="es-ES_tradnl"/>
        </w:rPr>
        <w:t xml:space="preserve"> </w:t>
      </w:r>
      <w:r w:rsidRPr="001F2312">
        <w:rPr>
          <w:b/>
          <w:bCs/>
          <w:iCs/>
          <w:sz w:val="24"/>
          <w:szCs w:val="24"/>
          <w:lang w:val="es-ES_tradnl"/>
        </w:rPr>
        <w:t>Jamaica</w:t>
      </w:r>
    </w:p>
    <w:p w14:paraId="7837FCD9" w14:textId="5B462761" w:rsidR="004E53E2" w:rsidRPr="001F2312" w:rsidRDefault="004E53E2" w:rsidP="001F2312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es-ES_tradnl"/>
        </w:rPr>
      </w:pPr>
      <w:r w:rsidRPr="001F2312">
        <w:rPr>
          <w:lang w:val="es-ES_tradnl"/>
        </w:rPr>
        <w:t>El 10 de noviembre de 2021, el Gobierno de Jamaica depositó en poder del</w:t>
      </w:r>
      <w:r w:rsidR="00EF03CE">
        <w:rPr>
          <w:lang w:val="es-ES_tradnl"/>
        </w:rPr>
        <w:t> </w:t>
      </w:r>
      <w:r w:rsidR="006D78DA">
        <w:rPr>
          <w:lang w:val="es-ES_tradnl"/>
        </w:rPr>
        <w:t>D</w:t>
      </w:r>
      <w:r w:rsidRPr="001F2312">
        <w:rPr>
          <w:lang w:val="es-ES_tradnl"/>
        </w:rPr>
        <w:t>irector</w:t>
      </w:r>
      <w:r w:rsidR="00EF03CE">
        <w:rPr>
          <w:lang w:val="es-ES_tradnl"/>
        </w:rPr>
        <w:t> </w:t>
      </w:r>
      <w:r w:rsidR="006D78DA">
        <w:rPr>
          <w:lang w:val="es-ES_tradnl"/>
        </w:rPr>
        <w:t>G</w:t>
      </w:r>
      <w:r w:rsidRPr="001F2312">
        <w:rPr>
          <w:lang w:val="es-ES_tradnl"/>
        </w:rPr>
        <w:t>eneral de la Organización Mundial de la Propiedad Intelectual (OMPI) su instrumento de adhesión al Acta de Ginebra del Arreglo de La Haya relativo al Registro Internacional de</w:t>
      </w:r>
      <w:r w:rsidR="006D78DA">
        <w:rPr>
          <w:lang w:val="es-ES_tradnl"/>
        </w:rPr>
        <w:t> </w:t>
      </w:r>
      <w:r w:rsidRPr="001F2312">
        <w:rPr>
          <w:lang w:val="es-ES_tradnl"/>
        </w:rPr>
        <w:t>Dibujos y Mode</w:t>
      </w:r>
      <w:r w:rsidR="00A954E1" w:rsidRPr="001F2312">
        <w:rPr>
          <w:lang w:val="es-ES_tradnl"/>
        </w:rPr>
        <w:t>los Industriales (“Acta de 1999”</w:t>
      </w:r>
      <w:r w:rsidRPr="001F2312">
        <w:rPr>
          <w:lang w:val="es-ES_tradnl"/>
        </w:rPr>
        <w:t>).</w:t>
      </w:r>
    </w:p>
    <w:p w14:paraId="774B2F8D" w14:textId="2DB123B8" w:rsidR="004E53E2" w:rsidRPr="001F2312" w:rsidRDefault="004E53E2" w:rsidP="001F2312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es-ES_tradnl"/>
        </w:rPr>
      </w:pPr>
      <w:r w:rsidRPr="001F2312">
        <w:rPr>
          <w:lang w:val="es-ES_tradnl"/>
        </w:rPr>
        <w:t>El instrumento de adhesión estuvo acompañado de las siguientes declaraciones:</w:t>
      </w:r>
    </w:p>
    <w:p w14:paraId="5E67E1F9" w14:textId="4D844309" w:rsidR="00CB299A" w:rsidRPr="001F2312" w:rsidRDefault="002E2BED" w:rsidP="00EF03CE">
      <w:pPr>
        <w:pStyle w:val="ListParagraph"/>
        <w:spacing w:after="120"/>
        <w:ind w:left="590"/>
        <w:contextualSpacing w:val="0"/>
        <w:rPr>
          <w:lang w:val="es-ES_tradnl"/>
        </w:rPr>
      </w:pPr>
      <w:r w:rsidRPr="001F2312">
        <w:rPr>
          <w:lang w:val="es-ES_tradnl"/>
        </w:rPr>
        <w:t>–</w:t>
      </w:r>
      <w:r w:rsidRPr="001F2312">
        <w:rPr>
          <w:lang w:val="es-ES_tradnl"/>
        </w:rPr>
        <w:tab/>
        <w:t xml:space="preserve">la </w:t>
      </w:r>
      <w:r w:rsidR="004E53E2" w:rsidRPr="001F2312">
        <w:rPr>
          <w:lang w:val="es-ES_tradnl"/>
        </w:rPr>
        <w:t>declaración mencionada en el Artículo </w:t>
      </w:r>
      <w:proofErr w:type="gramStart"/>
      <w:r w:rsidR="004E53E2" w:rsidRPr="001F2312">
        <w:rPr>
          <w:lang w:val="es-ES_tradnl"/>
        </w:rPr>
        <w:t>11.1)a</w:t>
      </w:r>
      <w:proofErr w:type="gramEnd"/>
      <w:r w:rsidR="004E53E2" w:rsidRPr="001F2312">
        <w:rPr>
          <w:lang w:val="es-ES_tradnl"/>
        </w:rPr>
        <w:t>) del Acta de 1999, por la que se notifica que, en virtud de la legislación de Jamaica, el período máximo de aplazamiento de la publicación de un dibujo o modelo industrial es de 12 meses;</w:t>
      </w:r>
    </w:p>
    <w:p w14:paraId="5D759CBB" w14:textId="15F2CB9B" w:rsidR="004E53E2" w:rsidRPr="001F2312" w:rsidRDefault="00CB299A" w:rsidP="00EF03CE">
      <w:pPr>
        <w:pStyle w:val="ListParagraph"/>
        <w:spacing w:after="120"/>
        <w:ind w:left="590"/>
        <w:contextualSpacing w:val="0"/>
        <w:rPr>
          <w:lang w:val="es-ES_tradnl"/>
        </w:rPr>
      </w:pPr>
      <w:r w:rsidRPr="001F2312">
        <w:rPr>
          <w:lang w:val="es-ES_tradnl"/>
        </w:rPr>
        <w:t>–</w:t>
      </w:r>
      <w:r w:rsidRPr="001F2312">
        <w:rPr>
          <w:lang w:val="es-ES_tradnl"/>
        </w:rPr>
        <w:tab/>
      </w:r>
      <w:r w:rsidR="004E53E2" w:rsidRPr="001F2312">
        <w:rPr>
          <w:lang w:val="es-ES_tradnl"/>
        </w:rPr>
        <w:t>la declaración mencio</w:t>
      </w:r>
      <w:r w:rsidR="003624A3" w:rsidRPr="001F2312">
        <w:rPr>
          <w:lang w:val="es-ES_tradnl"/>
        </w:rPr>
        <w:t>n</w:t>
      </w:r>
      <w:r w:rsidR="004E53E2" w:rsidRPr="001F2312">
        <w:rPr>
          <w:lang w:val="es-ES_tradnl"/>
        </w:rPr>
        <w:t xml:space="preserve">ada en el Artículo 16.2) del Acta de 1999, </w:t>
      </w:r>
      <w:r w:rsidR="00820745" w:rsidRPr="001F2312">
        <w:rPr>
          <w:lang w:val="es-ES_tradnl"/>
        </w:rPr>
        <w:t xml:space="preserve">por la que se notifica que </w:t>
      </w:r>
      <w:r w:rsidR="004E53E2" w:rsidRPr="001F2312">
        <w:rPr>
          <w:lang w:val="es-ES_tradnl"/>
        </w:rPr>
        <w:t xml:space="preserve">la inscripción </w:t>
      </w:r>
      <w:r w:rsidR="00AC015D" w:rsidRPr="001F2312">
        <w:rPr>
          <w:lang w:val="es-ES_tradnl"/>
        </w:rPr>
        <w:t xml:space="preserve">en el Registro Internacional </w:t>
      </w:r>
      <w:r w:rsidR="004E53E2" w:rsidRPr="001F2312">
        <w:rPr>
          <w:lang w:val="es-ES_tradnl"/>
        </w:rPr>
        <w:t>de un cambio en la titularidad de</w:t>
      </w:r>
      <w:r w:rsidR="00EF03CE">
        <w:rPr>
          <w:lang w:val="es-ES_tradnl"/>
        </w:rPr>
        <w:t> </w:t>
      </w:r>
      <w:r w:rsidR="004E53E2" w:rsidRPr="001F2312">
        <w:rPr>
          <w:lang w:val="es-ES_tradnl"/>
        </w:rPr>
        <w:t>un registro internacional no tendrá efecto en Jamaica hasta que la Oficina de Propiedad Intelectual de Jamaica (JIPO) haya recibido los documentos que acrediten el fundamento jurídico de dicho cambio;</w:t>
      </w:r>
    </w:p>
    <w:p w14:paraId="27FF2A4C" w14:textId="044ACB95" w:rsidR="004E53E2" w:rsidRPr="001F2312" w:rsidRDefault="004E53E2" w:rsidP="00DD48D7">
      <w:pPr>
        <w:pStyle w:val="ListParagraph"/>
        <w:spacing w:after="120"/>
        <w:ind w:left="590"/>
        <w:contextualSpacing w:val="0"/>
        <w:rPr>
          <w:lang w:val="es-ES_tradnl"/>
        </w:rPr>
      </w:pPr>
      <w:r w:rsidRPr="001F2312">
        <w:rPr>
          <w:lang w:val="es-ES_tradnl"/>
        </w:rPr>
        <w:t>–</w:t>
      </w:r>
      <w:r w:rsidR="00CB299A" w:rsidRPr="001F2312">
        <w:rPr>
          <w:lang w:val="es-ES_tradnl"/>
        </w:rPr>
        <w:tab/>
      </w:r>
      <w:r w:rsidRPr="001F2312">
        <w:rPr>
          <w:lang w:val="es-ES_tradnl"/>
        </w:rPr>
        <w:t>la declaración exigida en virtud del Artículo </w:t>
      </w:r>
      <w:proofErr w:type="gramStart"/>
      <w:r w:rsidRPr="001F2312">
        <w:rPr>
          <w:lang w:val="es-ES_tradnl"/>
        </w:rPr>
        <w:t>17.3)c</w:t>
      </w:r>
      <w:proofErr w:type="gramEnd"/>
      <w:r w:rsidRPr="001F2312">
        <w:rPr>
          <w:lang w:val="es-ES_tradnl"/>
        </w:rPr>
        <w:t xml:space="preserve">) del Acta de 1999, </w:t>
      </w:r>
      <w:r w:rsidR="00820745" w:rsidRPr="001F2312">
        <w:rPr>
          <w:lang w:val="es-ES_tradnl"/>
        </w:rPr>
        <w:t xml:space="preserve">por la </w:t>
      </w:r>
      <w:r w:rsidRPr="001F2312">
        <w:rPr>
          <w:lang w:val="es-ES_tradnl"/>
        </w:rPr>
        <w:t xml:space="preserve">que se </w:t>
      </w:r>
      <w:r w:rsidR="00820745" w:rsidRPr="001F2312">
        <w:rPr>
          <w:lang w:val="es-ES_tradnl"/>
        </w:rPr>
        <w:t xml:space="preserve">notifica </w:t>
      </w:r>
      <w:r w:rsidRPr="001F2312">
        <w:rPr>
          <w:lang w:val="es-ES_tradnl"/>
        </w:rPr>
        <w:t>que la duración máxima de la protección prevista por la legislación de</w:t>
      </w:r>
      <w:r w:rsidR="00DD48D7">
        <w:rPr>
          <w:lang w:val="es-ES_tradnl"/>
        </w:rPr>
        <w:t> </w:t>
      </w:r>
      <w:r w:rsidRPr="001F2312">
        <w:rPr>
          <w:lang w:val="es-ES_tradnl"/>
        </w:rPr>
        <w:t>Jamaica respecto de los dibujos y modelos industriales es de 15 años;</w:t>
      </w:r>
      <w:r w:rsidR="008A6279" w:rsidRPr="001F2312">
        <w:rPr>
          <w:lang w:val="es-ES_tradnl"/>
        </w:rPr>
        <w:t xml:space="preserve"> </w:t>
      </w:r>
    </w:p>
    <w:p w14:paraId="45689A39" w14:textId="3D96EB84" w:rsidR="002E2BED" w:rsidRPr="001F2312" w:rsidRDefault="00CB299A" w:rsidP="00EF03CE">
      <w:pPr>
        <w:pStyle w:val="ListParagraph"/>
        <w:spacing w:after="120"/>
        <w:ind w:left="590"/>
        <w:contextualSpacing w:val="0"/>
        <w:rPr>
          <w:lang w:val="es-ES_tradnl"/>
        </w:rPr>
      </w:pPr>
      <w:r w:rsidRPr="001F2312">
        <w:rPr>
          <w:lang w:val="es-ES_tradnl"/>
        </w:rPr>
        <w:t>–</w:t>
      </w:r>
      <w:r w:rsidRPr="001F2312">
        <w:rPr>
          <w:lang w:val="es-ES_tradnl"/>
        </w:rPr>
        <w:tab/>
      </w:r>
      <w:r w:rsidR="004E53E2" w:rsidRPr="001F2312">
        <w:rPr>
          <w:lang w:val="es-ES_tradnl"/>
        </w:rPr>
        <w:t xml:space="preserve">la declaración mencionada en la Regla </w:t>
      </w:r>
      <w:proofErr w:type="gramStart"/>
      <w:r w:rsidR="004E53E2" w:rsidRPr="001F2312">
        <w:rPr>
          <w:lang w:val="es-ES_tradnl"/>
        </w:rPr>
        <w:t>12.1)c</w:t>
      </w:r>
      <w:proofErr w:type="gramEnd"/>
      <w:r w:rsidR="004E53E2" w:rsidRPr="001F2312">
        <w:rPr>
          <w:lang w:val="es-ES_tradnl"/>
        </w:rPr>
        <w:t>)i) del Reglamento Com</w:t>
      </w:r>
      <w:r w:rsidR="001F2312" w:rsidRPr="001F2312">
        <w:rPr>
          <w:lang w:val="es-ES_tradnl"/>
        </w:rPr>
        <w:t>ún del Acta de </w:t>
      </w:r>
      <w:r w:rsidR="004E53E2" w:rsidRPr="001F2312">
        <w:rPr>
          <w:lang w:val="es-ES_tradnl"/>
        </w:rPr>
        <w:t>1999 y el Acta de 1960 del Arreglo de La Haya (</w:t>
      </w:r>
      <w:r w:rsidR="00C21C2E" w:rsidRPr="001F2312">
        <w:rPr>
          <w:lang w:val="es-ES_tradnl"/>
        </w:rPr>
        <w:t>“Reglamento Común”</w:t>
      </w:r>
      <w:r w:rsidR="004E53E2" w:rsidRPr="001F2312">
        <w:rPr>
          <w:lang w:val="es-ES_tradnl"/>
        </w:rPr>
        <w:t xml:space="preserve">), </w:t>
      </w:r>
      <w:r w:rsidR="00820745" w:rsidRPr="001F2312">
        <w:rPr>
          <w:lang w:val="es-ES_tradnl"/>
        </w:rPr>
        <w:t>por la que se notifica</w:t>
      </w:r>
      <w:r w:rsidR="004E53E2" w:rsidRPr="001F2312">
        <w:rPr>
          <w:lang w:val="es-ES_tradnl"/>
        </w:rPr>
        <w:t xml:space="preserve"> que se aplica el nivel tres de la tasa de designación estándar;</w:t>
      </w:r>
    </w:p>
    <w:p w14:paraId="23BC84EB" w14:textId="19CF32F9" w:rsidR="004E53E2" w:rsidRPr="001F2312" w:rsidRDefault="004E53E2" w:rsidP="00DD48D7">
      <w:pPr>
        <w:pStyle w:val="ListParagraph"/>
        <w:spacing w:after="120"/>
        <w:ind w:left="590"/>
        <w:contextualSpacing w:val="0"/>
        <w:rPr>
          <w:lang w:val="es-ES_tradnl"/>
        </w:rPr>
      </w:pPr>
      <w:r w:rsidRPr="001F2312">
        <w:rPr>
          <w:lang w:val="es-ES_tradnl"/>
        </w:rPr>
        <w:t>–</w:t>
      </w:r>
      <w:r w:rsidRPr="001F2312">
        <w:rPr>
          <w:lang w:val="es-ES_tradnl"/>
        </w:rPr>
        <w:tab/>
        <w:t xml:space="preserve">la declaración mencionada en la Regla </w:t>
      </w:r>
      <w:proofErr w:type="gramStart"/>
      <w:r w:rsidRPr="001F2312">
        <w:rPr>
          <w:lang w:val="es-ES_tradnl"/>
        </w:rPr>
        <w:t>18.1)b</w:t>
      </w:r>
      <w:proofErr w:type="gramEnd"/>
      <w:r w:rsidRPr="001F2312">
        <w:rPr>
          <w:lang w:val="es-ES_tradnl"/>
        </w:rPr>
        <w:t xml:space="preserve">) del Reglamento Común, </w:t>
      </w:r>
      <w:r w:rsidR="00820745" w:rsidRPr="001F2312">
        <w:rPr>
          <w:lang w:val="es-ES_tradnl"/>
        </w:rPr>
        <w:t xml:space="preserve">por la </w:t>
      </w:r>
      <w:r w:rsidRPr="001F2312">
        <w:rPr>
          <w:lang w:val="es-ES_tradnl"/>
        </w:rPr>
        <w:t xml:space="preserve">que se </w:t>
      </w:r>
      <w:r w:rsidR="00820745" w:rsidRPr="001F2312">
        <w:rPr>
          <w:lang w:val="es-ES_tradnl"/>
        </w:rPr>
        <w:t xml:space="preserve">notifica </w:t>
      </w:r>
      <w:r w:rsidRPr="001F2312">
        <w:rPr>
          <w:lang w:val="es-ES_tradnl"/>
        </w:rPr>
        <w:t>que el plazo prescrito de seis meses para la notificación de una denegación de los efectos de un registro internacional es reemplaza</w:t>
      </w:r>
      <w:r w:rsidR="00CB299A" w:rsidRPr="001F2312">
        <w:rPr>
          <w:lang w:val="es-ES_tradnl"/>
        </w:rPr>
        <w:t>do por un plazo de</w:t>
      </w:r>
      <w:r w:rsidR="00DD48D7">
        <w:rPr>
          <w:lang w:val="es-ES_tradnl"/>
        </w:rPr>
        <w:t> </w:t>
      </w:r>
      <w:r w:rsidR="00CB299A" w:rsidRPr="001F2312">
        <w:rPr>
          <w:lang w:val="es-ES_tradnl"/>
        </w:rPr>
        <w:t xml:space="preserve">12 </w:t>
      </w:r>
      <w:r w:rsidR="00105003" w:rsidRPr="001F2312">
        <w:rPr>
          <w:lang w:val="es-ES_tradnl"/>
        </w:rPr>
        <w:t>meses; y</w:t>
      </w:r>
    </w:p>
    <w:p w14:paraId="3D913AEA" w14:textId="5F46C3BE" w:rsidR="003624A3" w:rsidRPr="001F2312" w:rsidRDefault="00CB299A" w:rsidP="00DD48D7">
      <w:pPr>
        <w:pStyle w:val="ListParagraph"/>
        <w:spacing w:after="240"/>
        <w:ind w:left="630"/>
        <w:contextualSpacing w:val="0"/>
        <w:rPr>
          <w:lang w:val="es-ES_tradnl"/>
        </w:rPr>
      </w:pPr>
      <w:r w:rsidRPr="001F2312">
        <w:rPr>
          <w:lang w:val="es-ES_tradnl"/>
        </w:rPr>
        <w:t>–</w:t>
      </w:r>
      <w:r w:rsidRPr="001F2312">
        <w:rPr>
          <w:lang w:val="es-ES_tradnl"/>
        </w:rPr>
        <w:tab/>
      </w:r>
      <w:r w:rsidR="004E53E2" w:rsidRPr="001F2312">
        <w:rPr>
          <w:lang w:val="es-ES_tradnl"/>
        </w:rPr>
        <w:t xml:space="preserve">la declaración mencionada en la Regla </w:t>
      </w:r>
      <w:proofErr w:type="gramStart"/>
      <w:r w:rsidR="004E53E2" w:rsidRPr="001F2312">
        <w:rPr>
          <w:lang w:val="es-ES_tradnl"/>
        </w:rPr>
        <w:t>18.1)c</w:t>
      </w:r>
      <w:proofErr w:type="gramEnd"/>
      <w:r w:rsidR="004E53E2" w:rsidRPr="001F2312">
        <w:rPr>
          <w:lang w:val="es-ES_tradnl"/>
        </w:rPr>
        <w:t>)i</w:t>
      </w:r>
      <w:r w:rsidR="00ED3670">
        <w:rPr>
          <w:lang w:val="es-ES_tradnl"/>
        </w:rPr>
        <w:t>i</w:t>
      </w:r>
      <w:r w:rsidR="004E53E2" w:rsidRPr="001F2312">
        <w:rPr>
          <w:lang w:val="es-ES_tradnl"/>
        </w:rPr>
        <w:t xml:space="preserve">) del Reglamento Común, </w:t>
      </w:r>
      <w:r w:rsidR="00820745" w:rsidRPr="001F2312">
        <w:rPr>
          <w:lang w:val="es-ES_tradnl"/>
        </w:rPr>
        <w:t xml:space="preserve">por la que se notifica que </w:t>
      </w:r>
      <w:r w:rsidR="004E53E2" w:rsidRPr="001F2312">
        <w:rPr>
          <w:lang w:val="es-ES_tradnl"/>
        </w:rPr>
        <w:t>el registro internacional surtirá el e</w:t>
      </w:r>
      <w:r w:rsidR="001F2312" w:rsidRPr="001F2312">
        <w:rPr>
          <w:lang w:val="es-ES_tradnl"/>
        </w:rPr>
        <w:t>fecto mencionado en el</w:t>
      </w:r>
      <w:r w:rsidR="00DD48D7">
        <w:rPr>
          <w:lang w:val="es-ES_tradnl"/>
        </w:rPr>
        <w:t> </w:t>
      </w:r>
      <w:r w:rsidR="001F2312" w:rsidRPr="001F2312">
        <w:rPr>
          <w:lang w:val="es-ES_tradnl"/>
        </w:rPr>
        <w:t>Artículo </w:t>
      </w:r>
      <w:r w:rsidR="004E53E2" w:rsidRPr="001F2312">
        <w:rPr>
          <w:lang w:val="es-ES_tradnl"/>
        </w:rPr>
        <w:t>14.2)a) del Acta de 1999 en Jamaica en la fecha en que se conceda la protección con arreglo a la legislación de Jamaica, cuando, por razones involuntarias, no se comunicó una decisión relativa a la concesión de la protección dentro del plazo aplicable para la notificación de una denegación.</w:t>
      </w:r>
    </w:p>
    <w:p w14:paraId="4C4A0138" w14:textId="2AB0CC31" w:rsidR="004E53E2" w:rsidRPr="001F2312" w:rsidRDefault="004E53E2" w:rsidP="001F2312">
      <w:pPr>
        <w:pStyle w:val="ListParagraph"/>
        <w:keepNext/>
        <w:keepLines/>
        <w:numPr>
          <w:ilvl w:val="0"/>
          <w:numId w:val="7"/>
        </w:numPr>
        <w:spacing w:after="240"/>
        <w:ind w:left="0" w:firstLine="0"/>
        <w:contextualSpacing w:val="0"/>
        <w:rPr>
          <w:lang w:val="es-ES_tradnl"/>
        </w:rPr>
      </w:pPr>
      <w:r w:rsidRPr="001F2312">
        <w:rPr>
          <w:lang w:val="es-ES_tradnl"/>
        </w:rPr>
        <w:lastRenderedPageBreak/>
        <w:t>De conformidad con el Artículo </w:t>
      </w:r>
      <w:proofErr w:type="gramStart"/>
      <w:r w:rsidRPr="001F2312">
        <w:rPr>
          <w:lang w:val="es-ES_tradnl"/>
        </w:rPr>
        <w:t>28.3)b</w:t>
      </w:r>
      <w:proofErr w:type="gramEnd"/>
      <w:r w:rsidRPr="001F2312">
        <w:rPr>
          <w:lang w:val="es-ES_tradnl"/>
        </w:rPr>
        <w:t>) del Acta de 1999, el Acta de 1999 y las declaraciones formuladas entrarán en vigor respecto de J</w:t>
      </w:r>
      <w:r w:rsidR="00A0621E">
        <w:rPr>
          <w:lang w:val="es-ES_tradnl"/>
        </w:rPr>
        <w:t>amaica el 10 de febrero de 2022</w:t>
      </w:r>
      <w:r w:rsidRPr="001F2312">
        <w:rPr>
          <w:lang w:val="es-ES_tradnl"/>
        </w:rPr>
        <w:t>.</w:t>
      </w:r>
    </w:p>
    <w:p w14:paraId="403F6BB1" w14:textId="61C22FF5" w:rsidR="000F1A41" w:rsidRPr="000F1A41" w:rsidRDefault="004E53E2" w:rsidP="000F1A41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  <w:lang w:val="fr-CH"/>
        </w:rPr>
      </w:pPr>
      <w:r w:rsidRPr="001F2312">
        <w:rPr>
          <w:szCs w:val="22"/>
          <w:lang w:val="es-ES_tradnl"/>
        </w:rPr>
        <w:t>La adhesión de Jamaica al Acta de 1999 eleva a 67 el número de Partes Contratantes de esta Acta, y a 76 el número total de Partes Contratantes del Arreglo de La Haya. Se puede consultar la</w:t>
      </w:r>
      <w:r w:rsidRPr="001F2312">
        <w:rPr>
          <w:color w:val="FF00FF"/>
          <w:szCs w:val="22"/>
          <w:lang w:val="es-ES_tradnl"/>
        </w:rPr>
        <w:t xml:space="preserve"> </w:t>
      </w:r>
      <w:r w:rsidRPr="000F1A41">
        <w:rPr>
          <w:rFonts w:eastAsia="SimSun"/>
          <w:lang w:val="es-ES_tradnl" w:eastAsia="zh-CN"/>
        </w:rPr>
        <w:t>lista de Partes Contratantes del Arreglo de La Haya</w:t>
      </w:r>
      <w:r w:rsidRPr="001F2312">
        <w:rPr>
          <w:color w:val="FF00FF"/>
          <w:szCs w:val="22"/>
          <w:lang w:val="es-ES_tradnl"/>
        </w:rPr>
        <w:t xml:space="preserve"> </w:t>
      </w:r>
      <w:r w:rsidRPr="001F2312">
        <w:rPr>
          <w:szCs w:val="22"/>
          <w:lang w:val="es-ES_tradnl"/>
        </w:rPr>
        <w:t xml:space="preserve">en la siguiente página del sitio web de la OMPI: </w:t>
      </w:r>
      <w:hyperlink r:id="rId9" w:history="1">
        <w:r w:rsidR="000F1A41" w:rsidRPr="000F1A41">
          <w:rPr>
            <w:rStyle w:val="Hyperlink"/>
            <w:color w:val="auto"/>
            <w:szCs w:val="22"/>
            <w:u w:val="none"/>
            <w:lang w:val="fr-CH"/>
          </w:rPr>
          <w:t>https://www.wipo.int/treaties/en/documents/pdf/hague.pdf</w:t>
        </w:r>
      </w:hyperlink>
      <w:r w:rsidR="000F1A41" w:rsidRPr="000F1A41">
        <w:rPr>
          <w:szCs w:val="22"/>
          <w:lang w:val="fr-CH"/>
        </w:rPr>
        <w:t>.</w:t>
      </w:r>
    </w:p>
    <w:p w14:paraId="08D39202" w14:textId="12CF5E81" w:rsidR="004E53E2" w:rsidRPr="001F2312" w:rsidRDefault="0043186D" w:rsidP="003624A3">
      <w:pPr>
        <w:pStyle w:val="Endofdocument-Annex"/>
        <w:spacing w:before="480"/>
        <w:jc w:val="both"/>
        <w:rPr>
          <w:lang w:val="es-ES_tradnl"/>
        </w:rPr>
      </w:pPr>
      <w:bookmarkStart w:id="2" w:name="_GoBack"/>
      <w:bookmarkEnd w:id="2"/>
      <w:r>
        <w:rPr>
          <w:lang w:val="es-ES_tradnl"/>
        </w:rPr>
        <w:t>8</w:t>
      </w:r>
      <w:r w:rsidR="003624A3" w:rsidRPr="001F2312">
        <w:rPr>
          <w:lang w:val="es-ES_tradnl"/>
        </w:rPr>
        <w:t xml:space="preserve"> de diciembre de 2021</w:t>
      </w:r>
    </w:p>
    <w:sectPr w:rsidR="004E53E2" w:rsidRPr="001F2312" w:rsidSect="001F2312">
      <w:headerReference w:type="even" r:id="rId10"/>
      <w:headerReference w:type="default" r:id="rId11"/>
      <w:endnotePr>
        <w:numFmt w:val="decimal"/>
      </w:endnotePr>
      <w:pgSz w:w="11907" w:h="16840" w:code="9"/>
      <w:pgMar w:top="567" w:right="1418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57A4B" w14:textId="77777777" w:rsidR="00D55135" w:rsidRDefault="00D55135">
      <w:r>
        <w:separator/>
      </w:r>
    </w:p>
  </w:endnote>
  <w:endnote w:type="continuationSeparator" w:id="0">
    <w:p w14:paraId="3AA9956F" w14:textId="77777777" w:rsidR="00D55135" w:rsidRDefault="00D55135" w:rsidP="003B38C1">
      <w:r>
        <w:separator/>
      </w:r>
    </w:p>
    <w:p w14:paraId="16D69320" w14:textId="77777777" w:rsidR="00D55135" w:rsidRPr="003B38C1" w:rsidRDefault="00D551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1D88781" w14:textId="77777777" w:rsidR="00D55135" w:rsidRPr="003B38C1" w:rsidRDefault="00D551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0B327" w14:textId="77777777" w:rsidR="00D55135" w:rsidRDefault="00D55135">
      <w:r>
        <w:separator/>
      </w:r>
    </w:p>
  </w:footnote>
  <w:footnote w:type="continuationSeparator" w:id="0">
    <w:p w14:paraId="4745B2C0" w14:textId="77777777" w:rsidR="00D55135" w:rsidRDefault="00D55135" w:rsidP="008B60B2">
      <w:r>
        <w:separator/>
      </w:r>
    </w:p>
    <w:p w14:paraId="57E75AE5" w14:textId="77777777" w:rsidR="00D55135" w:rsidRPr="00ED77FB" w:rsidRDefault="00D551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F45C2C" w14:textId="77777777" w:rsidR="00D55135" w:rsidRPr="00ED77FB" w:rsidRDefault="00D551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3B9C" w14:textId="11BDFDFE" w:rsidR="00250CA2" w:rsidRDefault="00250CA2" w:rsidP="00250CA2">
    <w:pPr>
      <w:pStyle w:val="Header"/>
      <w:jc w:val="right"/>
    </w:pPr>
    <w:proofErr w:type="spellStart"/>
    <w:proofErr w:type="gramStart"/>
    <w:r>
      <w:t>p</w:t>
    </w:r>
    <w:r w:rsidR="003624A3">
      <w:t>ágina</w:t>
    </w:r>
    <w:proofErr w:type="spellEnd"/>
    <w:proofErr w:type="gramEnd"/>
    <w:r>
      <w:t xml:space="preserve"> 2</w:t>
    </w:r>
  </w:p>
  <w:p w14:paraId="7AD38551" w14:textId="77777777" w:rsidR="00250CA2" w:rsidRDefault="00250CA2" w:rsidP="00250CA2">
    <w:pPr>
      <w:pStyle w:val="Header"/>
      <w:jc w:val="right"/>
    </w:pPr>
  </w:p>
  <w:p w14:paraId="1FAE76BA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7118" w14:textId="4639AC38" w:rsidR="007D7393" w:rsidRDefault="001F2312" w:rsidP="007D7393">
    <w:pPr>
      <w:pStyle w:val="Header"/>
      <w:jc w:val="right"/>
      <w:rPr>
        <w:lang w:val="es-ES_tradnl"/>
      </w:rPr>
    </w:pPr>
    <w:r w:rsidRPr="001F2312">
      <w:rPr>
        <w:lang w:val="es-ES_tradnl"/>
      </w:rPr>
      <w:t>página</w:t>
    </w:r>
    <w:r w:rsidR="007D7393" w:rsidRPr="001F2312">
      <w:rPr>
        <w:lang w:val="es-ES_tradnl"/>
      </w:rPr>
      <w:t xml:space="preserve"> 2</w:t>
    </w:r>
  </w:p>
  <w:p w14:paraId="2D90AC19" w14:textId="77777777" w:rsidR="008226C9" w:rsidRPr="001F2312" w:rsidRDefault="008226C9" w:rsidP="007D7393">
    <w:pPr>
      <w:pStyle w:val="Header"/>
      <w:jc w:val="right"/>
      <w:rPr>
        <w:lang w:val="es-ES_tradnl"/>
      </w:rPr>
    </w:pPr>
  </w:p>
  <w:p w14:paraId="683242AD" w14:textId="77777777" w:rsidR="007D7393" w:rsidRPr="001F2312" w:rsidRDefault="007D7393" w:rsidP="007D7393">
    <w:pPr>
      <w:pStyle w:val="Header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104A31F0"/>
    <w:lvl w:ilvl="0" w:tplc="2CD2FF48">
      <w:start w:val="1"/>
      <w:numFmt w:val="decimal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854B81"/>
    <w:multiLevelType w:val="hybridMultilevel"/>
    <w:tmpl w:val="0E2C2BEC"/>
    <w:lvl w:ilvl="0" w:tplc="5F5A642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5C155A0A"/>
    <w:multiLevelType w:val="hybridMultilevel"/>
    <w:tmpl w:val="690C62FE"/>
    <w:lvl w:ilvl="0" w:tplc="B588BDC2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1440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s Template|TextBase TMs\WorkspaceSTS\UPOV\U Instruments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2095F"/>
    <w:rsid w:val="00022521"/>
    <w:rsid w:val="000240E3"/>
    <w:rsid w:val="00027B79"/>
    <w:rsid w:val="00032516"/>
    <w:rsid w:val="00035665"/>
    <w:rsid w:val="0003763C"/>
    <w:rsid w:val="00043313"/>
    <w:rsid w:val="00043CAA"/>
    <w:rsid w:val="00044267"/>
    <w:rsid w:val="00050D24"/>
    <w:rsid w:val="0005216B"/>
    <w:rsid w:val="00057B95"/>
    <w:rsid w:val="00060BB1"/>
    <w:rsid w:val="00062496"/>
    <w:rsid w:val="00070C46"/>
    <w:rsid w:val="000728FF"/>
    <w:rsid w:val="00073F34"/>
    <w:rsid w:val="0007453B"/>
    <w:rsid w:val="00075432"/>
    <w:rsid w:val="000809B1"/>
    <w:rsid w:val="00093F9B"/>
    <w:rsid w:val="000968ED"/>
    <w:rsid w:val="000A0FF5"/>
    <w:rsid w:val="000A525D"/>
    <w:rsid w:val="000B37B4"/>
    <w:rsid w:val="000C09BD"/>
    <w:rsid w:val="000C58FA"/>
    <w:rsid w:val="000D0F06"/>
    <w:rsid w:val="000D19B9"/>
    <w:rsid w:val="000D3921"/>
    <w:rsid w:val="000D4623"/>
    <w:rsid w:val="000D5022"/>
    <w:rsid w:val="000E56EF"/>
    <w:rsid w:val="000F1A41"/>
    <w:rsid w:val="000F3931"/>
    <w:rsid w:val="000F5E56"/>
    <w:rsid w:val="000F7C50"/>
    <w:rsid w:val="00105003"/>
    <w:rsid w:val="00105359"/>
    <w:rsid w:val="00110A0A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D4F09"/>
    <w:rsid w:val="001E3850"/>
    <w:rsid w:val="001F0A96"/>
    <w:rsid w:val="001F1B95"/>
    <w:rsid w:val="001F1E6A"/>
    <w:rsid w:val="001F2312"/>
    <w:rsid w:val="001F3108"/>
    <w:rsid w:val="001F717F"/>
    <w:rsid w:val="001F7228"/>
    <w:rsid w:val="0020551F"/>
    <w:rsid w:val="00206EB9"/>
    <w:rsid w:val="00211272"/>
    <w:rsid w:val="00212F2F"/>
    <w:rsid w:val="00221C5D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5662"/>
    <w:rsid w:val="002E2BED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24A3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C2B2C"/>
    <w:rsid w:val="003D0F1D"/>
    <w:rsid w:val="003D7F80"/>
    <w:rsid w:val="003E017B"/>
    <w:rsid w:val="003E0A58"/>
    <w:rsid w:val="003E0D9F"/>
    <w:rsid w:val="003E4787"/>
    <w:rsid w:val="003F40F8"/>
    <w:rsid w:val="00400FED"/>
    <w:rsid w:val="00401B82"/>
    <w:rsid w:val="004052E1"/>
    <w:rsid w:val="00411FB2"/>
    <w:rsid w:val="004124AF"/>
    <w:rsid w:val="0041712C"/>
    <w:rsid w:val="0042029C"/>
    <w:rsid w:val="004214C8"/>
    <w:rsid w:val="00423E3E"/>
    <w:rsid w:val="00427AF4"/>
    <w:rsid w:val="0043186D"/>
    <w:rsid w:val="00433EAE"/>
    <w:rsid w:val="004376B8"/>
    <w:rsid w:val="00447B77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4ADB"/>
    <w:rsid w:val="004E53E2"/>
    <w:rsid w:val="004E7B42"/>
    <w:rsid w:val="004E7BAD"/>
    <w:rsid w:val="004F5A30"/>
    <w:rsid w:val="005019FF"/>
    <w:rsid w:val="00502C99"/>
    <w:rsid w:val="005243B1"/>
    <w:rsid w:val="00525B33"/>
    <w:rsid w:val="0053057A"/>
    <w:rsid w:val="00531A96"/>
    <w:rsid w:val="005334B4"/>
    <w:rsid w:val="00546473"/>
    <w:rsid w:val="00546A94"/>
    <w:rsid w:val="005542EF"/>
    <w:rsid w:val="00560A29"/>
    <w:rsid w:val="00572539"/>
    <w:rsid w:val="005771E1"/>
    <w:rsid w:val="00580F7A"/>
    <w:rsid w:val="005868B8"/>
    <w:rsid w:val="0058757A"/>
    <w:rsid w:val="00594435"/>
    <w:rsid w:val="0059496E"/>
    <w:rsid w:val="005A1675"/>
    <w:rsid w:val="005A27C7"/>
    <w:rsid w:val="005A2E4E"/>
    <w:rsid w:val="005A2EDF"/>
    <w:rsid w:val="005A4466"/>
    <w:rsid w:val="005A78E1"/>
    <w:rsid w:val="005B509C"/>
    <w:rsid w:val="005B516E"/>
    <w:rsid w:val="005C6649"/>
    <w:rsid w:val="005C79F2"/>
    <w:rsid w:val="005D3BBF"/>
    <w:rsid w:val="005D6DD3"/>
    <w:rsid w:val="005E7E16"/>
    <w:rsid w:val="005E7F32"/>
    <w:rsid w:val="005F0F41"/>
    <w:rsid w:val="005F2F3B"/>
    <w:rsid w:val="005F4AAF"/>
    <w:rsid w:val="00605827"/>
    <w:rsid w:val="00606C51"/>
    <w:rsid w:val="00610EC8"/>
    <w:rsid w:val="006223DB"/>
    <w:rsid w:val="00623843"/>
    <w:rsid w:val="00624B95"/>
    <w:rsid w:val="006307E7"/>
    <w:rsid w:val="00631908"/>
    <w:rsid w:val="006359B4"/>
    <w:rsid w:val="00635AFA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96EF6"/>
    <w:rsid w:val="006A0C24"/>
    <w:rsid w:val="006B558F"/>
    <w:rsid w:val="006C3947"/>
    <w:rsid w:val="006D2A62"/>
    <w:rsid w:val="006D4172"/>
    <w:rsid w:val="006D78DA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248D7"/>
    <w:rsid w:val="00726164"/>
    <w:rsid w:val="00726905"/>
    <w:rsid w:val="00727C64"/>
    <w:rsid w:val="007315CB"/>
    <w:rsid w:val="007330D6"/>
    <w:rsid w:val="00742210"/>
    <w:rsid w:val="00745CF1"/>
    <w:rsid w:val="00750040"/>
    <w:rsid w:val="00750EFD"/>
    <w:rsid w:val="00767C4D"/>
    <w:rsid w:val="00772EC8"/>
    <w:rsid w:val="00773CE3"/>
    <w:rsid w:val="00775EBD"/>
    <w:rsid w:val="00776E12"/>
    <w:rsid w:val="007771D3"/>
    <w:rsid w:val="00780B9B"/>
    <w:rsid w:val="00790A94"/>
    <w:rsid w:val="007919C3"/>
    <w:rsid w:val="00795590"/>
    <w:rsid w:val="007B06CA"/>
    <w:rsid w:val="007B21DB"/>
    <w:rsid w:val="007B4D18"/>
    <w:rsid w:val="007B7EEC"/>
    <w:rsid w:val="007B7F73"/>
    <w:rsid w:val="007C1EDA"/>
    <w:rsid w:val="007C26AB"/>
    <w:rsid w:val="007C3E9B"/>
    <w:rsid w:val="007C79D7"/>
    <w:rsid w:val="007C7A8C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7F682F"/>
    <w:rsid w:val="00804EC4"/>
    <w:rsid w:val="00807A9F"/>
    <w:rsid w:val="00815479"/>
    <w:rsid w:val="008167CA"/>
    <w:rsid w:val="00820745"/>
    <w:rsid w:val="008226C9"/>
    <w:rsid w:val="00824E57"/>
    <w:rsid w:val="00833C29"/>
    <w:rsid w:val="00843063"/>
    <w:rsid w:val="0085259B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162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73"/>
    <w:rsid w:val="008C6BD4"/>
    <w:rsid w:val="008D26DB"/>
    <w:rsid w:val="008E15D6"/>
    <w:rsid w:val="008F1F70"/>
    <w:rsid w:val="008F7686"/>
    <w:rsid w:val="008F796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25F9A"/>
    <w:rsid w:val="0093216E"/>
    <w:rsid w:val="00932C0F"/>
    <w:rsid w:val="00934FB1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43B3"/>
    <w:rsid w:val="00A053CB"/>
    <w:rsid w:val="00A06031"/>
    <w:rsid w:val="00A0621E"/>
    <w:rsid w:val="00A131ED"/>
    <w:rsid w:val="00A1336B"/>
    <w:rsid w:val="00A1504E"/>
    <w:rsid w:val="00A21684"/>
    <w:rsid w:val="00A25430"/>
    <w:rsid w:val="00A2667E"/>
    <w:rsid w:val="00A26A24"/>
    <w:rsid w:val="00A353ED"/>
    <w:rsid w:val="00A41CFE"/>
    <w:rsid w:val="00A42230"/>
    <w:rsid w:val="00A42DAF"/>
    <w:rsid w:val="00A43BEF"/>
    <w:rsid w:val="00A45BD8"/>
    <w:rsid w:val="00A468E2"/>
    <w:rsid w:val="00A47F15"/>
    <w:rsid w:val="00A53E19"/>
    <w:rsid w:val="00A54939"/>
    <w:rsid w:val="00A63F6A"/>
    <w:rsid w:val="00A65D9F"/>
    <w:rsid w:val="00A73224"/>
    <w:rsid w:val="00A80E06"/>
    <w:rsid w:val="00A81E6D"/>
    <w:rsid w:val="00A869B7"/>
    <w:rsid w:val="00A93CE8"/>
    <w:rsid w:val="00A954E1"/>
    <w:rsid w:val="00A97423"/>
    <w:rsid w:val="00AA015E"/>
    <w:rsid w:val="00AA0F3B"/>
    <w:rsid w:val="00AA1EEF"/>
    <w:rsid w:val="00AA274F"/>
    <w:rsid w:val="00AB2538"/>
    <w:rsid w:val="00AB73F9"/>
    <w:rsid w:val="00AC015D"/>
    <w:rsid w:val="00AC205C"/>
    <w:rsid w:val="00AC2F5B"/>
    <w:rsid w:val="00AD38EE"/>
    <w:rsid w:val="00AD3EF4"/>
    <w:rsid w:val="00AE69DE"/>
    <w:rsid w:val="00AF0A6B"/>
    <w:rsid w:val="00AF41A4"/>
    <w:rsid w:val="00AF5108"/>
    <w:rsid w:val="00B03BA6"/>
    <w:rsid w:val="00B05A69"/>
    <w:rsid w:val="00B21387"/>
    <w:rsid w:val="00B2247B"/>
    <w:rsid w:val="00B369A9"/>
    <w:rsid w:val="00B42B1F"/>
    <w:rsid w:val="00B43D6F"/>
    <w:rsid w:val="00B46D7E"/>
    <w:rsid w:val="00B52388"/>
    <w:rsid w:val="00B54217"/>
    <w:rsid w:val="00B54D7D"/>
    <w:rsid w:val="00B579A3"/>
    <w:rsid w:val="00B626B4"/>
    <w:rsid w:val="00B65F23"/>
    <w:rsid w:val="00B764C0"/>
    <w:rsid w:val="00B8093A"/>
    <w:rsid w:val="00B8152B"/>
    <w:rsid w:val="00B83157"/>
    <w:rsid w:val="00B8589F"/>
    <w:rsid w:val="00B91056"/>
    <w:rsid w:val="00B93243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2AA1"/>
    <w:rsid w:val="00BE3131"/>
    <w:rsid w:val="00BE4C18"/>
    <w:rsid w:val="00BE55D6"/>
    <w:rsid w:val="00BE5857"/>
    <w:rsid w:val="00C103C2"/>
    <w:rsid w:val="00C11BFE"/>
    <w:rsid w:val="00C21281"/>
    <w:rsid w:val="00C21C2E"/>
    <w:rsid w:val="00C21D7B"/>
    <w:rsid w:val="00C36B89"/>
    <w:rsid w:val="00C423D6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FA5"/>
    <w:rsid w:val="00C80362"/>
    <w:rsid w:val="00C83B93"/>
    <w:rsid w:val="00C8462A"/>
    <w:rsid w:val="00C9393D"/>
    <w:rsid w:val="00C977DB"/>
    <w:rsid w:val="00C97BDC"/>
    <w:rsid w:val="00CB132F"/>
    <w:rsid w:val="00CB299A"/>
    <w:rsid w:val="00CB4916"/>
    <w:rsid w:val="00CC5016"/>
    <w:rsid w:val="00CD26C9"/>
    <w:rsid w:val="00CE0A51"/>
    <w:rsid w:val="00CE0F4D"/>
    <w:rsid w:val="00CE6390"/>
    <w:rsid w:val="00CF4536"/>
    <w:rsid w:val="00CF45C1"/>
    <w:rsid w:val="00D055A0"/>
    <w:rsid w:val="00D07763"/>
    <w:rsid w:val="00D22BD4"/>
    <w:rsid w:val="00D30CC7"/>
    <w:rsid w:val="00D31C2F"/>
    <w:rsid w:val="00D36664"/>
    <w:rsid w:val="00D40A98"/>
    <w:rsid w:val="00D424EC"/>
    <w:rsid w:val="00D45252"/>
    <w:rsid w:val="00D55135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D076F"/>
    <w:rsid w:val="00DD2EB5"/>
    <w:rsid w:val="00DD48D7"/>
    <w:rsid w:val="00E10E07"/>
    <w:rsid w:val="00E120B4"/>
    <w:rsid w:val="00E23CCD"/>
    <w:rsid w:val="00E23D62"/>
    <w:rsid w:val="00E24971"/>
    <w:rsid w:val="00E24CA1"/>
    <w:rsid w:val="00E335FE"/>
    <w:rsid w:val="00E357A9"/>
    <w:rsid w:val="00E41401"/>
    <w:rsid w:val="00E42B9A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598B"/>
    <w:rsid w:val="00E85D25"/>
    <w:rsid w:val="00E86A19"/>
    <w:rsid w:val="00E87F26"/>
    <w:rsid w:val="00E901C1"/>
    <w:rsid w:val="00EB2461"/>
    <w:rsid w:val="00EB333E"/>
    <w:rsid w:val="00EB4AE2"/>
    <w:rsid w:val="00EC23FC"/>
    <w:rsid w:val="00EC26A8"/>
    <w:rsid w:val="00EC4E49"/>
    <w:rsid w:val="00EC7915"/>
    <w:rsid w:val="00ED3670"/>
    <w:rsid w:val="00ED38E9"/>
    <w:rsid w:val="00ED4C4F"/>
    <w:rsid w:val="00ED77FB"/>
    <w:rsid w:val="00EE0E83"/>
    <w:rsid w:val="00EE1524"/>
    <w:rsid w:val="00EE28AC"/>
    <w:rsid w:val="00EE45FA"/>
    <w:rsid w:val="00EE5748"/>
    <w:rsid w:val="00EF0146"/>
    <w:rsid w:val="00EF03CE"/>
    <w:rsid w:val="00EF65B9"/>
    <w:rsid w:val="00F051A3"/>
    <w:rsid w:val="00F0720F"/>
    <w:rsid w:val="00F07EF8"/>
    <w:rsid w:val="00F10E66"/>
    <w:rsid w:val="00F201C4"/>
    <w:rsid w:val="00F32ABD"/>
    <w:rsid w:val="00F36A20"/>
    <w:rsid w:val="00F47560"/>
    <w:rsid w:val="00F5468C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D2790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36DE14A9"/>
  <w15:docId w15:val="{D04424DF-3ACA-41F3-8236-B3C51B88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treaties/en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08B8-2F1D-4258-ACEC-3415A4CC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2495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2936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DiazN</dc:creator>
  <cp:keywords>FOR OFFICIAL USE ONLY</cp:keywords>
  <dc:description/>
  <cp:lastModifiedBy>DUMITRU Elena</cp:lastModifiedBy>
  <cp:revision>4</cp:revision>
  <cp:lastPrinted>2020-04-07T13:35:00Z</cp:lastPrinted>
  <dcterms:created xsi:type="dcterms:W3CDTF">2021-12-06T11:50:00Z</dcterms:created>
  <dcterms:modified xsi:type="dcterms:W3CDTF">2021-12-08T08:08:00Z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83b745c5-1a88-4e9f-acb5-72749767920f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