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DC4D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F51264" w:rsidRDefault="00EC4E49" w:rsidP="00916EE2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416D3F63" w:rsidR="00EC4E49" w:rsidRPr="00DC4D89" w:rsidRDefault="003D4FEC" w:rsidP="00916EE2">
            <w:pPr>
              <w:rPr>
                <w:lang w:val="es-ES_tradnl"/>
              </w:rPr>
            </w:pPr>
            <w:r w:rsidRPr="00DC4D89">
              <w:rPr>
                <w:noProof/>
                <w:lang w:eastAsia="en-US"/>
              </w:rPr>
              <w:drawing>
                <wp:inline distT="0" distB="0" distL="0" distR="0" wp14:anchorId="17259129" wp14:editId="173E7D5B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DC4D89" w:rsidRDefault="00EC4E49" w:rsidP="00916EE2">
            <w:pPr>
              <w:jc w:val="right"/>
              <w:rPr>
                <w:lang w:val="es-ES_tradnl"/>
              </w:rPr>
            </w:pPr>
          </w:p>
        </w:tc>
      </w:tr>
      <w:tr w:rsidR="008B2CC1" w:rsidRPr="00DC4D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DC4D89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8B2CC1" w:rsidRPr="00DC4D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41F41A3F" w:rsidR="008B2CC1" w:rsidRPr="00DC4D89" w:rsidRDefault="003D4FEC" w:rsidP="003D4FEC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C4D89">
              <w:rPr>
                <w:rFonts w:ascii="Arial Black" w:hAnsi="Arial Black"/>
                <w:caps/>
                <w:sz w:val="15"/>
                <w:lang w:val="es-ES_tradnl"/>
              </w:rPr>
              <w:t xml:space="preserve">AVISO </w:t>
            </w:r>
            <w:r w:rsidR="00CC5016" w:rsidRPr="00DC4D89">
              <w:rPr>
                <w:rFonts w:ascii="Arial Black" w:hAnsi="Arial Black"/>
                <w:caps/>
                <w:sz w:val="15"/>
                <w:lang w:val="es-ES_tradnl"/>
              </w:rPr>
              <w:t xml:space="preserve">NO. </w:t>
            </w:r>
            <w:r w:rsidR="00DC4D89" w:rsidRPr="00DC4D89">
              <w:rPr>
                <w:rFonts w:ascii="Arial Black" w:hAnsi="Arial Black"/>
                <w:caps/>
                <w:sz w:val="15"/>
                <w:lang w:val="es-ES_tradnl"/>
              </w:rPr>
              <w:t>16</w:t>
            </w:r>
            <w:r w:rsidR="00864A35" w:rsidRPr="00DC4D89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r w:rsidR="009B2582" w:rsidRPr="00DC4D89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  <w:r w:rsidR="004B7696" w:rsidRPr="00DC4D89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  <w:r w:rsidR="00A42DAF" w:rsidRPr="00DC4D89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DC4D89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</w:p>
        </w:tc>
      </w:tr>
    </w:tbl>
    <w:p w14:paraId="030F98A3" w14:textId="6416D9C1" w:rsidR="00CC5016" w:rsidRPr="00DC4D89" w:rsidRDefault="003D4FEC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DC4D89">
        <w:rPr>
          <w:rFonts w:ascii="Arial,Bold" w:eastAsia="Times New Roman" w:hAnsi="Arial,Bold" w:cs="Arial,Bold"/>
          <w:b/>
          <w:bCs/>
          <w:sz w:val="28"/>
          <w:szCs w:val="28"/>
          <w:lang w:val="es-ES_tradnl"/>
        </w:rPr>
        <w:t xml:space="preserve">Arreglo de La Haya relativo al </w:t>
      </w:r>
      <w:r w:rsidR="006806A1" w:rsidRPr="00DC4D89">
        <w:rPr>
          <w:rFonts w:ascii="Arial,Bold" w:eastAsia="Times New Roman" w:hAnsi="Arial,Bold" w:cs="Arial,Bold"/>
          <w:b/>
          <w:bCs/>
          <w:sz w:val="28"/>
          <w:szCs w:val="28"/>
          <w:lang w:val="es-ES_tradnl"/>
        </w:rPr>
        <w:t xml:space="preserve">Registro Internacional </w:t>
      </w:r>
      <w:r w:rsidRPr="00DC4D89">
        <w:rPr>
          <w:rFonts w:ascii="Arial,Bold" w:eastAsia="Times New Roman" w:hAnsi="Arial,Bold" w:cs="Arial,Bold"/>
          <w:b/>
          <w:bCs/>
          <w:sz w:val="28"/>
          <w:szCs w:val="28"/>
          <w:lang w:val="es-ES_tradnl"/>
        </w:rPr>
        <w:t xml:space="preserve">de </w:t>
      </w:r>
      <w:r w:rsidR="006806A1" w:rsidRPr="00DC4D89">
        <w:rPr>
          <w:rFonts w:ascii="Arial,Bold" w:eastAsia="Times New Roman" w:hAnsi="Arial,Bold" w:cs="Arial,Bold"/>
          <w:b/>
          <w:bCs/>
          <w:sz w:val="28"/>
          <w:szCs w:val="28"/>
          <w:lang w:val="es-ES_tradnl"/>
        </w:rPr>
        <w:t xml:space="preserve">Dibujos </w:t>
      </w:r>
      <w:r w:rsidRPr="00DC4D89">
        <w:rPr>
          <w:rFonts w:ascii="Arial,Bold" w:eastAsia="Times New Roman" w:hAnsi="Arial,Bold" w:cs="Arial,Bold"/>
          <w:b/>
          <w:bCs/>
          <w:sz w:val="28"/>
          <w:szCs w:val="28"/>
          <w:lang w:val="es-ES_tradnl"/>
        </w:rPr>
        <w:t xml:space="preserve">y </w:t>
      </w:r>
      <w:r w:rsidR="006806A1" w:rsidRPr="00DC4D89">
        <w:rPr>
          <w:rFonts w:ascii="Arial,Bold" w:eastAsia="Times New Roman" w:hAnsi="Arial,Bold" w:cs="Arial,Bold"/>
          <w:b/>
          <w:bCs/>
          <w:sz w:val="28"/>
          <w:szCs w:val="28"/>
          <w:lang w:val="es-ES_tradnl"/>
        </w:rPr>
        <w:t>Modelos Industriales</w:t>
      </w:r>
    </w:p>
    <w:p w14:paraId="085F6223" w14:textId="39F6D7E6" w:rsidR="001F1B95" w:rsidRPr="00DC4D89" w:rsidRDefault="003D4FEC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ES_tradnl"/>
        </w:rPr>
      </w:pPr>
      <w:r w:rsidRPr="00DC4D89">
        <w:rPr>
          <w:b/>
          <w:bCs/>
          <w:sz w:val="24"/>
          <w:szCs w:val="24"/>
          <w:lang w:val="es-ES_tradnl"/>
        </w:rPr>
        <w:t>Tasa de designación individual</w:t>
      </w:r>
      <w:r w:rsidR="006D7BD8" w:rsidRPr="00DC4D89">
        <w:rPr>
          <w:b/>
          <w:bCs/>
          <w:sz w:val="24"/>
          <w:szCs w:val="24"/>
          <w:lang w:val="es-ES_tradnl"/>
        </w:rPr>
        <w:t>:</w:t>
      </w:r>
      <w:r w:rsidR="00446A2F" w:rsidRPr="00DC4D89">
        <w:rPr>
          <w:b/>
          <w:bCs/>
          <w:sz w:val="24"/>
          <w:szCs w:val="24"/>
          <w:lang w:val="es-ES_tradnl"/>
        </w:rPr>
        <w:t xml:space="preserve"> </w:t>
      </w:r>
      <w:r w:rsidR="006D7BD8" w:rsidRPr="00DC4D89">
        <w:rPr>
          <w:b/>
          <w:bCs/>
          <w:sz w:val="24"/>
          <w:szCs w:val="24"/>
          <w:lang w:val="es-ES_tradnl"/>
        </w:rPr>
        <w:t xml:space="preserve"> </w:t>
      </w:r>
      <w:r w:rsidRPr="00DC4D89">
        <w:rPr>
          <w:b/>
          <w:bCs/>
          <w:sz w:val="24"/>
          <w:szCs w:val="24"/>
          <w:lang w:val="es-ES_tradnl"/>
        </w:rPr>
        <w:t>Mé</w:t>
      </w:r>
      <w:r w:rsidR="004B7696" w:rsidRPr="00DC4D89">
        <w:rPr>
          <w:b/>
          <w:bCs/>
          <w:sz w:val="24"/>
          <w:szCs w:val="24"/>
          <w:lang w:val="es-ES_tradnl"/>
        </w:rPr>
        <w:t>xico</w:t>
      </w:r>
    </w:p>
    <w:p w14:paraId="4E447FAE" w14:textId="720719D5" w:rsidR="006C1E1F" w:rsidRPr="00DC4D89" w:rsidRDefault="003D4FEC" w:rsidP="00F51264">
      <w:pPr>
        <w:pStyle w:val="ONUME"/>
        <w:spacing w:after="240"/>
        <w:rPr>
          <w:color w:val="000000"/>
          <w:lang w:val="es-ES_tradnl"/>
        </w:rPr>
      </w:pPr>
      <w:r w:rsidRPr="00DC4D89">
        <w:rPr>
          <w:lang w:val="es-ES_tradnl"/>
        </w:rPr>
        <w:t xml:space="preserve">El Gobierno de México ha formulado la declaración </w:t>
      </w:r>
      <w:r w:rsidR="002E0D21" w:rsidRPr="00DC4D89">
        <w:rPr>
          <w:lang w:val="es-ES_tradnl"/>
        </w:rPr>
        <w:t xml:space="preserve">a la que se refiere </w:t>
      </w:r>
      <w:r w:rsidRPr="00DC4D89">
        <w:rPr>
          <w:lang w:val="es-ES_tradnl"/>
        </w:rPr>
        <w:t>el Artículo 7.2) del Acta de Ginebra del Arreglo de La Haya relativo al Registro Internacional de Dibujos y Modelos Industriales</w:t>
      </w:r>
      <w:r w:rsidR="00864A35" w:rsidRPr="00DC4D89">
        <w:rPr>
          <w:lang w:val="es-ES_tradnl"/>
        </w:rPr>
        <w:t xml:space="preserve"> (“</w:t>
      </w:r>
      <w:r w:rsidRPr="00DC4D89">
        <w:rPr>
          <w:lang w:val="es-ES_tradnl"/>
        </w:rPr>
        <w:t xml:space="preserve">Acta de </w:t>
      </w:r>
      <w:r w:rsidR="00864A35" w:rsidRPr="00DC4D89">
        <w:rPr>
          <w:lang w:val="es-ES_tradnl"/>
        </w:rPr>
        <w:t>1999”)</w:t>
      </w:r>
      <w:r w:rsidRPr="00DC4D89">
        <w:rPr>
          <w:lang w:val="es-ES_tradnl"/>
        </w:rPr>
        <w:t xml:space="preserve"> según la cual, en relación con toda solicitud internacional en la que se designe a México</w:t>
      </w:r>
      <w:r w:rsidR="006C1E1F" w:rsidRPr="00DC4D89">
        <w:rPr>
          <w:lang w:val="es-ES_tradnl"/>
        </w:rPr>
        <w:t>,</w:t>
      </w:r>
      <w:r w:rsidR="006F6C20" w:rsidRPr="00DC4D89">
        <w:rPr>
          <w:lang w:val="es-ES_tradnl"/>
        </w:rPr>
        <w:t xml:space="preserve"> y en relación con la renovación de cualquier registro internacional que resulte de esa solicitud internacional,</w:t>
      </w:r>
      <w:r w:rsidRPr="00DC4D89">
        <w:rPr>
          <w:lang w:val="es-ES_tradnl"/>
        </w:rPr>
        <w:t xml:space="preserve"> se sustituirá la tasa de designación prescrita por una tasa de designación individual</w:t>
      </w:r>
      <w:r w:rsidR="006F6C20" w:rsidRPr="00DC4D89">
        <w:rPr>
          <w:lang w:val="es-ES_tradnl"/>
        </w:rPr>
        <w:t>.</w:t>
      </w:r>
    </w:p>
    <w:p w14:paraId="34E31211" w14:textId="4B3C70F2" w:rsidR="00D97E26" w:rsidRPr="00DC4D89" w:rsidRDefault="006F6C20" w:rsidP="00F51264">
      <w:pPr>
        <w:pStyle w:val="ONUME"/>
        <w:spacing w:after="240"/>
        <w:rPr>
          <w:lang w:val="es-ES_tradnl"/>
        </w:rPr>
      </w:pPr>
      <w:r w:rsidRPr="00DC4D89">
        <w:rPr>
          <w:color w:val="000000"/>
          <w:lang w:val="es-ES_tradnl"/>
        </w:rPr>
        <w:t>En la declaración se especifica, de conformidad con la Regla 12.3) del Reglamento Común</w:t>
      </w:r>
      <w:r w:rsidRPr="00DC4D89">
        <w:rPr>
          <w:lang w:val="es-ES_tradnl"/>
        </w:rPr>
        <w:t xml:space="preserve"> del Acta de</w:t>
      </w:r>
      <w:r w:rsidR="00F51264" w:rsidRPr="00DC4D89">
        <w:rPr>
          <w:lang w:val="es-ES_tradnl"/>
        </w:rPr>
        <w:t xml:space="preserve"> 1999</w:t>
      </w:r>
      <w:r w:rsidR="00D97E26" w:rsidRPr="00DC4D89">
        <w:rPr>
          <w:lang w:val="es-ES_tradnl"/>
        </w:rPr>
        <w:t xml:space="preserve"> </w:t>
      </w:r>
      <w:r w:rsidRPr="00DC4D89">
        <w:rPr>
          <w:lang w:val="es-ES_tradnl"/>
        </w:rPr>
        <w:t>y del Acta de</w:t>
      </w:r>
      <w:r w:rsidR="00D97E26" w:rsidRPr="00DC4D89">
        <w:rPr>
          <w:lang w:val="es-ES_tradnl"/>
        </w:rPr>
        <w:t xml:space="preserve"> 1960 </w:t>
      </w:r>
      <w:r w:rsidRPr="00DC4D89">
        <w:rPr>
          <w:lang w:val="es-ES_tradnl"/>
        </w:rPr>
        <w:t>del Arreglo de La Haya</w:t>
      </w:r>
      <w:r w:rsidR="001C7A91" w:rsidRPr="00DC4D89">
        <w:rPr>
          <w:lang w:val="es-ES_tradnl"/>
        </w:rPr>
        <w:t xml:space="preserve"> (“</w:t>
      </w:r>
      <w:r w:rsidRPr="00DC4D89">
        <w:rPr>
          <w:lang w:val="es-ES_tradnl"/>
        </w:rPr>
        <w:t>Reglamento Común</w:t>
      </w:r>
      <w:r w:rsidR="001C7A91" w:rsidRPr="00DC4D89">
        <w:rPr>
          <w:lang w:val="es-ES_tradnl"/>
        </w:rPr>
        <w:t>”)</w:t>
      </w:r>
      <w:r w:rsidR="00D97E26" w:rsidRPr="00DC4D89">
        <w:rPr>
          <w:lang w:val="es-ES_tradnl"/>
        </w:rPr>
        <w:t xml:space="preserve">, </w:t>
      </w:r>
      <w:r w:rsidRPr="00DC4D89">
        <w:rPr>
          <w:color w:val="000000"/>
          <w:lang w:val="es-ES_tradnl"/>
        </w:rPr>
        <w:t xml:space="preserve">que la tasa de designación individual </w:t>
      </w:r>
      <w:r w:rsidR="00C62E87" w:rsidRPr="00DC4D89">
        <w:rPr>
          <w:color w:val="000000"/>
          <w:lang w:val="es-ES_tradnl"/>
        </w:rPr>
        <w:t xml:space="preserve">para una solicitud internacional </w:t>
      </w:r>
      <w:r w:rsidRPr="00DC4D89">
        <w:rPr>
          <w:color w:val="000000"/>
          <w:lang w:val="es-ES_tradnl"/>
        </w:rPr>
        <w:t>comprenderá dos partes.</w:t>
      </w:r>
    </w:p>
    <w:p w14:paraId="020D82F0" w14:textId="32250305" w:rsidR="006F6C20" w:rsidRPr="00DC4D89" w:rsidRDefault="006F6C20" w:rsidP="00F51264">
      <w:pPr>
        <w:pStyle w:val="ONUME"/>
        <w:spacing w:after="240"/>
        <w:rPr>
          <w:lang w:val="es-ES_tradnl"/>
        </w:rPr>
      </w:pPr>
      <w:r w:rsidRPr="00DC4D89">
        <w:rPr>
          <w:lang w:val="es-ES_tradnl"/>
        </w:rPr>
        <w:t xml:space="preserve">En la declaración también se </w:t>
      </w:r>
      <w:r w:rsidR="0020434A" w:rsidRPr="00DC4D89">
        <w:rPr>
          <w:lang w:val="es-ES_tradnl"/>
        </w:rPr>
        <w:t>contempla la reducción</w:t>
      </w:r>
      <w:r w:rsidR="00F0496E" w:rsidRPr="00DC4D89">
        <w:rPr>
          <w:lang w:val="es-ES_tradnl"/>
        </w:rPr>
        <w:t xml:space="preserve"> de la tasa</w:t>
      </w:r>
      <w:r w:rsidR="0020434A" w:rsidRPr="00DC4D89">
        <w:rPr>
          <w:lang w:val="es-ES_tradnl"/>
        </w:rPr>
        <w:t xml:space="preserve"> con respecto a</w:t>
      </w:r>
      <w:r w:rsidRPr="00DC4D89">
        <w:rPr>
          <w:lang w:val="es-ES_tradnl"/>
        </w:rPr>
        <w:t xml:space="preserve"> una solicitud internacional o </w:t>
      </w:r>
      <w:r w:rsidR="002E0D21" w:rsidRPr="00DC4D89">
        <w:rPr>
          <w:lang w:val="es-ES_tradnl"/>
        </w:rPr>
        <w:t xml:space="preserve">la renovación de </w:t>
      </w:r>
      <w:r w:rsidRPr="00DC4D89">
        <w:rPr>
          <w:lang w:val="es-ES_tradnl"/>
        </w:rPr>
        <w:t>un registro internacional si el solicitante de una solicitud internacional o el titular de un registro internacional es</w:t>
      </w:r>
      <w:r w:rsidR="006C1E1F" w:rsidRPr="00DC4D89">
        <w:rPr>
          <w:lang w:val="es-ES_tradnl"/>
        </w:rPr>
        <w:t>:</w:t>
      </w:r>
    </w:p>
    <w:p w14:paraId="4D4C09F1" w14:textId="50F19CA6" w:rsidR="006C1E1F" w:rsidRPr="00DC4D89" w:rsidRDefault="008644CA" w:rsidP="00F51264">
      <w:pPr>
        <w:pStyle w:val="ONUME"/>
        <w:numPr>
          <w:ilvl w:val="1"/>
          <w:numId w:val="5"/>
        </w:numPr>
        <w:spacing w:after="120"/>
        <w:rPr>
          <w:lang w:val="es-ES_tradnl"/>
        </w:rPr>
      </w:pPr>
      <w:r w:rsidRPr="00DC4D89">
        <w:rPr>
          <w:lang w:val="es-ES_tradnl"/>
        </w:rPr>
        <w:t xml:space="preserve">un </w:t>
      </w:r>
      <w:r w:rsidR="007D56E8" w:rsidRPr="00DC4D89">
        <w:rPr>
          <w:lang w:val="es-ES_tradnl"/>
        </w:rPr>
        <w:t>creador</w:t>
      </w:r>
      <w:r w:rsidRPr="00DC4D89">
        <w:rPr>
          <w:lang w:val="es-ES_tradnl"/>
        </w:rPr>
        <w:t xml:space="preserve"> que es </w:t>
      </w:r>
      <w:r w:rsidR="008A19A1" w:rsidRPr="00DC4D89">
        <w:rPr>
          <w:lang w:val="es-ES_tradnl"/>
        </w:rPr>
        <w:t xml:space="preserve">una </w:t>
      </w:r>
      <w:r w:rsidRPr="00DC4D89">
        <w:rPr>
          <w:lang w:val="es-ES_tradnl"/>
        </w:rPr>
        <w:t>persona física</w:t>
      </w:r>
      <w:r w:rsidR="006C1E1F" w:rsidRPr="00DC4D89">
        <w:rPr>
          <w:lang w:val="es-ES_tradnl"/>
        </w:rPr>
        <w:t>;</w:t>
      </w:r>
    </w:p>
    <w:p w14:paraId="79263797" w14:textId="64EBD7F9" w:rsidR="00115B3C" w:rsidRPr="00DC4D89" w:rsidRDefault="008644CA" w:rsidP="00F51264">
      <w:pPr>
        <w:pStyle w:val="ONUME"/>
        <w:numPr>
          <w:ilvl w:val="1"/>
          <w:numId w:val="5"/>
        </w:numPr>
        <w:spacing w:after="120"/>
        <w:rPr>
          <w:color w:val="000000"/>
          <w:lang w:val="es-ES_tradnl"/>
        </w:rPr>
      </w:pPr>
      <w:r w:rsidRPr="00DC4D89">
        <w:rPr>
          <w:lang w:val="es-ES_tradnl"/>
        </w:rPr>
        <w:t xml:space="preserve">una micro o pequeña </w:t>
      </w:r>
      <w:r w:rsidR="00F43C67" w:rsidRPr="00DC4D89">
        <w:rPr>
          <w:lang w:val="es-ES_tradnl"/>
        </w:rPr>
        <w:t>industria</w:t>
      </w:r>
      <w:r w:rsidR="00F0496E" w:rsidRPr="00DC4D89">
        <w:rPr>
          <w:lang w:val="es-ES_tradnl"/>
        </w:rPr>
        <w:t>;</w:t>
      </w:r>
      <w:r w:rsidR="00115B3C" w:rsidRPr="00DC4D89">
        <w:rPr>
          <w:lang w:val="es-ES_tradnl"/>
        </w:rPr>
        <w:t xml:space="preserve"> </w:t>
      </w:r>
    </w:p>
    <w:p w14:paraId="4A2FA247" w14:textId="2454851E" w:rsidR="00115B3C" w:rsidRPr="00DC4D89" w:rsidRDefault="008644CA" w:rsidP="00F51264">
      <w:pPr>
        <w:pStyle w:val="ONUME"/>
        <w:numPr>
          <w:ilvl w:val="1"/>
          <w:numId w:val="5"/>
        </w:numPr>
        <w:spacing w:after="120"/>
        <w:rPr>
          <w:color w:val="000000"/>
          <w:lang w:val="es-ES_tradnl"/>
        </w:rPr>
      </w:pPr>
      <w:r w:rsidRPr="00DC4D89">
        <w:rPr>
          <w:lang w:val="es-ES_tradnl"/>
        </w:rPr>
        <w:t>una institución de educación superior pública o privada</w:t>
      </w:r>
      <w:r w:rsidR="00F0496E" w:rsidRPr="00DC4D89">
        <w:rPr>
          <w:lang w:val="es-ES_tradnl"/>
        </w:rPr>
        <w:t>;</w:t>
      </w:r>
      <w:r w:rsidRPr="00DC4D89">
        <w:rPr>
          <w:lang w:val="es-ES_tradnl"/>
        </w:rPr>
        <w:t xml:space="preserve"> </w:t>
      </w:r>
      <w:r w:rsidR="00B020C0" w:rsidRPr="00DC4D89">
        <w:rPr>
          <w:lang w:val="es-ES_tradnl"/>
        </w:rPr>
        <w:t xml:space="preserve"> </w:t>
      </w:r>
      <w:r w:rsidR="00D06597" w:rsidRPr="00DC4D89">
        <w:rPr>
          <w:lang w:val="es-ES_tradnl"/>
        </w:rPr>
        <w:t>o</w:t>
      </w:r>
    </w:p>
    <w:p w14:paraId="2071528A" w14:textId="32F88055" w:rsidR="00115B3C" w:rsidRPr="00DC4D89" w:rsidRDefault="008644CA" w:rsidP="00F51264">
      <w:pPr>
        <w:pStyle w:val="ONUME"/>
        <w:numPr>
          <w:ilvl w:val="1"/>
          <w:numId w:val="5"/>
        </w:numPr>
        <w:spacing w:after="240"/>
        <w:ind w:left="0" w:firstLine="567"/>
        <w:rPr>
          <w:color w:val="000000"/>
          <w:lang w:val="es-ES_tradnl"/>
        </w:rPr>
      </w:pPr>
      <w:r w:rsidRPr="00DC4D89">
        <w:rPr>
          <w:lang w:val="es-ES_tradnl"/>
        </w:rPr>
        <w:t>un institu</w:t>
      </w:r>
      <w:r w:rsidR="00B57F50" w:rsidRPr="00DC4D89">
        <w:rPr>
          <w:lang w:val="es-ES_tradnl"/>
        </w:rPr>
        <w:t>to de investigación científica o</w:t>
      </w:r>
      <w:r w:rsidRPr="00DC4D89">
        <w:rPr>
          <w:lang w:val="es-ES_tradnl"/>
        </w:rPr>
        <w:t xml:space="preserve"> tecnológica del sector públic</w:t>
      </w:r>
      <w:r w:rsidR="008A0745" w:rsidRPr="00DC4D89">
        <w:rPr>
          <w:lang w:val="es-ES_tradnl"/>
        </w:rPr>
        <w:t>o</w:t>
      </w:r>
      <w:r w:rsidRPr="00DC4D89">
        <w:rPr>
          <w:lang w:val="es-ES_tradnl"/>
        </w:rPr>
        <w:t>.</w:t>
      </w:r>
    </w:p>
    <w:p w14:paraId="1897B830" w14:textId="2D2E37DF" w:rsidR="008A0745" w:rsidRPr="00DC4D89" w:rsidRDefault="008A0745" w:rsidP="00505CE7">
      <w:pPr>
        <w:pStyle w:val="ONUME"/>
        <w:numPr>
          <w:ilvl w:val="0"/>
          <w:numId w:val="0"/>
        </w:numPr>
        <w:rPr>
          <w:lang w:val="es-ES_tradnl"/>
        </w:rPr>
      </w:pPr>
    </w:p>
    <w:p w14:paraId="61222433" w14:textId="75D3AF96" w:rsidR="008A0745" w:rsidRPr="00DC4D89" w:rsidRDefault="008A0745" w:rsidP="00505CE7">
      <w:pPr>
        <w:pStyle w:val="ONUME"/>
        <w:numPr>
          <w:ilvl w:val="0"/>
          <w:numId w:val="0"/>
        </w:numPr>
        <w:rPr>
          <w:lang w:val="es-ES_tradnl"/>
        </w:rPr>
      </w:pPr>
    </w:p>
    <w:p w14:paraId="334071CE" w14:textId="4A5AB39E" w:rsidR="008A0745" w:rsidRPr="00DC4D89" w:rsidRDefault="008A0745" w:rsidP="00505CE7">
      <w:pPr>
        <w:pStyle w:val="ONUME"/>
        <w:numPr>
          <w:ilvl w:val="0"/>
          <w:numId w:val="0"/>
        </w:numPr>
        <w:rPr>
          <w:lang w:val="es-ES_tradnl"/>
        </w:rPr>
      </w:pPr>
    </w:p>
    <w:p w14:paraId="14A98EB1" w14:textId="5FA500EA" w:rsidR="008A0745" w:rsidRPr="00DC4D89" w:rsidRDefault="008A0745" w:rsidP="00505CE7">
      <w:pPr>
        <w:pStyle w:val="ONUME"/>
        <w:numPr>
          <w:ilvl w:val="0"/>
          <w:numId w:val="0"/>
        </w:numPr>
        <w:rPr>
          <w:lang w:val="es-ES_tradnl"/>
        </w:rPr>
      </w:pPr>
    </w:p>
    <w:p w14:paraId="1CB176C3" w14:textId="62ACCC6C" w:rsidR="008A0745" w:rsidRPr="00DC4D89" w:rsidRDefault="008A0745" w:rsidP="008A0745">
      <w:pPr>
        <w:pStyle w:val="ONUME"/>
        <w:numPr>
          <w:ilvl w:val="0"/>
          <w:numId w:val="0"/>
        </w:numPr>
        <w:rPr>
          <w:lang w:val="es-ES_tradnl"/>
        </w:rPr>
      </w:pPr>
    </w:p>
    <w:p w14:paraId="1A2B4898" w14:textId="59CEDCFD" w:rsidR="008A0745" w:rsidRPr="00DC4D89" w:rsidRDefault="008A0745" w:rsidP="008A0745">
      <w:pPr>
        <w:pStyle w:val="ONUME"/>
        <w:numPr>
          <w:ilvl w:val="0"/>
          <w:numId w:val="0"/>
        </w:numPr>
        <w:rPr>
          <w:lang w:val="es-ES_tradnl"/>
        </w:rPr>
      </w:pPr>
    </w:p>
    <w:p w14:paraId="7000B418" w14:textId="6609E2EB" w:rsidR="008A0745" w:rsidRPr="00DC4D89" w:rsidRDefault="008A0745" w:rsidP="008A0745">
      <w:pPr>
        <w:pStyle w:val="ONUME"/>
        <w:numPr>
          <w:ilvl w:val="0"/>
          <w:numId w:val="0"/>
        </w:numPr>
        <w:rPr>
          <w:lang w:val="es-ES_tradnl"/>
        </w:rPr>
      </w:pPr>
    </w:p>
    <w:p w14:paraId="24534849" w14:textId="2F820DDB" w:rsidR="008A0745" w:rsidRPr="00DC4D89" w:rsidRDefault="008A0745" w:rsidP="008A0745">
      <w:pPr>
        <w:pStyle w:val="ONUME"/>
        <w:numPr>
          <w:ilvl w:val="0"/>
          <w:numId w:val="0"/>
        </w:numPr>
        <w:rPr>
          <w:lang w:val="es-ES_tradnl"/>
        </w:rPr>
      </w:pPr>
    </w:p>
    <w:p w14:paraId="2B5A4E38" w14:textId="77777777" w:rsidR="009215F3" w:rsidRPr="00DC4D89" w:rsidRDefault="009215F3" w:rsidP="008A0745">
      <w:pPr>
        <w:pStyle w:val="ONUME"/>
        <w:numPr>
          <w:ilvl w:val="0"/>
          <w:numId w:val="0"/>
        </w:numPr>
        <w:rPr>
          <w:lang w:val="es-ES_tradnl"/>
        </w:rPr>
      </w:pPr>
    </w:p>
    <w:p w14:paraId="6D8A94F9" w14:textId="77777777" w:rsidR="00B835EB" w:rsidRPr="00DC4D89" w:rsidRDefault="00B835EB" w:rsidP="008A0745">
      <w:pPr>
        <w:pStyle w:val="ONUME"/>
        <w:numPr>
          <w:ilvl w:val="0"/>
          <w:numId w:val="0"/>
        </w:numPr>
        <w:rPr>
          <w:lang w:val="es-ES_tradnl"/>
        </w:rPr>
      </w:pPr>
    </w:p>
    <w:p w14:paraId="36783C52" w14:textId="032F4EF1" w:rsidR="00C322FB" w:rsidRPr="00DC4D89" w:rsidRDefault="008644CA" w:rsidP="00F51264">
      <w:pPr>
        <w:pStyle w:val="ONUME"/>
        <w:spacing w:after="240"/>
        <w:rPr>
          <w:spacing w:val="-3"/>
          <w:lang w:val="es-ES_tradnl"/>
        </w:rPr>
      </w:pPr>
      <w:r w:rsidRPr="00DC4D89">
        <w:rPr>
          <w:spacing w:val="-3"/>
          <w:lang w:val="es-ES_tradnl"/>
        </w:rPr>
        <w:lastRenderedPageBreak/>
        <w:t>De conformidad con la Regla 28.2)b) del Reglamento Común</w:t>
      </w:r>
      <w:r w:rsidR="0076210D" w:rsidRPr="00DC4D89">
        <w:rPr>
          <w:lang w:val="es-ES_tradnl"/>
        </w:rPr>
        <w:t xml:space="preserve">, </w:t>
      </w:r>
      <w:r w:rsidRPr="00DC4D89">
        <w:rPr>
          <w:spacing w:val="-3"/>
          <w:lang w:val="es-ES_tradnl"/>
        </w:rPr>
        <w:t xml:space="preserve">el </w:t>
      </w:r>
      <w:r w:rsidR="007D56E8" w:rsidRPr="00DC4D89">
        <w:rPr>
          <w:spacing w:val="-3"/>
          <w:lang w:val="es-ES_tradnl"/>
        </w:rPr>
        <w:t>D</w:t>
      </w:r>
      <w:r w:rsidRPr="00DC4D89">
        <w:rPr>
          <w:spacing w:val="-3"/>
          <w:lang w:val="es-ES_tradnl"/>
        </w:rPr>
        <w:t xml:space="preserve">irector </w:t>
      </w:r>
      <w:r w:rsidR="007D56E8" w:rsidRPr="00DC4D89">
        <w:rPr>
          <w:spacing w:val="-3"/>
          <w:lang w:val="es-ES_tradnl"/>
        </w:rPr>
        <w:t>G</w:t>
      </w:r>
      <w:r w:rsidRPr="00DC4D89">
        <w:rPr>
          <w:spacing w:val="-3"/>
          <w:lang w:val="es-ES_tradnl"/>
        </w:rPr>
        <w:t xml:space="preserve">eneral de la </w:t>
      </w:r>
      <w:r w:rsidR="007D56E8" w:rsidRPr="00DC4D89">
        <w:rPr>
          <w:spacing w:val="-3"/>
          <w:lang w:val="es-ES_tradnl"/>
        </w:rPr>
        <w:t>Organiza</w:t>
      </w:r>
      <w:r w:rsidR="007D56E8" w:rsidRPr="00DC4D89">
        <w:rPr>
          <w:lang w:val="es-ES_tradnl"/>
        </w:rPr>
        <w:t>ción Mundial de la Propiedad Intelectual (</w:t>
      </w:r>
      <w:r w:rsidRPr="00DC4D89">
        <w:rPr>
          <w:spacing w:val="-3"/>
          <w:lang w:val="es-ES_tradnl"/>
        </w:rPr>
        <w:t>OMPI</w:t>
      </w:r>
      <w:r w:rsidR="007D56E8" w:rsidRPr="00DC4D89">
        <w:rPr>
          <w:spacing w:val="-3"/>
          <w:lang w:val="es-ES_tradnl"/>
        </w:rPr>
        <w:t>)</w:t>
      </w:r>
      <w:r w:rsidR="002E0D21" w:rsidRPr="00DC4D89">
        <w:rPr>
          <w:spacing w:val="-3"/>
          <w:lang w:val="es-ES_tradnl"/>
        </w:rPr>
        <w:t xml:space="preserve"> ha establecido</w:t>
      </w:r>
      <w:r w:rsidRPr="00DC4D89">
        <w:rPr>
          <w:spacing w:val="-3"/>
          <w:lang w:val="es-ES_tradnl"/>
        </w:rPr>
        <w:t xml:space="preserve">, </w:t>
      </w:r>
      <w:r w:rsidR="002E0D21" w:rsidRPr="00DC4D89">
        <w:rPr>
          <w:spacing w:val="-3"/>
          <w:lang w:val="es-ES_tradnl"/>
        </w:rPr>
        <w:t>tras</w:t>
      </w:r>
      <w:r w:rsidRPr="00DC4D89">
        <w:rPr>
          <w:spacing w:val="-3"/>
          <w:lang w:val="es-ES_tradnl"/>
        </w:rPr>
        <w:t xml:space="preserve"> consulta con el Instituto Mexicano de la Propiedad Industrial (IMPI)</w:t>
      </w:r>
      <w:r w:rsidR="0076210D" w:rsidRPr="00DC4D89">
        <w:rPr>
          <w:lang w:val="es-ES_tradnl"/>
        </w:rPr>
        <w:t xml:space="preserve">, </w:t>
      </w:r>
      <w:r w:rsidR="005321A1" w:rsidRPr="00DC4D89">
        <w:rPr>
          <w:lang w:val="es-ES_tradnl"/>
        </w:rPr>
        <w:t xml:space="preserve">las cuantías </w:t>
      </w:r>
      <w:r w:rsidRPr="00DC4D89">
        <w:rPr>
          <w:lang w:val="es-ES_tradnl"/>
        </w:rPr>
        <w:t>de la tasa de designación individual pagader</w:t>
      </w:r>
      <w:r w:rsidR="005321A1" w:rsidRPr="00DC4D89">
        <w:rPr>
          <w:lang w:val="es-ES_tradnl"/>
        </w:rPr>
        <w:t>a</w:t>
      </w:r>
      <w:r w:rsidRPr="00DC4D89">
        <w:rPr>
          <w:lang w:val="es-ES_tradnl"/>
        </w:rPr>
        <w:t>s en relación con toda solicitud internacional en la que se designe a México y en relación con la renovación de todo registro internacional en el que se designe a México, a saber</w:t>
      </w:r>
      <w:r w:rsidRPr="00DC4D89">
        <w:rPr>
          <w:spacing w:val="-3"/>
          <w:lang w:val="es-ES_tradnl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4819"/>
        <w:gridCol w:w="1985"/>
      </w:tblGrid>
      <w:tr w:rsidR="00D80262" w:rsidRPr="00DC4D89" w14:paraId="1734D743" w14:textId="77777777" w:rsidTr="007922B2">
        <w:trPr>
          <w:trHeight w:val="764"/>
        </w:trPr>
        <w:tc>
          <w:tcPr>
            <w:tcW w:w="7400" w:type="dxa"/>
            <w:gridSpan w:val="2"/>
            <w:vAlign w:val="center"/>
          </w:tcPr>
          <w:p w14:paraId="5BC20C6F" w14:textId="2C560C45" w:rsidR="00D80262" w:rsidRPr="00DC4D89" w:rsidRDefault="006B4C1B" w:rsidP="00F51264">
            <w:pPr>
              <w:keepNext/>
              <w:keepLines/>
              <w:jc w:val="center"/>
              <w:rPr>
                <w:b/>
                <w:lang w:val="es-ES_tradnl"/>
              </w:rPr>
            </w:pPr>
            <w:r w:rsidRPr="00DC4D89">
              <w:rPr>
                <w:b/>
                <w:lang w:val="es-ES_tradnl"/>
              </w:rPr>
              <w:t>Tasa de Designación Individual</w:t>
            </w:r>
          </w:p>
        </w:tc>
        <w:tc>
          <w:tcPr>
            <w:tcW w:w="1985" w:type="dxa"/>
            <w:vAlign w:val="center"/>
          </w:tcPr>
          <w:p w14:paraId="3E63D6D1" w14:textId="56EC4759" w:rsidR="00D80262" w:rsidRPr="00DC4D89" w:rsidRDefault="00EB149E" w:rsidP="00F51264">
            <w:pPr>
              <w:keepNext/>
              <w:keepLines/>
              <w:spacing w:before="120"/>
              <w:jc w:val="center"/>
              <w:rPr>
                <w:b/>
                <w:lang w:val="es-ES_tradnl"/>
              </w:rPr>
            </w:pPr>
            <w:r w:rsidRPr="00DC4D89">
              <w:rPr>
                <w:b/>
                <w:lang w:val="es-ES_tradnl"/>
              </w:rPr>
              <w:t>Cuantía</w:t>
            </w:r>
            <w:r w:rsidR="0086721F" w:rsidRPr="00DC4D89">
              <w:rPr>
                <w:b/>
                <w:lang w:val="es-ES_tradnl"/>
              </w:rPr>
              <w:t>s</w:t>
            </w:r>
            <w:r w:rsidRPr="00DC4D89">
              <w:rPr>
                <w:b/>
                <w:lang w:val="es-ES_tradnl"/>
              </w:rPr>
              <w:t xml:space="preserve"> </w:t>
            </w:r>
            <w:r w:rsidR="00F51264" w:rsidRPr="00DC4D89">
              <w:rPr>
                <w:lang w:val="es-ES_tradnl"/>
              </w:rPr>
              <w:t>(en </w:t>
            </w:r>
            <w:r w:rsidR="006B4C1B" w:rsidRPr="00DC4D89">
              <w:rPr>
                <w:lang w:val="es-ES_tradnl"/>
              </w:rPr>
              <w:t>francos suizos</w:t>
            </w:r>
            <w:r w:rsidR="00D80262" w:rsidRPr="00DC4D89">
              <w:rPr>
                <w:lang w:val="es-ES_tradnl"/>
              </w:rPr>
              <w:t>)</w:t>
            </w:r>
          </w:p>
        </w:tc>
      </w:tr>
      <w:tr w:rsidR="00D022A2" w:rsidRPr="00DC4D89" w14:paraId="6A040C27" w14:textId="77777777" w:rsidTr="001E2AF9">
        <w:trPr>
          <w:trHeight w:val="414"/>
        </w:trPr>
        <w:tc>
          <w:tcPr>
            <w:tcW w:w="2581" w:type="dxa"/>
            <w:vMerge w:val="restart"/>
            <w:vAlign w:val="center"/>
          </w:tcPr>
          <w:p w14:paraId="6132D5D1" w14:textId="2DFA1231" w:rsidR="00D022A2" w:rsidRPr="00DC4D89" w:rsidRDefault="001B748E" w:rsidP="005A0932">
            <w:pPr>
              <w:rPr>
                <w:lang w:val="es-ES_tradnl"/>
              </w:rPr>
            </w:pPr>
            <w:r w:rsidRPr="00DC4D89">
              <w:rPr>
                <w:lang w:val="es-ES_tradnl"/>
              </w:rPr>
              <w:t>Solicitud internacional</w:t>
            </w:r>
          </w:p>
        </w:tc>
        <w:tc>
          <w:tcPr>
            <w:tcW w:w="4819" w:type="dxa"/>
          </w:tcPr>
          <w:p w14:paraId="3E9BEAD5" w14:textId="30181AFA" w:rsidR="0004684E" w:rsidRPr="00DC4D89" w:rsidRDefault="001B748E" w:rsidP="00737D94">
            <w:pPr>
              <w:pStyle w:val="Heading3"/>
              <w:spacing w:before="120" w:after="240"/>
              <w:rPr>
                <w:lang w:val="es-ES_tradnl"/>
              </w:rPr>
            </w:pPr>
            <w:r w:rsidRPr="00DC4D89">
              <w:rPr>
                <w:lang w:val="es-ES_tradnl"/>
              </w:rPr>
              <w:t>Primera parte</w:t>
            </w:r>
          </w:p>
          <w:p w14:paraId="3B7E72E4" w14:textId="4CDF030F" w:rsidR="007B3691" w:rsidRPr="00DC4D89" w:rsidRDefault="007B3691" w:rsidP="00737D94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ind w:left="319" w:hanging="319"/>
              <w:rPr>
                <w:lang w:val="es-ES_tradnl"/>
              </w:rPr>
            </w:pPr>
            <w:r w:rsidRPr="00DC4D89">
              <w:rPr>
                <w:lang w:val="es-ES_tradnl"/>
              </w:rPr>
              <w:t>cuantía por defecto por un dibujo o modelo</w:t>
            </w:r>
          </w:p>
          <w:p w14:paraId="22853BAE" w14:textId="77777777" w:rsidR="00A1589D" w:rsidRPr="00DC4D89" w:rsidRDefault="00A1589D" w:rsidP="00A1589D">
            <w:pPr>
              <w:pStyle w:val="ListParagraph"/>
              <w:spacing w:before="120" w:after="120" w:line="240" w:lineRule="auto"/>
              <w:ind w:left="319"/>
              <w:rPr>
                <w:sz w:val="16"/>
                <w:szCs w:val="16"/>
                <w:lang w:val="es-ES_tradnl"/>
              </w:rPr>
            </w:pPr>
          </w:p>
          <w:p w14:paraId="71E537A5" w14:textId="0B555CD8" w:rsidR="007C13A2" w:rsidRPr="00DC4D89" w:rsidRDefault="0086721F" w:rsidP="00737D94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ind w:left="319" w:hanging="319"/>
              <w:rPr>
                <w:lang w:val="es-ES_tradnl"/>
              </w:rPr>
            </w:pPr>
            <w:r w:rsidRPr="00DC4D89">
              <w:rPr>
                <w:lang w:val="es-ES_tradnl"/>
              </w:rPr>
              <w:t>c</w:t>
            </w:r>
            <w:r w:rsidR="004277D2" w:rsidRPr="00DC4D89">
              <w:rPr>
                <w:lang w:val="es-ES_tradnl"/>
              </w:rPr>
              <w:t>uantía</w:t>
            </w:r>
            <w:r w:rsidR="001B748E" w:rsidRPr="00DC4D89">
              <w:rPr>
                <w:lang w:val="es-ES_tradnl"/>
              </w:rPr>
              <w:t xml:space="preserve"> por defecto por cada dibujo o modelo adicional</w:t>
            </w:r>
          </w:p>
          <w:p w14:paraId="783D69DD" w14:textId="77777777" w:rsidR="0086721F" w:rsidRPr="00DC4D89" w:rsidRDefault="0086721F">
            <w:pPr>
              <w:rPr>
                <w:lang w:val="es-ES_tradnl"/>
              </w:rPr>
            </w:pPr>
          </w:p>
          <w:p w14:paraId="3E022020" w14:textId="3BE3D481" w:rsidR="007C13A2" w:rsidRPr="00DC4D89" w:rsidRDefault="0086721F">
            <w:pPr>
              <w:pStyle w:val="ListParagraph"/>
              <w:keepNext/>
              <w:keepLines/>
              <w:numPr>
                <w:ilvl w:val="0"/>
                <w:numId w:val="13"/>
              </w:numPr>
              <w:tabs>
                <w:tab w:val="left" w:pos="317"/>
              </w:tabs>
              <w:spacing w:after="120" w:line="240" w:lineRule="auto"/>
              <w:ind w:left="315" w:hanging="315"/>
              <w:contextualSpacing w:val="0"/>
              <w:rPr>
                <w:lang w:val="es-ES_tradnl"/>
              </w:rPr>
            </w:pPr>
            <w:r w:rsidRPr="00DC4D89">
              <w:rPr>
                <w:lang w:val="es-ES_tradnl"/>
              </w:rPr>
              <w:t>c</w:t>
            </w:r>
            <w:r w:rsidR="004277D2" w:rsidRPr="00DC4D89">
              <w:rPr>
                <w:lang w:val="es-ES_tradnl"/>
              </w:rPr>
              <w:t>uantía</w:t>
            </w:r>
            <w:r w:rsidR="001B748E" w:rsidRPr="00DC4D89">
              <w:rPr>
                <w:lang w:val="es-ES_tradnl"/>
              </w:rPr>
              <w:t xml:space="preserve"> reducid</w:t>
            </w:r>
            <w:r w:rsidR="00D03755" w:rsidRPr="00DC4D89">
              <w:rPr>
                <w:lang w:val="es-ES_tradnl"/>
              </w:rPr>
              <w:t>a</w:t>
            </w:r>
            <w:r w:rsidR="001B748E" w:rsidRPr="00DC4D89">
              <w:rPr>
                <w:lang w:val="es-ES_tradnl"/>
              </w:rPr>
              <w:t xml:space="preserve"> por un dibujo o modelo</w:t>
            </w:r>
          </w:p>
          <w:p w14:paraId="72974EAE" w14:textId="24F30BDF" w:rsidR="007C13A2" w:rsidRPr="00DC4D89" w:rsidRDefault="0086721F" w:rsidP="00737D94">
            <w:pPr>
              <w:pStyle w:val="ListParagraph"/>
              <w:keepNext/>
              <w:keepLines/>
              <w:numPr>
                <w:ilvl w:val="0"/>
                <w:numId w:val="13"/>
              </w:numPr>
              <w:tabs>
                <w:tab w:val="left" w:pos="317"/>
              </w:tabs>
              <w:spacing w:after="120" w:line="240" w:lineRule="auto"/>
              <w:ind w:left="315" w:hanging="315"/>
              <w:contextualSpacing w:val="0"/>
              <w:rPr>
                <w:lang w:val="es-ES_tradnl"/>
              </w:rPr>
            </w:pPr>
            <w:r w:rsidRPr="00DC4D89">
              <w:rPr>
                <w:lang w:val="es-ES_tradnl"/>
              </w:rPr>
              <w:t>c</w:t>
            </w:r>
            <w:r w:rsidR="004277D2" w:rsidRPr="00DC4D89">
              <w:rPr>
                <w:lang w:val="es-ES_tradnl"/>
              </w:rPr>
              <w:t>uantía</w:t>
            </w:r>
            <w:r w:rsidR="001B748E" w:rsidRPr="00DC4D89">
              <w:rPr>
                <w:lang w:val="es-ES_tradnl"/>
              </w:rPr>
              <w:t xml:space="preserve"> </w:t>
            </w:r>
            <w:r w:rsidR="00D03755" w:rsidRPr="00DC4D89">
              <w:rPr>
                <w:lang w:val="es-ES_tradnl"/>
              </w:rPr>
              <w:t xml:space="preserve">reducida </w:t>
            </w:r>
            <w:r w:rsidR="001B748E" w:rsidRPr="00DC4D89">
              <w:rPr>
                <w:lang w:val="es-ES_tradnl"/>
              </w:rPr>
              <w:t xml:space="preserve">por cada dibujo o modelo </w:t>
            </w:r>
            <w:r w:rsidR="0049525B" w:rsidRPr="00DC4D89">
              <w:rPr>
                <w:lang w:val="es-ES_tradnl"/>
              </w:rPr>
              <w:tab/>
            </w:r>
            <w:r w:rsidR="001B748E" w:rsidRPr="00DC4D89">
              <w:rPr>
                <w:lang w:val="es-ES_tradnl"/>
              </w:rPr>
              <w:t>adicional</w:t>
            </w:r>
          </w:p>
        </w:tc>
        <w:tc>
          <w:tcPr>
            <w:tcW w:w="1985" w:type="dxa"/>
          </w:tcPr>
          <w:p w14:paraId="231B741E" w14:textId="77777777" w:rsidR="00A1589D" w:rsidRPr="00DC4D89" w:rsidRDefault="00A1589D" w:rsidP="00A1589D">
            <w:pPr>
              <w:tabs>
                <w:tab w:val="left" w:pos="1021"/>
              </w:tabs>
              <w:spacing w:before="240"/>
              <w:ind w:right="743"/>
              <w:jc w:val="right"/>
              <w:rPr>
                <w:sz w:val="16"/>
                <w:szCs w:val="16"/>
                <w:lang w:val="es-ES_tradnl"/>
              </w:rPr>
            </w:pPr>
          </w:p>
          <w:p w14:paraId="29EA4F13" w14:textId="44DB0B17" w:rsidR="0004684E" w:rsidRPr="00DC4D89" w:rsidRDefault="00A1589D" w:rsidP="00A1589D">
            <w:pPr>
              <w:spacing w:before="120"/>
              <w:ind w:right="743"/>
              <w:jc w:val="right"/>
              <w:rPr>
                <w:lang w:val="es-ES_tradnl"/>
              </w:rPr>
            </w:pPr>
            <w:r w:rsidRPr="00DC4D89">
              <w:rPr>
                <w:lang w:val="es-ES_tradnl"/>
              </w:rPr>
              <w:t xml:space="preserve">  </w:t>
            </w:r>
            <w:r w:rsidR="0004684E" w:rsidRPr="00DC4D89">
              <w:rPr>
                <w:lang w:val="es-ES_tradnl"/>
              </w:rPr>
              <w:t>116</w:t>
            </w:r>
            <w:r w:rsidR="0004684E" w:rsidRPr="00DC4D89">
              <w:rPr>
                <w:lang w:val="es-ES_tradnl"/>
              </w:rPr>
              <w:br/>
            </w:r>
            <w:r w:rsidR="0004684E" w:rsidRPr="00DC4D89">
              <w:rPr>
                <w:lang w:val="es-ES_tradnl"/>
              </w:rPr>
              <w:br/>
            </w:r>
            <w:r w:rsidRPr="00DC4D89">
              <w:rPr>
                <w:lang w:val="es-ES_tradnl"/>
              </w:rPr>
              <w:t xml:space="preserve"> </w:t>
            </w:r>
            <w:r w:rsidR="0004684E" w:rsidRPr="00DC4D89">
              <w:rPr>
                <w:lang w:val="es-ES_tradnl"/>
              </w:rPr>
              <w:t>4</w:t>
            </w:r>
          </w:p>
          <w:p w14:paraId="37CAB1C3" w14:textId="3CA0AE4E" w:rsidR="0086721F" w:rsidRPr="00DC4D89" w:rsidRDefault="0086721F" w:rsidP="00A1589D">
            <w:pPr>
              <w:spacing w:before="120"/>
              <w:rPr>
                <w:lang w:val="es-ES_tradnl"/>
              </w:rPr>
            </w:pPr>
          </w:p>
          <w:p w14:paraId="7B4BAA4B" w14:textId="77777777" w:rsidR="00047565" w:rsidRPr="00DC4D89" w:rsidRDefault="00047565" w:rsidP="003A6BE4">
            <w:pPr>
              <w:rPr>
                <w:lang w:val="es-ES_tradnl"/>
              </w:rPr>
            </w:pPr>
          </w:p>
          <w:p w14:paraId="4C3077CB" w14:textId="68EA9C6A" w:rsidR="00AA60C1" w:rsidRPr="00DC4D89" w:rsidRDefault="00A1589D" w:rsidP="003A6BE4">
            <w:pPr>
              <w:jc w:val="center"/>
              <w:rPr>
                <w:lang w:val="es-ES_tradnl"/>
              </w:rPr>
            </w:pPr>
            <w:r w:rsidRPr="00DC4D89">
              <w:rPr>
                <w:lang w:val="es-ES_tradnl"/>
              </w:rPr>
              <w:t xml:space="preserve"> </w:t>
            </w:r>
            <w:r w:rsidR="003A6BE4" w:rsidRPr="00DC4D89">
              <w:rPr>
                <w:lang w:val="es-ES_tradnl"/>
              </w:rPr>
              <w:t>58</w:t>
            </w:r>
          </w:p>
          <w:p w14:paraId="25347F4A" w14:textId="1BF6AFC8" w:rsidR="00AA60C1" w:rsidRPr="00DC4D89" w:rsidRDefault="00A1589D" w:rsidP="00A1589D">
            <w:pPr>
              <w:keepNext/>
              <w:keepLines/>
              <w:tabs>
                <w:tab w:val="left" w:pos="317"/>
              </w:tabs>
              <w:spacing w:before="120" w:after="120"/>
              <w:ind w:right="-249"/>
              <w:rPr>
                <w:lang w:val="es-ES_tradnl"/>
              </w:rPr>
            </w:pPr>
            <w:r w:rsidRPr="00DC4D89">
              <w:rPr>
                <w:lang w:val="es-ES_tradnl"/>
              </w:rPr>
              <w:tab/>
            </w:r>
            <w:r w:rsidRPr="00DC4D89">
              <w:rPr>
                <w:lang w:val="es-ES_tradnl"/>
              </w:rPr>
              <w:tab/>
              <w:t xml:space="preserve">      </w:t>
            </w:r>
            <w:r w:rsidR="003A6BE4" w:rsidRPr="00DC4D89">
              <w:rPr>
                <w:lang w:val="es-ES_tradnl"/>
              </w:rPr>
              <w:t>2</w:t>
            </w:r>
          </w:p>
        </w:tc>
      </w:tr>
      <w:tr w:rsidR="007C13A2" w:rsidRPr="00DC4D89" w14:paraId="30E99A44" w14:textId="77777777" w:rsidTr="001E2AF9">
        <w:trPr>
          <w:trHeight w:val="413"/>
        </w:trPr>
        <w:tc>
          <w:tcPr>
            <w:tcW w:w="2581" w:type="dxa"/>
            <w:vMerge/>
            <w:vAlign w:val="center"/>
          </w:tcPr>
          <w:p w14:paraId="38531EF1" w14:textId="77777777" w:rsidR="007C13A2" w:rsidRPr="00DC4D89" w:rsidRDefault="007C13A2" w:rsidP="007C13A2">
            <w:pPr>
              <w:rPr>
                <w:lang w:val="es-ES_tradnl"/>
              </w:rPr>
            </w:pPr>
          </w:p>
        </w:tc>
        <w:tc>
          <w:tcPr>
            <w:tcW w:w="4819" w:type="dxa"/>
          </w:tcPr>
          <w:p w14:paraId="67D6D72B" w14:textId="3558F05B" w:rsidR="007C13A2" w:rsidRPr="00DC4D89" w:rsidRDefault="007C13A2" w:rsidP="00047565">
            <w:pPr>
              <w:pStyle w:val="Heading3"/>
              <w:spacing w:before="120" w:after="240"/>
              <w:rPr>
                <w:lang w:val="es-ES_tradnl"/>
              </w:rPr>
            </w:pPr>
            <w:r w:rsidRPr="00DC4D89">
              <w:rPr>
                <w:lang w:val="es-ES_tradnl"/>
              </w:rPr>
              <w:t>Se</w:t>
            </w:r>
            <w:r w:rsidR="001B748E" w:rsidRPr="00DC4D89">
              <w:rPr>
                <w:lang w:val="es-ES_tradnl"/>
              </w:rPr>
              <w:t>gunda parte</w:t>
            </w:r>
            <w:r w:rsidRPr="00DC4D89">
              <w:rPr>
                <w:lang w:val="es-ES_tradnl"/>
              </w:rPr>
              <w:t>:</w:t>
            </w:r>
          </w:p>
          <w:p w14:paraId="380981BC" w14:textId="7E57A743" w:rsidR="005544E3" w:rsidRPr="00DC4D89" w:rsidRDefault="007C13A2" w:rsidP="00047565">
            <w:pPr>
              <w:tabs>
                <w:tab w:val="left" w:pos="317"/>
              </w:tabs>
              <w:spacing w:before="120"/>
              <w:rPr>
                <w:lang w:val="es-ES_tradnl"/>
              </w:rPr>
            </w:pPr>
            <w:r w:rsidRPr="00DC4D89">
              <w:rPr>
                <w:lang w:val="es-ES_tradnl"/>
              </w:rPr>
              <w:t>–</w:t>
            </w:r>
            <w:r w:rsidRPr="00DC4D89">
              <w:rPr>
                <w:lang w:val="es-ES_tradnl"/>
              </w:rPr>
              <w:tab/>
            </w:r>
            <w:r w:rsidR="0086721F" w:rsidRPr="00DC4D89">
              <w:rPr>
                <w:lang w:val="es-ES_tradnl"/>
              </w:rPr>
              <w:t>c</w:t>
            </w:r>
            <w:r w:rsidR="00D03755" w:rsidRPr="00DC4D89">
              <w:rPr>
                <w:lang w:val="es-ES_tradnl"/>
              </w:rPr>
              <w:t>uantía</w:t>
            </w:r>
            <w:r w:rsidR="001B748E" w:rsidRPr="00DC4D89">
              <w:rPr>
                <w:lang w:val="es-ES_tradnl"/>
              </w:rPr>
              <w:t xml:space="preserve"> por defecto</w:t>
            </w:r>
          </w:p>
          <w:p w14:paraId="5FC2DF76" w14:textId="2FE81832" w:rsidR="007C13A2" w:rsidRPr="00DC4D89" w:rsidRDefault="007C13A2" w:rsidP="00047565">
            <w:pPr>
              <w:tabs>
                <w:tab w:val="left" w:pos="317"/>
              </w:tabs>
              <w:spacing w:before="120"/>
              <w:rPr>
                <w:lang w:val="es-ES_tradnl"/>
              </w:rPr>
            </w:pPr>
            <w:r w:rsidRPr="00DC4D89">
              <w:rPr>
                <w:lang w:val="es-ES_tradnl"/>
              </w:rPr>
              <w:t>–</w:t>
            </w:r>
            <w:r w:rsidRPr="00DC4D89">
              <w:rPr>
                <w:lang w:val="es-ES_tradnl"/>
              </w:rPr>
              <w:tab/>
            </w:r>
            <w:r w:rsidR="0086721F" w:rsidRPr="00DC4D89">
              <w:rPr>
                <w:lang w:val="es-ES_tradnl"/>
              </w:rPr>
              <w:t>c</w:t>
            </w:r>
            <w:r w:rsidR="00D03755" w:rsidRPr="00DC4D89">
              <w:rPr>
                <w:lang w:val="es-ES_tradnl"/>
              </w:rPr>
              <w:t>uantía</w:t>
            </w:r>
            <w:r w:rsidR="001B748E" w:rsidRPr="00DC4D89">
              <w:rPr>
                <w:lang w:val="es-ES_tradnl"/>
              </w:rPr>
              <w:t xml:space="preserve"> reducid</w:t>
            </w:r>
            <w:r w:rsidR="00D03755" w:rsidRPr="00DC4D89">
              <w:rPr>
                <w:lang w:val="es-ES_tradnl"/>
              </w:rPr>
              <w:t>a</w:t>
            </w:r>
          </w:p>
        </w:tc>
        <w:tc>
          <w:tcPr>
            <w:tcW w:w="1985" w:type="dxa"/>
          </w:tcPr>
          <w:p w14:paraId="722C75B6" w14:textId="52C1B097" w:rsidR="005544E3" w:rsidRPr="00DC4D89" w:rsidRDefault="005544E3" w:rsidP="0004684E">
            <w:pPr>
              <w:pStyle w:val="Heading3"/>
              <w:rPr>
                <w:lang w:val="es-ES_tradnl"/>
              </w:rPr>
            </w:pPr>
          </w:p>
          <w:p w14:paraId="2EF4461A" w14:textId="2E6B0A81" w:rsidR="0004684E" w:rsidRPr="00DC4D89" w:rsidRDefault="0004684E" w:rsidP="0004684E">
            <w:pPr>
              <w:jc w:val="center"/>
              <w:rPr>
                <w:lang w:val="es-ES_tradnl"/>
              </w:rPr>
            </w:pPr>
            <w:r w:rsidRPr="00DC4D89">
              <w:rPr>
                <w:lang w:val="es-ES_tradnl"/>
              </w:rPr>
              <w:t>334</w:t>
            </w:r>
          </w:p>
          <w:p w14:paraId="2EACA959" w14:textId="2E6B0A81" w:rsidR="007C13A2" w:rsidRPr="00DC4D89" w:rsidRDefault="005544E3" w:rsidP="0004684E">
            <w:pPr>
              <w:tabs>
                <w:tab w:val="left" w:pos="317"/>
              </w:tabs>
              <w:spacing w:before="120" w:after="120"/>
              <w:jc w:val="center"/>
              <w:rPr>
                <w:lang w:val="es-ES_tradnl"/>
              </w:rPr>
            </w:pPr>
            <w:r w:rsidRPr="00DC4D89">
              <w:rPr>
                <w:lang w:val="es-ES_tradnl"/>
              </w:rPr>
              <w:t>167</w:t>
            </w:r>
          </w:p>
        </w:tc>
      </w:tr>
      <w:tr w:rsidR="007C13A2" w:rsidRPr="00DC4D89" w14:paraId="7D35640B" w14:textId="77777777" w:rsidTr="00047565">
        <w:trPr>
          <w:trHeight w:val="1070"/>
        </w:trPr>
        <w:tc>
          <w:tcPr>
            <w:tcW w:w="2581" w:type="dxa"/>
            <w:vAlign w:val="center"/>
          </w:tcPr>
          <w:p w14:paraId="0CD001DE" w14:textId="3A3DB3BB" w:rsidR="007C13A2" w:rsidRPr="00DC4D89" w:rsidRDefault="007C13A2" w:rsidP="001B748E">
            <w:pPr>
              <w:rPr>
                <w:lang w:val="es-ES_tradnl"/>
              </w:rPr>
            </w:pPr>
            <w:r w:rsidRPr="00DC4D89">
              <w:rPr>
                <w:lang w:val="es-ES_tradnl"/>
              </w:rPr>
              <w:t>Ren</w:t>
            </w:r>
            <w:r w:rsidR="001B748E" w:rsidRPr="00DC4D89">
              <w:rPr>
                <w:lang w:val="es-ES_tradnl"/>
              </w:rPr>
              <w:t>ovación</w:t>
            </w:r>
          </w:p>
        </w:tc>
        <w:tc>
          <w:tcPr>
            <w:tcW w:w="4819" w:type="dxa"/>
          </w:tcPr>
          <w:p w14:paraId="22E448FD" w14:textId="4AE9AFC0" w:rsidR="007C13A2" w:rsidRPr="00DC4D89" w:rsidRDefault="007C13A2" w:rsidP="00047565">
            <w:pPr>
              <w:pStyle w:val="Heading3"/>
              <w:tabs>
                <w:tab w:val="left" w:pos="319"/>
              </w:tabs>
              <w:spacing w:before="120" w:after="0"/>
              <w:rPr>
                <w:u w:val="none"/>
                <w:lang w:val="es-ES_tradnl"/>
              </w:rPr>
            </w:pPr>
            <w:r w:rsidRPr="00DC4D89">
              <w:rPr>
                <w:u w:val="none"/>
                <w:lang w:val="es-ES_tradnl"/>
              </w:rPr>
              <w:t>–</w:t>
            </w:r>
            <w:r w:rsidRPr="00DC4D89">
              <w:rPr>
                <w:u w:val="none"/>
                <w:lang w:val="es-ES_tradnl"/>
              </w:rPr>
              <w:tab/>
            </w:r>
            <w:r w:rsidR="0086721F" w:rsidRPr="00DC4D89">
              <w:rPr>
                <w:u w:val="none"/>
                <w:lang w:val="es-ES_tradnl"/>
              </w:rPr>
              <w:t>c</w:t>
            </w:r>
            <w:r w:rsidR="00D03755" w:rsidRPr="00DC4D89">
              <w:rPr>
                <w:u w:val="none"/>
                <w:lang w:val="es-ES_tradnl"/>
              </w:rPr>
              <w:t xml:space="preserve">uantía </w:t>
            </w:r>
            <w:r w:rsidR="001B748E" w:rsidRPr="00DC4D89">
              <w:rPr>
                <w:u w:val="none"/>
                <w:lang w:val="es-ES_tradnl"/>
              </w:rPr>
              <w:t xml:space="preserve">por defecto por cada dibujo o </w:t>
            </w:r>
            <w:r w:rsidR="0049525B" w:rsidRPr="00DC4D89">
              <w:rPr>
                <w:u w:val="none"/>
                <w:lang w:val="es-ES_tradnl"/>
              </w:rPr>
              <w:tab/>
            </w:r>
            <w:r w:rsidR="001B748E" w:rsidRPr="00DC4D89">
              <w:rPr>
                <w:u w:val="none"/>
                <w:lang w:val="es-ES_tradnl"/>
              </w:rPr>
              <w:t>modelo</w:t>
            </w:r>
          </w:p>
          <w:p w14:paraId="2AD0D340" w14:textId="4EA39354" w:rsidR="005544E3" w:rsidRPr="00DC4D89" w:rsidRDefault="007C13A2" w:rsidP="00047565">
            <w:pPr>
              <w:tabs>
                <w:tab w:val="left" w:pos="317"/>
              </w:tabs>
              <w:spacing w:before="120"/>
              <w:rPr>
                <w:lang w:val="es-ES_tradnl"/>
              </w:rPr>
            </w:pPr>
            <w:r w:rsidRPr="00DC4D89">
              <w:rPr>
                <w:lang w:val="es-ES_tradnl"/>
              </w:rPr>
              <w:t>–</w:t>
            </w:r>
            <w:r w:rsidRPr="00DC4D89">
              <w:rPr>
                <w:lang w:val="es-ES_tradnl"/>
              </w:rPr>
              <w:tab/>
            </w:r>
            <w:r w:rsidR="0086721F" w:rsidRPr="00DC4D89">
              <w:rPr>
                <w:lang w:val="es-ES_tradnl"/>
              </w:rPr>
              <w:t>c</w:t>
            </w:r>
            <w:r w:rsidR="00D03755" w:rsidRPr="00DC4D89">
              <w:rPr>
                <w:lang w:val="es-ES_tradnl"/>
              </w:rPr>
              <w:t>uantía</w:t>
            </w:r>
            <w:r w:rsidR="001B748E" w:rsidRPr="00DC4D89">
              <w:rPr>
                <w:lang w:val="es-ES_tradnl"/>
              </w:rPr>
              <w:t xml:space="preserve"> reducid</w:t>
            </w:r>
            <w:r w:rsidR="00D03755" w:rsidRPr="00DC4D89">
              <w:rPr>
                <w:lang w:val="es-ES_tradnl"/>
              </w:rPr>
              <w:t>a</w:t>
            </w:r>
            <w:r w:rsidR="001B748E" w:rsidRPr="00DC4D89">
              <w:rPr>
                <w:lang w:val="es-ES_tradnl"/>
              </w:rPr>
              <w:t xml:space="preserve"> por cada dibujo</w:t>
            </w:r>
            <w:r w:rsidR="0049525B" w:rsidRPr="00DC4D89">
              <w:rPr>
                <w:lang w:val="es-ES_tradnl"/>
              </w:rPr>
              <w:t xml:space="preserve"> </w:t>
            </w:r>
            <w:r w:rsidR="001B748E" w:rsidRPr="00DC4D89">
              <w:rPr>
                <w:lang w:val="es-ES_tradnl"/>
              </w:rPr>
              <w:t>o modelo</w:t>
            </w:r>
          </w:p>
        </w:tc>
        <w:tc>
          <w:tcPr>
            <w:tcW w:w="1985" w:type="dxa"/>
          </w:tcPr>
          <w:p w14:paraId="623962DE" w14:textId="25ADE25C" w:rsidR="007C13A2" w:rsidRPr="00DC4D89" w:rsidRDefault="003A6BE4" w:rsidP="00047565">
            <w:pPr>
              <w:pStyle w:val="Heading3"/>
              <w:spacing w:before="120" w:after="360"/>
              <w:jc w:val="center"/>
              <w:rPr>
                <w:u w:val="none"/>
                <w:lang w:val="es-ES_tradnl"/>
              </w:rPr>
            </w:pPr>
            <w:r w:rsidRPr="00DC4D89">
              <w:rPr>
                <w:u w:val="none"/>
                <w:lang w:val="es-ES_tradnl"/>
              </w:rPr>
              <w:t>343</w:t>
            </w:r>
          </w:p>
          <w:p w14:paraId="7A392460" w14:textId="01A231A3" w:rsidR="003A6BE4" w:rsidRPr="00DC4D89" w:rsidRDefault="003A6BE4" w:rsidP="00047565">
            <w:pPr>
              <w:spacing w:before="120"/>
              <w:jc w:val="center"/>
              <w:rPr>
                <w:lang w:val="es-ES_tradnl"/>
              </w:rPr>
            </w:pPr>
            <w:r w:rsidRPr="00DC4D89">
              <w:rPr>
                <w:lang w:val="es-ES_tradnl"/>
              </w:rPr>
              <w:t>171</w:t>
            </w:r>
          </w:p>
        </w:tc>
      </w:tr>
    </w:tbl>
    <w:p w14:paraId="7CECC4DD" w14:textId="60E8ABB4" w:rsidR="00E776F9" w:rsidRPr="00DC4D89" w:rsidRDefault="00E776F9" w:rsidP="00F51264">
      <w:pPr>
        <w:pStyle w:val="ONUME"/>
        <w:spacing w:before="240" w:after="240"/>
        <w:rPr>
          <w:lang w:val="es-ES_tradnl"/>
        </w:rPr>
      </w:pPr>
      <w:r w:rsidRPr="00DC4D89">
        <w:rPr>
          <w:lang w:val="es-ES_tradnl"/>
        </w:rPr>
        <w:t xml:space="preserve">La primera parte de la tasa de designación individual debe pagarse en el momento de la presentación </w:t>
      </w:r>
      <w:r w:rsidR="0020434A" w:rsidRPr="00DC4D89">
        <w:rPr>
          <w:lang w:val="es-ES_tradnl"/>
        </w:rPr>
        <w:t xml:space="preserve">de la solicitud internacional. </w:t>
      </w:r>
      <w:r w:rsidR="006806A1" w:rsidRPr="00DC4D89">
        <w:rPr>
          <w:lang w:val="es-ES_tradnl"/>
        </w:rPr>
        <w:t xml:space="preserve"> </w:t>
      </w:r>
      <w:r w:rsidRPr="00DC4D89">
        <w:rPr>
          <w:lang w:val="es-ES_tradnl"/>
        </w:rPr>
        <w:t xml:space="preserve">La segunda parte </w:t>
      </w:r>
      <w:r w:rsidR="0020434A" w:rsidRPr="00DC4D89">
        <w:rPr>
          <w:lang w:val="es-ES_tradnl"/>
        </w:rPr>
        <w:t>deberá pagarse</w:t>
      </w:r>
      <w:r w:rsidRPr="00DC4D89">
        <w:rPr>
          <w:lang w:val="es-ES_tradnl"/>
        </w:rPr>
        <w:t xml:space="preserve"> cuando el IMPI notifique que el dibujo o modelo industrial objeto del registro internacional cumple los requisitos de protección previstos en la legislación de México. </w:t>
      </w:r>
      <w:r w:rsidR="006119B5" w:rsidRPr="00DC4D89">
        <w:rPr>
          <w:lang w:val="es-ES_tradnl"/>
        </w:rPr>
        <w:t xml:space="preserve"> </w:t>
      </w:r>
      <w:r w:rsidRPr="00DC4D89">
        <w:rPr>
          <w:lang w:val="es-ES_tradnl"/>
        </w:rPr>
        <w:t>Por lo tanto, el pago de la segunda parte se exigirá, si procede, en una fecha posterior</w:t>
      </w:r>
      <w:r w:rsidR="00F81943" w:rsidRPr="00DC4D89">
        <w:rPr>
          <w:lang w:val="es-ES_tradnl"/>
        </w:rPr>
        <w:t>.</w:t>
      </w:r>
    </w:p>
    <w:p w14:paraId="3BB68C71" w14:textId="33D2BA58" w:rsidR="00280C50" w:rsidRPr="00DC4D89" w:rsidRDefault="00280C50" w:rsidP="00F51264">
      <w:pPr>
        <w:pStyle w:val="ONUME"/>
        <w:spacing w:after="240"/>
        <w:rPr>
          <w:lang w:val="es-ES_tradnl"/>
        </w:rPr>
      </w:pPr>
      <w:r w:rsidRPr="00DC4D89">
        <w:rPr>
          <w:lang w:val="es-ES_tradnl"/>
        </w:rPr>
        <w:t>E</w:t>
      </w:r>
      <w:r w:rsidR="0020434A" w:rsidRPr="00DC4D89">
        <w:rPr>
          <w:lang w:val="es-ES_tradnl"/>
        </w:rPr>
        <w:t>l</w:t>
      </w:r>
      <w:r w:rsidRPr="00DC4D89">
        <w:rPr>
          <w:lang w:val="es-ES_tradnl"/>
        </w:rPr>
        <w:t xml:space="preserve"> IMPI indicará el plazo de pago de la segunda parte de la tasa de designación individual mediante un</w:t>
      </w:r>
      <w:r w:rsidR="005169E1" w:rsidRPr="00DC4D89">
        <w:rPr>
          <w:lang w:val="es-ES_tradnl"/>
        </w:rPr>
        <w:t>a</w:t>
      </w:r>
      <w:r w:rsidRPr="00DC4D89">
        <w:rPr>
          <w:lang w:val="es-ES_tradnl"/>
        </w:rPr>
        <w:t xml:space="preserve"> </w:t>
      </w:r>
      <w:r w:rsidR="000368C3" w:rsidRPr="00DC4D89">
        <w:rPr>
          <w:lang w:val="es-ES_tradnl"/>
        </w:rPr>
        <w:t>N</w:t>
      </w:r>
      <w:r w:rsidR="005169E1" w:rsidRPr="00DC4D89">
        <w:rPr>
          <w:lang w:val="es-ES_tradnl"/>
        </w:rPr>
        <w:t>otifica</w:t>
      </w:r>
      <w:r w:rsidR="00737D94" w:rsidRPr="00DC4D89">
        <w:rPr>
          <w:lang w:val="es-ES_tradnl"/>
        </w:rPr>
        <w:t>c</w:t>
      </w:r>
      <w:r w:rsidR="005169E1" w:rsidRPr="00DC4D89">
        <w:rPr>
          <w:lang w:val="es-ES_tradnl"/>
        </w:rPr>
        <w:t xml:space="preserve">ión </w:t>
      </w:r>
      <w:r w:rsidRPr="00DC4D89">
        <w:rPr>
          <w:lang w:val="es-ES_tradnl"/>
        </w:rPr>
        <w:t xml:space="preserve">de </w:t>
      </w:r>
      <w:r w:rsidR="000368C3" w:rsidRPr="00DC4D89">
        <w:rPr>
          <w:lang w:val="es-ES_tradnl"/>
        </w:rPr>
        <w:t>A</w:t>
      </w:r>
      <w:r w:rsidR="002E0D21" w:rsidRPr="00DC4D89">
        <w:rPr>
          <w:lang w:val="es-ES_tradnl"/>
        </w:rPr>
        <w:t>ceptación</w:t>
      </w:r>
      <w:r w:rsidRPr="00DC4D89">
        <w:rPr>
          <w:lang w:val="es-ES_tradnl"/>
        </w:rPr>
        <w:t xml:space="preserve"> y </w:t>
      </w:r>
      <w:r w:rsidR="000368C3" w:rsidRPr="00DC4D89">
        <w:rPr>
          <w:lang w:val="es-ES_tradnl"/>
        </w:rPr>
        <w:t>C</w:t>
      </w:r>
      <w:r w:rsidR="005169E1" w:rsidRPr="00DC4D89">
        <w:rPr>
          <w:lang w:val="es-ES_tradnl"/>
        </w:rPr>
        <w:t>ita a</w:t>
      </w:r>
      <w:r w:rsidR="000368C3" w:rsidRPr="00DC4D89">
        <w:rPr>
          <w:lang w:val="es-ES_tradnl"/>
        </w:rPr>
        <w:t xml:space="preserve"> P</w:t>
      </w:r>
      <w:r w:rsidR="007022CA" w:rsidRPr="00DC4D89">
        <w:rPr>
          <w:lang w:val="es-ES_tradnl"/>
        </w:rPr>
        <w:t>ago</w:t>
      </w:r>
      <w:r w:rsidRPr="00DC4D89">
        <w:rPr>
          <w:lang w:val="es-ES_tradnl"/>
        </w:rPr>
        <w:t>, que se enviará al titular por conducto de la Oficina Internacional de la OMPI respecto de cada uno de los registros internacionales de que se trate.</w:t>
      </w:r>
    </w:p>
    <w:p w14:paraId="6536A4F6" w14:textId="0C230778" w:rsidR="00280C50" w:rsidRPr="00DC4D89" w:rsidRDefault="00280C50" w:rsidP="00F51264">
      <w:pPr>
        <w:pStyle w:val="ONUME"/>
        <w:spacing w:after="240"/>
        <w:rPr>
          <w:lang w:val="es-ES_tradnl"/>
        </w:rPr>
      </w:pPr>
      <w:r w:rsidRPr="00DC4D89">
        <w:rPr>
          <w:lang w:val="es-ES_tradnl"/>
        </w:rPr>
        <w:t>Una vez recibid</w:t>
      </w:r>
      <w:r w:rsidR="000368C3" w:rsidRPr="00DC4D89">
        <w:rPr>
          <w:lang w:val="es-ES_tradnl"/>
        </w:rPr>
        <w:t>o</w:t>
      </w:r>
      <w:r w:rsidRPr="00DC4D89">
        <w:rPr>
          <w:lang w:val="es-ES_tradnl"/>
        </w:rPr>
        <w:t xml:space="preserve"> </w:t>
      </w:r>
      <w:r w:rsidR="000368C3" w:rsidRPr="00DC4D89">
        <w:rPr>
          <w:lang w:val="es-ES_tradnl"/>
        </w:rPr>
        <w:t>el requerimiento de pago</w:t>
      </w:r>
      <w:r w:rsidRPr="00DC4D89">
        <w:rPr>
          <w:lang w:val="es-ES_tradnl"/>
        </w:rPr>
        <w:t xml:space="preserve">, el titular podrá abonar directamente al IMPI, en pesos mexicanos, </w:t>
      </w:r>
      <w:r w:rsidR="00365FF1" w:rsidRPr="00DC4D89">
        <w:rPr>
          <w:lang w:val="es-ES_tradnl"/>
        </w:rPr>
        <w:t xml:space="preserve">la cuantía </w:t>
      </w:r>
      <w:r w:rsidR="000368C3" w:rsidRPr="00DC4D89">
        <w:rPr>
          <w:lang w:val="es-ES_tradnl"/>
        </w:rPr>
        <w:t xml:space="preserve">indicada </w:t>
      </w:r>
      <w:r w:rsidRPr="00DC4D89">
        <w:rPr>
          <w:lang w:val="es-ES_tradnl"/>
        </w:rPr>
        <w:t xml:space="preserve">en la </w:t>
      </w:r>
      <w:r w:rsidR="00737D94" w:rsidRPr="00DC4D89">
        <w:rPr>
          <w:lang w:val="es-ES_tradnl"/>
        </w:rPr>
        <w:t>Notificac</w:t>
      </w:r>
      <w:r w:rsidR="000368C3" w:rsidRPr="00DC4D89">
        <w:rPr>
          <w:lang w:val="es-ES_tradnl"/>
        </w:rPr>
        <w:t>ión de Aceptación y Cita a Pago</w:t>
      </w:r>
      <w:r w:rsidRPr="00DC4D89">
        <w:rPr>
          <w:lang w:val="es-ES_tradnl"/>
        </w:rPr>
        <w:t xml:space="preserve">, o por conducto de la Oficina Internacional de la OMPI, en francos suizos, </w:t>
      </w:r>
      <w:r w:rsidR="00365FF1" w:rsidRPr="00DC4D89">
        <w:rPr>
          <w:lang w:val="es-ES_tradnl"/>
        </w:rPr>
        <w:t xml:space="preserve">la cuantía </w:t>
      </w:r>
      <w:r w:rsidRPr="00DC4D89">
        <w:rPr>
          <w:lang w:val="es-ES_tradnl"/>
        </w:rPr>
        <w:t>especificad</w:t>
      </w:r>
      <w:r w:rsidR="00365FF1" w:rsidRPr="00DC4D89">
        <w:rPr>
          <w:lang w:val="es-ES_tradnl"/>
        </w:rPr>
        <w:t>a</w:t>
      </w:r>
      <w:r w:rsidRPr="00DC4D89">
        <w:rPr>
          <w:lang w:val="es-ES_tradnl"/>
        </w:rPr>
        <w:t xml:space="preserve"> en el presente aviso</w:t>
      </w:r>
      <w:r w:rsidR="0020434A" w:rsidRPr="00DC4D89">
        <w:rPr>
          <w:lang w:val="es-ES_tradnl"/>
        </w:rPr>
        <w:t>.</w:t>
      </w:r>
    </w:p>
    <w:p w14:paraId="79FBAB00" w14:textId="36E23E57" w:rsidR="007022CA" w:rsidRPr="00DC4D89" w:rsidRDefault="007022CA" w:rsidP="00F51264">
      <w:pPr>
        <w:pStyle w:val="ONUME"/>
        <w:spacing w:after="240"/>
        <w:rPr>
          <w:bCs/>
          <w:lang w:val="es-ES_tradnl"/>
        </w:rPr>
      </w:pPr>
      <w:r w:rsidRPr="00DC4D89">
        <w:rPr>
          <w:bCs/>
          <w:lang w:val="es-ES_tradnl"/>
        </w:rPr>
        <w:t xml:space="preserve">Si no se paga íntegramente la segunda parte de la tasa de designación individual en el plazo especificado en la </w:t>
      </w:r>
      <w:r w:rsidR="000368C3" w:rsidRPr="00DC4D89">
        <w:rPr>
          <w:bCs/>
          <w:lang w:val="es-ES_tradnl"/>
        </w:rPr>
        <w:t xml:space="preserve">Notificación </w:t>
      </w:r>
      <w:r w:rsidR="000368C3" w:rsidRPr="00DC4D89">
        <w:rPr>
          <w:lang w:val="es-ES_tradnl"/>
        </w:rPr>
        <w:t>de Aceptación y Cita a Pago</w:t>
      </w:r>
      <w:r w:rsidRPr="00DC4D89">
        <w:rPr>
          <w:bCs/>
          <w:lang w:val="es-ES_tradnl"/>
        </w:rPr>
        <w:t>, el registro internacional podr</w:t>
      </w:r>
      <w:r w:rsidR="00917126" w:rsidRPr="00DC4D89">
        <w:rPr>
          <w:bCs/>
          <w:lang w:val="es-ES_tradnl"/>
        </w:rPr>
        <w:t>ía</w:t>
      </w:r>
      <w:r w:rsidRPr="00DC4D89">
        <w:rPr>
          <w:bCs/>
          <w:lang w:val="es-ES_tradnl"/>
        </w:rPr>
        <w:t xml:space="preserve"> ser cancelado con respecto a México, de conformidad con la </w:t>
      </w:r>
      <w:r w:rsidR="006806A1" w:rsidRPr="00DC4D89">
        <w:rPr>
          <w:bCs/>
          <w:lang w:val="es-ES_tradnl"/>
        </w:rPr>
        <w:t>R</w:t>
      </w:r>
      <w:r w:rsidRPr="00DC4D89">
        <w:rPr>
          <w:bCs/>
          <w:lang w:val="es-ES_tradnl"/>
        </w:rPr>
        <w:t>egla 12.3)d) del Reglamento Común.</w:t>
      </w:r>
    </w:p>
    <w:p w14:paraId="54A05C3E" w14:textId="7AFBD6E9" w:rsidR="00012C9D" w:rsidRPr="00DC4D89" w:rsidRDefault="007022CA">
      <w:pPr>
        <w:pStyle w:val="ONUME"/>
        <w:spacing w:after="480"/>
        <w:rPr>
          <w:lang w:val="es-ES_tradnl"/>
        </w:rPr>
      </w:pPr>
      <w:r w:rsidRPr="00DC4D89">
        <w:rPr>
          <w:bCs/>
          <w:lang w:val="es-ES_tradnl"/>
        </w:rPr>
        <w:t xml:space="preserve">De conformidad con el </w:t>
      </w:r>
      <w:r w:rsidR="006806A1" w:rsidRPr="00DC4D89">
        <w:rPr>
          <w:bCs/>
          <w:lang w:val="es-ES_tradnl"/>
        </w:rPr>
        <w:t>A</w:t>
      </w:r>
      <w:r w:rsidRPr="00DC4D89">
        <w:rPr>
          <w:bCs/>
          <w:lang w:val="es-ES_tradnl"/>
        </w:rPr>
        <w:t xml:space="preserve">rtículo 30.1)i) del Acta de 1999, la declaración </w:t>
      </w:r>
      <w:r w:rsidR="0020434A" w:rsidRPr="00DC4D89">
        <w:rPr>
          <w:bCs/>
          <w:lang w:val="es-ES_tradnl"/>
        </w:rPr>
        <w:t>mencionada</w:t>
      </w:r>
      <w:r w:rsidRPr="00DC4D89">
        <w:rPr>
          <w:bCs/>
          <w:lang w:val="es-ES_tradnl"/>
        </w:rPr>
        <w:t xml:space="preserve"> relativa a la tasa de designación individual entrará en vigor el 6 de junio de 2020.</w:t>
      </w:r>
    </w:p>
    <w:p w14:paraId="26FF8EA4" w14:textId="25A4BC50" w:rsidR="004936FC" w:rsidRPr="00F51264" w:rsidRDefault="00DC4D89" w:rsidP="00F51264">
      <w:pPr>
        <w:pStyle w:val="Endofdocument-Annex"/>
        <w:rPr>
          <w:lang w:val="es-ES_tradnl"/>
        </w:rPr>
      </w:pPr>
      <w:r>
        <w:rPr>
          <w:lang w:val="es-ES_tradnl"/>
        </w:rPr>
        <w:t>27</w:t>
      </w:r>
      <w:r w:rsidR="00F606E7" w:rsidRPr="00DC4D89">
        <w:rPr>
          <w:lang w:val="es-ES_tradnl"/>
        </w:rPr>
        <w:t xml:space="preserve"> de mayo de</w:t>
      </w:r>
      <w:r w:rsidR="00602890" w:rsidRPr="00DC4D89">
        <w:rPr>
          <w:lang w:val="es-ES_tradnl"/>
        </w:rPr>
        <w:t xml:space="preserve"> 20</w:t>
      </w:r>
      <w:r w:rsidR="00624E74" w:rsidRPr="00DC4D89">
        <w:rPr>
          <w:lang w:val="es-ES_tradnl"/>
        </w:rPr>
        <w:t>20</w:t>
      </w:r>
    </w:p>
    <w:sectPr w:rsidR="004936FC" w:rsidRPr="00F51264" w:rsidSect="005169E1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2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A509" w14:textId="77777777" w:rsidR="00606C9C" w:rsidRDefault="00606C9C">
      <w:r>
        <w:separator/>
      </w:r>
    </w:p>
    <w:p w14:paraId="2C3835B8" w14:textId="77777777" w:rsidR="00606C9C" w:rsidRDefault="00606C9C"/>
  </w:endnote>
  <w:endnote w:type="continuationSeparator" w:id="0">
    <w:p w14:paraId="381E86E8" w14:textId="77777777" w:rsidR="00606C9C" w:rsidRDefault="00606C9C" w:rsidP="003B38C1">
      <w:r>
        <w:separator/>
      </w:r>
    </w:p>
    <w:p w14:paraId="062A4395" w14:textId="77777777" w:rsidR="00606C9C" w:rsidRPr="003B38C1" w:rsidRDefault="00606C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1E6F61AE" w14:textId="77777777" w:rsidR="00606C9C" w:rsidRDefault="00606C9C"/>
  </w:endnote>
  <w:endnote w:type="continuationNotice" w:id="1">
    <w:p w14:paraId="3A0A3917" w14:textId="77777777" w:rsidR="00606C9C" w:rsidRPr="003B38C1" w:rsidRDefault="00606C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353D04F1" w14:textId="77777777" w:rsidR="00606C9C" w:rsidRDefault="00606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2B8E1" w14:textId="77777777" w:rsidR="00606C9C" w:rsidRDefault="00606C9C">
      <w:r>
        <w:separator/>
      </w:r>
    </w:p>
    <w:p w14:paraId="254B8DB2" w14:textId="77777777" w:rsidR="00606C9C" w:rsidRDefault="00606C9C"/>
  </w:footnote>
  <w:footnote w:type="continuationSeparator" w:id="0">
    <w:p w14:paraId="14FEF540" w14:textId="77777777" w:rsidR="00606C9C" w:rsidRDefault="00606C9C" w:rsidP="008B60B2">
      <w:r>
        <w:separator/>
      </w:r>
    </w:p>
    <w:p w14:paraId="1413571E" w14:textId="77777777" w:rsidR="00606C9C" w:rsidRPr="00ED77FB" w:rsidRDefault="00606C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4501DC96" w14:textId="77777777" w:rsidR="00606C9C" w:rsidRDefault="00606C9C"/>
  </w:footnote>
  <w:footnote w:type="continuationNotice" w:id="1">
    <w:p w14:paraId="6554A50D" w14:textId="77777777" w:rsidR="00606C9C" w:rsidRPr="00ED77FB" w:rsidRDefault="00606C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7B4CD7A2" w14:textId="77777777" w:rsidR="00606C9C" w:rsidRDefault="00606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813F8" w14:textId="375CE299" w:rsidR="006B2214" w:rsidRPr="00F51264" w:rsidRDefault="0020434A" w:rsidP="006B2214">
    <w:pPr>
      <w:jc w:val="right"/>
      <w:rPr>
        <w:lang w:val="es-ES_tradnl"/>
      </w:rPr>
    </w:pPr>
    <w:r w:rsidRPr="00F51264">
      <w:rPr>
        <w:lang w:val="es-ES_tradnl"/>
      </w:rPr>
      <w:t xml:space="preserve">página </w:t>
    </w:r>
    <w:r w:rsidR="006B2214" w:rsidRPr="00F51264">
      <w:rPr>
        <w:lang w:val="es-ES_tradnl"/>
      </w:rPr>
      <w:fldChar w:fldCharType="begin"/>
    </w:r>
    <w:r w:rsidR="006B2214" w:rsidRPr="00F51264">
      <w:rPr>
        <w:lang w:val="es-ES_tradnl"/>
      </w:rPr>
      <w:instrText xml:space="preserve"> PAGE  \* MERGEFORMAT </w:instrText>
    </w:r>
    <w:r w:rsidR="006B2214" w:rsidRPr="00F51264">
      <w:rPr>
        <w:lang w:val="es-ES_tradnl"/>
      </w:rPr>
      <w:fldChar w:fldCharType="separate"/>
    </w:r>
    <w:r w:rsidR="00DA118C">
      <w:rPr>
        <w:noProof/>
        <w:lang w:val="es-ES_tradnl"/>
      </w:rPr>
      <w:t>2</w:t>
    </w:r>
    <w:r w:rsidR="006B2214" w:rsidRPr="00F51264">
      <w:rPr>
        <w:lang w:val="es-ES_tradnl"/>
      </w:rPr>
      <w:fldChar w:fldCharType="end"/>
    </w:r>
  </w:p>
  <w:p w14:paraId="49BAE1A7" w14:textId="77777777" w:rsidR="006B2214" w:rsidRPr="00F51264" w:rsidRDefault="006B2214" w:rsidP="006B2214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EBA" w14:textId="77777777" w:rsidR="002A513E" w:rsidRDefault="002A513E" w:rsidP="00477D6B">
    <w:pPr>
      <w:jc w:val="right"/>
    </w:pPr>
    <w:bookmarkStart w:id="3" w:name="Code2"/>
    <w:bookmarkEnd w:id="3"/>
  </w:p>
  <w:p w14:paraId="56EEC6F0" w14:textId="4507E501" w:rsidR="002A513E" w:rsidRDefault="0020434A" w:rsidP="00477D6B">
    <w:pPr>
      <w:jc w:val="right"/>
    </w:pPr>
    <w:r>
      <w:t>página</w:t>
    </w:r>
    <w:r w:rsidR="002A513E"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A1589D">
      <w:rPr>
        <w:noProof/>
      </w:rPr>
      <w:t>3</w:t>
    </w:r>
    <w:r w:rsidR="002A513E"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0AC45CA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661B698B"/>
    <w:multiLevelType w:val="hybridMultilevel"/>
    <w:tmpl w:val="716A7AEC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2095F"/>
    <w:rsid w:val="000368C3"/>
    <w:rsid w:val="00037C1A"/>
    <w:rsid w:val="0004020B"/>
    <w:rsid w:val="000407F4"/>
    <w:rsid w:val="00043313"/>
    <w:rsid w:val="00043CAA"/>
    <w:rsid w:val="0004684E"/>
    <w:rsid w:val="00047565"/>
    <w:rsid w:val="00050D24"/>
    <w:rsid w:val="000531C5"/>
    <w:rsid w:val="0006559F"/>
    <w:rsid w:val="000728FF"/>
    <w:rsid w:val="00075432"/>
    <w:rsid w:val="000968ED"/>
    <w:rsid w:val="000A039F"/>
    <w:rsid w:val="000A4488"/>
    <w:rsid w:val="000A525D"/>
    <w:rsid w:val="000B4320"/>
    <w:rsid w:val="000D3921"/>
    <w:rsid w:val="000F5E56"/>
    <w:rsid w:val="000F604D"/>
    <w:rsid w:val="00103518"/>
    <w:rsid w:val="0011103E"/>
    <w:rsid w:val="00115B3C"/>
    <w:rsid w:val="00122387"/>
    <w:rsid w:val="0012304E"/>
    <w:rsid w:val="001272E3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7212A"/>
    <w:rsid w:val="001832A6"/>
    <w:rsid w:val="00184E22"/>
    <w:rsid w:val="00185E31"/>
    <w:rsid w:val="00186DE1"/>
    <w:rsid w:val="00190F37"/>
    <w:rsid w:val="001B6916"/>
    <w:rsid w:val="001B748E"/>
    <w:rsid w:val="001C2D7E"/>
    <w:rsid w:val="001C7A91"/>
    <w:rsid w:val="001D4F09"/>
    <w:rsid w:val="001E2AF9"/>
    <w:rsid w:val="001E3850"/>
    <w:rsid w:val="001F1B95"/>
    <w:rsid w:val="001F717F"/>
    <w:rsid w:val="0020341D"/>
    <w:rsid w:val="0020434A"/>
    <w:rsid w:val="0020551F"/>
    <w:rsid w:val="0022493E"/>
    <w:rsid w:val="0023362D"/>
    <w:rsid w:val="002356BD"/>
    <w:rsid w:val="00236439"/>
    <w:rsid w:val="00251890"/>
    <w:rsid w:val="0025278E"/>
    <w:rsid w:val="00261777"/>
    <w:rsid w:val="002634C4"/>
    <w:rsid w:val="0026381C"/>
    <w:rsid w:val="00270516"/>
    <w:rsid w:val="00280C50"/>
    <w:rsid w:val="002928D3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0D21"/>
    <w:rsid w:val="002E18A9"/>
    <w:rsid w:val="002E39E7"/>
    <w:rsid w:val="002F1FE6"/>
    <w:rsid w:val="002F4E68"/>
    <w:rsid w:val="00304163"/>
    <w:rsid w:val="00312F7F"/>
    <w:rsid w:val="00317670"/>
    <w:rsid w:val="00321F2B"/>
    <w:rsid w:val="00325BD3"/>
    <w:rsid w:val="00335348"/>
    <w:rsid w:val="00335EC1"/>
    <w:rsid w:val="00347330"/>
    <w:rsid w:val="00355525"/>
    <w:rsid w:val="00357985"/>
    <w:rsid w:val="00361450"/>
    <w:rsid w:val="00365FF1"/>
    <w:rsid w:val="003673CF"/>
    <w:rsid w:val="0037412A"/>
    <w:rsid w:val="00375EB6"/>
    <w:rsid w:val="00383EC2"/>
    <w:rsid w:val="003845C1"/>
    <w:rsid w:val="003A25D7"/>
    <w:rsid w:val="003A274E"/>
    <w:rsid w:val="003A6BE4"/>
    <w:rsid w:val="003A6F89"/>
    <w:rsid w:val="003B38C1"/>
    <w:rsid w:val="003C6433"/>
    <w:rsid w:val="003C7801"/>
    <w:rsid w:val="003D2E5E"/>
    <w:rsid w:val="003D4FEC"/>
    <w:rsid w:val="003E0D9F"/>
    <w:rsid w:val="003E2652"/>
    <w:rsid w:val="003F2C5C"/>
    <w:rsid w:val="004052E1"/>
    <w:rsid w:val="00411FB2"/>
    <w:rsid w:val="004160A7"/>
    <w:rsid w:val="00423386"/>
    <w:rsid w:val="00423E3E"/>
    <w:rsid w:val="00426F59"/>
    <w:rsid w:val="004277D2"/>
    <w:rsid w:val="00427AF4"/>
    <w:rsid w:val="00430CC6"/>
    <w:rsid w:val="00433E5C"/>
    <w:rsid w:val="00436BD0"/>
    <w:rsid w:val="00436DDD"/>
    <w:rsid w:val="00446A2F"/>
    <w:rsid w:val="00451667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20E0"/>
    <w:rsid w:val="00493091"/>
    <w:rsid w:val="004936FC"/>
    <w:rsid w:val="004947C5"/>
    <w:rsid w:val="0049525B"/>
    <w:rsid w:val="004A23F7"/>
    <w:rsid w:val="004A485C"/>
    <w:rsid w:val="004A76B9"/>
    <w:rsid w:val="004B0093"/>
    <w:rsid w:val="004B336C"/>
    <w:rsid w:val="004B43E4"/>
    <w:rsid w:val="004B4E32"/>
    <w:rsid w:val="004B7696"/>
    <w:rsid w:val="004F5A30"/>
    <w:rsid w:val="004F62F4"/>
    <w:rsid w:val="004F6EF3"/>
    <w:rsid w:val="005019FF"/>
    <w:rsid w:val="00505CE7"/>
    <w:rsid w:val="00507723"/>
    <w:rsid w:val="00507AA0"/>
    <w:rsid w:val="005169E1"/>
    <w:rsid w:val="005243B1"/>
    <w:rsid w:val="005248AF"/>
    <w:rsid w:val="0053057A"/>
    <w:rsid w:val="005321A1"/>
    <w:rsid w:val="005327A2"/>
    <w:rsid w:val="00542DD9"/>
    <w:rsid w:val="00545E21"/>
    <w:rsid w:val="00546473"/>
    <w:rsid w:val="00546A94"/>
    <w:rsid w:val="005544E3"/>
    <w:rsid w:val="00560A29"/>
    <w:rsid w:val="00562D5F"/>
    <w:rsid w:val="005868B8"/>
    <w:rsid w:val="005A78E1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06C9C"/>
    <w:rsid w:val="006119B5"/>
    <w:rsid w:val="006223DB"/>
    <w:rsid w:val="00624E74"/>
    <w:rsid w:val="00631CF1"/>
    <w:rsid w:val="00644AA2"/>
    <w:rsid w:val="00646050"/>
    <w:rsid w:val="00647B0C"/>
    <w:rsid w:val="00654AE9"/>
    <w:rsid w:val="006659A7"/>
    <w:rsid w:val="00666862"/>
    <w:rsid w:val="006705FF"/>
    <w:rsid w:val="006713CA"/>
    <w:rsid w:val="00671ED4"/>
    <w:rsid w:val="00674ABA"/>
    <w:rsid w:val="00676C5C"/>
    <w:rsid w:val="0067755E"/>
    <w:rsid w:val="006806A1"/>
    <w:rsid w:val="00686AEF"/>
    <w:rsid w:val="006955FA"/>
    <w:rsid w:val="006A7E92"/>
    <w:rsid w:val="006B2214"/>
    <w:rsid w:val="006B405C"/>
    <w:rsid w:val="006B4C1B"/>
    <w:rsid w:val="006C1E1F"/>
    <w:rsid w:val="006C2010"/>
    <w:rsid w:val="006D7919"/>
    <w:rsid w:val="006D7BD8"/>
    <w:rsid w:val="006E013E"/>
    <w:rsid w:val="006E1A60"/>
    <w:rsid w:val="006E23DC"/>
    <w:rsid w:val="006E3324"/>
    <w:rsid w:val="006F29F6"/>
    <w:rsid w:val="006F6C20"/>
    <w:rsid w:val="007022CA"/>
    <w:rsid w:val="00706C73"/>
    <w:rsid w:val="00722094"/>
    <w:rsid w:val="0072728A"/>
    <w:rsid w:val="00737D94"/>
    <w:rsid w:val="00740620"/>
    <w:rsid w:val="00761B8F"/>
    <w:rsid w:val="0076210D"/>
    <w:rsid w:val="00762445"/>
    <w:rsid w:val="007633FD"/>
    <w:rsid w:val="00767C4D"/>
    <w:rsid w:val="00773CE3"/>
    <w:rsid w:val="0077451E"/>
    <w:rsid w:val="00775EBD"/>
    <w:rsid w:val="00784B13"/>
    <w:rsid w:val="00790A94"/>
    <w:rsid w:val="007922B2"/>
    <w:rsid w:val="007B3691"/>
    <w:rsid w:val="007B5323"/>
    <w:rsid w:val="007B7F73"/>
    <w:rsid w:val="007C13A2"/>
    <w:rsid w:val="007C3E9B"/>
    <w:rsid w:val="007D0AF8"/>
    <w:rsid w:val="007D1613"/>
    <w:rsid w:val="007D250A"/>
    <w:rsid w:val="007D290D"/>
    <w:rsid w:val="007D2C89"/>
    <w:rsid w:val="007D56E8"/>
    <w:rsid w:val="007F45DD"/>
    <w:rsid w:val="007F4D09"/>
    <w:rsid w:val="00801EC1"/>
    <w:rsid w:val="00804EC4"/>
    <w:rsid w:val="00812CFA"/>
    <w:rsid w:val="00815E06"/>
    <w:rsid w:val="00815E3A"/>
    <w:rsid w:val="00824E57"/>
    <w:rsid w:val="00830450"/>
    <w:rsid w:val="00833747"/>
    <w:rsid w:val="0083552C"/>
    <w:rsid w:val="00843679"/>
    <w:rsid w:val="0084460D"/>
    <w:rsid w:val="00854071"/>
    <w:rsid w:val="00862599"/>
    <w:rsid w:val="008644CA"/>
    <w:rsid w:val="00864A35"/>
    <w:rsid w:val="0086721F"/>
    <w:rsid w:val="00876A3C"/>
    <w:rsid w:val="0088405C"/>
    <w:rsid w:val="00885618"/>
    <w:rsid w:val="00890E0C"/>
    <w:rsid w:val="008948BE"/>
    <w:rsid w:val="00895C02"/>
    <w:rsid w:val="008977D0"/>
    <w:rsid w:val="008A0745"/>
    <w:rsid w:val="008A19A1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7D0"/>
    <w:rsid w:val="008E7B2D"/>
    <w:rsid w:val="008F1F70"/>
    <w:rsid w:val="00902D1F"/>
    <w:rsid w:val="0090731E"/>
    <w:rsid w:val="0091126B"/>
    <w:rsid w:val="009134B8"/>
    <w:rsid w:val="00916EE2"/>
    <w:rsid w:val="00917126"/>
    <w:rsid w:val="009215F3"/>
    <w:rsid w:val="00922789"/>
    <w:rsid w:val="00922AE9"/>
    <w:rsid w:val="0093216E"/>
    <w:rsid w:val="009378BE"/>
    <w:rsid w:val="00940793"/>
    <w:rsid w:val="0095748C"/>
    <w:rsid w:val="009621CA"/>
    <w:rsid w:val="0096426B"/>
    <w:rsid w:val="00964994"/>
    <w:rsid w:val="00966A22"/>
    <w:rsid w:val="0096722F"/>
    <w:rsid w:val="00980843"/>
    <w:rsid w:val="00991FC3"/>
    <w:rsid w:val="0099406A"/>
    <w:rsid w:val="00997AAD"/>
    <w:rsid w:val="009A01DD"/>
    <w:rsid w:val="009A591F"/>
    <w:rsid w:val="009B2582"/>
    <w:rsid w:val="009B7FD4"/>
    <w:rsid w:val="009C0C04"/>
    <w:rsid w:val="009E2791"/>
    <w:rsid w:val="009E3F6F"/>
    <w:rsid w:val="009E5F9F"/>
    <w:rsid w:val="009F2A14"/>
    <w:rsid w:val="009F499F"/>
    <w:rsid w:val="009F6841"/>
    <w:rsid w:val="009F7208"/>
    <w:rsid w:val="00A01060"/>
    <w:rsid w:val="00A1504E"/>
    <w:rsid w:val="00A1589D"/>
    <w:rsid w:val="00A21684"/>
    <w:rsid w:val="00A25430"/>
    <w:rsid w:val="00A26A24"/>
    <w:rsid w:val="00A2714C"/>
    <w:rsid w:val="00A332BA"/>
    <w:rsid w:val="00A353ED"/>
    <w:rsid w:val="00A42985"/>
    <w:rsid w:val="00A42DAF"/>
    <w:rsid w:val="00A45BD8"/>
    <w:rsid w:val="00A46013"/>
    <w:rsid w:val="00A468E2"/>
    <w:rsid w:val="00A520A1"/>
    <w:rsid w:val="00A54436"/>
    <w:rsid w:val="00A55376"/>
    <w:rsid w:val="00A6014F"/>
    <w:rsid w:val="00A70878"/>
    <w:rsid w:val="00A75B82"/>
    <w:rsid w:val="00A869B7"/>
    <w:rsid w:val="00A961AC"/>
    <w:rsid w:val="00AA0B1D"/>
    <w:rsid w:val="00AA1EEF"/>
    <w:rsid w:val="00AA217B"/>
    <w:rsid w:val="00AA2EB5"/>
    <w:rsid w:val="00AA60C1"/>
    <w:rsid w:val="00AC205C"/>
    <w:rsid w:val="00AC793E"/>
    <w:rsid w:val="00AD38EE"/>
    <w:rsid w:val="00AE4349"/>
    <w:rsid w:val="00AF0A6B"/>
    <w:rsid w:val="00AF4A42"/>
    <w:rsid w:val="00AF5108"/>
    <w:rsid w:val="00B020C0"/>
    <w:rsid w:val="00B05A69"/>
    <w:rsid w:val="00B21387"/>
    <w:rsid w:val="00B2247B"/>
    <w:rsid w:val="00B240CB"/>
    <w:rsid w:val="00B253E4"/>
    <w:rsid w:val="00B30E90"/>
    <w:rsid w:val="00B34F3B"/>
    <w:rsid w:val="00B35DF1"/>
    <w:rsid w:val="00B43FDF"/>
    <w:rsid w:val="00B46D7E"/>
    <w:rsid w:val="00B52C47"/>
    <w:rsid w:val="00B54D7D"/>
    <w:rsid w:val="00B57F50"/>
    <w:rsid w:val="00B74A10"/>
    <w:rsid w:val="00B83157"/>
    <w:rsid w:val="00B835EB"/>
    <w:rsid w:val="00B8701D"/>
    <w:rsid w:val="00B93AC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B7FC6"/>
    <w:rsid w:val="00BC339D"/>
    <w:rsid w:val="00BC3767"/>
    <w:rsid w:val="00BC4EF3"/>
    <w:rsid w:val="00BE55D6"/>
    <w:rsid w:val="00BE5857"/>
    <w:rsid w:val="00BF01CE"/>
    <w:rsid w:val="00BF1FAF"/>
    <w:rsid w:val="00C06005"/>
    <w:rsid w:val="00C10FFF"/>
    <w:rsid w:val="00C11BFE"/>
    <w:rsid w:val="00C12FB3"/>
    <w:rsid w:val="00C17EA3"/>
    <w:rsid w:val="00C322FB"/>
    <w:rsid w:val="00C41113"/>
    <w:rsid w:val="00C4264C"/>
    <w:rsid w:val="00C45642"/>
    <w:rsid w:val="00C47421"/>
    <w:rsid w:val="00C556FE"/>
    <w:rsid w:val="00C6204F"/>
    <w:rsid w:val="00C62E87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7002"/>
    <w:rsid w:val="00CE0A51"/>
    <w:rsid w:val="00CE0F4D"/>
    <w:rsid w:val="00CE4302"/>
    <w:rsid w:val="00CE6390"/>
    <w:rsid w:val="00CF4536"/>
    <w:rsid w:val="00CF4A86"/>
    <w:rsid w:val="00D022A2"/>
    <w:rsid w:val="00D03755"/>
    <w:rsid w:val="00D06597"/>
    <w:rsid w:val="00D07198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276D"/>
    <w:rsid w:val="00D70F71"/>
    <w:rsid w:val="00D71B4D"/>
    <w:rsid w:val="00D76F38"/>
    <w:rsid w:val="00D80262"/>
    <w:rsid w:val="00D81269"/>
    <w:rsid w:val="00D847BE"/>
    <w:rsid w:val="00D90EE5"/>
    <w:rsid w:val="00D93D55"/>
    <w:rsid w:val="00D97E26"/>
    <w:rsid w:val="00DA118C"/>
    <w:rsid w:val="00DB42CB"/>
    <w:rsid w:val="00DC11D8"/>
    <w:rsid w:val="00DC3E50"/>
    <w:rsid w:val="00DC4D89"/>
    <w:rsid w:val="00DD254E"/>
    <w:rsid w:val="00DD6947"/>
    <w:rsid w:val="00DF30E4"/>
    <w:rsid w:val="00E1115B"/>
    <w:rsid w:val="00E16750"/>
    <w:rsid w:val="00E16F72"/>
    <w:rsid w:val="00E2431A"/>
    <w:rsid w:val="00E24971"/>
    <w:rsid w:val="00E335FE"/>
    <w:rsid w:val="00E348AA"/>
    <w:rsid w:val="00E36B5A"/>
    <w:rsid w:val="00E42B9A"/>
    <w:rsid w:val="00E50EE4"/>
    <w:rsid w:val="00E532DC"/>
    <w:rsid w:val="00E61402"/>
    <w:rsid w:val="00E62F8E"/>
    <w:rsid w:val="00E66C2C"/>
    <w:rsid w:val="00E678D4"/>
    <w:rsid w:val="00E776F9"/>
    <w:rsid w:val="00E84B46"/>
    <w:rsid w:val="00E868D1"/>
    <w:rsid w:val="00E940A4"/>
    <w:rsid w:val="00E948E6"/>
    <w:rsid w:val="00E95B8D"/>
    <w:rsid w:val="00EA3DCB"/>
    <w:rsid w:val="00EA3F45"/>
    <w:rsid w:val="00EA40D8"/>
    <w:rsid w:val="00EB149E"/>
    <w:rsid w:val="00EC13D0"/>
    <w:rsid w:val="00EC23FC"/>
    <w:rsid w:val="00EC4E49"/>
    <w:rsid w:val="00ED38E9"/>
    <w:rsid w:val="00ED4C4F"/>
    <w:rsid w:val="00ED5DBC"/>
    <w:rsid w:val="00ED77FB"/>
    <w:rsid w:val="00EE45FA"/>
    <w:rsid w:val="00EE5748"/>
    <w:rsid w:val="00EE7CE5"/>
    <w:rsid w:val="00EF0146"/>
    <w:rsid w:val="00EF7464"/>
    <w:rsid w:val="00F0496E"/>
    <w:rsid w:val="00F0720F"/>
    <w:rsid w:val="00F13A8B"/>
    <w:rsid w:val="00F201C4"/>
    <w:rsid w:val="00F26C0D"/>
    <w:rsid w:val="00F37362"/>
    <w:rsid w:val="00F43C67"/>
    <w:rsid w:val="00F51264"/>
    <w:rsid w:val="00F52217"/>
    <w:rsid w:val="00F52365"/>
    <w:rsid w:val="00F568AA"/>
    <w:rsid w:val="00F606E7"/>
    <w:rsid w:val="00F66152"/>
    <w:rsid w:val="00F766C3"/>
    <w:rsid w:val="00F7721F"/>
    <w:rsid w:val="00F81943"/>
    <w:rsid w:val="00F958AA"/>
    <w:rsid w:val="00FA156A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84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A6BE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570F-9F28-4A39-BAB7-2555EAEA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630</Words>
  <Characters>3199</Characters>
  <Application>Microsoft Office Word</Application>
  <DocSecurity>0</DocSecurity>
  <Lines>95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11</cp:revision>
  <cp:lastPrinted>2020-05-27T07:55:00Z</cp:lastPrinted>
  <dcterms:created xsi:type="dcterms:W3CDTF">2020-05-26T14:23:00Z</dcterms:created>
  <dcterms:modified xsi:type="dcterms:W3CDTF">2020-05-27T07:56:00Z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6b98e5ac-967d-4313-94ff-3035c6c1d15f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