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167D" w14:textId="77777777" w:rsidR="00521B2F" w:rsidRPr="00B00EEA" w:rsidRDefault="00605A11" w:rsidP="00425FC9">
      <w:pPr>
        <w:spacing w:after="0" w:line="240" w:lineRule="auto"/>
        <w:jc w:val="center"/>
        <w:rPr>
          <w:rFonts w:ascii="Arial" w:hAnsi="Arial" w:cs="Arial"/>
          <w:b/>
          <w:color w:val="0070C0"/>
          <w:sz w:val="36"/>
          <w:szCs w:val="32"/>
        </w:rPr>
      </w:pPr>
      <w:r>
        <w:rPr>
          <w:rFonts w:ascii="Arial" w:hAnsi="Arial"/>
          <w:b/>
          <w:color w:val="0070C0"/>
          <w:sz w:val="36"/>
        </w:rPr>
        <w:t xml:space="preserve">Diretrizes para Customização do </w:t>
      </w:r>
    </w:p>
    <w:p w14:paraId="1D699FC4" w14:textId="304C0D62" w:rsidR="00F72A72" w:rsidRDefault="00F72A72" w:rsidP="00425FC9">
      <w:pPr>
        <w:spacing w:after="0" w:line="240" w:lineRule="auto"/>
        <w:jc w:val="center"/>
        <w:rPr>
          <w:rFonts w:ascii="Arial" w:hAnsi="Arial" w:cs="Arial"/>
          <w:b/>
          <w:color w:val="0070C0"/>
          <w:sz w:val="36"/>
          <w:szCs w:val="32"/>
        </w:rPr>
      </w:pPr>
      <w:r>
        <w:rPr>
          <w:rFonts w:ascii="Arial" w:hAnsi="Arial"/>
          <w:b/>
          <w:color w:val="0070C0"/>
          <w:sz w:val="36"/>
        </w:rPr>
        <w:t>Modelo de Política de Propriedade Intelectual</w:t>
      </w:r>
      <w:r w:rsidR="00314B83">
        <w:rPr>
          <w:rFonts w:ascii="Arial" w:hAnsi="Arial"/>
          <w:b/>
          <w:color w:val="0070C0"/>
          <w:sz w:val="36"/>
        </w:rPr>
        <w:t xml:space="preserve"> da OMPI</w:t>
      </w:r>
      <w:r>
        <w:rPr>
          <w:rFonts w:ascii="Arial" w:hAnsi="Arial"/>
          <w:b/>
          <w:color w:val="0070C0"/>
          <w:sz w:val="36"/>
        </w:rPr>
        <w:t xml:space="preserve"> para Universidades e Instituições de Pesquisa</w:t>
      </w:r>
    </w:p>
    <w:p w14:paraId="7822DA52" w14:textId="77777777" w:rsidR="0027602C" w:rsidRPr="0024467F" w:rsidRDefault="0027602C" w:rsidP="00425FC9">
      <w:pPr>
        <w:spacing w:after="0" w:line="240" w:lineRule="auto"/>
        <w:jc w:val="center"/>
        <w:rPr>
          <w:rFonts w:ascii="Arial" w:hAnsi="Arial" w:cs="Arial"/>
          <w:b/>
          <w:color w:val="0070C0"/>
          <w:sz w:val="36"/>
          <w:szCs w:val="32"/>
        </w:rPr>
      </w:pPr>
    </w:p>
    <w:p w14:paraId="6C1E7DDD" w14:textId="77777777" w:rsidR="0027602C" w:rsidRPr="0027602C" w:rsidRDefault="0027602C" w:rsidP="00425FC9">
      <w:pPr>
        <w:spacing w:after="0" w:line="240" w:lineRule="auto"/>
        <w:jc w:val="center"/>
        <w:rPr>
          <w:rFonts w:ascii="Arial" w:hAnsi="Arial" w:cs="Arial"/>
          <w:b/>
          <w:szCs w:val="32"/>
        </w:rPr>
      </w:pPr>
      <w:r>
        <w:rPr>
          <w:rFonts w:ascii="Arial" w:hAnsi="Arial"/>
          <w:b/>
        </w:rPr>
        <w:t>Versão de 29 de janeiro de 2019</w:t>
      </w:r>
    </w:p>
    <w:sdt>
      <w:sdtPr>
        <w:rPr>
          <w:rFonts w:asciiTheme="minorHAnsi" w:eastAsiaTheme="minorEastAsia" w:hAnsiTheme="minorHAnsi" w:cstheme="minorBidi"/>
          <w:b w:val="0"/>
          <w:bCs w:val="0"/>
          <w:color w:val="auto"/>
          <w:sz w:val="22"/>
          <w:szCs w:val="22"/>
          <w:lang w:eastAsia="en-ZA"/>
        </w:rPr>
        <w:id w:val="1307894128"/>
        <w:docPartObj>
          <w:docPartGallery w:val="Table of Contents"/>
          <w:docPartUnique/>
        </w:docPartObj>
      </w:sdtPr>
      <w:sdtEndPr>
        <w:rPr>
          <w:noProof/>
        </w:rPr>
      </w:sdtEndPr>
      <w:sdtContent>
        <w:p w14:paraId="68CF6DB6" w14:textId="77777777" w:rsidR="00462962" w:rsidRPr="00CC0CF0" w:rsidRDefault="00462962" w:rsidP="00BD07D8">
          <w:pPr>
            <w:pStyle w:val="TOCHeading"/>
            <w:jc w:val="center"/>
          </w:pPr>
          <w:r>
            <w:t>Índice</w:t>
          </w:r>
        </w:p>
        <w:p w14:paraId="53F545C2" w14:textId="4DA7E6D1" w:rsidR="0024467F" w:rsidRDefault="00462962">
          <w:pPr>
            <w:pStyle w:val="TOC1"/>
            <w:rPr>
              <w:rFonts w:asciiTheme="minorHAnsi" w:eastAsiaTheme="minorEastAsia" w:hAnsiTheme="minorHAnsi" w:cstheme="minorBidi"/>
              <w:b w:val="0"/>
              <w:kern w:val="2"/>
              <w:sz w:val="24"/>
              <w:szCs w:val="24"/>
              <w:lang w:val="fr-FR" w:eastAsia="fr-FR"/>
              <w14:ligatures w14:val="standardContextual"/>
            </w:rPr>
          </w:pPr>
          <w:r w:rsidRPr="007217C7">
            <w:fldChar w:fldCharType="begin"/>
          </w:r>
          <w:r w:rsidRPr="007217C7">
            <w:instrText xml:space="preserve"> TOC \o "1-2" \h \z \u </w:instrText>
          </w:r>
          <w:r w:rsidRPr="007217C7">
            <w:fldChar w:fldCharType="separate"/>
          </w:r>
          <w:hyperlink w:anchor="_Toc185241076" w:history="1">
            <w:r w:rsidR="0024467F" w:rsidRPr="00096BC8">
              <w:rPr>
                <w:rStyle w:val="Hyperlink"/>
              </w:rPr>
              <w:t>I. Sobre as Diretrizes</w:t>
            </w:r>
            <w:r w:rsidR="0024467F">
              <w:rPr>
                <w:webHidden/>
              </w:rPr>
              <w:tab/>
            </w:r>
            <w:r w:rsidR="0024467F">
              <w:rPr>
                <w:webHidden/>
              </w:rPr>
              <w:fldChar w:fldCharType="begin"/>
            </w:r>
            <w:r w:rsidR="0024467F">
              <w:rPr>
                <w:webHidden/>
              </w:rPr>
              <w:instrText xml:space="preserve"> PAGEREF _Toc185241076 \h </w:instrText>
            </w:r>
            <w:r w:rsidR="0024467F">
              <w:rPr>
                <w:webHidden/>
              </w:rPr>
            </w:r>
            <w:r w:rsidR="0024467F">
              <w:rPr>
                <w:webHidden/>
              </w:rPr>
              <w:fldChar w:fldCharType="separate"/>
            </w:r>
            <w:r w:rsidR="0024467F">
              <w:rPr>
                <w:webHidden/>
              </w:rPr>
              <w:t>3</w:t>
            </w:r>
            <w:r w:rsidR="0024467F">
              <w:rPr>
                <w:webHidden/>
              </w:rPr>
              <w:fldChar w:fldCharType="end"/>
            </w:r>
          </w:hyperlink>
        </w:p>
        <w:p w14:paraId="038203B0" w14:textId="28B78233" w:rsidR="0024467F" w:rsidRDefault="00F265CB">
          <w:pPr>
            <w:pStyle w:val="TOC1"/>
            <w:rPr>
              <w:rFonts w:asciiTheme="minorHAnsi" w:eastAsiaTheme="minorEastAsia" w:hAnsiTheme="minorHAnsi" w:cstheme="minorBidi"/>
              <w:b w:val="0"/>
              <w:kern w:val="2"/>
              <w:sz w:val="24"/>
              <w:szCs w:val="24"/>
              <w:lang w:val="fr-FR" w:eastAsia="fr-FR"/>
              <w14:ligatures w14:val="standardContextual"/>
            </w:rPr>
          </w:pPr>
          <w:hyperlink w:anchor="_Toc185241077" w:history="1">
            <w:r w:rsidR="0024467F" w:rsidRPr="00096BC8">
              <w:rPr>
                <w:rStyle w:val="Hyperlink"/>
              </w:rPr>
              <w:t>II. Diretrizes Comuns para a Redação de uma Política de PI</w:t>
            </w:r>
            <w:r w:rsidR="0024467F">
              <w:rPr>
                <w:webHidden/>
              </w:rPr>
              <w:tab/>
            </w:r>
            <w:r w:rsidR="0024467F">
              <w:rPr>
                <w:webHidden/>
              </w:rPr>
              <w:fldChar w:fldCharType="begin"/>
            </w:r>
            <w:r w:rsidR="0024467F">
              <w:rPr>
                <w:webHidden/>
              </w:rPr>
              <w:instrText xml:space="preserve"> PAGEREF _Toc185241077 \h </w:instrText>
            </w:r>
            <w:r w:rsidR="0024467F">
              <w:rPr>
                <w:webHidden/>
              </w:rPr>
            </w:r>
            <w:r w:rsidR="0024467F">
              <w:rPr>
                <w:webHidden/>
              </w:rPr>
              <w:fldChar w:fldCharType="separate"/>
            </w:r>
            <w:r w:rsidR="0024467F">
              <w:rPr>
                <w:webHidden/>
              </w:rPr>
              <w:t>3</w:t>
            </w:r>
            <w:r w:rsidR="0024467F">
              <w:rPr>
                <w:webHidden/>
              </w:rPr>
              <w:fldChar w:fldCharType="end"/>
            </w:r>
          </w:hyperlink>
        </w:p>
        <w:p w14:paraId="2DD4331B" w14:textId="22275FCF" w:rsidR="0024467F" w:rsidRDefault="00F265CB">
          <w:pPr>
            <w:pStyle w:val="TOC1"/>
            <w:rPr>
              <w:rFonts w:asciiTheme="minorHAnsi" w:eastAsiaTheme="minorEastAsia" w:hAnsiTheme="minorHAnsi" w:cstheme="minorBidi"/>
              <w:b w:val="0"/>
              <w:kern w:val="2"/>
              <w:sz w:val="24"/>
              <w:szCs w:val="24"/>
              <w:lang w:val="fr-FR" w:eastAsia="fr-FR"/>
              <w14:ligatures w14:val="standardContextual"/>
            </w:rPr>
          </w:pPr>
          <w:hyperlink w:anchor="_Toc185241078" w:history="1">
            <w:r w:rsidR="0024467F" w:rsidRPr="00096BC8">
              <w:rPr>
                <w:rStyle w:val="Hyperlink"/>
              </w:rPr>
              <w:t>III. O Modelo de Política de PI Explicado</w:t>
            </w:r>
            <w:r w:rsidR="0024467F">
              <w:rPr>
                <w:webHidden/>
              </w:rPr>
              <w:tab/>
            </w:r>
            <w:r w:rsidR="0024467F">
              <w:rPr>
                <w:webHidden/>
              </w:rPr>
              <w:fldChar w:fldCharType="begin"/>
            </w:r>
            <w:r w:rsidR="0024467F">
              <w:rPr>
                <w:webHidden/>
              </w:rPr>
              <w:instrText xml:space="preserve"> PAGEREF _Toc185241078 \h </w:instrText>
            </w:r>
            <w:r w:rsidR="0024467F">
              <w:rPr>
                <w:webHidden/>
              </w:rPr>
            </w:r>
            <w:r w:rsidR="0024467F">
              <w:rPr>
                <w:webHidden/>
              </w:rPr>
              <w:fldChar w:fldCharType="separate"/>
            </w:r>
            <w:r w:rsidR="0024467F">
              <w:rPr>
                <w:webHidden/>
              </w:rPr>
              <w:t>5</w:t>
            </w:r>
            <w:r w:rsidR="0024467F">
              <w:rPr>
                <w:webHidden/>
              </w:rPr>
              <w:fldChar w:fldCharType="end"/>
            </w:r>
          </w:hyperlink>
        </w:p>
        <w:p w14:paraId="40B9672E" w14:textId="2A887B61" w:rsidR="0024467F" w:rsidRDefault="00F265CB">
          <w:pPr>
            <w:pStyle w:val="TOC2"/>
            <w:tabs>
              <w:tab w:val="right" w:leader="dot" w:pos="9016"/>
            </w:tabs>
            <w:rPr>
              <w:noProof/>
              <w:kern w:val="2"/>
              <w:sz w:val="24"/>
              <w:szCs w:val="24"/>
              <w:lang w:val="fr-FR" w:eastAsia="fr-FR"/>
              <w14:ligatures w14:val="standardContextual"/>
            </w:rPr>
          </w:pPr>
          <w:hyperlink w:anchor="_Toc185241079" w:history="1">
            <w:r w:rsidR="0024467F" w:rsidRPr="00096BC8">
              <w:rPr>
                <w:rStyle w:val="Hyperlink"/>
                <w:noProof/>
              </w:rPr>
              <w:t>ARTIGO 1 – PREFÁCIO</w:t>
            </w:r>
            <w:r w:rsidR="0024467F">
              <w:rPr>
                <w:noProof/>
                <w:webHidden/>
              </w:rPr>
              <w:tab/>
            </w:r>
            <w:r w:rsidR="0024467F">
              <w:rPr>
                <w:noProof/>
                <w:webHidden/>
              </w:rPr>
              <w:fldChar w:fldCharType="begin"/>
            </w:r>
            <w:r w:rsidR="0024467F">
              <w:rPr>
                <w:noProof/>
                <w:webHidden/>
              </w:rPr>
              <w:instrText xml:space="preserve"> PAGEREF _Toc185241079 \h </w:instrText>
            </w:r>
            <w:r w:rsidR="0024467F">
              <w:rPr>
                <w:noProof/>
                <w:webHidden/>
              </w:rPr>
            </w:r>
            <w:r w:rsidR="0024467F">
              <w:rPr>
                <w:noProof/>
                <w:webHidden/>
              </w:rPr>
              <w:fldChar w:fldCharType="separate"/>
            </w:r>
            <w:r w:rsidR="0024467F">
              <w:rPr>
                <w:noProof/>
                <w:webHidden/>
              </w:rPr>
              <w:t>5</w:t>
            </w:r>
            <w:r w:rsidR="0024467F">
              <w:rPr>
                <w:noProof/>
                <w:webHidden/>
              </w:rPr>
              <w:fldChar w:fldCharType="end"/>
            </w:r>
          </w:hyperlink>
        </w:p>
        <w:p w14:paraId="23B8176B" w14:textId="28120ACD" w:rsidR="0024467F" w:rsidRDefault="00F265CB">
          <w:pPr>
            <w:pStyle w:val="TOC2"/>
            <w:tabs>
              <w:tab w:val="right" w:leader="dot" w:pos="9016"/>
            </w:tabs>
            <w:rPr>
              <w:noProof/>
              <w:kern w:val="2"/>
              <w:sz w:val="24"/>
              <w:szCs w:val="24"/>
              <w:lang w:val="fr-FR" w:eastAsia="fr-FR"/>
              <w14:ligatures w14:val="standardContextual"/>
            </w:rPr>
          </w:pPr>
          <w:hyperlink w:anchor="_Toc185241080" w:history="1">
            <w:r w:rsidR="0024467F" w:rsidRPr="00096BC8">
              <w:rPr>
                <w:rStyle w:val="Hyperlink"/>
                <w:noProof/>
              </w:rPr>
              <w:t>ARTIGO 2 – DEFINIÇÕES</w:t>
            </w:r>
            <w:r w:rsidR="0024467F">
              <w:rPr>
                <w:noProof/>
                <w:webHidden/>
              </w:rPr>
              <w:tab/>
            </w:r>
            <w:r w:rsidR="0024467F">
              <w:rPr>
                <w:noProof/>
                <w:webHidden/>
              </w:rPr>
              <w:fldChar w:fldCharType="begin"/>
            </w:r>
            <w:r w:rsidR="0024467F">
              <w:rPr>
                <w:noProof/>
                <w:webHidden/>
              </w:rPr>
              <w:instrText xml:space="preserve"> PAGEREF _Toc185241080 \h </w:instrText>
            </w:r>
            <w:r w:rsidR="0024467F">
              <w:rPr>
                <w:noProof/>
                <w:webHidden/>
              </w:rPr>
            </w:r>
            <w:r w:rsidR="0024467F">
              <w:rPr>
                <w:noProof/>
                <w:webHidden/>
              </w:rPr>
              <w:fldChar w:fldCharType="separate"/>
            </w:r>
            <w:r w:rsidR="0024467F">
              <w:rPr>
                <w:noProof/>
                <w:webHidden/>
              </w:rPr>
              <w:t>12</w:t>
            </w:r>
            <w:r w:rsidR="0024467F">
              <w:rPr>
                <w:noProof/>
                <w:webHidden/>
              </w:rPr>
              <w:fldChar w:fldCharType="end"/>
            </w:r>
          </w:hyperlink>
        </w:p>
        <w:p w14:paraId="68673730" w14:textId="6B4D93CD" w:rsidR="0024467F" w:rsidRDefault="00F265CB">
          <w:pPr>
            <w:pStyle w:val="TOC2"/>
            <w:tabs>
              <w:tab w:val="right" w:leader="dot" w:pos="9016"/>
            </w:tabs>
            <w:rPr>
              <w:noProof/>
              <w:kern w:val="2"/>
              <w:sz w:val="24"/>
              <w:szCs w:val="24"/>
              <w:lang w:val="fr-FR" w:eastAsia="fr-FR"/>
              <w14:ligatures w14:val="standardContextual"/>
            </w:rPr>
          </w:pPr>
          <w:hyperlink w:anchor="_Toc185241081" w:history="1">
            <w:r w:rsidR="0024467F" w:rsidRPr="00096BC8">
              <w:rPr>
                <w:rStyle w:val="Hyperlink"/>
                <w:noProof/>
              </w:rPr>
              <w:t>ARTIGO 3 – ESCOPO DA POLÍTICA</w:t>
            </w:r>
            <w:r w:rsidR="0024467F">
              <w:rPr>
                <w:noProof/>
                <w:webHidden/>
              </w:rPr>
              <w:tab/>
            </w:r>
            <w:r w:rsidR="0024467F">
              <w:rPr>
                <w:noProof/>
                <w:webHidden/>
              </w:rPr>
              <w:fldChar w:fldCharType="begin"/>
            </w:r>
            <w:r w:rsidR="0024467F">
              <w:rPr>
                <w:noProof/>
                <w:webHidden/>
              </w:rPr>
              <w:instrText xml:space="preserve"> PAGEREF _Toc185241081 \h </w:instrText>
            </w:r>
            <w:r w:rsidR="0024467F">
              <w:rPr>
                <w:noProof/>
                <w:webHidden/>
              </w:rPr>
            </w:r>
            <w:r w:rsidR="0024467F">
              <w:rPr>
                <w:noProof/>
                <w:webHidden/>
              </w:rPr>
              <w:fldChar w:fldCharType="separate"/>
            </w:r>
            <w:r w:rsidR="0024467F">
              <w:rPr>
                <w:noProof/>
                <w:webHidden/>
              </w:rPr>
              <w:t>20</w:t>
            </w:r>
            <w:r w:rsidR="0024467F">
              <w:rPr>
                <w:noProof/>
                <w:webHidden/>
              </w:rPr>
              <w:fldChar w:fldCharType="end"/>
            </w:r>
          </w:hyperlink>
        </w:p>
        <w:p w14:paraId="5ABD2C0A" w14:textId="00E80C49" w:rsidR="0024467F" w:rsidRDefault="00F265CB">
          <w:pPr>
            <w:pStyle w:val="TOC2"/>
            <w:tabs>
              <w:tab w:val="right" w:leader="dot" w:pos="9016"/>
            </w:tabs>
            <w:rPr>
              <w:noProof/>
              <w:kern w:val="2"/>
              <w:sz w:val="24"/>
              <w:szCs w:val="24"/>
              <w:lang w:val="fr-FR" w:eastAsia="fr-FR"/>
              <w14:ligatures w14:val="standardContextual"/>
            </w:rPr>
          </w:pPr>
          <w:hyperlink w:anchor="_Toc185241082" w:history="1">
            <w:r w:rsidR="0024467F" w:rsidRPr="00096BC8">
              <w:rPr>
                <w:rStyle w:val="Hyperlink"/>
                <w:noProof/>
              </w:rPr>
              <w:t>ARTIGO 4 – GOVERNANÇA E OPERAÇÃO</w:t>
            </w:r>
            <w:r w:rsidR="0024467F">
              <w:rPr>
                <w:noProof/>
                <w:webHidden/>
              </w:rPr>
              <w:tab/>
            </w:r>
            <w:r w:rsidR="0024467F">
              <w:rPr>
                <w:noProof/>
                <w:webHidden/>
              </w:rPr>
              <w:fldChar w:fldCharType="begin"/>
            </w:r>
            <w:r w:rsidR="0024467F">
              <w:rPr>
                <w:noProof/>
                <w:webHidden/>
              </w:rPr>
              <w:instrText xml:space="preserve"> PAGEREF _Toc185241082 \h </w:instrText>
            </w:r>
            <w:r w:rsidR="0024467F">
              <w:rPr>
                <w:noProof/>
                <w:webHidden/>
              </w:rPr>
            </w:r>
            <w:r w:rsidR="0024467F">
              <w:rPr>
                <w:noProof/>
                <w:webHidden/>
              </w:rPr>
              <w:fldChar w:fldCharType="separate"/>
            </w:r>
            <w:r w:rsidR="0024467F">
              <w:rPr>
                <w:noProof/>
                <w:webHidden/>
              </w:rPr>
              <w:t>25</w:t>
            </w:r>
            <w:r w:rsidR="0024467F">
              <w:rPr>
                <w:noProof/>
                <w:webHidden/>
              </w:rPr>
              <w:fldChar w:fldCharType="end"/>
            </w:r>
          </w:hyperlink>
        </w:p>
        <w:p w14:paraId="264F6249" w14:textId="07AF0B67" w:rsidR="0024467F" w:rsidRDefault="00F265CB">
          <w:pPr>
            <w:pStyle w:val="TOC2"/>
            <w:tabs>
              <w:tab w:val="right" w:leader="dot" w:pos="9016"/>
            </w:tabs>
            <w:rPr>
              <w:noProof/>
              <w:kern w:val="2"/>
              <w:sz w:val="24"/>
              <w:szCs w:val="24"/>
              <w:lang w:val="fr-FR" w:eastAsia="fr-FR"/>
              <w14:ligatures w14:val="standardContextual"/>
            </w:rPr>
          </w:pPr>
          <w:hyperlink w:anchor="_Toc185241083" w:history="1">
            <w:r w:rsidR="0024467F" w:rsidRPr="00096BC8">
              <w:rPr>
                <w:rStyle w:val="Hyperlink"/>
                <w:noProof/>
              </w:rPr>
              <w:t>ARTIGO 5 – TITULARIDADE DE PI E DIREITOS DE USO</w:t>
            </w:r>
            <w:r w:rsidR="0024467F">
              <w:rPr>
                <w:noProof/>
                <w:webHidden/>
              </w:rPr>
              <w:tab/>
            </w:r>
            <w:r w:rsidR="0024467F">
              <w:rPr>
                <w:noProof/>
                <w:webHidden/>
              </w:rPr>
              <w:fldChar w:fldCharType="begin"/>
            </w:r>
            <w:r w:rsidR="0024467F">
              <w:rPr>
                <w:noProof/>
                <w:webHidden/>
              </w:rPr>
              <w:instrText xml:space="preserve"> PAGEREF _Toc185241083 \h </w:instrText>
            </w:r>
            <w:r w:rsidR="0024467F">
              <w:rPr>
                <w:noProof/>
                <w:webHidden/>
              </w:rPr>
            </w:r>
            <w:r w:rsidR="0024467F">
              <w:rPr>
                <w:noProof/>
                <w:webHidden/>
              </w:rPr>
              <w:fldChar w:fldCharType="separate"/>
            </w:r>
            <w:r w:rsidR="0024467F">
              <w:rPr>
                <w:noProof/>
                <w:webHidden/>
              </w:rPr>
              <w:t>37</w:t>
            </w:r>
            <w:r w:rsidR="0024467F">
              <w:rPr>
                <w:noProof/>
                <w:webHidden/>
              </w:rPr>
              <w:fldChar w:fldCharType="end"/>
            </w:r>
          </w:hyperlink>
        </w:p>
        <w:p w14:paraId="4E7A5E83" w14:textId="32C3CF8F" w:rsidR="0024467F" w:rsidRDefault="00F265CB">
          <w:pPr>
            <w:pStyle w:val="TOC2"/>
            <w:tabs>
              <w:tab w:val="right" w:leader="dot" w:pos="9016"/>
            </w:tabs>
            <w:rPr>
              <w:noProof/>
              <w:kern w:val="2"/>
              <w:sz w:val="24"/>
              <w:szCs w:val="24"/>
              <w:lang w:val="fr-FR" w:eastAsia="fr-FR"/>
              <w14:ligatures w14:val="standardContextual"/>
            </w:rPr>
          </w:pPr>
          <w:hyperlink w:anchor="_Toc185241084" w:history="1">
            <w:r w:rsidR="0024467F" w:rsidRPr="00096BC8">
              <w:rPr>
                <w:rStyle w:val="Hyperlink"/>
                <w:noProof/>
              </w:rPr>
              <w:t>ARTIGO 6 – PUBLICAÇÃO, NÃO DIVULGAÇÃO E SEGREDOS COMERCIAIS</w:t>
            </w:r>
            <w:r w:rsidR="0024467F">
              <w:rPr>
                <w:noProof/>
                <w:webHidden/>
              </w:rPr>
              <w:tab/>
            </w:r>
            <w:r w:rsidR="0024467F">
              <w:rPr>
                <w:noProof/>
                <w:webHidden/>
              </w:rPr>
              <w:fldChar w:fldCharType="begin"/>
            </w:r>
            <w:r w:rsidR="0024467F">
              <w:rPr>
                <w:noProof/>
                <w:webHidden/>
              </w:rPr>
              <w:instrText xml:space="preserve"> PAGEREF _Toc185241084 \h </w:instrText>
            </w:r>
            <w:r w:rsidR="0024467F">
              <w:rPr>
                <w:noProof/>
                <w:webHidden/>
              </w:rPr>
            </w:r>
            <w:r w:rsidR="0024467F">
              <w:rPr>
                <w:noProof/>
                <w:webHidden/>
              </w:rPr>
              <w:fldChar w:fldCharType="separate"/>
            </w:r>
            <w:r w:rsidR="0024467F">
              <w:rPr>
                <w:noProof/>
                <w:webHidden/>
              </w:rPr>
              <w:t>52</w:t>
            </w:r>
            <w:r w:rsidR="0024467F">
              <w:rPr>
                <w:noProof/>
                <w:webHidden/>
              </w:rPr>
              <w:fldChar w:fldCharType="end"/>
            </w:r>
          </w:hyperlink>
        </w:p>
        <w:p w14:paraId="4788B92E" w14:textId="4FC752CE" w:rsidR="0024467F" w:rsidRDefault="00F265CB">
          <w:pPr>
            <w:pStyle w:val="TOC2"/>
            <w:tabs>
              <w:tab w:val="right" w:leader="dot" w:pos="9016"/>
            </w:tabs>
            <w:rPr>
              <w:noProof/>
              <w:kern w:val="2"/>
              <w:sz w:val="24"/>
              <w:szCs w:val="24"/>
              <w:lang w:val="fr-FR" w:eastAsia="fr-FR"/>
              <w14:ligatures w14:val="standardContextual"/>
            </w:rPr>
          </w:pPr>
          <w:hyperlink w:anchor="_Toc185241085" w:history="1">
            <w:r w:rsidR="0024467F" w:rsidRPr="00096BC8">
              <w:rPr>
                <w:rStyle w:val="Hyperlink"/>
                <w:noProof/>
              </w:rPr>
              <w:t>ARTIGO 7 – CONTRATOS DE PESQUISA</w:t>
            </w:r>
            <w:r w:rsidR="0024467F">
              <w:rPr>
                <w:noProof/>
                <w:webHidden/>
              </w:rPr>
              <w:tab/>
            </w:r>
            <w:r w:rsidR="0024467F">
              <w:rPr>
                <w:noProof/>
                <w:webHidden/>
              </w:rPr>
              <w:fldChar w:fldCharType="begin"/>
            </w:r>
            <w:r w:rsidR="0024467F">
              <w:rPr>
                <w:noProof/>
                <w:webHidden/>
              </w:rPr>
              <w:instrText xml:space="preserve"> PAGEREF _Toc185241085 \h </w:instrText>
            </w:r>
            <w:r w:rsidR="0024467F">
              <w:rPr>
                <w:noProof/>
                <w:webHidden/>
              </w:rPr>
            </w:r>
            <w:r w:rsidR="0024467F">
              <w:rPr>
                <w:noProof/>
                <w:webHidden/>
              </w:rPr>
              <w:fldChar w:fldCharType="separate"/>
            </w:r>
            <w:r w:rsidR="0024467F">
              <w:rPr>
                <w:noProof/>
                <w:webHidden/>
              </w:rPr>
              <w:t>55</w:t>
            </w:r>
            <w:r w:rsidR="0024467F">
              <w:rPr>
                <w:noProof/>
                <w:webHidden/>
              </w:rPr>
              <w:fldChar w:fldCharType="end"/>
            </w:r>
          </w:hyperlink>
        </w:p>
        <w:p w14:paraId="633501A2" w14:textId="16C9EB4F" w:rsidR="0024467F" w:rsidRDefault="00F265CB">
          <w:pPr>
            <w:pStyle w:val="TOC2"/>
            <w:tabs>
              <w:tab w:val="right" w:leader="dot" w:pos="9016"/>
            </w:tabs>
            <w:rPr>
              <w:noProof/>
              <w:kern w:val="2"/>
              <w:sz w:val="24"/>
              <w:szCs w:val="24"/>
              <w:lang w:val="fr-FR" w:eastAsia="fr-FR"/>
              <w14:ligatures w14:val="standardContextual"/>
            </w:rPr>
          </w:pPr>
          <w:hyperlink w:anchor="_Toc185241086" w:history="1">
            <w:r w:rsidR="0024467F" w:rsidRPr="00096BC8">
              <w:rPr>
                <w:rStyle w:val="Hyperlink"/>
                <w:noProof/>
              </w:rPr>
              <w:t>ARTIGO 8 – DETERMINAÇÕES DO EGPI</w:t>
            </w:r>
            <w:r w:rsidR="0024467F">
              <w:rPr>
                <w:noProof/>
                <w:webHidden/>
              </w:rPr>
              <w:tab/>
            </w:r>
            <w:r w:rsidR="0024467F">
              <w:rPr>
                <w:noProof/>
                <w:webHidden/>
              </w:rPr>
              <w:fldChar w:fldCharType="begin"/>
            </w:r>
            <w:r w:rsidR="0024467F">
              <w:rPr>
                <w:noProof/>
                <w:webHidden/>
              </w:rPr>
              <w:instrText xml:space="preserve"> PAGEREF _Toc185241086 \h </w:instrText>
            </w:r>
            <w:r w:rsidR="0024467F">
              <w:rPr>
                <w:noProof/>
                <w:webHidden/>
              </w:rPr>
            </w:r>
            <w:r w:rsidR="0024467F">
              <w:rPr>
                <w:noProof/>
                <w:webHidden/>
              </w:rPr>
              <w:fldChar w:fldCharType="separate"/>
            </w:r>
            <w:r w:rsidR="0024467F">
              <w:rPr>
                <w:noProof/>
                <w:webHidden/>
              </w:rPr>
              <w:t>59</w:t>
            </w:r>
            <w:r w:rsidR="0024467F">
              <w:rPr>
                <w:noProof/>
                <w:webHidden/>
              </w:rPr>
              <w:fldChar w:fldCharType="end"/>
            </w:r>
          </w:hyperlink>
        </w:p>
        <w:p w14:paraId="038CA196" w14:textId="44539906" w:rsidR="0024467F" w:rsidRDefault="00F265CB">
          <w:pPr>
            <w:pStyle w:val="TOC2"/>
            <w:tabs>
              <w:tab w:val="right" w:leader="dot" w:pos="9016"/>
            </w:tabs>
            <w:rPr>
              <w:noProof/>
              <w:kern w:val="2"/>
              <w:sz w:val="24"/>
              <w:szCs w:val="24"/>
              <w:lang w:val="fr-FR" w:eastAsia="fr-FR"/>
              <w14:ligatures w14:val="standardContextual"/>
            </w:rPr>
          </w:pPr>
          <w:hyperlink w:anchor="_Toc185241087" w:history="1">
            <w:r w:rsidR="0024467F" w:rsidRPr="00096BC8">
              <w:rPr>
                <w:rStyle w:val="Hyperlink"/>
                <w:noProof/>
              </w:rPr>
              <w:t>ARTIGO 9 – COMERCIALIZAÇÃO DE PI</w:t>
            </w:r>
            <w:r w:rsidR="0024467F">
              <w:rPr>
                <w:noProof/>
                <w:webHidden/>
              </w:rPr>
              <w:tab/>
            </w:r>
            <w:r w:rsidR="0024467F">
              <w:rPr>
                <w:noProof/>
                <w:webHidden/>
              </w:rPr>
              <w:fldChar w:fldCharType="begin"/>
            </w:r>
            <w:r w:rsidR="0024467F">
              <w:rPr>
                <w:noProof/>
                <w:webHidden/>
              </w:rPr>
              <w:instrText xml:space="preserve"> PAGEREF _Toc185241087 \h </w:instrText>
            </w:r>
            <w:r w:rsidR="0024467F">
              <w:rPr>
                <w:noProof/>
                <w:webHidden/>
              </w:rPr>
            </w:r>
            <w:r w:rsidR="0024467F">
              <w:rPr>
                <w:noProof/>
                <w:webHidden/>
              </w:rPr>
              <w:fldChar w:fldCharType="separate"/>
            </w:r>
            <w:r w:rsidR="0024467F">
              <w:rPr>
                <w:noProof/>
                <w:webHidden/>
              </w:rPr>
              <w:t>68</w:t>
            </w:r>
            <w:r w:rsidR="0024467F">
              <w:rPr>
                <w:noProof/>
                <w:webHidden/>
              </w:rPr>
              <w:fldChar w:fldCharType="end"/>
            </w:r>
          </w:hyperlink>
        </w:p>
        <w:p w14:paraId="451FA307" w14:textId="7158D3CE" w:rsidR="0024467F" w:rsidRDefault="00F265CB">
          <w:pPr>
            <w:pStyle w:val="TOC2"/>
            <w:tabs>
              <w:tab w:val="right" w:leader="dot" w:pos="9016"/>
            </w:tabs>
            <w:rPr>
              <w:noProof/>
              <w:kern w:val="2"/>
              <w:sz w:val="24"/>
              <w:szCs w:val="24"/>
              <w:lang w:val="fr-FR" w:eastAsia="fr-FR"/>
              <w14:ligatures w14:val="standardContextual"/>
            </w:rPr>
          </w:pPr>
          <w:hyperlink w:anchor="_Toc185241088" w:history="1">
            <w:r w:rsidR="0024467F" w:rsidRPr="00096BC8">
              <w:rPr>
                <w:rStyle w:val="Hyperlink"/>
                <w:noProof/>
              </w:rPr>
              <w:t>ARTIGO 10 – INCENTIVOS E DISTRIBUIÇÃO DE RECEITAS</w:t>
            </w:r>
            <w:r w:rsidR="0024467F">
              <w:rPr>
                <w:noProof/>
                <w:webHidden/>
              </w:rPr>
              <w:tab/>
            </w:r>
            <w:r w:rsidR="0024467F">
              <w:rPr>
                <w:noProof/>
                <w:webHidden/>
              </w:rPr>
              <w:fldChar w:fldCharType="begin"/>
            </w:r>
            <w:r w:rsidR="0024467F">
              <w:rPr>
                <w:noProof/>
                <w:webHidden/>
              </w:rPr>
              <w:instrText xml:space="preserve"> PAGEREF _Toc185241088 \h </w:instrText>
            </w:r>
            <w:r w:rsidR="0024467F">
              <w:rPr>
                <w:noProof/>
                <w:webHidden/>
              </w:rPr>
            </w:r>
            <w:r w:rsidR="0024467F">
              <w:rPr>
                <w:noProof/>
                <w:webHidden/>
              </w:rPr>
              <w:fldChar w:fldCharType="separate"/>
            </w:r>
            <w:r w:rsidR="0024467F">
              <w:rPr>
                <w:noProof/>
                <w:webHidden/>
              </w:rPr>
              <w:t>76</w:t>
            </w:r>
            <w:r w:rsidR="0024467F">
              <w:rPr>
                <w:noProof/>
                <w:webHidden/>
              </w:rPr>
              <w:fldChar w:fldCharType="end"/>
            </w:r>
          </w:hyperlink>
        </w:p>
        <w:p w14:paraId="69BE0B79" w14:textId="61DF7C78" w:rsidR="0024467F" w:rsidRDefault="00F265CB">
          <w:pPr>
            <w:pStyle w:val="TOC2"/>
            <w:tabs>
              <w:tab w:val="right" w:leader="dot" w:pos="9016"/>
            </w:tabs>
            <w:rPr>
              <w:noProof/>
              <w:kern w:val="2"/>
              <w:sz w:val="24"/>
              <w:szCs w:val="24"/>
              <w:lang w:val="fr-FR" w:eastAsia="fr-FR"/>
              <w14:ligatures w14:val="standardContextual"/>
            </w:rPr>
          </w:pPr>
          <w:hyperlink w:anchor="_Toc185241089" w:history="1">
            <w:r w:rsidR="0024467F" w:rsidRPr="00096BC8">
              <w:rPr>
                <w:rStyle w:val="Hyperlink"/>
                <w:noProof/>
              </w:rPr>
              <w:t>ARTIGO 11 –  MANUTENÇÃO DE PORTFÓLIO DE PI</w:t>
            </w:r>
            <w:r w:rsidR="0024467F">
              <w:rPr>
                <w:noProof/>
                <w:webHidden/>
              </w:rPr>
              <w:tab/>
            </w:r>
            <w:r w:rsidR="0024467F">
              <w:rPr>
                <w:noProof/>
                <w:webHidden/>
              </w:rPr>
              <w:fldChar w:fldCharType="begin"/>
            </w:r>
            <w:r w:rsidR="0024467F">
              <w:rPr>
                <w:noProof/>
                <w:webHidden/>
              </w:rPr>
              <w:instrText xml:space="preserve"> PAGEREF _Toc185241089 \h </w:instrText>
            </w:r>
            <w:r w:rsidR="0024467F">
              <w:rPr>
                <w:noProof/>
                <w:webHidden/>
              </w:rPr>
            </w:r>
            <w:r w:rsidR="0024467F">
              <w:rPr>
                <w:noProof/>
                <w:webHidden/>
              </w:rPr>
              <w:fldChar w:fldCharType="separate"/>
            </w:r>
            <w:r w:rsidR="0024467F">
              <w:rPr>
                <w:noProof/>
                <w:webHidden/>
              </w:rPr>
              <w:t>89</w:t>
            </w:r>
            <w:r w:rsidR="0024467F">
              <w:rPr>
                <w:noProof/>
                <w:webHidden/>
              </w:rPr>
              <w:fldChar w:fldCharType="end"/>
            </w:r>
          </w:hyperlink>
        </w:p>
        <w:p w14:paraId="3ACB092F" w14:textId="4279D3C8" w:rsidR="0024467F" w:rsidRDefault="00F265CB">
          <w:pPr>
            <w:pStyle w:val="TOC2"/>
            <w:tabs>
              <w:tab w:val="right" w:leader="dot" w:pos="9016"/>
            </w:tabs>
            <w:rPr>
              <w:noProof/>
              <w:kern w:val="2"/>
              <w:sz w:val="24"/>
              <w:szCs w:val="24"/>
              <w:lang w:val="fr-FR" w:eastAsia="fr-FR"/>
              <w14:ligatures w14:val="standardContextual"/>
            </w:rPr>
          </w:pPr>
          <w:hyperlink w:anchor="_Toc185241090" w:history="1">
            <w:r w:rsidR="0024467F" w:rsidRPr="00096BC8">
              <w:rPr>
                <w:rStyle w:val="Hyperlink"/>
                <w:noProof/>
              </w:rPr>
              <w:t>ARTIGO 12 – CONHECIMENTO TRADICIONAL E RECURSOS GENÉTICOS</w:t>
            </w:r>
            <w:r w:rsidR="0024467F">
              <w:rPr>
                <w:noProof/>
                <w:webHidden/>
              </w:rPr>
              <w:tab/>
            </w:r>
            <w:r w:rsidR="0024467F">
              <w:rPr>
                <w:noProof/>
                <w:webHidden/>
              </w:rPr>
              <w:fldChar w:fldCharType="begin"/>
            </w:r>
            <w:r w:rsidR="0024467F">
              <w:rPr>
                <w:noProof/>
                <w:webHidden/>
              </w:rPr>
              <w:instrText xml:space="preserve"> PAGEREF _Toc185241090 \h </w:instrText>
            </w:r>
            <w:r w:rsidR="0024467F">
              <w:rPr>
                <w:noProof/>
                <w:webHidden/>
              </w:rPr>
            </w:r>
            <w:r w:rsidR="0024467F">
              <w:rPr>
                <w:noProof/>
                <w:webHidden/>
              </w:rPr>
              <w:fldChar w:fldCharType="separate"/>
            </w:r>
            <w:r w:rsidR="0024467F">
              <w:rPr>
                <w:noProof/>
                <w:webHidden/>
              </w:rPr>
              <w:t>90</w:t>
            </w:r>
            <w:r w:rsidR="0024467F">
              <w:rPr>
                <w:noProof/>
                <w:webHidden/>
              </w:rPr>
              <w:fldChar w:fldCharType="end"/>
            </w:r>
          </w:hyperlink>
        </w:p>
        <w:p w14:paraId="1A2C1CF4" w14:textId="1A67724A" w:rsidR="0024467F" w:rsidRDefault="00F265CB">
          <w:pPr>
            <w:pStyle w:val="TOC2"/>
            <w:tabs>
              <w:tab w:val="right" w:leader="dot" w:pos="9016"/>
            </w:tabs>
            <w:rPr>
              <w:noProof/>
              <w:kern w:val="2"/>
              <w:sz w:val="24"/>
              <w:szCs w:val="24"/>
              <w:lang w:val="fr-FR" w:eastAsia="fr-FR"/>
              <w14:ligatures w14:val="standardContextual"/>
            </w:rPr>
          </w:pPr>
          <w:hyperlink w:anchor="_Toc185241091" w:history="1">
            <w:r w:rsidR="0024467F" w:rsidRPr="00096BC8">
              <w:rPr>
                <w:rStyle w:val="Hyperlink"/>
                <w:noProof/>
              </w:rPr>
              <w:t>ARTIGO 13 – CONFLITOS DE INTERESSES  E CONFLITOS DE COMPROMISSO</w:t>
            </w:r>
            <w:r w:rsidR="0024467F">
              <w:rPr>
                <w:noProof/>
                <w:webHidden/>
              </w:rPr>
              <w:tab/>
            </w:r>
            <w:r w:rsidR="0024467F">
              <w:rPr>
                <w:noProof/>
                <w:webHidden/>
              </w:rPr>
              <w:fldChar w:fldCharType="begin"/>
            </w:r>
            <w:r w:rsidR="0024467F">
              <w:rPr>
                <w:noProof/>
                <w:webHidden/>
              </w:rPr>
              <w:instrText xml:space="preserve"> PAGEREF _Toc185241091 \h </w:instrText>
            </w:r>
            <w:r w:rsidR="0024467F">
              <w:rPr>
                <w:noProof/>
                <w:webHidden/>
              </w:rPr>
            </w:r>
            <w:r w:rsidR="0024467F">
              <w:rPr>
                <w:noProof/>
                <w:webHidden/>
              </w:rPr>
              <w:fldChar w:fldCharType="separate"/>
            </w:r>
            <w:r w:rsidR="0024467F">
              <w:rPr>
                <w:noProof/>
                <w:webHidden/>
              </w:rPr>
              <w:t>93</w:t>
            </w:r>
            <w:r w:rsidR="0024467F">
              <w:rPr>
                <w:noProof/>
                <w:webHidden/>
              </w:rPr>
              <w:fldChar w:fldCharType="end"/>
            </w:r>
          </w:hyperlink>
        </w:p>
        <w:p w14:paraId="295F7E0E" w14:textId="1D7FBC98" w:rsidR="0024467F" w:rsidRDefault="00F265CB">
          <w:pPr>
            <w:pStyle w:val="TOC2"/>
            <w:tabs>
              <w:tab w:val="right" w:leader="dot" w:pos="9016"/>
            </w:tabs>
            <w:rPr>
              <w:noProof/>
              <w:kern w:val="2"/>
              <w:sz w:val="24"/>
              <w:szCs w:val="24"/>
              <w:lang w:val="fr-FR" w:eastAsia="fr-FR"/>
              <w14:ligatures w14:val="standardContextual"/>
            </w:rPr>
          </w:pPr>
          <w:hyperlink w:anchor="_Toc185241092" w:history="1">
            <w:r w:rsidR="0024467F" w:rsidRPr="00096BC8">
              <w:rPr>
                <w:rStyle w:val="Hyperlink"/>
                <w:noProof/>
              </w:rPr>
              <w:t>ARTIGO 14 – DISPUTA</w:t>
            </w:r>
            <w:r w:rsidR="0024467F">
              <w:rPr>
                <w:noProof/>
                <w:webHidden/>
              </w:rPr>
              <w:tab/>
            </w:r>
            <w:r w:rsidR="0024467F">
              <w:rPr>
                <w:noProof/>
                <w:webHidden/>
              </w:rPr>
              <w:fldChar w:fldCharType="begin"/>
            </w:r>
            <w:r w:rsidR="0024467F">
              <w:rPr>
                <w:noProof/>
                <w:webHidden/>
              </w:rPr>
              <w:instrText xml:space="preserve"> PAGEREF _Toc185241092 \h </w:instrText>
            </w:r>
            <w:r w:rsidR="0024467F">
              <w:rPr>
                <w:noProof/>
                <w:webHidden/>
              </w:rPr>
            </w:r>
            <w:r w:rsidR="0024467F">
              <w:rPr>
                <w:noProof/>
                <w:webHidden/>
              </w:rPr>
              <w:fldChar w:fldCharType="separate"/>
            </w:r>
            <w:r w:rsidR="0024467F">
              <w:rPr>
                <w:noProof/>
                <w:webHidden/>
              </w:rPr>
              <w:t>95</w:t>
            </w:r>
            <w:r w:rsidR="0024467F">
              <w:rPr>
                <w:noProof/>
                <w:webHidden/>
              </w:rPr>
              <w:fldChar w:fldCharType="end"/>
            </w:r>
          </w:hyperlink>
        </w:p>
        <w:p w14:paraId="4F73A884" w14:textId="21AB48EE" w:rsidR="0024467F" w:rsidRDefault="00F265CB">
          <w:pPr>
            <w:pStyle w:val="TOC2"/>
            <w:tabs>
              <w:tab w:val="right" w:leader="dot" w:pos="9016"/>
            </w:tabs>
            <w:rPr>
              <w:noProof/>
              <w:kern w:val="2"/>
              <w:sz w:val="24"/>
              <w:szCs w:val="24"/>
              <w:lang w:val="fr-FR" w:eastAsia="fr-FR"/>
              <w14:ligatures w14:val="standardContextual"/>
            </w:rPr>
          </w:pPr>
          <w:hyperlink w:anchor="_Toc185241093" w:history="1">
            <w:r w:rsidR="0024467F" w:rsidRPr="00096BC8">
              <w:rPr>
                <w:rStyle w:val="Hyperlink"/>
                <w:noProof/>
              </w:rPr>
              <w:t>ARTIGO 15 – ALTERAÇÃO</w:t>
            </w:r>
            <w:r w:rsidR="0024467F">
              <w:rPr>
                <w:noProof/>
                <w:webHidden/>
              </w:rPr>
              <w:tab/>
            </w:r>
            <w:r w:rsidR="0024467F">
              <w:rPr>
                <w:noProof/>
                <w:webHidden/>
              </w:rPr>
              <w:fldChar w:fldCharType="begin"/>
            </w:r>
            <w:r w:rsidR="0024467F">
              <w:rPr>
                <w:noProof/>
                <w:webHidden/>
              </w:rPr>
              <w:instrText xml:space="preserve"> PAGEREF _Toc185241093 \h </w:instrText>
            </w:r>
            <w:r w:rsidR="0024467F">
              <w:rPr>
                <w:noProof/>
                <w:webHidden/>
              </w:rPr>
            </w:r>
            <w:r w:rsidR="0024467F">
              <w:rPr>
                <w:noProof/>
                <w:webHidden/>
              </w:rPr>
              <w:fldChar w:fldCharType="separate"/>
            </w:r>
            <w:r w:rsidR="0024467F">
              <w:rPr>
                <w:noProof/>
                <w:webHidden/>
              </w:rPr>
              <w:t>96</w:t>
            </w:r>
            <w:r w:rsidR="0024467F">
              <w:rPr>
                <w:noProof/>
                <w:webHidden/>
              </w:rPr>
              <w:fldChar w:fldCharType="end"/>
            </w:r>
          </w:hyperlink>
        </w:p>
        <w:p w14:paraId="2B5ECC46" w14:textId="2314AA18" w:rsidR="00462962" w:rsidRPr="00CC0CF0" w:rsidRDefault="00462962">
          <w:r w:rsidRPr="007217C7">
            <w:rPr>
              <w:rFonts w:ascii="Arial" w:hAnsi="Arial" w:cs="Arial"/>
              <w:b/>
            </w:rPr>
            <w:fldChar w:fldCharType="end"/>
          </w:r>
        </w:p>
      </w:sdtContent>
    </w:sdt>
    <w:p w14:paraId="6ECF6674" w14:textId="77777777" w:rsidR="003901ED" w:rsidRPr="00CC0CF0" w:rsidRDefault="003901ED" w:rsidP="00676EF9">
      <w:pPr>
        <w:spacing w:after="0" w:line="240" w:lineRule="auto"/>
        <w:rPr>
          <w:rFonts w:ascii="Arial" w:eastAsiaTheme="majorEastAsia" w:hAnsi="Arial" w:cs="Arial"/>
          <w:bCs/>
          <w:lang w:val="en-US"/>
        </w:rPr>
      </w:pPr>
    </w:p>
    <w:p w14:paraId="259A65DB" w14:textId="77777777" w:rsidR="00BD07D8" w:rsidRDefault="00BD07D8" w:rsidP="00676EF9">
      <w:pPr>
        <w:spacing w:after="0" w:line="240" w:lineRule="auto"/>
        <w:rPr>
          <w:rFonts w:ascii="Arial" w:eastAsiaTheme="majorEastAsia" w:hAnsi="Arial" w:cs="Arial"/>
          <w:b/>
          <w:bCs/>
          <w:color w:val="0070C0"/>
          <w:sz w:val="36"/>
          <w:lang w:val="en-US"/>
        </w:rPr>
      </w:pPr>
    </w:p>
    <w:p w14:paraId="2F4243D3" w14:textId="77777777" w:rsidR="00BD07D8" w:rsidRDefault="00BD07D8" w:rsidP="00676EF9">
      <w:pPr>
        <w:spacing w:after="0" w:line="240" w:lineRule="auto"/>
        <w:rPr>
          <w:rFonts w:ascii="Arial" w:eastAsiaTheme="majorEastAsia" w:hAnsi="Arial" w:cs="Arial"/>
          <w:b/>
          <w:bCs/>
          <w:color w:val="0070C0"/>
          <w:sz w:val="36"/>
          <w:lang w:val="en-US"/>
        </w:rPr>
      </w:pPr>
    </w:p>
    <w:p w14:paraId="1C30B126" w14:textId="77777777" w:rsidR="00BD07D8" w:rsidRDefault="00BD07D8" w:rsidP="00676EF9">
      <w:pPr>
        <w:spacing w:after="0" w:line="240" w:lineRule="auto"/>
        <w:rPr>
          <w:rFonts w:ascii="Arial" w:eastAsiaTheme="majorEastAsia" w:hAnsi="Arial" w:cs="Arial"/>
          <w:b/>
          <w:bCs/>
          <w:color w:val="0070C0"/>
          <w:sz w:val="36"/>
          <w:lang w:val="en-US"/>
        </w:rPr>
      </w:pPr>
    </w:p>
    <w:p w14:paraId="1308BAD3" w14:textId="77777777" w:rsidR="00BD07D8" w:rsidRDefault="00BD07D8" w:rsidP="00676EF9">
      <w:pPr>
        <w:spacing w:after="0" w:line="240" w:lineRule="auto"/>
        <w:rPr>
          <w:rFonts w:ascii="Arial" w:eastAsiaTheme="majorEastAsia" w:hAnsi="Arial" w:cs="Arial"/>
          <w:b/>
          <w:bCs/>
          <w:color w:val="0070C0"/>
          <w:sz w:val="36"/>
          <w:lang w:val="en-US"/>
        </w:rPr>
      </w:pPr>
    </w:p>
    <w:p w14:paraId="50F3F716" w14:textId="77777777" w:rsidR="00BD07D8" w:rsidRDefault="00BD07D8" w:rsidP="00676EF9">
      <w:pPr>
        <w:spacing w:after="0" w:line="240" w:lineRule="auto"/>
        <w:rPr>
          <w:rFonts w:ascii="Arial" w:eastAsiaTheme="majorEastAsia" w:hAnsi="Arial" w:cs="Arial"/>
          <w:b/>
          <w:bCs/>
          <w:color w:val="0070C0"/>
          <w:sz w:val="36"/>
          <w:lang w:val="en-US"/>
        </w:rPr>
      </w:pPr>
    </w:p>
    <w:p w14:paraId="3A5AD6F1" w14:textId="77777777" w:rsidR="00BD07D8" w:rsidRDefault="00BD07D8" w:rsidP="00676EF9">
      <w:pPr>
        <w:spacing w:after="0" w:line="240" w:lineRule="auto"/>
        <w:rPr>
          <w:rFonts w:ascii="Arial" w:eastAsiaTheme="majorEastAsia" w:hAnsi="Arial" w:cs="Arial"/>
          <w:b/>
          <w:bCs/>
          <w:color w:val="0070C0"/>
          <w:sz w:val="36"/>
          <w:lang w:val="en-US"/>
        </w:rPr>
      </w:pPr>
    </w:p>
    <w:p w14:paraId="49F4AE1F" w14:textId="77777777" w:rsidR="0069102D" w:rsidRDefault="0069102D" w:rsidP="00676EF9">
      <w:pPr>
        <w:spacing w:after="0" w:line="240" w:lineRule="auto"/>
        <w:rPr>
          <w:rFonts w:ascii="Arial" w:eastAsiaTheme="majorEastAsia" w:hAnsi="Arial" w:cs="Arial"/>
          <w:b/>
          <w:bCs/>
          <w:color w:val="0070C0"/>
          <w:sz w:val="36"/>
          <w:lang w:val="en-US"/>
        </w:rPr>
      </w:pPr>
    </w:p>
    <w:p w14:paraId="11CFAD00" w14:textId="77777777" w:rsidR="00EC6904" w:rsidRPr="00CC0CF0" w:rsidRDefault="003B356C" w:rsidP="00676EF9">
      <w:pPr>
        <w:spacing w:after="0" w:line="240" w:lineRule="auto"/>
        <w:rPr>
          <w:rFonts w:ascii="Arial" w:eastAsiaTheme="majorEastAsia" w:hAnsi="Arial" w:cs="Arial"/>
          <w:b/>
          <w:bCs/>
          <w:color w:val="0070C0"/>
          <w:sz w:val="36"/>
        </w:rPr>
      </w:pPr>
      <w:r>
        <w:rPr>
          <w:rFonts w:ascii="Arial" w:hAnsi="Arial"/>
          <w:b/>
          <w:color w:val="0070C0"/>
          <w:sz w:val="36"/>
        </w:rPr>
        <w:t>Prefácio</w:t>
      </w:r>
    </w:p>
    <w:p w14:paraId="672C82E2" w14:textId="77777777" w:rsidR="00676EF9" w:rsidRPr="0024467F" w:rsidRDefault="00676EF9" w:rsidP="00676EF9">
      <w:pPr>
        <w:spacing w:after="0" w:line="240" w:lineRule="auto"/>
        <w:rPr>
          <w:rFonts w:ascii="Arial" w:eastAsiaTheme="minorHAnsi" w:hAnsi="Arial" w:cs="Arial"/>
          <w:sz w:val="24"/>
          <w:lang w:eastAsia="en-US"/>
        </w:rPr>
      </w:pPr>
    </w:p>
    <w:p w14:paraId="31A6068C" w14:textId="7BA7AAF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rPr>
      </w:pPr>
      <w:r>
        <w:rPr>
          <w:rFonts w:ascii="Arial" w:hAnsi="Arial"/>
          <w:sz w:val="20"/>
        </w:rPr>
        <w:t xml:space="preserve">Esta publicação fornece orientação prática para funcionários de alto nível responsáveis pelo desenvolvimento de políticas, regras e regulamentos em suas respectivas instituições acadêmicas ou de pesquisa, para facilitar a customização do </w:t>
      </w:r>
      <w:hyperlink r:id="rId8" w:history="1">
        <w:r>
          <w:rPr>
            <w:rStyle w:val="Hyperlink"/>
            <w:rFonts w:ascii="Arial" w:hAnsi="Arial"/>
            <w:b/>
            <w:sz w:val="20"/>
          </w:rPr>
          <w:t>Modelo de Política de Propriedade Intelectual para Universidades e Instituições de Pesquisa</w:t>
        </w:r>
      </w:hyperlink>
      <w:r>
        <w:rPr>
          <w:rFonts w:ascii="Arial" w:hAnsi="Arial"/>
          <w:sz w:val="20"/>
        </w:rPr>
        <w:t xml:space="preserve"> (“Modelo”). As Diretrizes para Customização do Modelo de Política de PI (“Diretrizes”) explicam o conteúdo e descrevem o fundamento de cada artigo proposto no Modelo. Sempre que possível, o texto dos artigos é ilustrado com exemplos e extratos de políticas institucionais em tempo real e referências úteis</w:t>
      </w:r>
      <w:r w:rsidR="008411EA">
        <w:rPr>
          <w:rFonts w:ascii="Arial" w:hAnsi="Arial"/>
          <w:sz w:val="20"/>
        </w:rPr>
        <w:t xml:space="preserve">. </w:t>
      </w:r>
    </w:p>
    <w:p w14:paraId="4955F8A8" w14:textId="77777777" w:rsidR="00EC6904" w:rsidRPr="0024467F" w:rsidRDefault="00EC6904" w:rsidP="00734F31">
      <w:pPr>
        <w:autoSpaceDE w:val="0"/>
        <w:autoSpaceDN w:val="0"/>
        <w:adjustRightInd w:val="0"/>
        <w:spacing w:after="0" w:line="240" w:lineRule="auto"/>
        <w:jc w:val="both"/>
        <w:rPr>
          <w:rFonts w:ascii="Arial" w:eastAsiaTheme="minorHAnsi" w:hAnsi="Arial" w:cs="Arial"/>
          <w:sz w:val="20"/>
          <w:szCs w:val="20"/>
          <w:lang w:eastAsia="en-US"/>
        </w:rPr>
      </w:pPr>
    </w:p>
    <w:p w14:paraId="02313008" w14:textId="7777777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rPr>
      </w:pPr>
      <w:r>
        <w:rPr>
          <w:rFonts w:ascii="Arial" w:hAnsi="Arial"/>
          <w:sz w:val="20"/>
        </w:rPr>
        <w:t>Espera-se que as Diretrizes ajudem os redatores de políticas a formular uma Política de PI apropriada de acordo com as necessidades, atividades e éticas individuais da Instituição.</w:t>
      </w:r>
    </w:p>
    <w:p w14:paraId="340C6512" w14:textId="77777777" w:rsidR="00EC6904" w:rsidRPr="0024467F" w:rsidRDefault="00EC6904" w:rsidP="00734F31">
      <w:pPr>
        <w:autoSpaceDE w:val="0"/>
        <w:autoSpaceDN w:val="0"/>
        <w:adjustRightInd w:val="0"/>
        <w:spacing w:after="0" w:line="240" w:lineRule="auto"/>
        <w:jc w:val="both"/>
        <w:rPr>
          <w:rFonts w:ascii="Arial" w:eastAsiaTheme="minorHAnsi" w:hAnsi="Arial" w:cs="Arial"/>
          <w:sz w:val="20"/>
          <w:szCs w:val="20"/>
          <w:lang w:eastAsia="en-US"/>
        </w:rPr>
      </w:pPr>
    </w:p>
    <w:p w14:paraId="5A8E25ED" w14:textId="77777777" w:rsidR="00A163C3" w:rsidRPr="00A73D7F" w:rsidRDefault="00A163C3" w:rsidP="00A163C3">
      <w:pPr>
        <w:autoSpaceDE w:val="0"/>
        <w:autoSpaceDN w:val="0"/>
        <w:adjustRightInd w:val="0"/>
        <w:spacing w:after="0" w:line="240" w:lineRule="auto"/>
        <w:jc w:val="both"/>
        <w:rPr>
          <w:rFonts w:ascii="Arial" w:eastAsiaTheme="minorHAnsi" w:hAnsi="Arial" w:cs="Arial"/>
          <w:sz w:val="20"/>
          <w:szCs w:val="20"/>
        </w:rPr>
      </w:pPr>
      <w:r>
        <w:rPr>
          <w:rFonts w:ascii="Arial" w:hAnsi="Arial"/>
          <w:sz w:val="20"/>
        </w:rPr>
        <w:t>As Diretrizes foram desenvolvidas com precisão e ajuda de especialistas renomados. No entanto, eas contêm informações de natureza geral e se destinam apenas a fornecer um resumo de aspectos do assunto incluído. Elas não pretendem ser e não devem ser tratadas como exaustivas. Elas não devem ser consideradas como substitutas para aconselhamento jurídico ou outro aconselhamento profissional sobre qualquer assunto específico ou para tomar qualquer decisão específica.</w:t>
      </w:r>
    </w:p>
    <w:p w14:paraId="1A51E365" w14:textId="77777777" w:rsidR="00704997" w:rsidRPr="0024467F" w:rsidRDefault="00704997" w:rsidP="00704997">
      <w:pPr>
        <w:autoSpaceDE w:val="0"/>
        <w:autoSpaceDN w:val="0"/>
        <w:adjustRightInd w:val="0"/>
        <w:spacing w:after="0" w:line="240" w:lineRule="auto"/>
        <w:rPr>
          <w:rFonts w:ascii="Arial" w:eastAsiaTheme="majorEastAsia" w:hAnsi="Arial" w:cs="Arial"/>
          <w:b/>
          <w:bCs/>
          <w:color w:val="0070C0"/>
          <w:sz w:val="32"/>
        </w:rPr>
      </w:pPr>
    </w:p>
    <w:p w14:paraId="528D5B8D" w14:textId="77777777" w:rsidR="00704997" w:rsidRPr="00A73D7F" w:rsidRDefault="00704997" w:rsidP="00704997">
      <w:pPr>
        <w:autoSpaceDE w:val="0"/>
        <w:autoSpaceDN w:val="0"/>
        <w:adjustRightInd w:val="0"/>
        <w:spacing w:after="0" w:line="240" w:lineRule="auto"/>
        <w:rPr>
          <w:rFonts w:ascii="Arial" w:hAnsi="Arial" w:cs="Arial"/>
          <w:color w:val="000000"/>
          <w:sz w:val="20"/>
          <w:szCs w:val="20"/>
        </w:rPr>
      </w:pPr>
      <w:r>
        <w:rPr>
          <w:rFonts w:ascii="Arial" w:hAnsi="Arial"/>
          <w:b/>
          <w:color w:val="0070C0"/>
          <w:sz w:val="36"/>
        </w:rPr>
        <w:t>Autoria e Agradecimentos</w:t>
      </w:r>
      <w:r>
        <w:rPr>
          <w:rFonts w:ascii="Arial" w:hAnsi="Arial"/>
          <w:b/>
          <w:color w:val="0070C0"/>
          <w:sz w:val="36"/>
        </w:rPr>
        <w:br/>
      </w:r>
    </w:p>
    <w:p w14:paraId="13FE2377" w14:textId="77777777" w:rsidR="00A66D34" w:rsidRPr="00A73D7F" w:rsidRDefault="00704997" w:rsidP="00704997">
      <w:pPr>
        <w:spacing w:line="240" w:lineRule="auto"/>
        <w:jc w:val="both"/>
        <w:rPr>
          <w:rFonts w:ascii="Arial" w:hAnsi="Arial"/>
          <w:sz w:val="20"/>
          <w:szCs w:val="20"/>
        </w:rPr>
      </w:pPr>
      <w:r>
        <w:rPr>
          <w:rFonts w:ascii="Arial" w:hAnsi="Arial"/>
          <w:sz w:val="20"/>
        </w:rPr>
        <w:t xml:space="preserve">As Diretrizes foram preparadas pela Sra. Lien Verbauwhede Koglin, Sra. Kerry Faul e Sr. Richard Cahoon. </w:t>
      </w:r>
    </w:p>
    <w:p w14:paraId="17A34DA5" w14:textId="77777777" w:rsidR="00704997" w:rsidRPr="00A73D7F" w:rsidRDefault="005D1D93" w:rsidP="00704997">
      <w:pPr>
        <w:spacing w:line="240" w:lineRule="auto"/>
        <w:jc w:val="both"/>
        <w:rPr>
          <w:rFonts w:ascii="Arial" w:hAnsi="Arial"/>
          <w:sz w:val="20"/>
          <w:szCs w:val="20"/>
        </w:rPr>
      </w:pPr>
      <w:r>
        <w:rPr>
          <w:rFonts w:ascii="Arial" w:hAnsi="Arial"/>
          <w:sz w:val="20"/>
        </w:rPr>
        <w:t>Gostaríamos de agradecer ao Sr. Mohammed Aljafari, à Sra. Olga Begoña Venero Aguirre, à Sra. Alice Manero, ao Sr. Philip Mendes, à Sra. Hagit Messer-Yaron, à Sra. Maria del Pilar Noriega Escobar, ao Sr. Barthelemy Nyasse, à Sra. Tana Pistorius, à Sra. Yumiko Hamano, à Sra. Justyna Ożegalska-Trybalska, à Sra. Elizabeth Ritter dos Santos, ao Sr. Mohamed Shariff e ao Sr. Mc Lean Sibanda por suas contribuições construtivas.</w:t>
      </w:r>
    </w:p>
    <w:p w14:paraId="6EE67C5E" w14:textId="77777777" w:rsidR="00744113" w:rsidRPr="00A73D7F" w:rsidRDefault="00197A75" w:rsidP="00AA1A8A">
      <w:pPr>
        <w:pBdr>
          <w:top w:val="single" w:sz="4" w:space="1" w:color="auto"/>
          <w:left w:val="single" w:sz="4" w:space="4" w:color="auto"/>
          <w:bottom w:val="single" w:sz="4" w:space="1" w:color="auto"/>
          <w:right w:val="single" w:sz="4" w:space="4" w:color="auto"/>
        </w:pBdr>
        <w:spacing w:after="120"/>
        <w:rPr>
          <w:rFonts w:ascii="Arial" w:eastAsia="Times New Roman" w:hAnsi="Arial" w:cs="Arial"/>
          <w:color w:val="000000"/>
          <w:sz w:val="20"/>
          <w:szCs w:val="20"/>
        </w:rPr>
      </w:pPr>
      <w:r>
        <w:rPr>
          <w:rFonts w:ascii="Arial" w:hAnsi="Arial"/>
          <w:sz w:val="20"/>
        </w:rPr>
        <w:t xml:space="preserve">As Diretrizes fazem </w:t>
      </w:r>
      <w:r>
        <w:rPr>
          <w:rFonts w:ascii="Arial" w:hAnsi="Arial"/>
          <w:color w:val="000000" w:themeColor="text1"/>
          <w:sz w:val="20"/>
        </w:rPr>
        <w:t>parte do Conjunto de Ferramentas</w:t>
      </w:r>
      <w:r>
        <w:rPr>
          <w:rFonts w:ascii="Arial" w:hAnsi="Arial"/>
          <w:b/>
          <w:color w:val="000000" w:themeColor="text1"/>
          <w:sz w:val="20"/>
        </w:rPr>
        <w:t xml:space="preserve"> de PI da OMPI </w:t>
      </w:r>
      <w:r>
        <w:rPr>
          <w:rFonts w:ascii="Arial" w:hAnsi="Arial"/>
          <w:b/>
          <w:color w:val="000000"/>
          <w:sz w:val="20"/>
        </w:rPr>
        <w:t>para Instituições de Pesquisa e Universidades</w:t>
      </w:r>
      <w:r>
        <w:rPr>
          <w:rFonts w:ascii="Arial" w:hAnsi="Arial"/>
          <w:b/>
          <w:color w:val="000000" w:themeColor="text1"/>
          <w:sz w:val="20"/>
        </w:rPr>
        <w:t xml:space="preserve"> –Conectando a Pesquisa Acadêmica com a Economia e a Sociedade</w:t>
      </w:r>
      <w:r w:rsidR="00744113" w:rsidRPr="00A73D7F">
        <w:rPr>
          <w:rStyle w:val="FootnoteReference"/>
          <w:rFonts w:ascii="Arial" w:eastAsiaTheme="minorHAnsi" w:hAnsi="Arial" w:cs="Arial"/>
          <w:sz w:val="20"/>
          <w:szCs w:val="20"/>
          <w:lang w:val="en-US" w:eastAsia="en-US"/>
        </w:rPr>
        <w:footnoteReference w:id="1"/>
      </w:r>
      <w:r>
        <w:rPr>
          <w:rFonts w:ascii="Arial" w:hAnsi="Arial"/>
          <w:color w:val="000000"/>
          <w:sz w:val="20"/>
        </w:rPr>
        <w:t>,</w:t>
      </w:r>
      <w:r>
        <w:rPr>
          <w:rFonts w:ascii="Arial" w:hAnsi="Arial"/>
          <w:b/>
          <w:color w:val="000000"/>
          <w:sz w:val="20"/>
        </w:rPr>
        <w:t xml:space="preserve"> </w:t>
      </w:r>
      <w:r>
        <w:rPr>
          <w:rFonts w:ascii="Arial" w:hAnsi="Arial"/>
          <w:color w:val="000000"/>
          <w:sz w:val="20"/>
        </w:rPr>
        <w:t>que também</w:t>
      </w:r>
      <w:r>
        <w:rPr>
          <w:rFonts w:ascii="Arial" w:hAnsi="Arial"/>
          <w:b/>
          <w:color w:val="000000"/>
          <w:sz w:val="20"/>
        </w:rPr>
        <w:t xml:space="preserve"> </w:t>
      </w:r>
      <w:r>
        <w:rPr>
          <w:rFonts w:ascii="Arial" w:hAnsi="Arial"/>
          <w:color w:val="000000"/>
          <w:sz w:val="20"/>
        </w:rPr>
        <w:t>inclui:</w:t>
      </w:r>
    </w:p>
    <w:p w14:paraId="1B3E22A7" w14:textId="77777777" w:rsidR="00744113" w:rsidRPr="00A73D7F" w:rsidRDefault="00744113"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Pr>
          <w:rFonts w:ascii="Arial" w:hAnsi="Arial"/>
          <w:color w:val="0070C0"/>
          <w:sz w:val="20"/>
        </w:rPr>
        <w:t>Modelo de Política de PI para Instituições Acadêmicas e de Pesquisa</w:t>
      </w:r>
      <w:r>
        <w:rPr>
          <w:rFonts w:ascii="Arial" w:hAnsi="Arial"/>
          <w:i/>
          <w:color w:val="000000" w:themeColor="text1"/>
          <w:sz w:val="20"/>
        </w:rPr>
        <w:t xml:space="preserve">: </w:t>
      </w:r>
      <w:r>
        <w:rPr>
          <w:rFonts w:ascii="Arial" w:hAnsi="Arial"/>
          <w:color w:val="000000" w:themeColor="text1"/>
          <w:sz w:val="20"/>
        </w:rPr>
        <w:t>Um</w:t>
      </w:r>
      <w:r>
        <w:rPr>
          <w:rFonts w:ascii="Arial" w:hAnsi="Arial"/>
          <w:i/>
          <w:color w:val="000000" w:themeColor="text1"/>
          <w:sz w:val="20"/>
        </w:rPr>
        <w:t xml:space="preserve"> </w:t>
      </w:r>
      <w:r>
        <w:rPr>
          <w:rFonts w:ascii="Arial" w:hAnsi="Arial"/>
          <w:sz w:val="20"/>
        </w:rPr>
        <w:t>compêndio de questões-chave que são essenciais em uma política de PI. Autores: Sra. Lien Verbauwhede Koglin, Sr. Richard Cahoon, Sr. Mohammed Aljafari, Sra. Hagit Messer-Yaron, Sr. Barthelemy Nyasse, Sra. Maria del Pilar Noriega Escobar e Sra. Tana Pistorius.</w:t>
      </w:r>
    </w:p>
    <w:p w14:paraId="39C427ED" w14:textId="77777777" w:rsidR="00744113" w:rsidRPr="00537C61" w:rsidRDefault="00744113"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ascii="Arial" w:eastAsia="Times New Roman" w:hAnsi="Arial" w:cs="Arial"/>
          <w:color w:val="000000" w:themeColor="text1"/>
          <w:sz w:val="20"/>
          <w:szCs w:val="20"/>
        </w:rPr>
      </w:pPr>
      <w:r>
        <w:rPr>
          <w:rFonts w:ascii="Arial" w:hAnsi="Arial"/>
          <w:color w:val="0070C0"/>
          <w:sz w:val="20"/>
        </w:rPr>
        <w:t>Checklist de Escritores de Políticas de PI:</w:t>
      </w:r>
      <w:r>
        <w:rPr>
          <w:rFonts w:ascii="Arial" w:hAnsi="Arial"/>
          <w:color w:val="000000"/>
          <w:sz w:val="20"/>
        </w:rPr>
        <w:t xml:space="preserve"> </w:t>
      </w:r>
      <w:r>
        <w:rPr>
          <w:rFonts w:ascii="Arial" w:hAnsi="Arial"/>
          <w:color w:val="000000" w:themeColor="text1"/>
          <w:sz w:val="20"/>
        </w:rPr>
        <w:t>Uma orientação prática e informações passo a passo sobre as diferentes etapas que o processo de criação ou melhoria de uma Política de PI geralmente envolve. Autores: Sra. Lien Verbauwhede Koglin.</w:t>
      </w:r>
    </w:p>
    <w:p w14:paraId="353C7EF9" w14:textId="77777777" w:rsidR="00537C61" w:rsidRPr="00537C61" w:rsidRDefault="00537C61"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heme="majorEastAsia" w:hAnsi="Arial" w:cs="Arial"/>
          <w:b/>
          <w:bCs/>
          <w:color w:val="0070C0"/>
          <w:sz w:val="20"/>
          <w:szCs w:val="20"/>
        </w:rPr>
      </w:pPr>
      <w:r>
        <w:rPr>
          <w:rFonts w:ascii="Arial" w:hAnsi="Arial"/>
          <w:color w:val="0070C0"/>
          <w:sz w:val="20"/>
        </w:rPr>
        <w:t xml:space="preserve">Mapa de Ativos Intelectuais Acadêmicos: </w:t>
      </w:r>
      <w:r>
        <w:rPr>
          <w:rFonts w:ascii="Arial" w:hAnsi="Arial"/>
          <w:sz w:val="20"/>
        </w:rPr>
        <w:t xml:space="preserve">Projetado para entender o amplo escopo de ativos potenciais que uma instituição acadêmica possui ou pode possuir e a maneira de usá-los estrategicamente. Líder do projeto: Sra. Olga Spasic, autores: </w:t>
      </w:r>
      <w:r>
        <w:rPr>
          <w:rFonts w:ascii="Arial" w:hAnsi="Arial"/>
          <w:color w:val="000000" w:themeColor="text1"/>
          <w:sz w:val="20"/>
        </w:rPr>
        <w:t>Sr. Steven Tan e Dr. John Fraser.</w:t>
      </w:r>
      <w:r>
        <w:rPr>
          <w:rFonts w:ascii="Arial" w:hAnsi="Arial"/>
          <w:sz w:val="20"/>
        </w:rPr>
        <w:t xml:space="preserve"> </w:t>
      </w:r>
    </w:p>
    <w:p w14:paraId="6CDFE20F" w14:textId="77777777" w:rsidR="00537C61"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imes New Roman" w:hAnsi="Arial" w:cs="Arial"/>
          <w:sz w:val="20"/>
          <w:szCs w:val="20"/>
        </w:rPr>
      </w:pPr>
      <w:r>
        <w:rPr>
          <w:rFonts w:ascii="Arial" w:hAnsi="Arial"/>
          <w:color w:val="0070C0"/>
          <w:sz w:val="20"/>
        </w:rPr>
        <w:t>Acordos-Modelo:</w:t>
      </w:r>
      <w:r>
        <w:rPr>
          <w:rFonts w:ascii="Arial" w:hAnsi="Arial"/>
          <w:color w:val="000000" w:themeColor="text1"/>
          <w:sz w:val="20"/>
        </w:rPr>
        <w:t xml:space="preserve"> Uma compilação de acordos-modelo para transferência de conhecimento e tecnologia entre instituições acadêmicas e com parceiros comerciais. </w:t>
      </w:r>
      <w:r>
        <w:rPr>
          <w:rFonts w:ascii="Arial" w:hAnsi="Arial"/>
          <w:sz w:val="20"/>
        </w:rPr>
        <w:t xml:space="preserve">Líder do projeto: Sra. Olga Spasić, </w:t>
      </w:r>
      <w:r>
        <w:rPr>
          <w:rFonts w:ascii="Arial" w:hAnsi="Arial"/>
          <w:color w:val="000000" w:themeColor="text1"/>
          <w:sz w:val="20"/>
        </w:rPr>
        <w:t>autores: Sr. D. Patrick O'Reilley.</w:t>
      </w:r>
    </w:p>
    <w:p w14:paraId="1281BD53" w14:textId="316E6CF4" w:rsidR="00A73D7F" w:rsidRPr="0024467F" w:rsidRDefault="00537C61" w:rsidP="00CD414A">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ascii="Arial" w:hAnsi="Arial" w:cs="Arial"/>
        </w:rPr>
      </w:pPr>
      <w:r w:rsidRPr="0024467F">
        <w:rPr>
          <w:rFonts w:ascii="Arial" w:hAnsi="Arial"/>
          <w:color w:val="0070C0"/>
          <w:sz w:val="20"/>
        </w:rPr>
        <w:t xml:space="preserve">Estudos de caso: </w:t>
      </w:r>
      <w:r w:rsidRPr="0024467F">
        <w:rPr>
          <w:rFonts w:ascii="Arial" w:hAnsi="Arial"/>
          <w:color w:val="000000" w:themeColor="text1"/>
          <w:sz w:val="20"/>
        </w:rPr>
        <w:t>Uma ferramenta para treinamento de gestores de tecnologia, fazendo referência a vários dos Acordos-Modelo.</w:t>
      </w:r>
      <w:r w:rsidRPr="0024467F">
        <w:rPr>
          <w:rFonts w:ascii="Arial" w:hAnsi="Arial"/>
          <w:sz w:val="20"/>
        </w:rPr>
        <w:t xml:space="preserve"> Líder do projeto: Sra. Olga Spasic, autores:</w:t>
      </w:r>
      <w:r w:rsidRPr="0024467F">
        <w:rPr>
          <w:rFonts w:ascii="Arial" w:hAnsi="Arial"/>
          <w:color w:val="0070C0"/>
          <w:sz w:val="20"/>
        </w:rPr>
        <w:t xml:space="preserve"> </w:t>
      </w:r>
      <w:r w:rsidRPr="0024467F">
        <w:rPr>
          <w:rFonts w:ascii="Arial" w:hAnsi="Arial"/>
          <w:color w:val="000000" w:themeColor="text1"/>
          <w:sz w:val="20"/>
        </w:rPr>
        <w:t>Sra. Hagit Messer-Yaron e Dr. Keren Primor.</w:t>
      </w:r>
    </w:p>
    <w:p w14:paraId="1648C690" w14:textId="77777777" w:rsidR="008178A1" w:rsidRDefault="008178A1" w:rsidP="00B00EEA">
      <w:pPr>
        <w:pStyle w:val="Heading1"/>
      </w:pPr>
      <w:bookmarkStart w:id="0" w:name="_Toc516160031"/>
      <w:bookmarkStart w:id="1" w:name="_Toc516219374"/>
      <w:bookmarkStart w:id="2" w:name="_Toc516496016"/>
      <w:bookmarkStart w:id="3" w:name="_Toc516829388"/>
    </w:p>
    <w:p w14:paraId="00F638A4" w14:textId="77777777" w:rsidR="00CB4E3C" w:rsidRPr="00CC0CF0" w:rsidRDefault="00292BA3" w:rsidP="00B00EEA">
      <w:pPr>
        <w:pStyle w:val="Heading1"/>
      </w:pPr>
      <w:bookmarkStart w:id="4" w:name="_Toc185241076"/>
      <w:r>
        <w:t>I. Sobre as Diretrizes</w:t>
      </w:r>
      <w:bookmarkEnd w:id="0"/>
      <w:bookmarkEnd w:id="1"/>
      <w:bookmarkEnd w:id="2"/>
      <w:bookmarkEnd w:id="3"/>
      <w:bookmarkEnd w:id="4"/>
      <w:r>
        <w:t xml:space="preserve"> </w:t>
      </w:r>
    </w:p>
    <w:p w14:paraId="00E79325" w14:textId="0674DEBB" w:rsidR="00B50D7E" w:rsidRPr="00CC0CF0" w:rsidRDefault="00B50D7E" w:rsidP="00B50D7E">
      <w:pPr>
        <w:pStyle w:val="NoSpacing"/>
        <w:jc w:val="both"/>
        <w:rPr>
          <w:rFonts w:ascii="Arial" w:hAnsi="Arial" w:cs="Arial"/>
          <w:sz w:val="20"/>
        </w:rPr>
      </w:pPr>
      <w:r>
        <w:rPr>
          <w:rFonts w:ascii="Arial" w:hAnsi="Arial"/>
          <w:sz w:val="20"/>
        </w:rPr>
        <w:t>As Diretrizes servem como um guia prático de redação para o Modelo de Política de PI.</w:t>
      </w:r>
    </w:p>
    <w:p w14:paraId="4F04A252" w14:textId="77777777" w:rsidR="00B50D7E" w:rsidRPr="0024467F" w:rsidRDefault="00B50D7E" w:rsidP="00B50D7E">
      <w:pPr>
        <w:pStyle w:val="NoSpacing"/>
        <w:jc w:val="both"/>
        <w:rPr>
          <w:rFonts w:ascii="Arial" w:hAnsi="Arial" w:cs="Arial"/>
          <w:sz w:val="20"/>
        </w:rPr>
      </w:pPr>
    </w:p>
    <w:p w14:paraId="7FD40BBF" w14:textId="7D6E0EB0" w:rsidR="00B50D7E" w:rsidRPr="00CC0CF0" w:rsidRDefault="00B50D7E" w:rsidP="00B50D7E">
      <w:pPr>
        <w:pStyle w:val="NoSpacing"/>
        <w:jc w:val="both"/>
        <w:rPr>
          <w:rFonts w:ascii="Arial" w:hAnsi="Arial" w:cs="Arial"/>
          <w:sz w:val="20"/>
        </w:rPr>
      </w:pPr>
      <w:r>
        <w:rPr>
          <w:rFonts w:ascii="Arial" w:hAnsi="Arial"/>
          <w:sz w:val="20"/>
        </w:rPr>
        <w:t>O Modelo não foi criado para servir como um “padrão”, mas sim como um compêndio de áreas mínimas que devem ser cobertas em uma Política de PI institucional. O Modelo fornece, portanto, um conjunto de cláusulas que compõem uma Política de PI eficaz e bem definida, que podem ser usadas como tal. No entanto, há uma variedade de cláusulas e escolhas políticas que podem ser usadas em vez daquelas fornecidas no Modelo. Essas Diretrizes agora fornecem essas alternativas e opções por meio de exemplos de diferentes países e uma análise dos prós e contras de várias abordagens.</w:t>
      </w:r>
    </w:p>
    <w:p w14:paraId="04D39BD2" w14:textId="77777777" w:rsidR="00FB04C4" w:rsidRPr="0024467F" w:rsidRDefault="00FB04C4" w:rsidP="002F3C51">
      <w:pPr>
        <w:pStyle w:val="NoSpacing"/>
        <w:jc w:val="both"/>
        <w:rPr>
          <w:rFonts w:ascii="Arial" w:hAnsi="Arial" w:cs="Arial"/>
          <w:sz w:val="20"/>
        </w:rPr>
      </w:pPr>
    </w:p>
    <w:p w14:paraId="450D7D76" w14:textId="77777777" w:rsidR="00FB04C4" w:rsidRPr="00CC0CF0" w:rsidRDefault="00D64177" w:rsidP="002F3C51">
      <w:pPr>
        <w:pStyle w:val="NoSpacing"/>
        <w:jc w:val="both"/>
        <w:rPr>
          <w:rFonts w:ascii="Arial" w:hAnsi="Arial" w:cs="Arial"/>
          <w:sz w:val="20"/>
        </w:rPr>
      </w:pPr>
      <w:r>
        <w:rPr>
          <w:rFonts w:ascii="Arial" w:hAnsi="Arial"/>
          <w:sz w:val="20"/>
        </w:rPr>
        <w:t xml:space="preserve">As Diretrizes são </w:t>
      </w:r>
      <w:r>
        <w:rPr>
          <w:rFonts w:ascii="Arial" w:hAnsi="Arial"/>
          <w:i/>
          <w:iCs/>
          <w:sz w:val="20"/>
        </w:rPr>
        <w:t>exclusivas</w:t>
      </w:r>
      <w:r>
        <w:rPr>
          <w:rFonts w:ascii="Arial" w:hAnsi="Arial"/>
          <w:sz w:val="20"/>
        </w:rPr>
        <w:t xml:space="preserve"> no sentido de que:</w:t>
      </w:r>
    </w:p>
    <w:p w14:paraId="3192FE38" w14:textId="77777777" w:rsidR="00E36191" w:rsidRPr="0024467F" w:rsidRDefault="00E36191" w:rsidP="002F3C51">
      <w:pPr>
        <w:pStyle w:val="NoSpacing"/>
        <w:jc w:val="both"/>
        <w:rPr>
          <w:rFonts w:ascii="Arial" w:hAnsi="Arial" w:cs="Arial"/>
          <w:sz w:val="20"/>
        </w:rPr>
      </w:pPr>
    </w:p>
    <w:p w14:paraId="6F2F88D3" w14:textId="77777777" w:rsidR="00D64177" w:rsidRPr="00CC0CF0" w:rsidRDefault="00A30539" w:rsidP="009D4A54">
      <w:pPr>
        <w:pStyle w:val="NoSpacing"/>
        <w:numPr>
          <w:ilvl w:val="0"/>
          <w:numId w:val="21"/>
        </w:numPr>
        <w:ind w:left="567" w:hanging="567"/>
        <w:jc w:val="both"/>
        <w:rPr>
          <w:rFonts w:ascii="Arial" w:hAnsi="Arial" w:cs="Arial"/>
          <w:sz w:val="20"/>
        </w:rPr>
      </w:pPr>
      <w:r>
        <w:rPr>
          <w:rFonts w:ascii="Arial" w:hAnsi="Arial"/>
          <w:sz w:val="20"/>
        </w:rPr>
        <w:t xml:space="preserve">elas são o resultado da </w:t>
      </w:r>
      <w:r>
        <w:rPr>
          <w:rFonts w:ascii="Arial" w:hAnsi="Arial"/>
          <w:b/>
          <w:bCs/>
          <w:sz w:val="20"/>
        </w:rPr>
        <w:t>escrita colaborativa</w:t>
      </w:r>
      <w:r>
        <w:rPr>
          <w:rFonts w:ascii="Arial" w:hAnsi="Arial"/>
          <w:sz w:val="20"/>
        </w:rPr>
        <w:t xml:space="preserve"> de especialistas de 14 países diferentes, que testaram uma mistura de diversas políticas institucionais de PI e estruturas de gestão de PI;</w:t>
      </w:r>
    </w:p>
    <w:p w14:paraId="0DA108BB" w14:textId="46629A99" w:rsidR="00E36191" w:rsidRPr="00CC0CF0" w:rsidRDefault="00A30539" w:rsidP="009D4A54">
      <w:pPr>
        <w:pStyle w:val="NoSpacing"/>
        <w:numPr>
          <w:ilvl w:val="0"/>
          <w:numId w:val="21"/>
        </w:numPr>
        <w:ind w:left="567" w:hanging="567"/>
        <w:jc w:val="both"/>
        <w:rPr>
          <w:rFonts w:ascii="Arial" w:hAnsi="Arial" w:cs="Arial"/>
          <w:sz w:val="20"/>
        </w:rPr>
      </w:pPr>
      <w:r>
        <w:rPr>
          <w:rFonts w:ascii="Arial" w:hAnsi="Arial"/>
          <w:sz w:val="20"/>
        </w:rPr>
        <w:t xml:space="preserve">elas ajudam os usuários a determinarem a aplicabilidade de cada artigo em uma Política de PI em seu próprio </w:t>
      </w:r>
      <w:r>
        <w:rPr>
          <w:rFonts w:ascii="Arial" w:hAnsi="Arial"/>
          <w:b/>
          <w:bCs/>
          <w:sz w:val="20"/>
        </w:rPr>
        <w:t>contexto</w:t>
      </w:r>
      <w:r>
        <w:rPr>
          <w:rFonts w:ascii="Arial" w:hAnsi="Arial"/>
          <w:sz w:val="20"/>
        </w:rPr>
        <w:t xml:space="preserve"> e estarem cientes das opções existentes; e</w:t>
      </w:r>
    </w:p>
    <w:p w14:paraId="75D8ADFF" w14:textId="77777777" w:rsidR="00D64177" w:rsidRPr="00CC0CF0" w:rsidRDefault="00B50D7E" w:rsidP="009D4A54">
      <w:pPr>
        <w:pStyle w:val="NoSpacing"/>
        <w:numPr>
          <w:ilvl w:val="0"/>
          <w:numId w:val="21"/>
        </w:numPr>
        <w:ind w:left="567" w:hanging="567"/>
        <w:jc w:val="both"/>
        <w:rPr>
          <w:rFonts w:ascii="Arial" w:hAnsi="Arial" w:cs="Arial"/>
          <w:sz w:val="20"/>
        </w:rPr>
      </w:pPr>
      <w:r>
        <w:rPr>
          <w:rFonts w:ascii="Arial" w:hAnsi="Arial"/>
          <w:sz w:val="20"/>
        </w:rPr>
        <w:t xml:space="preserve">elas pretendem incentivar a </w:t>
      </w:r>
      <w:r>
        <w:rPr>
          <w:rFonts w:ascii="Arial" w:hAnsi="Arial"/>
          <w:b/>
          <w:bCs/>
          <w:sz w:val="20"/>
        </w:rPr>
        <w:t>comercialização responsável baseada em PI</w:t>
      </w:r>
      <w:r w:rsidRPr="00CC0CF0">
        <w:rPr>
          <w:rStyle w:val="FootnoteReference"/>
          <w:rFonts w:ascii="Arial" w:hAnsi="Arial" w:cs="Arial"/>
          <w:sz w:val="20"/>
          <w:lang w:val="en-US"/>
        </w:rPr>
        <w:footnoteReference w:id="2"/>
      </w:r>
      <w:r>
        <w:rPr>
          <w:rFonts w:ascii="Arial" w:hAnsi="Arial"/>
          <w:sz w:val="20"/>
        </w:rPr>
        <w:t>, visando maximizar o bem público, ao mesmo tempo em que reconhece o mandato tradicional das universidades públicas e instituições de pesquisa.</w:t>
      </w:r>
    </w:p>
    <w:p w14:paraId="1497F518" w14:textId="77777777" w:rsidR="00AE696B" w:rsidRPr="00CC0CF0" w:rsidRDefault="00292BA3" w:rsidP="00CC0CF0">
      <w:pPr>
        <w:pStyle w:val="Heading1"/>
      </w:pPr>
      <w:bookmarkStart w:id="5" w:name="_Toc516160032"/>
      <w:bookmarkStart w:id="6" w:name="_Toc516219375"/>
      <w:bookmarkStart w:id="7" w:name="_Toc516496017"/>
      <w:bookmarkStart w:id="8" w:name="_Toc516829389"/>
      <w:bookmarkStart w:id="9" w:name="_Toc185241077"/>
      <w:r>
        <w:t>II. Diretrizes Comuns para a Redação de uma Política de PI</w:t>
      </w:r>
      <w:bookmarkEnd w:id="5"/>
      <w:bookmarkEnd w:id="6"/>
      <w:bookmarkEnd w:id="7"/>
      <w:bookmarkEnd w:id="8"/>
      <w:bookmarkEnd w:id="9"/>
    </w:p>
    <w:p w14:paraId="24A24B19" w14:textId="77777777" w:rsidR="001E615A" w:rsidRPr="00CC0CF0" w:rsidRDefault="001E615A" w:rsidP="00E73746">
      <w:pPr>
        <w:tabs>
          <w:tab w:val="left" w:pos="426"/>
        </w:tabs>
        <w:spacing w:line="240" w:lineRule="auto"/>
        <w:jc w:val="both"/>
        <w:rPr>
          <w:rFonts w:ascii="Arial" w:eastAsiaTheme="minorHAnsi" w:hAnsi="Arial" w:cs="Arial"/>
          <w:b/>
          <w:color w:val="0070C0"/>
          <w:sz w:val="24"/>
        </w:rPr>
      </w:pPr>
      <w:r>
        <w:rPr>
          <w:rFonts w:ascii="Arial" w:hAnsi="Arial"/>
          <w:b/>
          <w:color w:val="0070C0"/>
          <w:sz w:val="24"/>
        </w:rPr>
        <w:t>Comentários</w:t>
      </w:r>
    </w:p>
    <w:p w14:paraId="0127CC76" w14:textId="77777777" w:rsidR="001E615A" w:rsidRPr="00CC0CF0" w:rsidRDefault="001E615A" w:rsidP="00734F31">
      <w:pPr>
        <w:pStyle w:val="NoSpacing"/>
        <w:jc w:val="both"/>
        <w:rPr>
          <w:rFonts w:ascii="Arial" w:hAnsi="Arial" w:cs="Arial"/>
          <w:sz w:val="20"/>
        </w:rPr>
      </w:pPr>
      <w:r>
        <w:rPr>
          <w:rFonts w:ascii="Arial" w:hAnsi="Arial"/>
          <w:sz w:val="20"/>
        </w:rPr>
        <w:t>Ao redigir uma Política de PI institucional, deve-se considerar o seguinte:</w:t>
      </w:r>
    </w:p>
    <w:p w14:paraId="6EDB7E31" w14:textId="77777777" w:rsidR="001E615A" w:rsidRPr="0024467F" w:rsidRDefault="001E615A" w:rsidP="00734F31">
      <w:pPr>
        <w:pStyle w:val="NoSpacing"/>
        <w:jc w:val="both"/>
        <w:rPr>
          <w:rFonts w:ascii="Arial" w:hAnsi="Arial" w:cs="Arial"/>
          <w:sz w:val="20"/>
        </w:rPr>
      </w:pPr>
    </w:p>
    <w:p w14:paraId="758507E6" w14:textId="77777777" w:rsidR="005574EE" w:rsidRPr="00CC0CF0" w:rsidRDefault="00FE6D7F" w:rsidP="0046428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sz w:val="20"/>
        </w:rPr>
      </w:pPr>
      <w:r>
        <w:rPr>
          <w:rFonts w:ascii="Arial" w:hAnsi="Arial"/>
          <w:b/>
          <w:sz w:val="20"/>
        </w:rPr>
        <w:t>Consistência jurídica e institucional</w:t>
      </w:r>
      <w:r>
        <w:rPr>
          <w:rFonts w:ascii="Arial" w:hAnsi="Arial"/>
          <w:sz w:val="20"/>
        </w:rPr>
        <w:t xml:space="preserve"> </w:t>
      </w:r>
    </w:p>
    <w:p w14:paraId="0B8CEFBB" w14:textId="77777777" w:rsidR="000444C2" w:rsidRPr="00CC0CF0" w:rsidRDefault="000444C2" w:rsidP="00B7519E">
      <w:pPr>
        <w:pStyle w:val="ListParagraph"/>
        <w:tabs>
          <w:tab w:val="left" w:pos="1134"/>
        </w:tabs>
        <w:autoSpaceDE w:val="0"/>
        <w:autoSpaceDN w:val="0"/>
        <w:adjustRightInd w:val="0"/>
        <w:spacing w:after="0" w:line="240" w:lineRule="auto"/>
        <w:ind w:left="426"/>
        <w:jc w:val="both"/>
        <w:rPr>
          <w:rFonts w:ascii="Arial" w:hAnsi="Arial"/>
          <w:sz w:val="20"/>
          <w:lang w:val="en-US"/>
        </w:rPr>
      </w:pPr>
    </w:p>
    <w:p w14:paraId="38D57F13" w14:textId="7B6C3E64"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eastAsiaTheme="minorHAnsi" w:hAnsi="Arial" w:cs="Arial"/>
          <w:sz w:val="20"/>
        </w:rPr>
      </w:pPr>
      <w:r>
        <w:rPr>
          <w:rFonts w:ascii="Arial" w:hAnsi="Arial"/>
          <w:sz w:val="20"/>
        </w:rPr>
        <w:t>Leis - um modelo uniforme de Política de PI para todas as universidades e instituições de pesquisa (Instituições), não é aconselhável pois muitos fatores precisam ser levados em consideração. Em particular, a Política de PI não deve contradizer as leis e regulamentos nacionais ou internacionais e, como tal, é altamente recomendável realizar uma análise aprofundada da estrutura jurídica nacional</w:t>
      </w:r>
      <w:r w:rsidR="00272089" w:rsidRPr="00CC0CF0">
        <w:rPr>
          <w:rStyle w:val="FootnoteReference"/>
          <w:rFonts w:ascii="Arial" w:hAnsi="Arial" w:cs="Arial"/>
          <w:b/>
          <w:sz w:val="20"/>
          <w:lang w:val="en-US"/>
        </w:rPr>
        <w:footnoteReference w:id="3"/>
      </w:r>
      <w:r>
        <w:rPr>
          <w:rFonts w:ascii="Arial" w:hAnsi="Arial"/>
          <w:sz w:val="20"/>
        </w:rPr>
        <w:t xml:space="preserve"> antes de formular sua Política de PI. Fatores adicionais que precisam ser levados em consideração incluem os objetivos específicos da sua instituição, as práticas de mercado, a cultura empreendedora da instituição, a capacidade da instituição de transferir conhecimento e a capacidade da região de absorver essas informações</w:t>
      </w:r>
      <w:r w:rsidR="008411EA">
        <w:rPr>
          <w:rFonts w:ascii="Arial" w:hAnsi="Arial"/>
          <w:sz w:val="20"/>
        </w:rPr>
        <w:t xml:space="preserve">. </w:t>
      </w:r>
    </w:p>
    <w:p w14:paraId="7178C0D5" w14:textId="77777777" w:rsidR="00272089" w:rsidRPr="0024467F" w:rsidRDefault="00272089" w:rsidP="00B7519E">
      <w:pPr>
        <w:pStyle w:val="ListParagraph"/>
        <w:tabs>
          <w:tab w:val="left" w:pos="851"/>
        </w:tabs>
        <w:autoSpaceDE w:val="0"/>
        <w:autoSpaceDN w:val="0"/>
        <w:adjustRightInd w:val="0"/>
        <w:spacing w:after="0" w:line="240" w:lineRule="auto"/>
        <w:ind w:left="851"/>
        <w:jc w:val="both"/>
        <w:rPr>
          <w:rFonts w:ascii="Arial" w:eastAsiaTheme="minorHAnsi" w:hAnsi="Arial" w:cs="Arial"/>
          <w:sz w:val="20"/>
          <w:lang w:eastAsia="en-US"/>
        </w:rPr>
      </w:pPr>
    </w:p>
    <w:p w14:paraId="408AAFC7" w14:textId="1EE9DBEE"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rPr>
      </w:pPr>
      <w:r>
        <w:rPr>
          <w:rFonts w:ascii="Arial" w:hAnsi="Arial"/>
          <w:sz w:val="20"/>
        </w:rPr>
        <w:t>Estatutos institucionais - A visão e a missão da sua Instituição podem diferir em aspectos importantes das cláusulas propostas no modelo e devem ser levadas em consideração ao formular sua Política de PI. A Política de PI não deve contradizer outras políticas institucionais, estatutos ou leis.</w:t>
      </w:r>
    </w:p>
    <w:p w14:paraId="23863DA3" w14:textId="77777777" w:rsidR="00272089" w:rsidRPr="0024467F" w:rsidRDefault="00272089" w:rsidP="00B7519E">
      <w:pPr>
        <w:pStyle w:val="ListParagraph"/>
        <w:tabs>
          <w:tab w:val="left" w:pos="851"/>
        </w:tabs>
        <w:autoSpaceDE w:val="0"/>
        <w:autoSpaceDN w:val="0"/>
        <w:adjustRightInd w:val="0"/>
        <w:spacing w:after="0" w:line="240" w:lineRule="auto"/>
        <w:ind w:left="851"/>
        <w:jc w:val="both"/>
        <w:rPr>
          <w:rFonts w:ascii="Arial" w:hAnsi="Arial"/>
          <w:sz w:val="20"/>
        </w:rPr>
      </w:pPr>
    </w:p>
    <w:p w14:paraId="6FF74F9B" w14:textId="77777777" w:rsidR="00FE584A"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rPr>
      </w:pPr>
      <w:r>
        <w:rPr>
          <w:rFonts w:ascii="Arial" w:hAnsi="Arial"/>
          <w:sz w:val="20"/>
        </w:rPr>
        <w:lastRenderedPageBreak/>
        <w:t>Aprovação da Política - Além disso, as instituições devem ter processos em vigor para garantir que sua Política de PI seja aprovada e, portanto, vinculativa dentro da instituição.</w:t>
      </w:r>
    </w:p>
    <w:p w14:paraId="482EC349" w14:textId="77777777" w:rsidR="00B76B1B" w:rsidRPr="0024467F" w:rsidRDefault="00B76B1B" w:rsidP="00734F31">
      <w:pPr>
        <w:shd w:val="clear" w:color="auto" w:fill="FFFFFF" w:themeFill="background1"/>
        <w:tabs>
          <w:tab w:val="left" w:pos="567"/>
        </w:tabs>
        <w:autoSpaceDE w:val="0"/>
        <w:autoSpaceDN w:val="0"/>
        <w:adjustRightInd w:val="0"/>
        <w:spacing w:after="0" w:line="240" w:lineRule="auto"/>
        <w:jc w:val="both"/>
        <w:rPr>
          <w:rFonts w:ascii="Arial" w:eastAsiaTheme="minorHAnsi" w:hAnsi="Arial" w:cs="Arial"/>
          <w:sz w:val="20"/>
          <w:lang w:eastAsia="en-US"/>
        </w:rPr>
      </w:pPr>
    </w:p>
    <w:p w14:paraId="45069405" w14:textId="77777777" w:rsidR="00B76B1B" w:rsidRPr="00CC0CF0" w:rsidRDefault="00057D3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r>
        <w:rPr>
          <w:rFonts w:ascii="Arial" w:hAnsi="Arial"/>
          <w:b/>
          <w:sz w:val="20"/>
        </w:rPr>
        <w:t xml:space="preserve"> Dicas para Alinhar sua Política de PI com a Lei e os Estatutos Institucionais</w:t>
      </w:r>
    </w:p>
    <w:p w14:paraId="28696F1E" w14:textId="77777777" w:rsidR="00B76B1B" w:rsidRPr="0024467F" w:rsidRDefault="00B76B1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rPr>
      </w:pPr>
    </w:p>
    <w:p w14:paraId="6FD88991"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rPr>
      </w:pPr>
      <w:r>
        <w:rPr>
          <w:rFonts w:ascii="Arial" w:hAnsi="Arial"/>
          <w:sz w:val="20"/>
        </w:rPr>
        <w:t xml:space="preserve">Seu país tem uma lei explícita que permite que Instituições financiadas publicamente possuam e comercializem PI? </w:t>
      </w:r>
    </w:p>
    <w:p w14:paraId="61227E4E" w14:textId="7F212048"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rPr>
      </w:pPr>
      <w:r>
        <w:rPr>
          <w:rFonts w:ascii="Arial" w:hAnsi="Arial"/>
          <w:sz w:val="20"/>
        </w:rPr>
        <w:t>Existem regras expressas sobre titularidade de PI de funcionários? Qual é a posição de titularidade na lei para invenções/produtos criativos de funcionários acadêmicos?</w:t>
      </w:r>
    </w:p>
    <w:p w14:paraId="03544F48"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rPr>
      </w:pPr>
      <w:r>
        <w:rPr>
          <w:rFonts w:ascii="Arial" w:hAnsi="Arial"/>
          <w:sz w:val="20"/>
        </w:rPr>
        <w:t>Existem regras sobre acesso aos resultados de pesquisas financiadas publicamente (como dados abertos/acesso aberto/código aberto)?</w:t>
      </w:r>
    </w:p>
    <w:p w14:paraId="54722192"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rPr>
      </w:pPr>
      <w:r>
        <w:rPr>
          <w:rFonts w:ascii="Arial" w:hAnsi="Arial"/>
          <w:sz w:val="20"/>
        </w:rPr>
        <w:t xml:space="preserve">Como a Política de PI da Instituição será vinculativa para seus membros da equipe, alunos e visitantes? </w:t>
      </w:r>
    </w:p>
    <w:p w14:paraId="397EC285"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rPr>
      </w:pPr>
      <w:r>
        <w:rPr>
          <w:rFonts w:ascii="Arial" w:hAnsi="Arial"/>
          <w:sz w:val="20"/>
        </w:rPr>
        <w:t>Os contratos de trabalho acadêmico incluem cláusulas de cessão e são aplicáveis?</w:t>
      </w:r>
    </w:p>
    <w:p w14:paraId="4EF9490C"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ascii="Arial" w:hAnsi="Arial" w:cs="Arial"/>
          <w:sz w:val="20"/>
          <w:szCs w:val="32"/>
        </w:rPr>
      </w:pPr>
      <w:r>
        <w:rPr>
          <w:rFonts w:ascii="Arial" w:hAnsi="Arial"/>
          <w:sz w:val="20"/>
        </w:rPr>
        <w:t>A Política de PI está alinhada com a política de pesquisa da Instituição?</w:t>
      </w:r>
    </w:p>
    <w:p w14:paraId="4C743E4E" w14:textId="77777777" w:rsidR="002255D1" w:rsidRPr="0024467F" w:rsidRDefault="002255D1"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32"/>
        </w:rPr>
      </w:pPr>
    </w:p>
    <w:p w14:paraId="22871439" w14:textId="77777777" w:rsidR="00D06F97" w:rsidRPr="00CC0CF0" w:rsidRDefault="00D06F97" w:rsidP="002255D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sz w:val="20"/>
          <w:szCs w:val="32"/>
        </w:rPr>
      </w:pPr>
      <w:r>
        <w:rPr>
          <w:rFonts w:ascii="Arial" w:hAnsi="Arial"/>
          <w:sz w:val="20"/>
        </w:rPr>
        <w:t xml:space="preserve">Para especificações mais detalhadas, veja a </w:t>
      </w:r>
      <w:hyperlink r:id="rId9" w:history="1">
        <w:r>
          <w:rPr>
            <w:rStyle w:val="Hyperlink"/>
            <w:rFonts w:ascii="Arial" w:hAnsi="Arial"/>
            <w:sz w:val="20"/>
          </w:rPr>
          <w:t>Checklist de Escritores de Políticas da OMPI</w:t>
        </w:r>
      </w:hyperlink>
      <w:r>
        <w:t>.</w:t>
      </w:r>
    </w:p>
    <w:p w14:paraId="331F9909" w14:textId="77777777" w:rsidR="00FE584A" w:rsidRPr="0024467F" w:rsidRDefault="00FE584A" w:rsidP="00734F31">
      <w:pPr>
        <w:tabs>
          <w:tab w:val="left" w:pos="1134"/>
        </w:tabs>
        <w:autoSpaceDE w:val="0"/>
        <w:autoSpaceDN w:val="0"/>
        <w:adjustRightInd w:val="0"/>
        <w:spacing w:after="0" w:line="240" w:lineRule="auto"/>
        <w:jc w:val="both"/>
        <w:rPr>
          <w:rFonts w:ascii="Arial" w:hAnsi="Arial"/>
        </w:rPr>
      </w:pPr>
    </w:p>
    <w:p w14:paraId="5E3ECF4D" w14:textId="1D3281A4" w:rsidR="00D64177" w:rsidRPr="00CC0CF0" w:rsidRDefault="001E615A" w:rsidP="000C179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cs="Arial"/>
        </w:rPr>
      </w:pPr>
      <w:r>
        <w:rPr>
          <w:rFonts w:ascii="Arial" w:hAnsi="Arial"/>
          <w:b/>
          <w:sz w:val="20"/>
        </w:rPr>
        <w:t>Customização</w:t>
      </w:r>
      <w:r>
        <w:rPr>
          <w:rFonts w:ascii="Arial" w:hAnsi="Arial"/>
          <w:sz w:val="20"/>
        </w:rPr>
        <w:t xml:space="preserve"> – Cada instituição deve moldar sua política de PI para refletir sua abordagem à gestão de PI e transferência de conhecimento, e levar em consideração o caráter da instituição, a natureza da tecnologia e o ecossistema de inovação local.</w:t>
      </w:r>
      <w:r w:rsidR="00667D5F" w:rsidRPr="00CC0CF0">
        <w:rPr>
          <w:rStyle w:val="FootnoteReference"/>
          <w:rFonts w:ascii="Arial" w:eastAsiaTheme="minorHAnsi" w:hAnsi="Arial" w:cs="Arial"/>
          <w:sz w:val="20"/>
          <w:lang w:val="en-US" w:eastAsia="en-US"/>
        </w:rPr>
        <w:footnoteReference w:id="4"/>
      </w:r>
      <w:r>
        <w:rPr>
          <w:rFonts w:ascii="Arial" w:hAnsi="Arial"/>
          <w:sz w:val="20"/>
        </w:rPr>
        <w:t xml:space="preserve"> A Instituição deve determinar a aplicabilidade de cada artigo no Modelo de Política de PI e considerar todas as opções existentes</w:t>
      </w:r>
      <w:r w:rsidR="008411EA">
        <w:rPr>
          <w:rFonts w:ascii="Arial" w:hAnsi="Arial"/>
          <w:sz w:val="20"/>
        </w:rPr>
        <w:t xml:space="preserve">. </w:t>
      </w:r>
      <w:r>
        <w:rPr>
          <w:rFonts w:ascii="Arial" w:hAnsi="Arial"/>
          <w:sz w:val="20"/>
        </w:rPr>
        <w:t>Para melhor personalizar o Modelo, é recomendável realizar uma avaliação das necessidades Institucionais.</w:t>
      </w:r>
      <w:r w:rsidR="00CB41B1" w:rsidRPr="00CC0CF0">
        <w:rPr>
          <w:rStyle w:val="FootnoteReference"/>
          <w:rFonts w:ascii="Arial" w:eastAsiaTheme="minorHAnsi" w:hAnsi="Arial" w:cs="Arial"/>
          <w:sz w:val="20"/>
          <w:lang w:val="en-US" w:eastAsia="en-US"/>
        </w:rPr>
        <w:footnoteReference w:id="5"/>
      </w:r>
      <w:r>
        <w:rPr>
          <w:rFonts w:ascii="Arial" w:hAnsi="Arial"/>
          <w:sz w:val="20"/>
        </w:rPr>
        <w:t xml:space="preserve"> </w:t>
      </w:r>
    </w:p>
    <w:p w14:paraId="2AA39F6E" w14:textId="77777777" w:rsidR="00FE584A" w:rsidRPr="0024467F" w:rsidRDefault="00FE584A" w:rsidP="00B7519E">
      <w:pPr>
        <w:pStyle w:val="FootnoteText"/>
        <w:tabs>
          <w:tab w:val="left" w:pos="851"/>
        </w:tabs>
        <w:ind w:left="426"/>
        <w:jc w:val="both"/>
        <w:rPr>
          <w:rFonts w:ascii="Arial" w:hAnsi="Arial" w:cs="Arial"/>
        </w:rPr>
      </w:pPr>
    </w:p>
    <w:p w14:paraId="62280C5C" w14:textId="77777777" w:rsidR="00FE584A" w:rsidRPr="00CC0CF0" w:rsidRDefault="00FE584A" w:rsidP="00464282">
      <w:pPr>
        <w:pStyle w:val="CommentText"/>
        <w:numPr>
          <w:ilvl w:val="0"/>
          <w:numId w:val="5"/>
        </w:numPr>
        <w:spacing w:after="0"/>
        <w:ind w:left="425" w:hanging="425"/>
        <w:jc w:val="both"/>
        <w:rPr>
          <w:rFonts w:ascii="Arial" w:hAnsi="Arial" w:cs="Arial"/>
          <w:color w:val="000000"/>
          <w:szCs w:val="22"/>
        </w:rPr>
      </w:pPr>
      <w:r>
        <w:rPr>
          <w:rFonts w:ascii="Arial" w:hAnsi="Arial"/>
          <w:b/>
        </w:rPr>
        <w:t>Endosso</w:t>
      </w:r>
      <w:r>
        <w:rPr>
          <w:rFonts w:ascii="Arial" w:hAnsi="Arial"/>
        </w:rPr>
        <w:t xml:space="preserve"> </w:t>
      </w:r>
      <w:r>
        <w:rPr>
          <w:rFonts w:ascii="Arial" w:hAnsi="Arial"/>
          <w:sz w:val="18"/>
        </w:rPr>
        <w:t>–</w:t>
      </w:r>
      <w:r>
        <w:rPr>
          <w:rFonts w:ascii="Arial" w:hAnsi="Arial"/>
        </w:rPr>
        <w:t xml:space="preserve"> </w:t>
      </w:r>
      <w:r>
        <w:rPr>
          <w:rFonts w:ascii="Arial" w:hAnsi="Arial"/>
          <w:color w:val="000000"/>
        </w:rPr>
        <w:t>A comunidade acadêmica deve ser consultada durante o processo de desenvolvimento da Política de PI antes que ela entre em vigor. Isso garante legitimidade, promove a compreensão da intenção e do escopo da Política de PI e provavelmente reduzirá potenciais pontos de atrito em sua implementação.</w:t>
      </w:r>
      <w:r w:rsidR="002C332D" w:rsidRPr="00CC0CF0">
        <w:rPr>
          <w:rStyle w:val="FootnoteReference"/>
          <w:rFonts w:ascii="Arial" w:hAnsi="Arial" w:cs="Arial"/>
          <w:color w:val="000000"/>
          <w:szCs w:val="22"/>
          <w:lang w:val="en-US" w:eastAsia="en-ZA"/>
        </w:rPr>
        <w:footnoteReference w:id="6"/>
      </w:r>
    </w:p>
    <w:p w14:paraId="356F179D" w14:textId="77777777" w:rsidR="00003C7F" w:rsidRPr="0024467F" w:rsidRDefault="00003C7F" w:rsidP="00734F31">
      <w:pPr>
        <w:pStyle w:val="FootnoteText"/>
        <w:tabs>
          <w:tab w:val="left" w:pos="993"/>
        </w:tabs>
        <w:ind w:left="1004"/>
        <w:jc w:val="both"/>
        <w:rPr>
          <w:rFonts w:ascii="Arial" w:hAnsi="Arial" w:cs="Arial"/>
        </w:rPr>
      </w:pPr>
    </w:p>
    <w:p w14:paraId="01E9B4FC" w14:textId="3CE1470D" w:rsidR="002A3827" w:rsidRPr="00CC0CF0" w:rsidRDefault="001E615A" w:rsidP="00464282">
      <w:pPr>
        <w:pStyle w:val="ListParagraph"/>
        <w:numPr>
          <w:ilvl w:val="0"/>
          <w:numId w:val="5"/>
        </w:numPr>
        <w:shd w:val="clear" w:color="auto" w:fill="FFFFFF" w:themeFill="background1"/>
        <w:tabs>
          <w:tab w:val="left" w:pos="567"/>
        </w:tabs>
        <w:autoSpaceDE w:val="0"/>
        <w:autoSpaceDN w:val="0"/>
        <w:adjustRightInd w:val="0"/>
        <w:spacing w:after="0" w:line="240" w:lineRule="auto"/>
        <w:ind w:left="426" w:hanging="426"/>
        <w:jc w:val="both"/>
        <w:rPr>
          <w:rFonts w:ascii="Arial" w:eastAsiaTheme="minorHAnsi" w:hAnsi="Arial" w:cs="Arial"/>
          <w:sz w:val="20"/>
        </w:rPr>
      </w:pPr>
      <w:r>
        <w:rPr>
          <w:rFonts w:ascii="Arial" w:hAnsi="Arial"/>
          <w:b/>
          <w:sz w:val="20"/>
        </w:rPr>
        <w:t>Comunicação</w:t>
      </w:r>
      <w:r>
        <w:rPr>
          <w:rFonts w:ascii="Arial" w:hAnsi="Arial"/>
          <w:sz w:val="20"/>
        </w:rPr>
        <w:t xml:space="preserve"> – </w:t>
      </w:r>
      <w:r>
        <w:rPr>
          <w:rFonts w:ascii="Arial" w:hAnsi="Arial"/>
          <w:color w:val="000000"/>
          <w:sz w:val="20"/>
        </w:rPr>
        <w:t>Embora o processo de desenvolvimento de políticas seja em si um empreendimento valioso, ele é apenas o primeiro passo para uma transferência de conhecimento bem-sucedida, que também requer adesão da gerência executiva, expectativas razoáveis e paciência.</w:t>
      </w:r>
      <w:r>
        <w:rPr>
          <w:rFonts w:ascii="Arial" w:hAnsi="Arial"/>
          <w:sz w:val="20"/>
        </w:rPr>
        <w:t xml:space="preserve"> As partes interessadas de uma Política de PI (membros da equipe, alunos, visitantes, etc.) normalmente não estão familiarizadas com a questão complexa dos direitos de PI e transferência de tecnologia</w:t>
      </w:r>
      <w:r w:rsidR="008411EA">
        <w:rPr>
          <w:rFonts w:ascii="Arial" w:hAnsi="Arial"/>
          <w:sz w:val="20"/>
        </w:rPr>
        <w:t xml:space="preserve">. </w:t>
      </w:r>
      <w:r>
        <w:rPr>
          <w:rFonts w:ascii="Arial" w:hAnsi="Arial"/>
          <w:sz w:val="20"/>
        </w:rPr>
        <w:t>Nesse sentido, uma Política de PI institucional deve ser curta e abrangente</w:t>
      </w:r>
      <w:r w:rsidR="008411EA">
        <w:rPr>
          <w:rFonts w:ascii="Arial" w:hAnsi="Arial"/>
          <w:sz w:val="20"/>
        </w:rPr>
        <w:t xml:space="preserve">. </w:t>
      </w:r>
      <w:r>
        <w:rPr>
          <w:rFonts w:ascii="Arial" w:hAnsi="Arial"/>
          <w:sz w:val="20"/>
        </w:rPr>
        <w:t>Algumas instituições acharam útil fornecer diretrizes práticas ou um manual junto com sua Política de PI (como Melhores Práticas para Alunos, Diretrizes para Pesquisadores, Manual do Aluno, etc., incluindo procedimentos operacionais padrão).</w:t>
      </w:r>
      <w:r w:rsidR="002A3827" w:rsidRPr="00CC0CF0">
        <w:rPr>
          <w:rFonts w:ascii="Arial" w:eastAsiaTheme="minorHAnsi" w:hAnsi="Arial" w:cs="Arial"/>
          <w:sz w:val="20"/>
          <w:vertAlign w:val="superscript"/>
          <w:lang w:val="en-US" w:eastAsia="en-US"/>
        </w:rPr>
        <w:footnoteReference w:id="7"/>
      </w:r>
      <w:r>
        <w:rPr>
          <w:rFonts w:ascii="Arial" w:hAnsi="Arial"/>
          <w:sz w:val="20"/>
        </w:rPr>
        <w:t xml:space="preserve"> Além disso, é aconselhável que a Política de PI seja disponibilizada a toda a comunidade da Instituição por meio do processo de contratação, site e outros meios de divulgação.</w:t>
      </w:r>
    </w:p>
    <w:p w14:paraId="7DD0DDF1" w14:textId="77777777" w:rsidR="00CB24C9" w:rsidRPr="0024467F" w:rsidRDefault="00CB24C9" w:rsidP="00734F31">
      <w:pPr>
        <w:pStyle w:val="ListParagraph"/>
        <w:spacing w:line="240" w:lineRule="auto"/>
        <w:jc w:val="both"/>
        <w:rPr>
          <w:rFonts w:ascii="Arial" w:eastAsiaTheme="minorHAnsi" w:hAnsi="Arial" w:cs="Arial"/>
          <w:lang w:eastAsia="en-US"/>
        </w:rPr>
      </w:pPr>
    </w:p>
    <w:p w14:paraId="50DF61CF" w14:textId="77777777" w:rsidR="00CB24C9" w:rsidRPr="00CC0CF0" w:rsidRDefault="00CB24C9" w:rsidP="00464282">
      <w:pPr>
        <w:pStyle w:val="ListParagraph"/>
        <w:numPr>
          <w:ilvl w:val="0"/>
          <w:numId w:val="5"/>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rPr>
      </w:pPr>
      <w:r>
        <w:rPr>
          <w:rFonts w:ascii="Arial" w:hAnsi="Arial"/>
          <w:b/>
          <w:sz w:val="20"/>
        </w:rPr>
        <w:t>Melhoria e adaptação</w:t>
      </w:r>
      <w:r>
        <w:rPr>
          <w:rFonts w:ascii="Arial" w:hAnsi="Arial"/>
          <w:sz w:val="20"/>
        </w:rPr>
        <w:t xml:space="preserve"> – Uma Política de PI deve ser um documento vivo e estar sujeita a revisão e atualização pela Instituição, de tempos em tempos.</w:t>
      </w:r>
      <w:r w:rsidRPr="00CC0CF0">
        <w:rPr>
          <w:rStyle w:val="FootnoteReference"/>
          <w:rFonts w:ascii="Arial" w:eastAsiaTheme="minorHAnsi" w:hAnsi="Arial" w:cs="Arial"/>
          <w:sz w:val="20"/>
          <w:lang w:val="en-US" w:eastAsia="en-US"/>
        </w:rPr>
        <w:footnoteReference w:id="8"/>
      </w:r>
    </w:p>
    <w:p w14:paraId="24B82B53" w14:textId="77777777" w:rsidR="00BD26BF" w:rsidRPr="00CC0CF0" w:rsidRDefault="00BD26BF">
      <w:pPr>
        <w:rPr>
          <w:rFonts w:ascii="Arial" w:eastAsiaTheme="minorHAnsi" w:hAnsi="Arial" w:cs="Arial"/>
          <w:b/>
          <w:bCs/>
          <w:color w:val="0070C0"/>
          <w:sz w:val="26"/>
          <w:szCs w:val="26"/>
        </w:rPr>
      </w:pPr>
      <w:bookmarkStart w:id="10" w:name="_Toc516160033"/>
      <w:bookmarkStart w:id="11" w:name="_Toc516219376"/>
      <w:bookmarkStart w:id="12" w:name="_Toc516496018"/>
      <w:r>
        <w:br w:type="page"/>
      </w:r>
    </w:p>
    <w:p w14:paraId="4862E2EC" w14:textId="77777777" w:rsidR="00E22076" w:rsidRPr="00CC0CF0" w:rsidRDefault="00292BA3" w:rsidP="00B00EEA">
      <w:pPr>
        <w:pStyle w:val="Heading1"/>
      </w:pPr>
      <w:bookmarkStart w:id="13" w:name="_Toc516829390"/>
      <w:bookmarkStart w:id="14" w:name="_Toc185241078"/>
      <w:r>
        <w:lastRenderedPageBreak/>
        <w:t>III. O Modelo de Política de PI Explicado</w:t>
      </w:r>
      <w:bookmarkEnd w:id="10"/>
      <w:bookmarkEnd w:id="11"/>
      <w:bookmarkEnd w:id="12"/>
      <w:bookmarkEnd w:id="13"/>
      <w:bookmarkEnd w:id="14"/>
    </w:p>
    <w:p w14:paraId="14A8546C" w14:textId="39893BD0" w:rsidR="00E22076" w:rsidRPr="00CC0CF0" w:rsidRDefault="00E22076" w:rsidP="002F3C51">
      <w:pPr>
        <w:pStyle w:val="NoSpacing"/>
        <w:jc w:val="both"/>
        <w:rPr>
          <w:rFonts w:ascii="Arial" w:hAnsi="Arial" w:cs="Arial"/>
          <w:sz w:val="20"/>
        </w:rPr>
      </w:pPr>
      <w:r>
        <w:rPr>
          <w:rFonts w:ascii="Arial" w:hAnsi="Arial"/>
          <w:sz w:val="20"/>
        </w:rPr>
        <w:t>As Diretrizes têm a mesma estrutura do Modelo de Política de PI e explicam, por meio de comentários e anotações, cada artigo do Modelo</w:t>
      </w:r>
      <w:r w:rsidR="008411EA">
        <w:rPr>
          <w:rFonts w:ascii="Arial" w:hAnsi="Arial"/>
          <w:sz w:val="20"/>
        </w:rPr>
        <w:t xml:space="preserve">. </w:t>
      </w:r>
      <w:r>
        <w:rPr>
          <w:rFonts w:ascii="Arial" w:hAnsi="Arial"/>
          <w:sz w:val="20"/>
        </w:rPr>
        <w:t>Ao ler estas Diretrizes, é importante observar as definições contidas no Artigo 2 do Modelo, pois todos os termos em maiúsculas usados nestas Diretrizes estão definidos lá.</w:t>
      </w:r>
    </w:p>
    <w:p w14:paraId="18BB812A" w14:textId="77777777" w:rsidR="00F83B37" w:rsidRPr="0024467F" w:rsidRDefault="00F83B37" w:rsidP="002F3C51">
      <w:pPr>
        <w:pStyle w:val="NoSpacing"/>
        <w:jc w:val="both"/>
        <w:rPr>
          <w:rFonts w:ascii="Arial" w:hAnsi="Arial" w:cs="Arial"/>
          <w:sz w:val="20"/>
        </w:rPr>
      </w:pPr>
    </w:p>
    <w:p w14:paraId="6C56D822" w14:textId="77777777" w:rsidR="00E22076" w:rsidRPr="0024467F" w:rsidRDefault="00E22076" w:rsidP="002F3C51">
      <w:pPr>
        <w:autoSpaceDE w:val="0"/>
        <w:autoSpaceDN w:val="0"/>
        <w:adjustRightInd w:val="0"/>
        <w:spacing w:after="0" w:line="240" w:lineRule="auto"/>
        <w:rPr>
          <w:rFonts w:ascii="Arial" w:eastAsiaTheme="minorHAnsi" w:hAnsi="Arial" w:cs="Arial"/>
          <w:lang w:eastAsia="en-US"/>
        </w:rPr>
      </w:pPr>
    </w:p>
    <w:p w14:paraId="5AAE932D" w14:textId="77777777" w:rsidR="00E22076" w:rsidRPr="00CC0CF0" w:rsidRDefault="00E22076" w:rsidP="002F3C51">
      <w:pPr>
        <w:pStyle w:val="Heading2"/>
      </w:pPr>
      <w:bookmarkStart w:id="15" w:name="_Toc490468516"/>
    </w:p>
    <w:p w14:paraId="765104E1" w14:textId="77777777" w:rsidR="00F87055" w:rsidRPr="00CC0CF0" w:rsidRDefault="00060558" w:rsidP="002F3C51">
      <w:pPr>
        <w:pStyle w:val="Heading2"/>
      </w:pPr>
      <w:bookmarkStart w:id="16" w:name="_Toc516160034"/>
      <w:bookmarkStart w:id="17" w:name="_Toc516219377"/>
      <w:bookmarkStart w:id="18" w:name="_Toc516496019"/>
      <w:bookmarkStart w:id="19" w:name="_Toc516829391"/>
      <w:bookmarkStart w:id="20" w:name="_Toc185241079"/>
      <w:r>
        <w:t xml:space="preserve">ARTIGO 1 – </w:t>
      </w:r>
      <w:bookmarkEnd w:id="15"/>
      <w:r>
        <w:t>PREFÁCIO</w:t>
      </w:r>
      <w:bookmarkEnd w:id="16"/>
      <w:bookmarkEnd w:id="17"/>
      <w:bookmarkEnd w:id="18"/>
      <w:bookmarkEnd w:id="19"/>
      <w:bookmarkEnd w:id="20"/>
      <w:r>
        <w:t xml:space="preserve"> </w:t>
      </w:r>
    </w:p>
    <w:p w14:paraId="1D351C48" w14:textId="77777777" w:rsidR="00E22076" w:rsidRPr="0024467F" w:rsidRDefault="00E22076" w:rsidP="002F3C51">
      <w:pPr>
        <w:pStyle w:val="Heading2"/>
      </w:pPr>
    </w:p>
    <w:p w14:paraId="198AC967" w14:textId="77777777" w:rsidR="00F87055" w:rsidRPr="00CC0CF0" w:rsidRDefault="0004177B" w:rsidP="00B7519E">
      <w:pPr>
        <w:pStyle w:val="Heading3"/>
        <w:spacing w:before="360"/>
        <w:rPr>
          <w:sz w:val="24"/>
        </w:rPr>
      </w:pPr>
      <w:bookmarkStart w:id="21" w:name="_Toc516160035"/>
      <w:bookmarkStart w:id="22" w:name="_Toc516219378"/>
      <w:bookmarkStart w:id="23" w:name="_Toc516496020"/>
      <w:bookmarkStart w:id="24" w:name="_Toc516829392"/>
      <w:r>
        <w:rPr>
          <w:sz w:val="24"/>
        </w:rPr>
        <w:t>Introdução</w:t>
      </w:r>
      <w:bookmarkEnd w:id="21"/>
      <w:bookmarkEnd w:id="22"/>
      <w:bookmarkEnd w:id="23"/>
      <w:bookmarkEnd w:id="24"/>
    </w:p>
    <w:p w14:paraId="7C5D46B0" w14:textId="77777777" w:rsidR="003718DF" w:rsidRPr="00CC0CF0" w:rsidRDefault="003718DF" w:rsidP="00734F31">
      <w:pPr>
        <w:jc w:val="both"/>
        <w:rPr>
          <w:rFonts w:ascii="Arial" w:eastAsiaTheme="minorHAnsi" w:hAnsi="Arial" w:cs="Arial"/>
          <w:sz w:val="20"/>
        </w:rPr>
      </w:pPr>
      <w:r>
        <w:rPr>
          <w:rFonts w:ascii="Arial" w:hAnsi="Arial"/>
          <w:sz w:val="20"/>
        </w:rPr>
        <w:t xml:space="preserve">As Políticas de PI geralmente começam com um prefácio, um índice e uma seção sobre definições. </w:t>
      </w:r>
    </w:p>
    <w:p w14:paraId="216DB8B6" w14:textId="77777777" w:rsidR="00194209" w:rsidRPr="00CC0CF0" w:rsidRDefault="003550AB" w:rsidP="00734F31">
      <w:pPr>
        <w:spacing w:line="240" w:lineRule="auto"/>
        <w:jc w:val="both"/>
        <w:rPr>
          <w:rFonts w:ascii="Arial" w:eastAsiaTheme="minorHAnsi" w:hAnsi="Arial" w:cs="Arial"/>
          <w:sz w:val="20"/>
        </w:rPr>
      </w:pPr>
      <w:r>
        <w:rPr>
          <w:rFonts w:ascii="Arial" w:hAnsi="Arial"/>
          <w:sz w:val="20"/>
        </w:rPr>
        <w:t>O Artigo 1 do Modelo serve como exemplo e precisa ser adaptado para:</w:t>
      </w:r>
    </w:p>
    <w:p w14:paraId="0953F1D1" w14:textId="77777777"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rPr>
      </w:pPr>
      <w:r>
        <w:rPr>
          <w:rFonts w:ascii="Arial" w:hAnsi="Arial"/>
          <w:sz w:val="20"/>
        </w:rPr>
        <w:t xml:space="preserve">refletir a missão, a visão e os valores da Instituição e explicar como o objetivo de comercialização se enquadra nesses princípios estratégicos; e </w:t>
      </w:r>
    </w:p>
    <w:p w14:paraId="74708E47" w14:textId="77777777"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rPr>
      </w:pPr>
      <w:r>
        <w:rPr>
          <w:rFonts w:ascii="Arial" w:hAnsi="Arial"/>
          <w:sz w:val="20"/>
        </w:rPr>
        <w:t>descrever brevemente o que levou ao desejo de uma Política de PI e qual é o objetivo da Política;</w:t>
      </w:r>
    </w:p>
    <w:p w14:paraId="1D0F3235" w14:textId="77777777" w:rsidR="00D030AF" w:rsidRPr="00CC0CF0" w:rsidRDefault="00D030AF"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rPr>
      </w:pPr>
      <w:r>
        <w:rPr>
          <w:rFonts w:ascii="Arial" w:hAnsi="Arial"/>
          <w:sz w:val="20"/>
        </w:rPr>
        <w:t xml:space="preserve">consultar quaisquer documentos relevantes importantes, como: </w:t>
      </w:r>
    </w:p>
    <w:p w14:paraId="6B05CAD5"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rPr>
      </w:pPr>
      <w:r>
        <w:rPr>
          <w:rFonts w:ascii="Arial" w:hAnsi="Arial"/>
          <w:sz w:val="20"/>
        </w:rPr>
        <w:t>legislação;</w:t>
      </w:r>
    </w:p>
    <w:p w14:paraId="58433454" w14:textId="77777777" w:rsidR="00DE678D" w:rsidRPr="00CC0CF0" w:rsidRDefault="00DE678D"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rPr>
      </w:pPr>
      <w:r>
        <w:rPr>
          <w:rFonts w:ascii="Arial" w:hAnsi="Arial"/>
          <w:sz w:val="20"/>
        </w:rPr>
        <w:t xml:space="preserve">diretrizes nacionais ou códigos de prática para gestão de PI, se houver, que sua Instituição endossa (ver </w:t>
      </w:r>
      <w:hyperlink w:anchor="Box6" w:history="1">
        <w:r>
          <w:rPr>
            <w:rStyle w:val="Hyperlink"/>
            <w:rFonts w:ascii="Arial" w:hAnsi="Arial"/>
            <w:sz w:val="20"/>
            <w:shd w:val="clear" w:color="auto" w:fill="FFFFFF" w:themeFill="background1"/>
          </w:rPr>
          <w:t>Caixa 6</w:t>
        </w:r>
      </w:hyperlink>
      <w:r>
        <w:rPr>
          <w:rFonts w:ascii="Arial" w:hAnsi="Arial"/>
          <w:sz w:val="20"/>
          <w:shd w:val="clear" w:color="auto" w:fill="FFFFFF" w:themeFill="background1"/>
        </w:rPr>
        <w:t>);</w:t>
      </w:r>
    </w:p>
    <w:p w14:paraId="253B6A89"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rPr>
      </w:pPr>
      <w:r>
        <w:rPr>
          <w:rFonts w:ascii="Arial" w:hAnsi="Arial"/>
          <w:sz w:val="20"/>
        </w:rPr>
        <w:t>outras políticas relevantes da Instituição (por exemplo, conflitos de interesse, spin-off, alunos); e</w:t>
      </w:r>
    </w:p>
    <w:p w14:paraId="7372D272"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rPr>
      </w:pPr>
      <w:r>
        <w:rPr>
          <w:rFonts w:ascii="Arial" w:hAnsi="Arial"/>
          <w:sz w:val="20"/>
        </w:rPr>
        <w:t>apoiar procedimentos e/ou diretrizes associadas.</w:t>
      </w:r>
    </w:p>
    <w:p w14:paraId="170066F6" w14:textId="77777777" w:rsidR="00172756" w:rsidRPr="00CC0CF0" w:rsidRDefault="00172756" w:rsidP="00B7519E">
      <w:pPr>
        <w:pStyle w:val="Heading3"/>
        <w:spacing w:before="360"/>
        <w:rPr>
          <w:sz w:val="24"/>
        </w:rPr>
      </w:pPr>
      <w:bookmarkStart w:id="25" w:name="_Toc494115940"/>
      <w:bookmarkStart w:id="26" w:name="_Toc516160036"/>
      <w:bookmarkStart w:id="27" w:name="_Toc516219379"/>
      <w:bookmarkStart w:id="28" w:name="_Toc516496021"/>
      <w:bookmarkStart w:id="29" w:name="_Toc516829393"/>
      <w:r>
        <w:rPr>
          <w:sz w:val="24"/>
        </w:rPr>
        <w:t>Artigo 1.1 – Contexto e Missão da Instituição</w:t>
      </w:r>
      <w:bookmarkEnd w:id="25"/>
      <w:bookmarkEnd w:id="26"/>
      <w:bookmarkEnd w:id="27"/>
      <w:bookmarkEnd w:id="28"/>
      <w:bookmarkEnd w:id="29"/>
    </w:p>
    <w:p w14:paraId="057AB57A" w14:textId="03603987" w:rsidR="0052367D" w:rsidRPr="00CC0CF0" w:rsidRDefault="001C07E8" w:rsidP="00464282">
      <w:pPr>
        <w:pStyle w:val="ListParagraph"/>
        <w:numPr>
          <w:ilvl w:val="0"/>
          <w:numId w:val="4"/>
        </w:numPr>
        <w:autoSpaceDE w:val="0"/>
        <w:autoSpaceDN w:val="0"/>
        <w:adjustRightInd w:val="0"/>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1.1.1, </w:t>
      </w:r>
      <w:r>
        <w:rPr>
          <w:rFonts w:ascii="Arial" w:hAnsi="Arial"/>
          <w:b/>
          <w:i/>
          <w:color w:val="000000" w:themeColor="text1"/>
          <w:sz w:val="20"/>
        </w:rPr>
        <w:t>missão</w:t>
      </w:r>
      <w:r>
        <w:rPr>
          <w:rFonts w:ascii="Arial" w:hAnsi="Arial"/>
          <w:color w:val="000000" w:themeColor="text1"/>
          <w:sz w:val="20"/>
        </w:rPr>
        <w:t>: Uma Política de PI deve estar relacionada com, apoiar e operacionalizar, a missão da instituição</w:t>
      </w:r>
      <w:r w:rsidR="008411EA">
        <w:rPr>
          <w:rFonts w:ascii="Arial" w:hAnsi="Arial"/>
          <w:color w:val="000000" w:themeColor="text1"/>
          <w:sz w:val="20"/>
        </w:rPr>
        <w:t xml:space="preserve">. </w:t>
      </w:r>
      <w:r>
        <w:rPr>
          <w:rFonts w:ascii="Arial" w:hAnsi="Arial"/>
          <w:color w:val="000000" w:themeColor="text1"/>
          <w:sz w:val="20"/>
        </w:rPr>
        <w:t>As instituições têm uma série de missões diferentes. As principais missões das universidades, por exemplo, são educação, pesquisa e engajamento social. A comercialização de PI e a transferência de conhecimento para aqueles na sociedade que podem fazer uso delas para o bem geral contribuem para cada uma dessas missões. Um número crescente de instituições adotou, portanto, declarações de missão formais que expressam apoio à comercialização e ao empreendedorismo acadêmico (frequentemente chamados de a “terceira missão”</w:t>
      </w:r>
      <w:r>
        <w:rPr>
          <w:rStyle w:val="FootnoteReference"/>
          <w:rFonts w:ascii="Arial" w:hAnsi="Arial"/>
          <w:color w:val="000000" w:themeColor="text1"/>
          <w:sz w:val="20"/>
        </w:rPr>
        <w:t xml:space="preserve"> </w:t>
      </w:r>
      <w:r w:rsidR="00A163C3" w:rsidRPr="00CC0CF0">
        <w:rPr>
          <w:rStyle w:val="FootnoteReference"/>
          <w:rFonts w:ascii="Arial" w:hAnsi="Arial" w:cs="Arial"/>
          <w:color w:val="000000" w:themeColor="text1"/>
          <w:sz w:val="20"/>
          <w:lang w:val="en-US"/>
        </w:rPr>
        <w:footnoteReference w:id="9"/>
      </w:r>
      <w:r>
        <w:rPr>
          <w:rFonts w:ascii="Arial" w:hAnsi="Arial"/>
          <w:color w:val="000000" w:themeColor="text1"/>
          <w:sz w:val="20"/>
        </w:rPr>
        <w:t>).</w:t>
      </w:r>
    </w:p>
    <w:p w14:paraId="4F90AF15" w14:textId="77777777" w:rsidR="001C07E8" w:rsidRPr="00CC0CF0" w:rsidRDefault="00172756" w:rsidP="00B7519E">
      <w:pPr>
        <w:pStyle w:val="Heading3"/>
        <w:spacing w:before="360"/>
        <w:rPr>
          <w:sz w:val="24"/>
        </w:rPr>
      </w:pPr>
      <w:bookmarkStart w:id="30" w:name="_Toc494115941"/>
      <w:bookmarkStart w:id="31" w:name="_Toc516160037"/>
      <w:bookmarkStart w:id="32" w:name="_Toc516219380"/>
      <w:bookmarkStart w:id="33" w:name="_Toc516496022"/>
      <w:bookmarkStart w:id="34" w:name="_Toc516829394"/>
      <w:r>
        <w:rPr>
          <w:sz w:val="24"/>
        </w:rPr>
        <w:t>Artigo 1.2 - Finalidade da Política de PI</w:t>
      </w:r>
      <w:bookmarkEnd w:id="30"/>
      <w:bookmarkEnd w:id="31"/>
      <w:bookmarkEnd w:id="32"/>
      <w:bookmarkEnd w:id="33"/>
      <w:bookmarkEnd w:id="34"/>
    </w:p>
    <w:p w14:paraId="7C99A772" w14:textId="77777777" w:rsidR="00EC5B4C" w:rsidRPr="00CC0CF0" w:rsidRDefault="00A42B1F" w:rsidP="00B7519E">
      <w:pPr>
        <w:autoSpaceDE w:val="0"/>
        <w:autoSpaceDN w:val="0"/>
        <w:adjustRightInd w:val="0"/>
        <w:spacing w:after="0" w:line="240" w:lineRule="auto"/>
        <w:jc w:val="both"/>
        <w:rPr>
          <w:rFonts w:ascii="Arial" w:hAnsi="Arial" w:cs="Arial"/>
          <w:sz w:val="20"/>
          <w:szCs w:val="20"/>
        </w:rPr>
      </w:pPr>
      <w:r>
        <w:rPr>
          <w:rFonts w:ascii="Arial" w:hAnsi="Arial"/>
          <w:sz w:val="20"/>
        </w:rPr>
        <w:t>Esta seção pode conter uma breve declaração para esclarecer o motivo da Política de PI e as necessidades que ela busca atender. A maioria das políticas analisadas incluiu alguma combinação dos seguintes objetivos:</w:t>
      </w:r>
    </w:p>
    <w:p w14:paraId="2DB9B30E" w14:textId="77777777" w:rsidR="00EC5B4C" w:rsidRPr="0024467F" w:rsidRDefault="00EC5B4C" w:rsidP="009743BC">
      <w:pPr>
        <w:pStyle w:val="ListParagraph"/>
        <w:autoSpaceDE w:val="0"/>
        <w:autoSpaceDN w:val="0"/>
        <w:adjustRightInd w:val="0"/>
        <w:spacing w:after="0" w:line="240" w:lineRule="auto"/>
        <w:ind w:left="426"/>
        <w:jc w:val="both"/>
        <w:rPr>
          <w:rFonts w:ascii="Arial" w:hAnsi="Arial" w:cs="Arial"/>
          <w:szCs w:val="20"/>
        </w:rPr>
      </w:pPr>
    </w:p>
    <w:p w14:paraId="4816F6A1" w14:textId="77777777" w:rsidR="00057D3B" w:rsidRPr="00CC0CF0" w:rsidRDefault="00057D3B"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rPr>
      </w:pPr>
      <w:bookmarkStart w:id="35" w:name="Box2"/>
      <w:r>
        <w:rPr>
          <w:rFonts w:ascii="Arial" w:hAnsi="Arial"/>
          <w:b/>
          <w:sz w:val="20"/>
        </w:rPr>
        <w:t xml:space="preserve">Caixa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bookmarkEnd w:id="35"/>
      <w:r>
        <w:rPr>
          <w:rFonts w:ascii="Arial" w:hAnsi="Arial"/>
          <w:b/>
          <w:sz w:val="20"/>
        </w:rPr>
        <w:t xml:space="preserve"> Objetivos Comuns de uma Política de PI</w:t>
      </w:r>
    </w:p>
    <w:p w14:paraId="34005076" w14:textId="77777777" w:rsidR="0007179C" w:rsidRPr="0024467F" w:rsidRDefault="0007179C"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rPr>
      </w:pPr>
    </w:p>
    <w:p w14:paraId="0B1B8DC5" w14:textId="77777777" w:rsidR="00556CEF" w:rsidRPr="00CC0CF0" w:rsidRDefault="00556CEF"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Premiar a criatividade dos pesquisadores, técnicos e alunos;</w:t>
      </w:r>
    </w:p>
    <w:p w14:paraId="3B1A7C4F"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lastRenderedPageBreak/>
        <w:t>Facilitar a transferência de conhecimento e tecnologia para a sociedade;</w:t>
      </w:r>
    </w:p>
    <w:p w14:paraId="021FAFF4" w14:textId="77777777" w:rsidR="00294B77"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Facilitar a aplicação prática e o uso econômico da PI decorrente dos resultados de pesquisas e outros trabalhos criativos realizados na Instituição para produzir benefícios para a sociedade;</w:t>
      </w:r>
    </w:p>
    <w:p w14:paraId="14ADE189"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Promover vínculos com as indústrias;</w:t>
      </w:r>
    </w:p>
    <w:p w14:paraId="6DB1F998" w14:textId="77777777"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Incentivar a pesquisa, o conhecimento e o espírito de investigação, gerando assim novos conhecimentos;</w:t>
      </w:r>
    </w:p>
    <w:p w14:paraId="5FC12F3B" w14:textId="77777777"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Criar uma cultura inovadora que promova a criação de PI e forneça uma estrutura para considerar seu potencial comercial;</w:t>
      </w:r>
    </w:p>
    <w:p w14:paraId="113DE3BF"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Para garantir que os resultados comerciais, financeiros ou outros benefícios sejam distribuídos de forma justa e equitativa, incentivando e reconhecendo as contribuições dos inventores e da Instituição, bem como de outras partes interessadas;</w:t>
      </w:r>
    </w:p>
    <w:p w14:paraId="0E56CCCA"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Garantir que tanto a PI quanto outros produtos de pesquisa sejam disponibilizados ao público por meio de um processo eficiente e oportuno de transferência de tecnologia;</w:t>
      </w:r>
    </w:p>
    <w:p w14:paraId="32FB0FEA" w14:textId="77777777"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Promover, preservar, incentivar e auxiliar a investigação e a pesquisa científica;</w:t>
      </w:r>
    </w:p>
    <w:p w14:paraId="649E5621" w14:textId="77777777"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Fornecer uma compreensão clara dos direitos e responsabilidades da Instituição e de seus membros da equipe, alunos e visitantes.</w:t>
      </w:r>
    </w:p>
    <w:p w14:paraId="295B0CD3" w14:textId="77777777" w:rsidR="00EC5B4C" w:rsidRPr="0024467F" w:rsidRDefault="00EC5B4C" w:rsidP="009743BC">
      <w:pPr>
        <w:pStyle w:val="ListParagraph"/>
        <w:autoSpaceDE w:val="0"/>
        <w:autoSpaceDN w:val="0"/>
        <w:adjustRightInd w:val="0"/>
        <w:spacing w:after="0" w:line="240" w:lineRule="auto"/>
        <w:ind w:left="426"/>
        <w:jc w:val="both"/>
        <w:rPr>
          <w:rFonts w:ascii="Arial" w:hAnsi="Arial" w:cs="Arial"/>
          <w:szCs w:val="20"/>
        </w:rPr>
      </w:pPr>
    </w:p>
    <w:p w14:paraId="2507D684" w14:textId="77777777" w:rsidR="00805049" w:rsidRPr="0024467F" w:rsidRDefault="00805049" w:rsidP="009743BC">
      <w:pPr>
        <w:pStyle w:val="ListParagraph"/>
        <w:autoSpaceDE w:val="0"/>
        <w:autoSpaceDN w:val="0"/>
        <w:adjustRightInd w:val="0"/>
        <w:spacing w:after="0" w:line="240" w:lineRule="auto"/>
        <w:ind w:left="426"/>
        <w:jc w:val="both"/>
        <w:rPr>
          <w:rFonts w:ascii="Arial" w:hAnsi="Arial" w:cs="Arial"/>
          <w:szCs w:val="20"/>
        </w:rPr>
      </w:pPr>
    </w:p>
    <w:p w14:paraId="38BD53F4" w14:textId="10D37994" w:rsidR="00AA4746" w:rsidRPr="00CC0CF0" w:rsidRDefault="00AA4746" w:rsidP="00B7519E">
      <w:pPr>
        <w:pStyle w:val="ListParagraph"/>
        <w:autoSpaceDE w:val="0"/>
        <w:autoSpaceDN w:val="0"/>
        <w:adjustRightInd w:val="0"/>
        <w:spacing w:after="0" w:line="240" w:lineRule="auto"/>
        <w:ind w:left="0"/>
        <w:jc w:val="both"/>
        <w:rPr>
          <w:rFonts w:ascii="Arial" w:hAnsi="Arial" w:cs="Arial"/>
          <w:sz w:val="20"/>
          <w:szCs w:val="20"/>
        </w:rPr>
      </w:pPr>
      <w:r>
        <w:rPr>
          <w:rFonts w:ascii="Arial" w:hAnsi="Arial"/>
          <w:sz w:val="20"/>
        </w:rPr>
        <w:t>Os Artigos 1.2.1, 1.2.2 e 1.2.3 do Modelo estabelecem três propósitos amplos: promover o amplo uso da PI da Instituição; estabelecer regras para gestão estratégica e eficaz da PI; e garantir um equilíbrio de interesses</w:t>
      </w:r>
      <w:r w:rsidR="008411EA">
        <w:rPr>
          <w:rFonts w:ascii="Arial" w:hAnsi="Arial"/>
          <w:sz w:val="20"/>
        </w:rPr>
        <w:t xml:space="preserve">. </w:t>
      </w:r>
    </w:p>
    <w:p w14:paraId="524A94DA" w14:textId="77777777" w:rsidR="00AA4746" w:rsidRPr="0024467F" w:rsidRDefault="00AA4746" w:rsidP="009743BC">
      <w:pPr>
        <w:pStyle w:val="ListParagraph"/>
        <w:autoSpaceDE w:val="0"/>
        <w:autoSpaceDN w:val="0"/>
        <w:adjustRightInd w:val="0"/>
        <w:spacing w:after="0" w:line="240" w:lineRule="auto"/>
        <w:ind w:left="426"/>
        <w:jc w:val="both"/>
        <w:rPr>
          <w:rFonts w:ascii="Arial" w:hAnsi="Arial" w:cs="Arial"/>
          <w:sz w:val="20"/>
          <w:szCs w:val="20"/>
        </w:rPr>
      </w:pPr>
    </w:p>
    <w:p w14:paraId="123D478A" w14:textId="458769F9" w:rsidR="0052367D" w:rsidRPr="00CC0CF0" w:rsidRDefault="00960764"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Artigo 1.2.1,</w:t>
      </w:r>
      <w:r>
        <w:rPr>
          <w:rFonts w:ascii="Arial" w:hAnsi="Arial"/>
          <w:b/>
          <w:i/>
          <w:sz w:val="20"/>
        </w:rPr>
        <w:t xml:space="preserve"> Utilização da PI</w:t>
      </w:r>
      <w:r>
        <w:rPr>
          <w:rFonts w:ascii="Arial" w:hAnsi="Arial"/>
          <w:sz w:val="20"/>
        </w:rPr>
        <w:t>: Uma Política de PI busca promover um ambiente no qual as invenções úteis ou os trabalhos criativos produzidos por membros da equipe, alunos e visitantes sejam usados de maneiras que garantam que o máximo benefício possa ser obtido pelos Criadores, pela Instituição e pela sociedade em geral, transferindo tais resultados de pesquisa para terceiros</w:t>
      </w:r>
      <w:r w:rsidR="00FF6CD3" w:rsidRPr="00CC0CF0">
        <w:rPr>
          <w:rStyle w:val="FootnoteReference"/>
          <w:rFonts w:ascii="Arial" w:hAnsi="Arial" w:cs="Arial"/>
          <w:sz w:val="20"/>
          <w:lang w:val="en-US"/>
        </w:rPr>
        <w:footnoteReference w:id="10"/>
      </w:r>
      <w:r>
        <w:rPr>
          <w:rFonts w:ascii="Arial" w:hAnsi="Arial"/>
          <w:sz w:val="20"/>
        </w:rPr>
        <w:t>. Essas oportunidades de transferência incluem licenciamento, colaborações de pesquisa, serviços e consultoria, a criação de novas empresas com base na PI da Instituição (spin-offs) ou o uso da PI da Instituição em start-ups existentes.</w:t>
      </w:r>
    </w:p>
    <w:p w14:paraId="53EE3287" w14:textId="77777777" w:rsidR="00960764" w:rsidRPr="0024467F" w:rsidRDefault="00960764" w:rsidP="00734F31">
      <w:pPr>
        <w:pStyle w:val="ListParagraph"/>
        <w:autoSpaceDE w:val="0"/>
        <w:autoSpaceDN w:val="0"/>
        <w:adjustRightInd w:val="0"/>
        <w:spacing w:after="0" w:line="240" w:lineRule="auto"/>
        <w:ind w:left="426"/>
        <w:jc w:val="both"/>
        <w:rPr>
          <w:rFonts w:ascii="Arial" w:hAnsi="Arial" w:cs="Arial"/>
          <w:sz w:val="20"/>
        </w:rPr>
      </w:pPr>
    </w:p>
    <w:p w14:paraId="74154420" w14:textId="76F93D9C" w:rsidR="00BD0CC6" w:rsidRPr="00CC0CF0" w:rsidRDefault="00FC11ED"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Artigo 1.2.2,</w:t>
      </w:r>
      <w:r>
        <w:rPr>
          <w:rFonts w:ascii="Arial" w:hAnsi="Arial"/>
          <w:b/>
          <w:i/>
          <w:sz w:val="20"/>
        </w:rPr>
        <w:t xml:space="preserve"> Gestão de PI</w:t>
      </w:r>
      <w:r>
        <w:rPr>
          <w:rFonts w:ascii="Arial" w:hAnsi="Arial"/>
          <w:sz w:val="20"/>
        </w:rPr>
        <w:t xml:space="preserve">: Uma Política de PI visa estabelecer procedimentos transparentes para gerenciar a PI. </w:t>
      </w:r>
    </w:p>
    <w:p w14:paraId="6EE36CB8" w14:textId="77777777" w:rsidR="0052367D" w:rsidRPr="0024467F" w:rsidRDefault="0052367D"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sz w:val="20"/>
        </w:rPr>
      </w:pPr>
    </w:p>
    <w:p w14:paraId="25CEBAAB" w14:textId="126120DA" w:rsidR="00FF6CD3"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rPr>
      </w:pPr>
      <w:r>
        <w:rPr>
          <w:rFonts w:ascii="Arial" w:hAnsi="Arial"/>
          <w:color w:val="0070C0"/>
          <w:sz w:val="20"/>
        </w:rPr>
        <w:t xml:space="preserve">Relevância para pesquisadores </w:t>
      </w:r>
      <w:r w:rsidR="006737CC">
        <w:rPr>
          <w:rFonts w:ascii="Arial" w:hAnsi="Arial"/>
          <w:sz w:val="20"/>
        </w:rPr>
        <w:t>–</w:t>
      </w:r>
      <w:r>
        <w:rPr>
          <w:rFonts w:ascii="Arial" w:hAnsi="Arial"/>
          <w:sz w:val="20"/>
        </w:rPr>
        <w:t xml:space="preserve"> Uma Política de PI sólida ajudará a Instituição a identificar e proteger os resultados de sua pesquisa. Uma Política de PI incluirá idealmente disposições para estimular e capturar a criatividade e as inovações de seus membros da equipe, alunos e visitantes. Deve incluir princípios orientadores relacionados à ênfase que a Instituição coloca nos benefícios financeiros e não financeiros da transferência de conhecimento. </w:t>
      </w:r>
    </w:p>
    <w:p w14:paraId="06DBF449" w14:textId="77777777" w:rsidR="00177E70"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rPr>
      </w:pPr>
      <w:r>
        <w:rPr>
          <w:rFonts w:ascii="Arial" w:hAnsi="Arial"/>
          <w:color w:val="0070C0"/>
          <w:sz w:val="20"/>
        </w:rPr>
        <w:t xml:space="preserve">Relevância para empresas </w:t>
      </w:r>
      <w:r>
        <w:rPr>
          <w:rFonts w:ascii="Arial" w:hAnsi="Arial"/>
          <w:sz w:val="20"/>
        </w:rPr>
        <w:t>– Uma Política de PI publicada é essencial para fornecer transparência a empresas e empreendedores que desejam comercializar PI desenvolvida em instituições. As empresas devem ser capazes de acessar e comercializar PI rapidamente, em termos que forneçam valor justo a todas as partes e de maneiras previsíveis e consistentes de uma negociação para outra.</w:t>
      </w:r>
    </w:p>
    <w:p w14:paraId="3F3756E8" w14:textId="77777777" w:rsidR="00177E70" w:rsidRPr="0024467F" w:rsidRDefault="00177E70" w:rsidP="00B7519E">
      <w:pPr>
        <w:shd w:val="clear" w:color="auto" w:fill="FFFFFF" w:themeFill="background1"/>
        <w:autoSpaceDE w:val="0"/>
        <w:autoSpaceDN w:val="0"/>
        <w:adjustRightInd w:val="0"/>
        <w:spacing w:after="0" w:line="240" w:lineRule="auto"/>
        <w:jc w:val="both"/>
        <w:rPr>
          <w:rFonts w:ascii="Arial" w:hAnsi="Arial" w:cs="Arial"/>
          <w:sz w:val="20"/>
        </w:rPr>
      </w:pPr>
    </w:p>
    <w:p w14:paraId="490DD993" w14:textId="333610F5" w:rsidR="00FF6CD3" w:rsidRPr="00CC0CF0" w:rsidRDefault="001E7984"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1.2.3, </w:t>
      </w:r>
      <w:r>
        <w:rPr>
          <w:rFonts w:ascii="Arial" w:hAnsi="Arial"/>
          <w:b/>
          <w:bCs/>
          <w:i/>
          <w:iCs/>
          <w:sz w:val="20"/>
        </w:rPr>
        <w:t>e</w:t>
      </w:r>
      <w:r>
        <w:rPr>
          <w:rFonts w:ascii="Arial" w:hAnsi="Arial"/>
          <w:b/>
          <w:i/>
          <w:sz w:val="20"/>
        </w:rPr>
        <w:t>quilíbrio de interesses</w:t>
      </w:r>
      <w:r>
        <w:rPr>
          <w:rFonts w:ascii="Arial" w:hAnsi="Arial"/>
          <w:sz w:val="20"/>
        </w:rPr>
        <w:t>:</w:t>
      </w:r>
      <w:r>
        <w:rPr>
          <w:rFonts w:ascii="Arial" w:hAnsi="Arial"/>
          <w:i/>
          <w:sz w:val="20"/>
        </w:rPr>
        <w:t xml:space="preserve"> </w:t>
      </w:r>
      <w:r>
        <w:rPr>
          <w:rFonts w:ascii="Arial" w:hAnsi="Arial"/>
          <w:sz w:val="20"/>
        </w:rPr>
        <w:t>É essencial ter em mente que manter as tradições da Instituição (incluindo liberdade acadêmica, bolsa de estudos, pesquisa, governança compartilhada e transmissão de conhecimento por meio de publicação) e a comercialização baseada em PI podem ser altamente complementares. De fato, uma Política de PI eficaz garantirá a complementaridade dessas atividades paralelas</w:t>
      </w:r>
      <w:r w:rsidR="008411EA">
        <w:rPr>
          <w:rFonts w:ascii="Arial" w:hAnsi="Arial"/>
          <w:sz w:val="20"/>
        </w:rPr>
        <w:t xml:space="preserve">. </w:t>
      </w:r>
    </w:p>
    <w:p w14:paraId="3360A755" w14:textId="77777777" w:rsidR="00805049" w:rsidRPr="0024467F" w:rsidRDefault="00805049" w:rsidP="00B7519E">
      <w:pPr>
        <w:tabs>
          <w:tab w:val="left" w:pos="426"/>
        </w:tabs>
        <w:autoSpaceDE w:val="0"/>
        <w:autoSpaceDN w:val="0"/>
        <w:adjustRightInd w:val="0"/>
        <w:spacing w:after="0" w:line="240" w:lineRule="auto"/>
        <w:jc w:val="both"/>
        <w:rPr>
          <w:rFonts w:ascii="Arial" w:hAnsi="Arial" w:cs="Arial"/>
          <w:sz w:val="20"/>
        </w:rPr>
      </w:pPr>
    </w:p>
    <w:p w14:paraId="1E0033EF" w14:textId="77777777" w:rsidR="00C36B60" w:rsidRPr="00CC0CF0" w:rsidRDefault="00C36B60"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sz w:val="20"/>
        </w:rPr>
        <w:t>Opção</w:t>
      </w:r>
      <w:r>
        <w:rPr>
          <w:rFonts w:ascii="Arial" w:hAnsi="Arial"/>
          <w:sz w:val="20"/>
        </w:rPr>
        <w:t>: Mais artigos podem ser adicionados para explicar melhor o propósito da Política. Por exemplo:</w:t>
      </w:r>
    </w:p>
    <w:p w14:paraId="08D51951" w14:textId="77777777" w:rsidR="00805049" w:rsidRPr="00CC0CF0" w:rsidRDefault="00805049" w:rsidP="00B7519E">
      <w:pPr>
        <w:pStyle w:val="ListParagraph"/>
        <w:tabs>
          <w:tab w:val="left" w:pos="426"/>
        </w:tabs>
        <w:autoSpaceDE w:val="0"/>
        <w:autoSpaceDN w:val="0"/>
        <w:adjustRightInd w:val="0"/>
        <w:spacing w:after="0" w:line="240" w:lineRule="auto"/>
        <w:ind w:left="426"/>
        <w:jc w:val="both"/>
        <w:rPr>
          <w:rFonts w:ascii="Arial" w:hAnsi="Arial" w:cs="Arial"/>
          <w:b/>
          <w:sz w:val="20"/>
          <w:lang w:val="en-US"/>
        </w:rPr>
      </w:pPr>
    </w:p>
    <w:p w14:paraId="7238E275" w14:textId="77777777" w:rsidR="00D33173" w:rsidRPr="00CC0CF0" w:rsidRDefault="00D33173" w:rsidP="00B7519E">
      <w:pPr>
        <w:tabs>
          <w:tab w:val="left" w:pos="851"/>
        </w:tabs>
        <w:spacing w:after="0" w:line="240" w:lineRule="auto"/>
        <w:ind w:left="852"/>
        <w:jc w:val="both"/>
        <w:rPr>
          <w:rFonts w:ascii="Arial" w:hAnsi="Arial" w:cs="Arial"/>
          <w:i/>
          <w:sz w:val="20"/>
        </w:rPr>
      </w:pPr>
      <w:r>
        <w:rPr>
          <w:rFonts w:ascii="Arial" w:hAnsi="Arial"/>
          <w:i/>
          <w:sz w:val="20"/>
        </w:rPr>
        <w:t xml:space="preserve">1.2.X. </w:t>
      </w:r>
      <w:r>
        <w:rPr>
          <w:rFonts w:ascii="Arial" w:hAnsi="Arial"/>
          <w:b/>
          <w:i/>
          <w:sz w:val="20"/>
        </w:rPr>
        <w:t>Direitos e responsabilidades</w:t>
      </w:r>
      <w:r>
        <w:rPr>
          <w:rFonts w:ascii="Arial" w:hAnsi="Arial"/>
          <w:i/>
          <w:sz w:val="20"/>
        </w:rPr>
        <w:t xml:space="preserve">. A Política de PI define a posição da Instituição em relação à titularidade e ao uso da PI (respeitando regras legais vinculativas/aplicáveis e regimes de propriedade), o reconhecimento e a recompensa aos Criadores e os direitos e </w:t>
      </w:r>
      <w:r>
        <w:rPr>
          <w:rFonts w:ascii="Arial" w:hAnsi="Arial"/>
          <w:i/>
          <w:sz w:val="20"/>
        </w:rPr>
        <w:lastRenderedPageBreak/>
        <w:t>responsabilidades de todas as partes. Ela também estabelece as regras da Instituição para cooperação com organizações industriais e outras organizações e fornece diretrizes sobre a repartição de benefícios decorrentes da Comercialização de PI.</w:t>
      </w:r>
    </w:p>
    <w:p w14:paraId="0B549EE3" w14:textId="77777777" w:rsidR="00AD45A8" w:rsidRPr="0024467F" w:rsidRDefault="00AD45A8" w:rsidP="00B7519E">
      <w:pPr>
        <w:tabs>
          <w:tab w:val="left" w:pos="851"/>
        </w:tabs>
        <w:spacing w:after="0" w:line="240" w:lineRule="auto"/>
        <w:jc w:val="both"/>
        <w:rPr>
          <w:rFonts w:ascii="Arial" w:hAnsi="Arial" w:cs="Arial"/>
          <w:i/>
          <w:sz w:val="20"/>
        </w:rPr>
      </w:pPr>
    </w:p>
    <w:p w14:paraId="48603205" w14:textId="77777777" w:rsidR="00AD45A8" w:rsidRPr="00CC0CF0" w:rsidRDefault="00AD45A8"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sz w:val="20"/>
        </w:rPr>
        <w:t>Opção</w:t>
      </w:r>
      <w:r>
        <w:rPr>
          <w:rFonts w:ascii="Arial" w:hAnsi="Arial"/>
          <w:sz w:val="20"/>
        </w:rPr>
        <w:t xml:space="preserve">: Alguns países têm “diretrizes”, “princípios”, “boas práticas” ou um “código de práticas” nacionais para a gestão da PI em atividades de transferência de conhecimento (para uma compilação dessas diretrizes, veja </w:t>
      </w:r>
      <w:hyperlink w:anchor="Box6" w:history="1">
        <w:r>
          <w:rPr>
            <w:rStyle w:val="Hyperlink"/>
            <w:rFonts w:ascii="Arial" w:hAnsi="Arial"/>
            <w:sz w:val="20"/>
          </w:rPr>
          <w:t>Caixa 6</w:t>
        </w:r>
      </w:hyperlink>
      <w:r>
        <w:rPr>
          <w:rStyle w:val="Hyperlink"/>
          <w:rFonts w:ascii="Arial" w:hAnsi="Arial"/>
          <w:sz w:val="20"/>
        </w:rPr>
        <w:t>)</w:t>
      </w:r>
      <w:r>
        <w:rPr>
          <w:rFonts w:ascii="Arial" w:hAnsi="Arial"/>
          <w:sz w:val="20"/>
        </w:rPr>
        <w:t xml:space="preserve">. Se sua instituição endossa quaisquer dessas diretrizes, é recomendável consultá-las no Prefácio da Política de PI: </w:t>
      </w:r>
    </w:p>
    <w:p w14:paraId="2D6BD591" w14:textId="77777777" w:rsidR="00AD45A8" w:rsidRPr="00CC0CF0" w:rsidRDefault="00AD45A8" w:rsidP="00B7519E">
      <w:pPr>
        <w:spacing w:before="100" w:beforeAutospacing="1" w:after="0" w:line="240" w:lineRule="auto"/>
        <w:ind w:left="851"/>
        <w:jc w:val="both"/>
        <w:rPr>
          <w:rFonts w:ascii="Arial" w:hAnsi="Arial" w:cs="Arial"/>
          <w:i/>
          <w:sz w:val="20"/>
        </w:rPr>
      </w:pPr>
      <w:r>
        <w:rPr>
          <w:rFonts w:ascii="Arial" w:hAnsi="Arial"/>
          <w:i/>
          <w:sz w:val="20"/>
        </w:rPr>
        <w:t xml:space="preserve">1.2.X. </w:t>
      </w:r>
      <w:r>
        <w:rPr>
          <w:rFonts w:ascii="Arial" w:hAnsi="Arial"/>
          <w:b/>
          <w:i/>
          <w:sz w:val="20"/>
        </w:rPr>
        <w:t>Conformidade com as melhores práticas nacionais</w:t>
      </w:r>
      <w:r>
        <w:rPr>
          <w:rFonts w:ascii="Arial" w:hAnsi="Arial"/>
          <w:i/>
          <w:sz w:val="20"/>
        </w:rPr>
        <w:t>. A Política de PI auxilia a Instituição a cumprir com [</w:t>
      </w:r>
      <w:r>
        <w:rPr>
          <w:rFonts w:ascii="Arial" w:hAnsi="Arial"/>
          <w:i/>
          <w:sz w:val="20"/>
          <w:shd w:val="clear" w:color="auto" w:fill="D9D9D9" w:themeFill="background1" w:themeFillShade="D9"/>
        </w:rPr>
        <w:t>Título das diretrizes nacionais relevantes, princípios, melhores práticas ou código de prática para a gestão de PI</w:t>
      </w:r>
      <w:r>
        <w:rPr>
          <w:rFonts w:ascii="Arial" w:hAnsi="Arial"/>
          <w:i/>
          <w:sz w:val="20"/>
        </w:rPr>
        <w:t>].</w:t>
      </w:r>
    </w:p>
    <w:p w14:paraId="1CECD6CC" w14:textId="77777777" w:rsidR="00C6392C" w:rsidRPr="0024467F" w:rsidRDefault="00C6392C" w:rsidP="00B7519E">
      <w:pPr>
        <w:tabs>
          <w:tab w:val="left" w:pos="851"/>
        </w:tabs>
        <w:spacing w:after="0" w:line="240" w:lineRule="auto"/>
        <w:jc w:val="both"/>
        <w:rPr>
          <w:rFonts w:ascii="Arial" w:hAnsi="Arial" w:cs="Arial"/>
          <w:i/>
          <w:sz w:val="20"/>
        </w:rPr>
      </w:pPr>
    </w:p>
    <w:p w14:paraId="44F90FA6" w14:textId="77777777" w:rsidR="0007179C" w:rsidRPr="0024467F" w:rsidRDefault="0007179C" w:rsidP="00B7519E">
      <w:pPr>
        <w:tabs>
          <w:tab w:val="left" w:pos="851"/>
        </w:tabs>
        <w:spacing w:after="0" w:line="240" w:lineRule="auto"/>
        <w:jc w:val="both"/>
        <w:rPr>
          <w:rFonts w:ascii="Arial" w:hAnsi="Arial" w:cs="Arial"/>
          <w:i/>
          <w:sz w:val="20"/>
        </w:rPr>
      </w:pPr>
    </w:p>
    <w:p w14:paraId="21DA2E58"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rPr>
      </w:pPr>
      <w:r>
        <w:rPr>
          <w:rFonts w:ascii="Arial" w:hAnsi="Arial"/>
          <w:b/>
          <w:sz w:val="20"/>
        </w:rPr>
        <w:t xml:space="preserve">Caixa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r>
        <w:rPr>
          <w:rFonts w:ascii="Arial" w:hAnsi="Arial"/>
          <w:b/>
          <w:sz w:val="20"/>
        </w:rPr>
        <w:t xml:space="preserve"> Motivações Comuns para Instituições Comercializarem PI e Desenvolverem Iniciativas de Pesquisa Colaborativa</w:t>
      </w:r>
    </w:p>
    <w:p w14:paraId="4A30B40B" w14:textId="77777777" w:rsidR="0007179C" w:rsidRPr="0024467F"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rPr>
      </w:pPr>
    </w:p>
    <w:p w14:paraId="4977EE2D"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rPr>
      </w:pPr>
      <w:r>
        <w:rPr>
          <w:rFonts w:ascii="Arial" w:hAnsi="Arial"/>
          <w:sz w:val="20"/>
        </w:rPr>
        <w:t>As instituições são motivadas por uma variedade de razões para criar um programa de comercialização e empreender iniciativas de pesquisa colaborativa, apoiadas por uma Política de PI facilitadora. As principais oportunidades decorrentes dessas atividades são:</w:t>
      </w:r>
    </w:p>
    <w:p w14:paraId="18F90892"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p>
    <w:p w14:paraId="24CA82D0"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Promover a competitividade da região;</w:t>
      </w:r>
    </w:p>
    <w:p w14:paraId="08091AC4"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Enfrentar os desafios sociais</w:t>
      </w:r>
      <w:r w:rsidR="0094117F" w:rsidRPr="00CC0CF0">
        <w:rPr>
          <w:rStyle w:val="FootnoteReference"/>
          <w:rFonts w:ascii="Arial" w:hAnsi="Arial" w:cs="Arial"/>
          <w:sz w:val="20"/>
          <w:lang w:val="en-US"/>
        </w:rPr>
        <w:footnoteReference w:id="11"/>
      </w:r>
      <w:r>
        <w:rPr>
          <w:rFonts w:ascii="Arial" w:hAnsi="Arial"/>
          <w:sz w:val="20"/>
        </w:rPr>
        <w:t xml:space="preserve"> e maximizar o impacto da pesquisa a nível social;</w:t>
      </w:r>
    </w:p>
    <w:p w14:paraId="60548354"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Ampliar as fontes de financiamento da pesquisa da Instituição</w:t>
      </w:r>
      <w:r w:rsidR="0094117F" w:rsidRPr="00CC0CF0">
        <w:rPr>
          <w:rStyle w:val="FootnoteReference"/>
          <w:rFonts w:ascii="Arial" w:hAnsi="Arial" w:cs="Arial"/>
          <w:sz w:val="20"/>
          <w:lang w:val="en-US"/>
        </w:rPr>
        <w:footnoteReference w:id="12"/>
      </w:r>
      <w:r>
        <w:rPr>
          <w:rFonts w:ascii="Arial" w:hAnsi="Arial"/>
          <w:sz w:val="20"/>
        </w:rPr>
        <w:t>;</w:t>
      </w:r>
    </w:p>
    <w:p w14:paraId="253F1B36"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Promover a reputação e a classificação da Instituição</w:t>
      </w:r>
      <w:r w:rsidR="001432FC" w:rsidRPr="00CC0CF0">
        <w:rPr>
          <w:rStyle w:val="FootnoteReference"/>
          <w:rFonts w:ascii="Arial" w:hAnsi="Arial" w:cs="Arial"/>
          <w:sz w:val="20"/>
          <w:lang w:val="en-US"/>
        </w:rPr>
        <w:footnoteReference w:id="13"/>
      </w:r>
      <w:r>
        <w:rPr>
          <w:rFonts w:ascii="Arial" w:hAnsi="Arial"/>
          <w:sz w:val="20"/>
        </w:rPr>
        <w:t>;</w:t>
      </w:r>
    </w:p>
    <w:p w14:paraId="0103BD77"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Beneficiar parcerias com a indústria em termos de melhoria da qualidade dos programas de pesquisa</w:t>
      </w:r>
      <w:r w:rsidRPr="00CC0CF0">
        <w:rPr>
          <w:rStyle w:val="FootnoteReference"/>
          <w:rFonts w:ascii="Arial" w:hAnsi="Arial" w:cs="Arial"/>
          <w:sz w:val="20"/>
          <w:lang w:val="en-US"/>
        </w:rPr>
        <w:footnoteReference w:id="14"/>
      </w:r>
      <w:r>
        <w:rPr>
          <w:rFonts w:ascii="Arial" w:hAnsi="Arial"/>
          <w:sz w:val="20"/>
        </w:rPr>
        <w:t>, aprimoramento do ensino</w:t>
      </w:r>
      <w:r w:rsidR="001432FC" w:rsidRPr="00CC0CF0">
        <w:rPr>
          <w:rStyle w:val="FootnoteReference"/>
          <w:rFonts w:ascii="Arial" w:hAnsi="Arial" w:cs="Arial"/>
          <w:sz w:val="20"/>
          <w:lang w:val="en-US"/>
        </w:rPr>
        <w:footnoteReference w:id="15"/>
      </w:r>
      <w:r>
        <w:rPr>
          <w:rFonts w:ascii="Arial" w:hAnsi="Arial"/>
          <w:sz w:val="20"/>
        </w:rPr>
        <w:t>, oportunidades de carreira para professores/alunos</w:t>
      </w:r>
      <w:r w:rsidR="001432FC" w:rsidRPr="00CC0CF0">
        <w:rPr>
          <w:rStyle w:val="FootnoteReference"/>
          <w:rFonts w:ascii="Arial" w:hAnsi="Arial" w:cs="Arial"/>
          <w:sz w:val="20"/>
          <w:lang w:val="en-US"/>
        </w:rPr>
        <w:footnoteReference w:id="16"/>
      </w:r>
      <w:r>
        <w:rPr>
          <w:rFonts w:ascii="Arial" w:hAnsi="Arial"/>
          <w:sz w:val="20"/>
        </w:rPr>
        <w:t>, melhoria da mobilidade intersetorial e do acesso a dados empíricos da indústria; e</w:t>
      </w:r>
    </w:p>
    <w:p w14:paraId="07881F5A" w14:textId="77777777" w:rsidR="001432FC" w:rsidRPr="00CC0CF0" w:rsidRDefault="001432FC"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Atrair talentos-chave.</w:t>
      </w:r>
      <w:r w:rsidRPr="00CC0CF0">
        <w:rPr>
          <w:rStyle w:val="FootnoteReference"/>
          <w:rFonts w:ascii="Arial" w:hAnsi="Arial" w:cs="Arial"/>
          <w:sz w:val="20"/>
          <w:lang w:val="en-US"/>
        </w:rPr>
        <w:footnoteReference w:id="17"/>
      </w:r>
    </w:p>
    <w:p w14:paraId="0C277E1E" w14:textId="77777777" w:rsidR="001432F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sz w:val="20"/>
          <w:lang w:val="en-US"/>
        </w:rPr>
      </w:pPr>
    </w:p>
    <w:p w14:paraId="621DE946" w14:textId="77777777" w:rsidR="0007179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i/>
          <w:sz w:val="20"/>
        </w:rPr>
      </w:pPr>
      <w:r>
        <w:rPr>
          <w:rFonts w:ascii="Arial" w:hAnsi="Arial"/>
          <w:sz w:val="20"/>
        </w:rPr>
        <w:t xml:space="preserve">Para mais informações, veja a </w:t>
      </w:r>
      <w:hyperlink r:id="rId10" w:history="1">
        <w:r>
          <w:rPr>
            <w:rStyle w:val="Hyperlink"/>
            <w:rFonts w:ascii="Arial" w:hAnsi="Arial"/>
            <w:sz w:val="20"/>
          </w:rPr>
          <w:t>Checklist de Escritores de Políticas</w:t>
        </w:r>
      </w:hyperlink>
      <w:r>
        <w:rPr>
          <w:rFonts w:ascii="Arial" w:hAnsi="Arial"/>
          <w:sz w:val="20"/>
        </w:rPr>
        <w:t xml:space="preserve">, Checklist 2. </w:t>
      </w:r>
    </w:p>
    <w:p w14:paraId="308B169B" w14:textId="77777777" w:rsidR="00B6410E" w:rsidRPr="00CC0CF0" w:rsidRDefault="005506B7" w:rsidP="00B7519E">
      <w:pPr>
        <w:pStyle w:val="Heading3"/>
        <w:spacing w:before="360"/>
        <w:rPr>
          <w:sz w:val="24"/>
        </w:rPr>
      </w:pPr>
      <w:bookmarkStart w:id="36" w:name="_Article_1.3_–"/>
      <w:bookmarkStart w:id="37" w:name="_Toc494115942"/>
      <w:bookmarkStart w:id="38" w:name="_Toc516160038"/>
      <w:bookmarkStart w:id="39" w:name="_Toc516219381"/>
      <w:bookmarkStart w:id="40" w:name="_Toc516496023"/>
      <w:bookmarkStart w:id="41" w:name="_Toc516829395"/>
      <w:bookmarkEnd w:id="36"/>
      <w:r>
        <w:rPr>
          <w:sz w:val="24"/>
        </w:rPr>
        <w:t>Artigo 1.3 – Princípios Gerais</w:t>
      </w:r>
      <w:bookmarkEnd w:id="37"/>
      <w:bookmarkEnd w:id="38"/>
      <w:bookmarkEnd w:id="39"/>
      <w:bookmarkEnd w:id="40"/>
      <w:bookmarkEnd w:id="41"/>
    </w:p>
    <w:p w14:paraId="62EF1751" w14:textId="77777777" w:rsidR="001B0C79" w:rsidRPr="00CC0CF0" w:rsidRDefault="00D308CC"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rPr>
      </w:pPr>
      <w:r>
        <w:rPr>
          <w:rFonts w:ascii="Arial" w:hAnsi="Arial"/>
          <w:sz w:val="20"/>
        </w:rPr>
        <w:t xml:space="preserve">Esta seção não é essencial, mas é útil fornecer breves declarações de princípios não obrigatórias que não seriam apropriadas no órgão da Política. Neste contexto, o Artigo 1.3 do Modelo estabelece alguns princípios que a Instituição pretende ter em mente, quando houver oportunidades de comercialização de qualquer PI decorrente da pesquisa. </w:t>
      </w:r>
    </w:p>
    <w:p w14:paraId="095E648F" w14:textId="77777777" w:rsidR="000B2058" w:rsidRPr="0024467F" w:rsidRDefault="000B2058"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rPr>
      </w:pPr>
    </w:p>
    <w:p w14:paraId="0544652B" w14:textId="40EA84B0" w:rsidR="00960B9A" w:rsidRPr="00CC0CF0" w:rsidRDefault="00063808" w:rsidP="00464282">
      <w:pPr>
        <w:pStyle w:val="ListParagraph"/>
        <w:numPr>
          <w:ilvl w:val="1"/>
          <w:numId w:val="3"/>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rPr>
      </w:pPr>
      <w:bookmarkStart w:id="42" w:name="Article1p3p1"/>
      <w:r>
        <w:rPr>
          <w:rFonts w:ascii="Arial" w:hAnsi="Arial"/>
          <w:b/>
          <w:sz w:val="20"/>
        </w:rPr>
        <w:t>Artigo 1.3.1</w:t>
      </w:r>
      <w:bookmarkEnd w:id="42"/>
      <w:r>
        <w:rPr>
          <w:rFonts w:ascii="Arial" w:hAnsi="Arial"/>
          <w:b/>
          <w:sz w:val="20"/>
        </w:rPr>
        <w:t xml:space="preserve">, </w:t>
      </w:r>
      <w:r>
        <w:rPr>
          <w:rFonts w:ascii="Arial" w:hAnsi="Arial"/>
          <w:b/>
          <w:i/>
          <w:sz w:val="20"/>
        </w:rPr>
        <w:t>Comercialização Responsável</w:t>
      </w:r>
      <w:r>
        <w:rPr>
          <w:rFonts w:ascii="Arial" w:hAnsi="Arial"/>
          <w:sz w:val="20"/>
        </w:rPr>
        <w:t>: Este artigo enfatiza que a comercialização dos resultados da pesquisa é motivada principalmente pela facilitação do acesso à PI criada (em uma variedade de termos), juntamente com benefícios sociais e econômicos, e não apenas pela geração de receita (IMPACTO, não RENDA). Neste contexto, cada vez mais Instituições em todo o mundo estão adaptando o conceito de “responsabilidade social” ou “empreendedorismo social”</w:t>
      </w:r>
      <w:r w:rsidR="008411EA">
        <w:rPr>
          <w:rFonts w:ascii="Arial" w:hAnsi="Arial"/>
          <w:sz w:val="20"/>
        </w:rPr>
        <w:t>.</w:t>
      </w:r>
    </w:p>
    <w:p w14:paraId="2BE9E456" w14:textId="77777777" w:rsidR="00960B9A" w:rsidRPr="0024467F" w:rsidRDefault="00960B9A"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rPr>
      </w:pPr>
    </w:p>
    <w:p w14:paraId="46E9762F" w14:textId="7EAF2B1B" w:rsidR="00A26BC7" w:rsidRPr="00CC0CF0" w:rsidRDefault="000F46D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1.3.2, </w:t>
      </w:r>
      <w:r>
        <w:rPr>
          <w:rFonts w:ascii="Arial" w:hAnsi="Arial"/>
          <w:b/>
          <w:i/>
          <w:sz w:val="20"/>
        </w:rPr>
        <w:t>Incentivos</w:t>
      </w:r>
      <w:r>
        <w:rPr>
          <w:rFonts w:ascii="Arial" w:hAnsi="Arial"/>
          <w:sz w:val="20"/>
        </w:rPr>
        <w:t>: Os incentivos desempenham um papel importante na promoção da transferência de conhecimento</w:t>
      </w:r>
      <w:r w:rsidR="008411EA">
        <w:rPr>
          <w:rFonts w:ascii="Arial" w:hAnsi="Arial"/>
          <w:sz w:val="20"/>
        </w:rPr>
        <w:t xml:space="preserve">. </w:t>
      </w:r>
      <w:r>
        <w:rPr>
          <w:rFonts w:ascii="Arial" w:hAnsi="Arial"/>
          <w:sz w:val="20"/>
        </w:rPr>
        <w:t>As instituições que optam por dar ênfase à dimensão empreendedora da transferência de conhecimento devem considerar sistemas de recompensa financeira e não financeira que levem em conta os motivos, as perspectivas e as culturas das três principais partes interessadas na transferência de conhecimento: (a) os cientistas acadêmicos</w:t>
      </w:r>
      <w:r w:rsidR="00A26BC7" w:rsidRPr="00CC0CF0">
        <w:rPr>
          <w:rStyle w:val="FootnoteReference"/>
          <w:rFonts w:ascii="Arial" w:hAnsi="Arial" w:cs="Arial"/>
          <w:sz w:val="20"/>
          <w:lang w:val="en-US"/>
        </w:rPr>
        <w:footnoteReference w:id="18"/>
      </w:r>
      <w:r>
        <w:rPr>
          <w:rFonts w:ascii="Arial" w:hAnsi="Arial"/>
          <w:sz w:val="20"/>
        </w:rPr>
        <w:t>, (b) o Escritório de Gestão de PI (EGPI) e os administradores da universidade</w:t>
      </w:r>
      <w:r w:rsidR="00A26BC7" w:rsidRPr="00CC0CF0">
        <w:rPr>
          <w:rStyle w:val="FootnoteReference"/>
          <w:rFonts w:ascii="Arial" w:hAnsi="Arial" w:cs="Arial"/>
          <w:sz w:val="20"/>
          <w:lang w:val="en-US"/>
        </w:rPr>
        <w:footnoteReference w:id="19"/>
      </w:r>
      <w:r>
        <w:rPr>
          <w:rFonts w:ascii="Arial" w:hAnsi="Arial"/>
          <w:sz w:val="20"/>
        </w:rPr>
        <w:t>, e (c) as empresas/empreendedores</w:t>
      </w:r>
      <w:r w:rsidR="00A26BC7" w:rsidRPr="00CC0CF0">
        <w:rPr>
          <w:rStyle w:val="FootnoteReference"/>
          <w:rFonts w:ascii="Arial" w:hAnsi="Arial" w:cs="Arial"/>
          <w:sz w:val="20"/>
          <w:lang w:val="en-US"/>
        </w:rPr>
        <w:footnoteReference w:id="20"/>
      </w:r>
      <w:r w:rsidR="008411EA">
        <w:rPr>
          <w:rFonts w:ascii="Arial" w:hAnsi="Arial"/>
          <w:sz w:val="20"/>
        </w:rPr>
        <w:t xml:space="preserve">. </w:t>
      </w:r>
      <w:r>
        <w:rPr>
          <w:rFonts w:ascii="Arial" w:hAnsi="Arial"/>
          <w:sz w:val="20"/>
        </w:rPr>
        <w:t xml:space="preserve">Veja também </w:t>
      </w:r>
      <w:hyperlink w:anchor="_ARTICLE_10_-" w:history="1">
        <w:r>
          <w:rPr>
            <w:rStyle w:val="Hyperlink"/>
            <w:rFonts w:ascii="Arial" w:hAnsi="Arial"/>
            <w:sz w:val="20"/>
          </w:rPr>
          <w:t>Artigo 10</w:t>
        </w:r>
      </w:hyperlink>
      <w:r>
        <w:rPr>
          <w:rFonts w:ascii="Arial" w:hAnsi="Arial"/>
          <w:sz w:val="20"/>
        </w:rPr>
        <w:t>.</w:t>
      </w:r>
    </w:p>
    <w:p w14:paraId="0567B2BC" w14:textId="77777777" w:rsidR="00C209E5" w:rsidRPr="00CC0CF0" w:rsidRDefault="00C209E5" w:rsidP="00B7519E">
      <w:pPr>
        <w:pStyle w:val="ListParagraph"/>
        <w:shd w:val="clear" w:color="auto" w:fill="FFFFFF" w:themeFill="background1"/>
        <w:autoSpaceDE w:val="0"/>
        <w:autoSpaceDN w:val="0"/>
        <w:adjustRightInd w:val="0"/>
        <w:spacing w:after="0" w:line="240" w:lineRule="auto"/>
        <w:ind w:left="0"/>
        <w:jc w:val="both"/>
        <w:rPr>
          <w:rFonts w:ascii="Arial" w:hAnsi="Arial" w:cs="Arial"/>
          <w:sz w:val="20"/>
          <w:lang w:val="en-US"/>
        </w:rPr>
      </w:pPr>
    </w:p>
    <w:p w14:paraId="7640789C" w14:textId="651F12F8" w:rsidR="00E40BCF" w:rsidRPr="00CC0CF0" w:rsidRDefault="00587C53"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Artigo 1.3.3,</w:t>
      </w:r>
      <w:r>
        <w:rPr>
          <w:rFonts w:ascii="Arial" w:hAnsi="Arial"/>
          <w:b/>
          <w:i/>
          <w:sz w:val="20"/>
        </w:rPr>
        <w:t xml:space="preserve"> Desenvolvimento local</w:t>
      </w:r>
      <w:r>
        <w:rPr>
          <w:rFonts w:ascii="Arial" w:hAnsi="Arial"/>
          <w:sz w:val="20"/>
        </w:rPr>
        <w:t>:</w:t>
      </w:r>
      <w:r w:rsidRPr="006737CC">
        <w:rPr>
          <w:rFonts w:ascii="Arial" w:hAnsi="Arial"/>
          <w:bCs/>
          <w:sz w:val="20"/>
        </w:rPr>
        <w:t xml:space="preserve"> </w:t>
      </w:r>
      <w:r>
        <w:rPr>
          <w:rFonts w:ascii="Arial" w:hAnsi="Arial"/>
          <w:sz w:val="20"/>
        </w:rPr>
        <w:t>O Modelo promove a visão de que esforços crescentes para utilizar a PI gerada pela pesquisa acadêmica podem ser um impulsionador para um crescimento econômico local significativo.</w:t>
      </w:r>
      <w:r>
        <w:rPr>
          <w:rStyle w:val="FootnoteReference"/>
          <w:rFonts w:ascii="Arial" w:hAnsi="Arial"/>
          <w:color w:val="000000" w:themeColor="text1"/>
          <w:sz w:val="20"/>
        </w:rPr>
        <w:t xml:space="preserve"> </w:t>
      </w:r>
      <w:r w:rsidR="00BF4081" w:rsidRPr="00CC0CF0">
        <w:rPr>
          <w:rStyle w:val="FootnoteReference"/>
          <w:rFonts w:ascii="Arial" w:hAnsi="Arial" w:cs="Arial"/>
          <w:color w:val="000000" w:themeColor="text1"/>
          <w:sz w:val="20"/>
          <w:lang w:val="en-US"/>
        </w:rPr>
        <w:footnoteReference w:id="21"/>
      </w:r>
      <w:r>
        <w:rPr>
          <w:rFonts w:ascii="Arial" w:hAnsi="Arial"/>
          <w:sz w:val="20"/>
        </w:rPr>
        <w:t xml:space="preserve"> Muitas instituições desempenham um papel importante como parcerias de partes interessadas locais e regionais</w:t>
      </w:r>
      <w:r w:rsidR="008411EA">
        <w:rPr>
          <w:rFonts w:ascii="Arial" w:hAnsi="Arial"/>
          <w:sz w:val="20"/>
        </w:rPr>
        <w:t xml:space="preserve">. </w:t>
      </w:r>
      <w:r>
        <w:rPr>
          <w:rFonts w:ascii="Arial" w:hAnsi="Arial"/>
          <w:sz w:val="20"/>
        </w:rPr>
        <w:t>Elas implementam uma variedade de práticas de gestão de PI, incluindo colaboração com redes industriais regionais ou “clusters”; cooperação ativa com pequenas e médias empresas (PMEs) em sua região; fomento de spin-offs e favorecimento de empresas locais como potenciais licenciados de PI</w:t>
      </w:r>
      <w:r w:rsidR="008C13DD" w:rsidRPr="00CC0CF0">
        <w:rPr>
          <w:rStyle w:val="FootnoteReference"/>
          <w:rFonts w:ascii="Arial" w:hAnsi="Arial" w:cs="Arial"/>
          <w:sz w:val="20"/>
          <w:lang w:val="en-US"/>
        </w:rPr>
        <w:footnoteReference w:id="22"/>
      </w:r>
      <w:r w:rsidR="008411EA">
        <w:rPr>
          <w:rFonts w:ascii="Arial" w:hAnsi="Arial"/>
          <w:sz w:val="20"/>
        </w:rPr>
        <w:t xml:space="preserve">. </w:t>
      </w:r>
      <w:r>
        <w:rPr>
          <w:rFonts w:ascii="Arial" w:hAnsi="Arial"/>
          <w:sz w:val="20"/>
        </w:rPr>
        <w:t>Cada instituição deve considerar quão proativamente usará seus ativos de PI para auxiliar o ecossistema de inovação local e o desenvolvimento econômico</w:t>
      </w:r>
      <w:r w:rsidR="008411EA">
        <w:rPr>
          <w:rFonts w:ascii="Arial" w:hAnsi="Arial"/>
          <w:sz w:val="20"/>
        </w:rPr>
        <w:t xml:space="preserve">. </w:t>
      </w:r>
      <w:r>
        <w:rPr>
          <w:rFonts w:ascii="Arial" w:hAnsi="Arial"/>
          <w:color w:val="FF0000"/>
          <w:sz w:val="20"/>
        </w:rPr>
        <w:t xml:space="preserve"> </w:t>
      </w:r>
    </w:p>
    <w:p w14:paraId="22600038" w14:textId="77777777" w:rsidR="00A26BC7" w:rsidRPr="0024467F" w:rsidRDefault="00A26BC7" w:rsidP="00A26BC7">
      <w:pPr>
        <w:shd w:val="clear" w:color="auto" w:fill="FFFFFF" w:themeFill="background1"/>
        <w:autoSpaceDE w:val="0"/>
        <w:autoSpaceDN w:val="0"/>
        <w:adjustRightInd w:val="0"/>
        <w:spacing w:after="0" w:line="240" w:lineRule="auto"/>
        <w:jc w:val="both"/>
        <w:rPr>
          <w:rFonts w:ascii="Arial" w:hAnsi="Arial" w:cs="Arial"/>
          <w:sz w:val="20"/>
        </w:rPr>
      </w:pPr>
    </w:p>
    <w:p w14:paraId="57F52E72" w14:textId="77777777" w:rsidR="00AB3EB5" w:rsidRPr="00CC0CF0" w:rsidRDefault="00AB3EB5" w:rsidP="00AB3EB5">
      <w:pPr>
        <w:shd w:val="clear" w:color="auto" w:fill="FFFFFF" w:themeFill="background1"/>
        <w:autoSpaceDE w:val="0"/>
        <w:autoSpaceDN w:val="0"/>
        <w:adjustRightInd w:val="0"/>
        <w:spacing w:after="0" w:line="240" w:lineRule="auto"/>
        <w:ind w:left="426"/>
        <w:jc w:val="both"/>
        <w:rPr>
          <w:rFonts w:ascii="Arial" w:hAnsi="Arial" w:cs="Arial"/>
          <w:sz w:val="20"/>
        </w:rPr>
      </w:pPr>
      <w:r>
        <w:rPr>
          <w:rFonts w:ascii="Arial" w:hAnsi="Arial"/>
          <w:sz w:val="20"/>
        </w:rPr>
        <w:t>O Artigo 1.3.3 reflete a ideia de que a missão das Instituições inclui dimensões que vão além da promoção do conhecimento e da pesquisa, geralmente designadas por “</w:t>
      </w:r>
      <w:r>
        <w:rPr>
          <w:rFonts w:ascii="Arial" w:hAnsi="Arial"/>
          <w:b/>
          <w:sz w:val="20"/>
        </w:rPr>
        <w:t>responsabilidade social universitária</w:t>
      </w:r>
      <w:r>
        <w:rPr>
          <w:rFonts w:ascii="Arial" w:hAnsi="Arial"/>
          <w:sz w:val="20"/>
        </w:rPr>
        <w:t>.”</w:t>
      </w:r>
    </w:p>
    <w:p w14:paraId="7403BDE7" w14:textId="77777777" w:rsidR="00AB3EB5" w:rsidRPr="0024467F" w:rsidRDefault="00AB3EB5" w:rsidP="00AB3EB5">
      <w:pPr>
        <w:shd w:val="clear" w:color="auto" w:fill="FFFFFF" w:themeFill="background1"/>
        <w:autoSpaceDE w:val="0"/>
        <w:autoSpaceDN w:val="0"/>
        <w:adjustRightInd w:val="0"/>
        <w:spacing w:after="0" w:line="240" w:lineRule="auto"/>
        <w:ind w:left="426"/>
        <w:jc w:val="both"/>
        <w:rPr>
          <w:rFonts w:ascii="Arial" w:hAnsi="Arial" w:cs="Arial"/>
          <w:b/>
          <w:sz w:val="20"/>
        </w:rPr>
      </w:pPr>
    </w:p>
    <w:p w14:paraId="4E9935BD" w14:textId="124E6BDB" w:rsidR="00A26BC7" w:rsidRPr="00CC0CF0" w:rsidRDefault="00A26BC7" w:rsidP="00AB3EB5">
      <w:pPr>
        <w:shd w:val="clear" w:color="auto" w:fill="FFFFFF" w:themeFill="background1"/>
        <w:autoSpaceDE w:val="0"/>
        <w:autoSpaceDN w:val="0"/>
        <w:adjustRightInd w:val="0"/>
        <w:spacing w:after="0" w:line="240" w:lineRule="auto"/>
        <w:ind w:left="426"/>
        <w:jc w:val="both"/>
        <w:rPr>
          <w:rFonts w:ascii="Arial" w:hAnsi="Arial" w:cs="Arial"/>
          <w:color w:val="231F20"/>
          <w:sz w:val="20"/>
        </w:rPr>
      </w:pPr>
      <w:r>
        <w:rPr>
          <w:rFonts w:ascii="Arial" w:hAnsi="Arial"/>
          <w:b/>
          <w:sz w:val="20"/>
        </w:rPr>
        <w:t>Responsabilidade social corporativa</w:t>
      </w:r>
      <w:r>
        <w:rPr>
          <w:rFonts w:ascii="Arial" w:hAnsi="Arial"/>
          <w:sz w:val="20"/>
        </w:rPr>
        <w:t xml:space="preserve"> tem sido uma característica do mundo dos negócios há vários anos e se tornou parte de muitas universidades e instituições de pesquisa, à medida que seus líderes buscam formas alternativas de alcançar a sustentabilidade</w:t>
      </w:r>
      <w:r w:rsidR="008411EA">
        <w:rPr>
          <w:rFonts w:ascii="Arial" w:hAnsi="Arial"/>
          <w:sz w:val="20"/>
        </w:rPr>
        <w:t xml:space="preserve">. </w:t>
      </w:r>
      <w:r>
        <w:rPr>
          <w:rFonts w:ascii="Arial" w:hAnsi="Arial"/>
          <w:color w:val="000000" w:themeColor="text1"/>
          <w:sz w:val="20"/>
        </w:rPr>
        <w:t xml:space="preserve">O objetivo da responsabilidade social corporativa é operar “de forma ética e transparente que contribua para a saúde e o bem-estar da sociedade”, de acordo com a norma </w:t>
      </w:r>
      <w:hyperlink r:id="rId11" w:tgtFrame="_new" w:history="1">
        <w:r>
          <w:rPr>
            <w:rStyle w:val="Hyperlink"/>
            <w:rFonts w:ascii="Arial" w:hAnsi="Arial"/>
            <w:color w:val="0066CC"/>
            <w:sz w:val="20"/>
          </w:rPr>
          <w:t>ISO 26000</w:t>
        </w:r>
        <w:r w:rsidR="00F26167" w:rsidRPr="00AA1A8A">
          <w:rPr>
            <w:rStyle w:val="FootnoteReference"/>
            <w:rFonts w:ascii="Arial" w:hAnsi="Arial" w:cs="Arial"/>
            <w:color w:val="0066CC"/>
            <w:sz w:val="20"/>
            <w:lang w:val="en-US"/>
          </w:rPr>
          <w:footnoteReference w:id="23"/>
        </w:r>
      </w:hyperlink>
      <w:r>
        <w:rPr>
          <w:rFonts w:ascii="Arial" w:hAnsi="Arial"/>
          <w:color w:val="231F20"/>
          <w:sz w:val="20"/>
        </w:rPr>
        <w:t>.</w:t>
      </w:r>
    </w:p>
    <w:p w14:paraId="66AF6003" w14:textId="77777777" w:rsidR="00A26BC7" w:rsidRPr="0024467F" w:rsidRDefault="00A26BC7" w:rsidP="00AB3EB5">
      <w:pPr>
        <w:shd w:val="clear" w:color="auto" w:fill="FFFFFF" w:themeFill="background1"/>
        <w:autoSpaceDE w:val="0"/>
        <w:autoSpaceDN w:val="0"/>
        <w:adjustRightInd w:val="0"/>
        <w:spacing w:after="0" w:line="240" w:lineRule="auto"/>
        <w:ind w:left="426"/>
        <w:jc w:val="both"/>
        <w:rPr>
          <w:rFonts w:ascii="Arial" w:hAnsi="Arial" w:cs="Arial"/>
          <w:sz w:val="20"/>
        </w:rPr>
      </w:pPr>
    </w:p>
    <w:p w14:paraId="71033073" w14:textId="77777777" w:rsidR="00A26BC7" w:rsidRPr="00CC0CF0" w:rsidRDefault="00A26BC7" w:rsidP="00AB3EB5">
      <w:pPr>
        <w:shd w:val="clear" w:color="auto" w:fill="FFFFFF"/>
        <w:spacing w:line="240" w:lineRule="auto"/>
        <w:ind w:left="426"/>
        <w:jc w:val="both"/>
        <w:rPr>
          <w:rFonts w:ascii="Arial" w:hAnsi="Arial" w:cs="Arial"/>
          <w:b/>
          <w:bCs/>
          <w:color w:val="000000" w:themeColor="text1"/>
          <w:sz w:val="20"/>
        </w:rPr>
      </w:pPr>
      <w:r>
        <w:rPr>
          <w:rFonts w:ascii="Arial" w:hAnsi="Arial"/>
          <w:color w:val="000000" w:themeColor="text1"/>
          <w:sz w:val="20"/>
        </w:rPr>
        <w:t>Um número cada vez maior de instituições está integrando a responsabilidade social em suas declarações de missão, argumentando que o ensino superior tem melhor desempenho quando retribui à sociedade que é responsável por financiá-lo. Exemplos dessas abordagens incluem a adaptação de missões de pesquisa para produzir pesquisas que atendam às necessidades do mercado; a promoção de abordagens éticas para a comercialização de PI; a realização de atividades de pesquisa em estreita cooperação com a comunidade e a indústria locais; e o enfrentamento de uma variedade de desafios socioeconômicos, como saúde, energia e segurança alimentar.</w:t>
      </w:r>
    </w:p>
    <w:p w14:paraId="2266920E" w14:textId="77777777" w:rsidR="00A26BC7" w:rsidRPr="00CC0CF0" w:rsidRDefault="00A26BC7"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ascii="Arial" w:hAnsi="Arial" w:cs="Arial"/>
          <w:b/>
          <w:color w:val="auto"/>
          <w:sz w:val="20"/>
          <w:szCs w:val="32"/>
          <w:u w:val="none"/>
        </w:rPr>
      </w:pPr>
      <w:r>
        <w:rPr>
          <w:rFonts w:ascii="Arial" w:hAnsi="Arial"/>
          <w:b/>
          <w:sz w:val="20"/>
        </w:rPr>
        <w:t xml:space="preserve">Caixa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r>
        <w:rPr>
          <w:rFonts w:ascii="Arial" w:hAnsi="Arial"/>
          <w:b/>
          <w:sz w:val="20"/>
        </w:rPr>
        <w:t xml:space="preserve"> </w:t>
      </w:r>
      <w:r>
        <w:rPr>
          <w:rStyle w:val="Hyperlink"/>
          <w:rFonts w:ascii="Arial" w:hAnsi="Arial"/>
          <w:b/>
          <w:color w:val="auto"/>
          <w:sz w:val="20"/>
          <w:u w:val="none"/>
        </w:rPr>
        <w:t>Casos de Aplicação da Responsabilidade Social Universitária</w:t>
      </w:r>
    </w:p>
    <w:p w14:paraId="53FDFAAD" w14:textId="77777777" w:rsidR="00D50925"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rPr>
      </w:pPr>
      <w:r>
        <w:rPr>
          <w:rStyle w:val="Hyperlink"/>
          <w:rFonts w:ascii="Arial" w:hAnsi="Arial"/>
          <w:color w:val="auto"/>
          <w:sz w:val="20"/>
          <w:u w:val="none"/>
        </w:rPr>
        <w:t xml:space="preserve">Tanto o Modelo quanto a </w:t>
      </w:r>
      <w:hyperlink r:id="rId12" w:history="1">
        <w:r>
          <w:rPr>
            <w:rStyle w:val="Hyperlink"/>
            <w:rFonts w:ascii="Arial" w:hAnsi="Arial"/>
            <w:sz w:val="20"/>
          </w:rPr>
          <w:t>Checklist de Escritores de Políticas de PI</w:t>
        </w:r>
      </w:hyperlink>
      <w:r>
        <w:rPr>
          <w:rStyle w:val="Hyperlink"/>
          <w:rFonts w:ascii="Arial" w:hAnsi="Arial"/>
          <w:color w:val="auto"/>
          <w:sz w:val="20"/>
          <w:u w:val="none"/>
        </w:rPr>
        <w:t xml:space="preserve"> contêm várias referências à comercialização socialmente responsável de resultados de pesquisa acadêmica</w:t>
      </w:r>
    </w:p>
    <w:p w14:paraId="5186A5A6" w14:textId="5972D613" w:rsidR="00F54FEE"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rPr>
      </w:pPr>
      <w:r>
        <w:rPr>
          <w:rStyle w:val="Hyperlink"/>
          <w:rFonts w:ascii="Arial" w:hAnsi="Arial"/>
          <w:color w:val="auto"/>
          <w:sz w:val="20"/>
          <w:u w:val="none"/>
        </w:rPr>
        <w:t>-</w:t>
      </w:r>
      <w:r>
        <w:rPr>
          <w:rStyle w:val="Hyperlink"/>
          <w:rFonts w:ascii="Arial" w:hAnsi="Arial"/>
          <w:color w:val="auto"/>
          <w:sz w:val="20"/>
          <w:u w:val="none"/>
        </w:rPr>
        <w:tab/>
      </w:r>
      <w:hyperlink r:id="rId13" w:history="1">
        <w:r>
          <w:rPr>
            <w:rStyle w:val="Hyperlink"/>
            <w:rFonts w:ascii="Arial" w:hAnsi="Arial"/>
            <w:sz w:val="20"/>
          </w:rPr>
          <w:t>Modelo de Política de PI</w:t>
        </w:r>
      </w:hyperlink>
      <w:r>
        <w:rPr>
          <w:rStyle w:val="Hyperlink"/>
          <w:rFonts w:ascii="Arial" w:hAnsi="Arial"/>
          <w:color w:val="auto"/>
          <w:sz w:val="20"/>
          <w:u w:val="none"/>
        </w:rPr>
        <w:t>: Artigos 1.2.3, 1.3.1, 1.3.3, 7.4, 9.4, 9.5, 9.6, 10 e 12</w:t>
      </w:r>
      <w:r w:rsidR="008411EA">
        <w:rPr>
          <w:rStyle w:val="Hyperlink"/>
          <w:rFonts w:ascii="Arial" w:hAnsi="Arial"/>
          <w:color w:val="auto"/>
          <w:sz w:val="20"/>
          <w:u w:val="none"/>
        </w:rPr>
        <w:t xml:space="preserve">. </w:t>
      </w:r>
    </w:p>
    <w:p w14:paraId="358DB33D" w14:textId="58DA3A84" w:rsidR="00D50925"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rPr>
      </w:pPr>
      <w:r>
        <w:rPr>
          <w:rStyle w:val="Hyperlink"/>
          <w:rFonts w:ascii="Arial" w:hAnsi="Arial"/>
          <w:color w:val="auto"/>
          <w:sz w:val="20"/>
          <w:u w:val="none"/>
        </w:rPr>
        <w:t>-</w:t>
      </w:r>
      <w:r>
        <w:rPr>
          <w:rStyle w:val="Hyperlink"/>
          <w:rFonts w:ascii="Arial" w:hAnsi="Arial"/>
          <w:color w:val="auto"/>
          <w:sz w:val="20"/>
          <w:u w:val="none"/>
        </w:rPr>
        <w:tab/>
      </w:r>
      <w:hyperlink r:id="rId14" w:history="1">
        <w:r>
          <w:rPr>
            <w:rStyle w:val="Hyperlink"/>
            <w:rFonts w:ascii="Arial" w:hAnsi="Arial"/>
            <w:sz w:val="20"/>
          </w:rPr>
          <w:t>Checklist de Escritores de Políticas de PI</w:t>
        </w:r>
      </w:hyperlink>
      <w:r>
        <w:rPr>
          <w:rStyle w:val="Hyperlink"/>
          <w:rFonts w:ascii="Arial" w:hAnsi="Arial"/>
          <w:color w:val="auto"/>
          <w:sz w:val="20"/>
          <w:u w:val="none"/>
        </w:rPr>
        <w:t>: checklists números 2, 3, 10 e 17.</w:t>
      </w:r>
    </w:p>
    <w:p w14:paraId="1821EE26" w14:textId="77777777" w:rsidR="00F54FEE" w:rsidRPr="0024467F" w:rsidRDefault="00F54FEE" w:rsidP="00F54FE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ascii="Arial" w:hAnsi="Arial" w:cs="Arial"/>
          <w:color w:val="auto"/>
          <w:sz w:val="20"/>
          <w:szCs w:val="32"/>
          <w:u w:val="none"/>
        </w:rPr>
      </w:pPr>
    </w:p>
    <w:p w14:paraId="68B9EA1D" w14:textId="77777777" w:rsidR="006E4BB0"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rPr>
      </w:pPr>
      <w:r>
        <w:rPr>
          <w:rStyle w:val="Hyperlink"/>
          <w:rFonts w:ascii="Arial" w:hAnsi="Arial"/>
          <w:color w:val="auto"/>
          <w:sz w:val="20"/>
          <w:u w:val="none"/>
        </w:rPr>
        <w:lastRenderedPageBreak/>
        <w:t xml:space="preserve">O </w:t>
      </w:r>
      <w:hyperlink r:id="rId15" w:history="1">
        <w:r>
          <w:rPr>
            <w:rStyle w:val="Hyperlink"/>
            <w:rFonts w:ascii="Arial" w:hAnsi="Arial"/>
            <w:sz w:val="20"/>
          </w:rPr>
          <w:t>Relatório EU-USR</w:t>
        </w:r>
        <w:r w:rsidRPr="00CC0CF0">
          <w:rPr>
            <w:rStyle w:val="FootnoteReference"/>
            <w:rFonts w:ascii="Arial" w:hAnsi="Arial" w:cs="Arial"/>
            <w:sz w:val="20"/>
            <w:szCs w:val="32"/>
            <w:lang w:val="en-US"/>
          </w:rPr>
          <w:footnoteReference w:id="24"/>
        </w:r>
      </w:hyperlink>
      <w:r>
        <w:rPr>
          <w:rStyle w:val="Hyperlink"/>
          <w:rFonts w:ascii="Arial" w:hAnsi="Arial"/>
          <w:color w:val="auto"/>
          <w:sz w:val="20"/>
          <w:u w:val="none"/>
        </w:rPr>
        <w:t xml:space="preserve"> fornece um Quadro de Referência Europeu Comum para reforçar a responsabilidade social das universidades Europeias. </w:t>
      </w:r>
    </w:p>
    <w:p w14:paraId="3F575139" w14:textId="77777777" w:rsidR="00F26167" w:rsidRPr="0024467F" w:rsidRDefault="00F26167" w:rsidP="00F26167">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ascii="Arial" w:hAnsi="Arial" w:cs="Arial"/>
          <w:color w:val="auto"/>
          <w:sz w:val="20"/>
          <w:szCs w:val="32"/>
          <w:u w:val="none"/>
        </w:rPr>
      </w:pPr>
    </w:p>
    <w:p w14:paraId="13D3C6C2" w14:textId="77777777" w:rsidR="00D50925" w:rsidRPr="00CC0CF0" w:rsidRDefault="00D50925"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rPr>
      </w:pPr>
      <w:r>
        <w:rPr>
          <w:rStyle w:val="Hyperlink"/>
          <w:rFonts w:ascii="Arial" w:hAnsi="Arial"/>
          <w:color w:val="auto"/>
          <w:sz w:val="20"/>
          <w:u w:val="none"/>
        </w:rPr>
        <w:t>Exemplos de Instituições que integraram uma dimensão social nas suas práticas de transferência de conhecimento:</w:t>
      </w:r>
    </w:p>
    <w:p w14:paraId="3E7CCC28"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Hashemite University, Jordan</w:t>
      </w:r>
      <w:r w:rsidRPr="00CC0CF0">
        <w:rPr>
          <w:rStyle w:val="FootnoteReference"/>
          <w:rFonts w:ascii="Arial" w:hAnsi="Arial" w:cs="Arial"/>
          <w:sz w:val="20"/>
          <w:szCs w:val="32"/>
          <w:lang w:val="en-US"/>
        </w:rPr>
        <w:footnoteReference w:id="25"/>
      </w:r>
    </w:p>
    <w:p w14:paraId="54B0DF8A"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Universidade South Valley, Egito</w:t>
      </w:r>
      <w:r w:rsidRPr="00CC0CF0">
        <w:rPr>
          <w:rStyle w:val="FootnoteReference"/>
          <w:rFonts w:ascii="Arial" w:hAnsi="Arial" w:cs="Arial"/>
          <w:sz w:val="20"/>
          <w:szCs w:val="32"/>
          <w:lang w:val="en-US"/>
        </w:rPr>
        <w:footnoteReference w:id="26"/>
      </w:r>
    </w:p>
    <w:p w14:paraId="207C9623"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Universidade de Manchester, Reino Unido</w:t>
      </w:r>
      <w:r w:rsidRPr="00CC0CF0">
        <w:rPr>
          <w:rStyle w:val="FootnoteReference"/>
          <w:rFonts w:ascii="Arial" w:hAnsi="Arial" w:cs="Arial"/>
          <w:sz w:val="20"/>
          <w:szCs w:val="32"/>
          <w:lang w:val="en-US"/>
        </w:rPr>
        <w:footnoteReference w:id="27"/>
      </w:r>
    </w:p>
    <w:p w14:paraId="669890DB" w14:textId="77777777" w:rsidR="00A26BC7"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Universidade do Oeste da Escócia</w:t>
      </w:r>
      <w:r w:rsidRPr="00CC0CF0">
        <w:rPr>
          <w:rStyle w:val="FootnoteReference"/>
          <w:rFonts w:ascii="Arial" w:hAnsi="Arial" w:cs="Arial"/>
          <w:sz w:val="20"/>
          <w:szCs w:val="32"/>
          <w:lang w:val="en-US"/>
        </w:rPr>
        <w:footnoteReference w:id="28"/>
      </w:r>
    </w:p>
    <w:p w14:paraId="05FA2117" w14:textId="77777777" w:rsidR="00712AD1" w:rsidRDefault="00712AD1"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Universidade de Oslo, Noruega</w:t>
      </w:r>
      <w:r>
        <w:rPr>
          <w:rStyle w:val="FootnoteReference"/>
          <w:rFonts w:ascii="Arial" w:hAnsi="Arial" w:cs="Arial"/>
          <w:sz w:val="20"/>
          <w:szCs w:val="32"/>
          <w:lang w:val="en-GB"/>
        </w:rPr>
        <w:footnoteReference w:id="29"/>
      </w:r>
    </w:p>
    <w:p w14:paraId="67D428AC" w14:textId="77777777" w:rsidR="00F71527" w:rsidRDefault="00F265CB"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hyperlink r:id="rId16" w:history="1">
        <w:r w:rsidR="00372C70">
          <w:rPr>
            <w:rStyle w:val="Hyperlink"/>
            <w:rFonts w:ascii="Arial" w:hAnsi="Arial"/>
            <w:sz w:val="20"/>
          </w:rPr>
          <w:t>Universidade de Berkeley</w:t>
        </w:r>
      </w:hyperlink>
      <w:r w:rsidR="00372C70">
        <w:rPr>
          <w:rStyle w:val="Hyperlink"/>
          <w:rFonts w:ascii="Arial" w:hAnsi="Arial"/>
          <w:color w:val="auto"/>
          <w:sz w:val="20"/>
          <w:u w:val="none"/>
        </w:rPr>
        <w:t>, EUA</w:t>
      </w:r>
      <w:r w:rsidR="00F71527">
        <w:rPr>
          <w:rStyle w:val="FootnoteReference"/>
          <w:rFonts w:ascii="Arial" w:hAnsi="Arial" w:cs="Arial"/>
          <w:sz w:val="20"/>
          <w:szCs w:val="32"/>
          <w:lang w:val="en-GB"/>
        </w:rPr>
        <w:footnoteReference w:id="30"/>
      </w:r>
    </w:p>
    <w:p w14:paraId="51294CF6" w14:textId="77777777" w:rsidR="00F71527" w:rsidRPr="009D4A54" w:rsidRDefault="00F71527"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r>
        <w:rPr>
          <w:rStyle w:val="Hyperlink"/>
          <w:rFonts w:ascii="Arial" w:hAnsi="Arial"/>
          <w:color w:val="auto"/>
          <w:sz w:val="20"/>
          <w:u w:val="none"/>
        </w:rPr>
        <w:t>Universidade Cornell</w:t>
      </w:r>
      <w:r>
        <w:rPr>
          <w:rStyle w:val="FootnoteReference"/>
          <w:rFonts w:ascii="Arial" w:hAnsi="Arial" w:cs="Arial"/>
          <w:sz w:val="20"/>
          <w:szCs w:val="32"/>
          <w:lang w:val="en-GB"/>
        </w:rPr>
        <w:footnoteReference w:id="31"/>
      </w:r>
    </w:p>
    <w:p w14:paraId="387A6A96" w14:textId="77777777"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rPr>
      </w:pPr>
      <w:r>
        <w:rPr>
          <w:rStyle w:val="Hyperlink"/>
          <w:rFonts w:ascii="Arial" w:hAnsi="Arial"/>
          <w:sz w:val="20"/>
        </w:rPr>
        <w:t>Universidade da Cidade de Hong Kong</w:t>
      </w:r>
      <w:r w:rsidRPr="00CC0CF0">
        <w:rPr>
          <w:rStyle w:val="FootnoteReference"/>
          <w:rFonts w:ascii="Arial" w:hAnsi="Arial" w:cs="Arial"/>
          <w:sz w:val="20"/>
          <w:lang w:val="en-US"/>
        </w:rPr>
        <w:footnoteReference w:id="32"/>
      </w:r>
    </w:p>
    <w:p w14:paraId="4B57C193" w14:textId="77777777"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rPr>
      </w:pPr>
      <w:r>
        <w:rPr>
          <w:rStyle w:val="Hyperlink"/>
          <w:rFonts w:ascii="Arial" w:hAnsi="Arial"/>
          <w:sz w:val="20"/>
        </w:rPr>
        <w:t>Rede Universitária ASEAN</w:t>
      </w:r>
      <w:r w:rsidRPr="00CC0CF0">
        <w:rPr>
          <w:rStyle w:val="FootnoteReference"/>
          <w:rFonts w:ascii="Arial" w:hAnsi="Arial" w:cs="Arial"/>
          <w:sz w:val="20"/>
          <w:lang w:val="en-US"/>
        </w:rPr>
        <w:footnoteReference w:id="33"/>
      </w:r>
    </w:p>
    <w:p w14:paraId="00AA1061" w14:textId="77777777" w:rsidR="00B9654A" w:rsidRPr="00CC0CF0" w:rsidRDefault="00B9654A" w:rsidP="001B6C3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09" w:hanging="709"/>
        <w:jc w:val="both"/>
        <w:rPr>
          <w:rStyle w:val="Hyperlink"/>
          <w:rFonts w:ascii="Arial" w:hAnsi="Arial" w:cs="Arial"/>
          <w:sz w:val="20"/>
        </w:rPr>
      </w:pPr>
      <w:r>
        <w:rPr>
          <w:rStyle w:val="Hyperlink"/>
          <w:rFonts w:ascii="Arial" w:hAnsi="Arial"/>
          <w:sz w:val="20"/>
        </w:rPr>
        <w:t xml:space="preserve">Universidades Hispano-Americanas </w:t>
      </w:r>
      <w:r w:rsidRPr="00CC0CF0">
        <w:rPr>
          <w:rStyle w:val="FootnoteReference"/>
          <w:rFonts w:ascii="Arial" w:hAnsi="Arial" w:cs="Arial"/>
          <w:sz w:val="20"/>
          <w:lang w:val="en-US"/>
        </w:rPr>
        <w:footnoteReference w:id="34"/>
      </w:r>
    </w:p>
    <w:p w14:paraId="174302E7" w14:textId="77777777" w:rsidR="0002456F" w:rsidRPr="00CC0CF0" w:rsidRDefault="0002456F" w:rsidP="00AB3EB5">
      <w:pPr>
        <w:shd w:val="clear" w:color="auto" w:fill="FFFFFF" w:themeFill="background1"/>
        <w:autoSpaceDE w:val="0"/>
        <w:autoSpaceDN w:val="0"/>
        <w:adjustRightInd w:val="0"/>
        <w:spacing w:after="0" w:line="240" w:lineRule="auto"/>
        <w:jc w:val="both"/>
        <w:rPr>
          <w:rFonts w:ascii="Arial" w:hAnsi="Arial" w:cs="Arial"/>
          <w:lang w:val="en-US"/>
        </w:rPr>
      </w:pPr>
    </w:p>
    <w:p w14:paraId="00D30B19" w14:textId="71B037D9" w:rsidR="0015756C"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rPr>
      </w:pPr>
      <w:r>
        <w:rPr>
          <w:rFonts w:ascii="Arial" w:hAnsi="Arial"/>
          <w:sz w:val="20"/>
        </w:rPr>
        <w:t>As filosofias dos Artigos 1.3.1 a 1.3.3 encontram aplicação em diversos artigos ao longo do Modelo</w:t>
      </w:r>
      <w:r w:rsidR="008411EA">
        <w:rPr>
          <w:rFonts w:ascii="Arial" w:hAnsi="Arial"/>
          <w:sz w:val="20"/>
        </w:rPr>
        <w:t xml:space="preserve">. </w:t>
      </w:r>
      <w:r>
        <w:rPr>
          <w:rFonts w:ascii="Arial" w:hAnsi="Arial"/>
          <w:sz w:val="20"/>
        </w:rPr>
        <w:t>Outros subartigos poderiam ser adicionados ao Artigo 1.3, por exemplo:</w:t>
      </w:r>
    </w:p>
    <w:p w14:paraId="3B5D7F62" w14:textId="77777777" w:rsidR="00AB3EB5"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lang w:val="en-US"/>
        </w:rPr>
      </w:pPr>
    </w:p>
    <w:p w14:paraId="0CECA4C4" w14:textId="1F23C3D9" w:rsidR="00FE0FAB" w:rsidRPr="00CC0CF0" w:rsidRDefault="0015756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i/>
          <w:sz w:val="20"/>
        </w:rPr>
      </w:pPr>
      <w:r>
        <w:rPr>
          <w:rFonts w:ascii="Arial" w:hAnsi="Arial"/>
          <w:i/>
          <w:sz w:val="20"/>
        </w:rPr>
        <w:t>1.3.X.</w:t>
      </w:r>
      <w:r>
        <w:rPr>
          <w:rFonts w:ascii="Arial" w:hAnsi="Arial"/>
          <w:b/>
          <w:i/>
          <w:sz w:val="20"/>
        </w:rPr>
        <w:t xml:space="preserve"> Regras nacionais de auxílio governamental</w:t>
      </w:r>
      <w:r w:rsidR="008411EA">
        <w:rPr>
          <w:rFonts w:ascii="Arial" w:hAnsi="Arial"/>
          <w:b/>
          <w:i/>
          <w:sz w:val="20"/>
        </w:rPr>
        <w:t>.</w:t>
      </w:r>
      <w:r w:rsidR="008411EA" w:rsidRPr="001B6C31">
        <w:rPr>
          <w:rFonts w:ascii="Arial" w:hAnsi="Arial"/>
          <w:bCs/>
          <w:i/>
          <w:sz w:val="20"/>
        </w:rPr>
        <w:t xml:space="preserve"> </w:t>
      </w:r>
      <w:r>
        <w:rPr>
          <w:rFonts w:ascii="Arial" w:hAnsi="Arial"/>
          <w:i/>
          <w:sz w:val="20"/>
        </w:rPr>
        <w:t>A Instituição deve observar as regras nacionais de auxílio governamental relativas à proteção de PI e disposição de PI; e deve adaptar a Política de PI às obrigações de relatórios e divulgação impostas por lei.</w:t>
      </w:r>
    </w:p>
    <w:p w14:paraId="6D79A57A" w14:textId="77777777" w:rsidR="00D33173" w:rsidRPr="00CC0CF0" w:rsidRDefault="00D33173"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b/>
          <w:sz w:val="20"/>
        </w:rPr>
      </w:pPr>
      <w:r>
        <w:rPr>
          <w:rFonts w:ascii="Arial" w:hAnsi="Arial"/>
          <w:b/>
          <w:sz w:val="20"/>
        </w:rPr>
        <w:t xml:space="preserve">  </w:t>
      </w:r>
    </w:p>
    <w:p w14:paraId="6ECE34F3" w14:textId="0C7306BD" w:rsidR="00A62158" w:rsidRPr="00CC0CF0" w:rsidRDefault="008C7DF6" w:rsidP="00F34A51">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sz w:val="20"/>
        </w:rPr>
      </w:pPr>
      <w:r>
        <w:rPr>
          <w:rFonts w:ascii="Arial" w:hAnsi="Arial"/>
          <w:sz w:val="20"/>
        </w:rPr>
        <w:t>Por exemplo, a Lei Bayh-Dole de 1980 nos EUA permite que acadêmicos beneficiários de financiamento federal para pesquisa tenham o direito de buscar patentes para invenções decorrentes desse financiamento</w:t>
      </w:r>
      <w:r w:rsidR="008411EA">
        <w:rPr>
          <w:rFonts w:ascii="Arial" w:hAnsi="Arial"/>
          <w:sz w:val="20"/>
        </w:rPr>
        <w:t xml:space="preserve">. </w:t>
      </w:r>
      <w:r>
        <w:rPr>
          <w:rFonts w:ascii="Arial" w:hAnsi="Arial"/>
          <w:sz w:val="20"/>
        </w:rPr>
        <w:t xml:space="preserve">A Lei, contudo, não concede poder discricionário totalmente irrestrito aos destinatários. Pelo contrário, a Lei contém salvaguardas de responsabilização, incluindo requisitos para relatar não apenas a existência de patentes financiadas pelo governo federal, mas também informações sobre o licenciamento, a cessão e a utilização prática dessas patentes. A Lei também fornece ao governo uma série de direitos retidos no trabalho que financia. </w:t>
      </w:r>
    </w:p>
    <w:p w14:paraId="77D24363" w14:textId="77777777" w:rsidR="00D33173" w:rsidRPr="0024467F" w:rsidRDefault="00D33173" w:rsidP="00E73746">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color w:val="000000" w:themeColor="text1"/>
          <w:sz w:val="20"/>
        </w:rPr>
      </w:pPr>
    </w:p>
    <w:p w14:paraId="58702992" w14:textId="4703BFB5" w:rsidR="00D33173" w:rsidRPr="00CC0CF0" w:rsidRDefault="008F7643" w:rsidP="00464282">
      <w:pPr>
        <w:pStyle w:val="ListParagraph"/>
        <w:numPr>
          <w:ilvl w:val="0"/>
          <w:numId w:val="3"/>
        </w:numPr>
        <w:tabs>
          <w:tab w:val="left" w:pos="851"/>
        </w:tabs>
        <w:spacing w:after="0" w:line="240" w:lineRule="auto"/>
        <w:ind w:left="426" w:hanging="426"/>
        <w:jc w:val="both"/>
        <w:rPr>
          <w:rFonts w:ascii="Arial" w:hAnsi="Arial" w:cs="Arial"/>
          <w:i/>
          <w:sz w:val="20"/>
        </w:rPr>
      </w:pPr>
      <w:r>
        <w:rPr>
          <w:rFonts w:ascii="Arial" w:hAnsi="Arial"/>
          <w:i/>
          <w:sz w:val="20"/>
        </w:rPr>
        <w:t xml:space="preserve">1.3.X. </w:t>
      </w:r>
      <w:r>
        <w:rPr>
          <w:rFonts w:ascii="Arial" w:hAnsi="Arial"/>
          <w:b/>
          <w:i/>
          <w:sz w:val="20"/>
        </w:rPr>
        <w:t>Conscientização e educação sobre PI</w:t>
      </w:r>
      <w:r w:rsidR="001B6C31">
        <w:rPr>
          <w:rFonts w:ascii="Arial" w:hAnsi="Arial"/>
          <w:b/>
          <w:i/>
          <w:sz w:val="20"/>
        </w:rPr>
        <w:t>.</w:t>
      </w:r>
      <w:r>
        <w:rPr>
          <w:rFonts w:ascii="Arial" w:hAnsi="Arial"/>
          <w:i/>
          <w:sz w:val="20"/>
        </w:rPr>
        <w:t xml:space="preserve"> A Instituição tomará medidas para aumentar a conscientização</w:t>
      </w:r>
      <w:r>
        <w:rPr>
          <w:rFonts w:ascii="Arial" w:hAnsi="Arial"/>
          <w:i/>
          <w:sz w:val="20"/>
          <w:vertAlign w:val="superscript"/>
        </w:rPr>
        <w:t xml:space="preserve"> </w:t>
      </w:r>
      <w:r>
        <w:rPr>
          <w:rFonts w:ascii="Arial" w:hAnsi="Arial"/>
          <w:i/>
          <w:sz w:val="20"/>
        </w:rPr>
        <w:t>entre os Membros da Equipe e os alunos dos vários tipos de PI, os direitos associados a cada tipo, sua contribuição para a inovação e esta Política de PI</w:t>
      </w:r>
      <w:r w:rsidR="008411EA">
        <w:rPr>
          <w:rFonts w:ascii="Arial" w:hAnsi="Arial"/>
          <w:i/>
          <w:sz w:val="20"/>
        </w:rPr>
        <w:t xml:space="preserve">. </w:t>
      </w:r>
      <w:r>
        <w:rPr>
          <w:rFonts w:ascii="Arial" w:hAnsi="Arial"/>
          <w:i/>
          <w:sz w:val="20"/>
        </w:rPr>
        <w:t xml:space="preserve">A Instituição deverá também considerar a incorporação de PI, transferência de conhecimento/tecnologia </w:t>
      </w:r>
      <w:r>
        <w:rPr>
          <w:rFonts w:ascii="Arial" w:hAnsi="Arial"/>
          <w:i/>
          <w:color w:val="000000" w:themeColor="text1"/>
          <w:sz w:val="20"/>
        </w:rPr>
        <w:t>e cursos de empreendedorismo</w:t>
      </w:r>
      <w:r>
        <w:rPr>
          <w:rFonts w:ascii="Arial" w:hAnsi="Arial"/>
          <w:i/>
          <w:sz w:val="20"/>
        </w:rPr>
        <w:t xml:space="preserve"> no currículo.</w:t>
      </w:r>
    </w:p>
    <w:p w14:paraId="61F7A293" w14:textId="77777777" w:rsidR="002A3827" w:rsidRPr="0024467F" w:rsidRDefault="002A3827" w:rsidP="002A3827">
      <w:pPr>
        <w:tabs>
          <w:tab w:val="left" w:pos="851"/>
        </w:tabs>
        <w:spacing w:after="0" w:line="240" w:lineRule="auto"/>
        <w:jc w:val="both"/>
        <w:rPr>
          <w:rFonts w:ascii="Arial" w:hAnsi="Arial" w:cs="Arial"/>
          <w:i/>
          <w:sz w:val="20"/>
        </w:rPr>
      </w:pPr>
    </w:p>
    <w:p w14:paraId="7424C7C0" w14:textId="77777777" w:rsidR="002A3827" w:rsidRPr="00B00EEA" w:rsidRDefault="00A26BC7" w:rsidP="00B7519E">
      <w:pPr>
        <w:autoSpaceDE w:val="0"/>
        <w:autoSpaceDN w:val="0"/>
        <w:adjustRightInd w:val="0"/>
        <w:spacing w:after="0" w:line="240" w:lineRule="auto"/>
        <w:ind w:left="426"/>
        <w:jc w:val="both"/>
        <w:rPr>
          <w:rFonts w:ascii="Arial" w:hAnsi="Arial" w:cs="Arial"/>
          <w:sz w:val="20"/>
        </w:rPr>
      </w:pPr>
      <w:r>
        <w:rPr>
          <w:rFonts w:ascii="Arial" w:hAnsi="Arial"/>
          <w:sz w:val="20"/>
        </w:rPr>
        <w:t xml:space="preserve">Se a Instituição optar por adotar a missão de comercialização baseada em PI, é essencial que haja compreensão e aceitação dessa missão pela comunidade de pesquisa. As instituições devem, portanto, incentivar a educação/treinamento em PI para pesquisadores interessados, administração da instituição e funcionários para transferência de tecnologia. Esse treinamento deve também abordar as especificidades do processo empreendedor e como interagir com a </w:t>
      </w:r>
      <w:r>
        <w:rPr>
          <w:rFonts w:ascii="Arial" w:hAnsi="Arial"/>
          <w:sz w:val="20"/>
        </w:rPr>
        <w:lastRenderedPageBreak/>
        <w:t>comunidade empresarial/empreendedora local. Formas eficazes de aumentar essa conscientização incluem workshops sobre PI; publicação de artigos em um boletim informativo ou via intranet; circulação de folhetos e brochuras sobre PI para todos os departamentos; palestras visitantes, etc.</w:t>
      </w:r>
    </w:p>
    <w:p w14:paraId="42101599" w14:textId="77777777" w:rsidR="00D57F17" w:rsidRPr="0024467F" w:rsidRDefault="00D57F17" w:rsidP="0072797F">
      <w:pPr>
        <w:tabs>
          <w:tab w:val="left" w:pos="426"/>
          <w:tab w:val="left" w:pos="851"/>
        </w:tabs>
        <w:spacing w:after="0" w:line="240" w:lineRule="auto"/>
        <w:ind w:left="426"/>
        <w:jc w:val="both"/>
        <w:rPr>
          <w:rFonts w:ascii="Arial" w:hAnsi="Arial" w:cs="Arial"/>
          <w:sz w:val="20"/>
        </w:rPr>
      </w:pPr>
    </w:p>
    <w:p w14:paraId="3012858C" w14:textId="75DE4FDA" w:rsidR="00924444" w:rsidRPr="00B00EEA" w:rsidRDefault="00D57F17"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rPr>
      </w:pPr>
      <w:bookmarkStart w:id="43" w:name="Box5"/>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43"/>
      <w:r>
        <w:rPr>
          <w:rFonts w:ascii="Arial" w:hAnsi="Arial"/>
          <w:b/>
          <w:sz w:val="20"/>
        </w:rPr>
        <w:t xml:space="preserve"> Dicas para Introduzir uma Cultura de Conscientização sobre DPI</w:t>
      </w:r>
    </w:p>
    <w:p w14:paraId="519A06D4" w14:textId="77777777" w:rsidR="00924444" w:rsidRPr="0024467F" w:rsidRDefault="00924444"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rPr>
      </w:pPr>
    </w:p>
    <w:p w14:paraId="1D04CAFC" w14:textId="77777777" w:rsidR="0054519A" w:rsidRPr="00B00EEA" w:rsidRDefault="0054519A" w:rsidP="009D4A54">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rPr>
      </w:pPr>
      <w:r>
        <w:rPr>
          <w:rFonts w:ascii="Arial" w:hAnsi="Arial"/>
          <w:sz w:val="20"/>
        </w:rPr>
        <w:t>Aumentar a conscientização e as habilidades básicas sobre PI e transferência de conhecimento por meio de ações de treinamento para todos os membros da equipe, alunos e visitantes, e garantir que a equipe responsável pela gestão de PI (ou seja, administração da universidade e equipe do EGPI) tenha as habilidades necessárias e receba treinamento adequado.</w:t>
      </w:r>
    </w:p>
    <w:p w14:paraId="5BEBE276" w14:textId="77777777" w:rsidR="0054519A" w:rsidRPr="0024467F" w:rsidRDefault="0054519A"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sz w:val="20"/>
        </w:rPr>
      </w:pPr>
    </w:p>
    <w:p w14:paraId="035BBC8F" w14:textId="77777777" w:rsidR="00D57F17" w:rsidRPr="00B00EEA" w:rsidRDefault="00FE0FAB" w:rsidP="009D4A54">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rPr>
      </w:pPr>
      <w:r>
        <w:rPr>
          <w:rFonts w:ascii="Arial" w:hAnsi="Arial"/>
          <w:sz w:val="20"/>
        </w:rPr>
        <w:t>Estabelecer um programa adequado de educação em PI e empreendedorismo para cada um dos grupos envolvidas na transferência de conhecimento e focar em aspectos práticos para cada grupo, como:</w:t>
      </w:r>
    </w:p>
    <w:tbl>
      <w:tblPr>
        <w:tblW w:w="8863" w:type="dxa"/>
        <w:tblInd w:w="392" w:type="dxa"/>
        <w:tblLook w:val="04A0" w:firstRow="1" w:lastRow="0" w:firstColumn="1" w:lastColumn="0" w:noHBand="0" w:noVBand="1"/>
      </w:tblPr>
      <w:tblGrid>
        <w:gridCol w:w="1250"/>
        <w:gridCol w:w="360"/>
        <w:gridCol w:w="7180"/>
        <w:gridCol w:w="73"/>
      </w:tblGrid>
      <w:tr w:rsidR="00A45002" w:rsidRPr="00B00EEA" w14:paraId="3F118113" w14:textId="77777777" w:rsidTr="001B6C31">
        <w:tc>
          <w:tcPr>
            <w:tcW w:w="1250" w:type="dxa"/>
            <w:shd w:val="clear" w:color="auto" w:fill="17365D" w:themeFill="text2" w:themeFillShade="BF"/>
          </w:tcPr>
          <w:p w14:paraId="071BE73E" w14:textId="77777777" w:rsidR="00A45002" w:rsidRPr="00B00EEA" w:rsidRDefault="00A45002" w:rsidP="00B7519E">
            <w:pPr>
              <w:ind w:left="-108"/>
              <w:jc w:val="center"/>
              <w:rPr>
                <w:rFonts w:ascii="Arial" w:hAnsi="Arial" w:cs="Arial"/>
                <w:b/>
                <w:szCs w:val="32"/>
              </w:rPr>
            </w:pPr>
            <w:r>
              <w:rPr>
                <w:rFonts w:ascii="Arial" w:hAnsi="Arial"/>
                <w:b/>
              </w:rPr>
              <w:t>Grupo</w:t>
            </w:r>
          </w:p>
        </w:tc>
        <w:tc>
          <w:tcPr>
            <w:tcW w:w="7613" w:type="dxa"/>
            <w:gridSpan w:val="3"/>
            <w:shd w:val="clear" w:color="auto" w:fill="17365D" w:themeFill="text2" w:themeFillShade="BF"/>
          </w:tcPr>
          <w:p w14:paraId="5482F583" w14:textId="77777777" w:rsidR="00A45002" w:rsidRPr="00B00EEA" w:rsidRDefault="00A45002" w:rsidP="00910FD6">
            <w:pPr>
              <w:jc w:val="center"/>
              <w:rPr>
                <w:rFonts w:ascii="Arial" w:hAnsi="Arial" w:cs="Arial"/>
                <w:b/>
                <w:szCs w:val="32"/>
              </w:rPr>
            </w:pPr>
            <w:r>
              <w:rPr>
                <w:rFonts w:ascii="Arial" w:hAnsi="Arial"/>
                <w:b/>
              </w:rPr>
              <w:t>Currículo de Treinamento</w:t>
            </w:r>
          </w:p>
        </w:tc>
      </w:tr>
      <w:tr w:rsidR="00A45002" w:rsidRPr="00C04211" w14:paraId="61062BCF" w14:textId="77777777" w:rsidTr="001B6C31">
        <w:trPr>
          <w:gridAfter w:val="1"/>
          <w:wAfter w:w="73" w:type="dxa"/>
        </w:trPr>
        <w:tc>
          <w:tcPr>
            <w:tcW w:w="16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1919E" w14:textId="77777777" w:rsidR="00A45002" w:rsidRPr="006078F5" w:rsidRDefault="00A45002" w:rsidP="00B7519E">
            <w:pPr>
              <w:autoSpaceDE w:val="0"/>
              <w:autoSpaceDN w:val="0"/>
              <w:adjustRightInd w:val="0"/>
              <w:rPr>
                <w:rFonts w:ascii="Arial" w:hAnsi="Arial" w:cs="Arial"/>
                <w:b/>
                <w:color w:val="231F20"/>
                <w:sz w:val="18"/>
                <w:szCs w:val="20"/>
              </w:rPr>
            </w:pPr>
            <w:r>
              <w:rPr>
                <w:rFonts w:ascii="Arial" w:hAnsi="Arial"/>
                <w:b/>
                <w:color w:val="231F20"/>
                <w:sz w:val="18"/>
              </w:rPr>
              <w:t>Pesquisadores</w:t>
            </w:r>
          </w:p>
        </w:tc>
        <w:tc>
          <w:tcPr>
            <w:tcW w:w="7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8C1A76"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O processo de identificação e proteção de PI;</w:t>
            </w:r>
          </w:p>
          <w:p w14:paraId="3DE00652"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Quando divulgar a PI ao EGPI;</w:t>
            </w:r>
          </w:p>
          <w:p w14:paraId="565F4F87"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A importância da confidencialidade, especialmente no que diz respeito à publicação, envio de resumos e apresentações/pôsteres acadêmicos;</w:t>
            </w:r>
          </w:p>
          <w:p w14:paraId="217AE2C9" w14:textId="77777777" w:rsidR="00A45002"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Requisitos de manutenção de registros e comprovação de existência (incluindo cadernos de laboratório);</w:t>
            </w:r>
          </w:p>
          <w:p w14:paraId="025AEC59"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Uma compreensão básica dos tipos de acordos de PI, especialmente no contexto de troca de material de pesquisa e informações; e</w:t>
            </w:r>
          </w:p>
          <w:p w14:paraId="7529D610" w14:textId="77777777" w:rsidR="00A45002" w:rsidRPr="006078F5" w:rsidRDefault="00910FD6" w:rsidP="006078F5">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 xml:space="preserve">Política de PI da Instituição e questões relacionadas à titularidade, proteção, comercialização, pessoas de contato, etc. </w:t>
            </w:r>
          </w:p>
        </w:tc>
      </w:tr>
      <w:tr w:rsidR="00A45002" w:rsidRPr="00C04211" w14:paraId="4F5BE0F0" w14:textId="77777777" w:rsidTr="001B6C31">
        <w:trPr>
          <w:gridAfter w:val="1"/>
          <w:wAfter w:w="73" w:type="dxa"/>
        </w:trPr>
        <w:tc>
          <w:tcPr>
            <w:tcW w:w="16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CB88AE" w14:textId="77777777" w:rsidR="00A45002" w:rsidRPr="006078F5" w:rsidRDefault="00A45002" w:rsidP="006078F5">
            <w:pPr>
              <w:autoSpaceDE w:val="0"/>
              <w:autoSpaceDN w:val="0"/>
              <w:adjustRightInd w:val="0"/>
              <w:spacing w:line="240" w:lineRule="auto"/>
              <w:rPr>
                <w:rFonts w:ascii="Arial" w:hAnsi="Arial" w:cs="Arial"/>
                <w:b/>
                <w:color w:val="231F20"/>
                <w:sz w:val="18"/>
                <w:szCs w:val="20"/>
              </w:rPr>
            </w:pPr>
            <w:r>
              <w:rPr>
                <w:rFonts w:ascii="Arial" w:hAnsi="Arial"/>
                <w:b/>
                <w:color w:val="231F20"/>
                <w:sz w:val="18"/>
              </w:rPr>
              <w:t>Gestores de pesquisa e diretores de instituições</w:t>
            </w:r>
          </w:p>
          <w:p w14:paraId="4F4744F1" w14:textId="77777777" w:rsidR="00A45002" w:rsidRPr="0024467F" w:rsidRDefault="00A45002" w:rsidP="00B7519E">
            <w:pPr>
              <w:tabs>
                <w:tab w:val="left" w:pos="284"/>
                <w:tab w:val="left" w:pos="851"/>
              </w:tabs>
              <w:ind w:left="284"/>
              <w:rPr>
                <w:rFonts w:ascii="Arial" w:hAnsi="Arial" w:cs="Arial"/>
                <w:b/>
                <w:color w:val="231F20"/>
                <w:sz w:val="18"/>
                <w:szCs w:val="20"/>
              </w:rPr>
            </w:pPr>
          </w:p>
        </w:tc>
        <w:tc>
          <w:tcPr>
            <w:tcW w:w="71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2CA132"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A importância da gestão de PI e das funções de gestão;</w:t>
            </w:r>
          </w:p>
          <w:p w14:paraId="5730FE96"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Processos e procedimentos de proteção de PI; os custos necessários para gerenciar a PI de forma eficaz (incluindo decisões necessárias em diferentes estágios de PI e desenvolvimento de pesquisa);</w:t>
            </w:r>
          </w:p>
          <w:p w14:paraId="0DA3B16A" w14:textId="77777777" w:rsidR="006078F5" w:rsidRDefault="00A45002" w:rsidP="00F71527">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Implementar a Política de PI da Instituição; e</w:t>
            </w:r>
          </w:p>
          <w:p w14:paraId="5BD9D8B8" w14:textId="77777777" w:rsidR="00A45002" w:rsidRPr="006078F5" w:rsidRDefault="00A45002" w:rsidP="001B6C31">
            <w:pPr>
              <w:pStyle w:val="ListParagraph"/>
              <w:numPr>
                <w:ilvl w:val="0"/>
                <w:numId w:val="97"/>
              </w:numPr>
              <w:autoSpaceDE w:val="0"/>
              <w:autoSpaceDN w:val="0"/>
              <w:adjustRightInd w:val="0"/>
              <w:spacing w:after="100"/>
              <w:ind w:left="273" w:hanging="273"/>
              <w:jc w:val="both"/>
              <w:rPr>
                <w:rFonts w:ascii="Arial" w:hAnsi="Arial" w:cs="Arial"/>
                <w:color w:val="231F20"/>
                <w:sz w:val="18"/>
                <w:szCs w:val="20"/>
              </w:rPr>
            </w:pPr>
            <w:r>
              <w:rPr>
                <w:rFonts w:ascii="Arial" w:hAnsi="Arial"/>
                <w:color w:val="231F20"/>
                <w:sz w:val="18"/>
              </w:rPr>
              <w:t>Uma apreciação do papel da tecnologia no atendimento às necessidades socioeconômicas.</w:t>
            </w:r>
          </w:p>
        </w:tc>
      </w:tr>
      <w:tr w:rsidR="00A45002" w:rsidRPr="00C04211" w14:paraId="0B5DDD70" w14:textId="77777777" w:rsidTr="001B6C31">
        <w:trPr>
          <w:gridAfter w:val="1"/>
          <w:wAfter w:w="73" w:type="dxa"/>
        </w:trPr>
        <w:tc>
          <w:tcPr>
            <w:tcW w:w="16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D125B7" w14:textId="77777777" w:rsidR="00A45002" w:rsidRPr="006078F5" w:rsidRDefault="00A45002" w:rsidP="00B7519E">
            <w:pPr>
              <w:tabs>
                <w:tab w:val="left" w:pos="284"/>
                <w:tab w:val="left" w:pos="851"/>
              </w:tabs>
              <w:rPr>
                <w:rFonts w:ascii="Arial" w:hAnsi="Arial" w:cs="Arial"/>
                <w:b/>
                <w:color w:val="231F20"/>
                <w:sz w:val="18"/>
                <w:szCs w:val="20"/>
              </w:rPr>
            </w:pPr>
            <w:r>
              <w:rPr>
                <w:rFonts w:ascii="Arial" w:hAnsi="Arial"/>
                <w:b/>
                <w:color w:val="231F20"/>
                <w:sz w:val="18"/>
              </w:rPr>
              <w:t>Gestores de PI</w:t>
            </w:r>
          </w:p>
        </w:tc>
        <w:tc>
          <w:tcPr>
            <w:tcW w:w="7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A09EBD"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Visão geral da gestão de PI desde a geração de PI até sua comercialização e aplicação;</w:t>
            </w:r>
          </w:p>
          <w:p w14:paraId="38F6C0E1"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Construção de conscientização;</w:t>
            </w:r>
          </w:p>
          <w:p w14:paraId="6D525A44" w14:textId="77777777" w:rsidR="00A45002" w:rsidRPr="006078F5" w:rsidRDefault="00A45002" w:rsidP="001B6C31">
            <w:pPr>
              <w:pStyle w:val="ListParagraph"/>
              <w:numPr>
                <w:ilvl w:val="0"/>
                <w:numId w:val="97"/>
              </w:numPr>
              <w:autoSpaceDE w:val="0"/>
              <w:autoSpaceDN w:val="0"/>
              <w:adjustRightInd w:val="0"/>
              <w:spacing w:after="100"/>
              <w:ind w:left="273" w:hanging="273"/>
              <w:jc w:val="both"/>
              <w:rPr>
                <w:rFonts w:ascii="Arial" w:hAnsi="Arial" w:cs="Arial"/>
                <w:color w:val="231F20"/>
                <w:sz w:val="18"/>
                <w:szCs w:val="20"/>
              </w:rPr>
            </w:pPr>
            <w:r>
              <w:rPr>
                <w:rFonts w:ascii="Arial" w:hAnsi="Arial"/>
                <w:color w:val="231F20"/>
                <w:sz w:val="18"/>
              </w:rPr>
              <w:t>Compreensão da ciência (a compreensão de certos campos da ciência é um benefício adicional)</w:t>
            </w:r>
          </w:p>
        </w:tc>
      </w:tr>
      <w:tr w:rsidR="00A45002" w:rsidRPr="00C04211" w14:paraId="390AD555" w14:textId="77777777" w:rsidTr="001B6C31">
        <w:trPr>
          <w:gridAfter w:val="1"/>
          <w:wAfter w:w="73" w:type="dxa"/>
        </w:trPr>
        <w:tc>
          <w:tcPr>
            <w:tcW w:w="16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04D98C" w14:textId="77777777" w:rsidR="00A45002" w:rsidRPr="006078F5" w:rsidRDefault="00A45002" w:rsidP="00B7519E">
            <w:pPr>
              <w:tabs>
                <w:tab w:val="left" w:pos="284"/>
                <w:tab w:val="left" w:pos="851"/>
              </w:tabs>
              <w:rPr>
                <w:rFonts w:ascii="Arial" w:hAnsi="Arial" w:cs="Arial"/>
                <w:b/>
                <w:color w:val="231F20"/>
                <w:sz w:val="18"/>
                <w:szCs w:val="20"/>
              </w:rPr>
            </w:pPr>
            <w:r>
              <w:rPr>
                <w:rFonts w:ascii="Arial" w:hAnsi="Arial"/>
                <w:b/>
                <w:color w:val="231F20"/>
                <w:sz w:val="18"/>
              </w:rPr>
              <w:t>Operações</w:t>
            </w:r>
          </w:p>
        </w:tc>
        <w:tc>
          <w:tcPr>
            <w:tcW w:w="71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A8AC0" w14:textId="77777777" w:rsidR="00225CEA" w:rsidRPr="006078F5" w:rsidRDefault="00A45002" w:rsidP="009D4A54">
            <w:pPr>
              <w:pStyle w:val="ListParagraph"/>
              <w:numPr>
                <w:ilvl w:val="0"/>
                <w:numId w:val="97"/>
              </w:numPr>
              <w:autoSpaceDE w:val="0"/>
              <w:autoSpaceDN w:val="0"/>
              <w:adjustRightInd w:val="0"/>
              <w:ind w:left="273" w:hanging="284"/>
              <w:jc w:val="both"/>
              <w:rPr>
                <w:rFonts w:ascii="Arial" w:hAnsi="Arial" w:cs="Arial"/>
                <w:color w:val="231F20"/>
                <w:sz w:val="18"/>
                <w:szCs w:val="20"/>
              </w:rPr>
            </w:pPr>
            <w:r>
              <w:rPr>
                <w:rFonts w:ascii="Arial" w:hAnsi="Arial"/>
                <w:b/>
                <w:color w:val="231F20"/>
                <w:sz w:val="18"/>
              </w:rPr>
              <w:t>Financiamento</w:t>
            </w:r>
            <w:r>
              <w:rPr>
                <w:rFonts w:ascii="Arial" w:hAnsi="Arial"/>
                <w:color w:val="231F20"/>
                <w:sz w:val="18"/>
              </w:rPr>
              <w:t>: Compreender as diretrizes da Política de PI, nomeadamente, sistemas e processos para lidar com pagamentos e recebimentos de PI (por exemplo, royalties); a administração de benefícios aos pesquisadores e à instituição</w:t>
            </w:r>
          </w:p>
          <w:p w14:paraId="3949DF1D" w14:textId="77777777"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rPr>
            </w:pPr>
            <w:r>
              <w:rPr>
                <w:rFonts w:ascii="Arial" w:hAnsi="Arial"/>
                <w:b/>
                <w:color w:val="231F20"/>
                <w:sz w:val="18"/>
              </w:rPr>
              <w:t>Recursos humanos</w:t>
            </w:r>
            <w:r>
              <w:rPr>
                <w:rFonts w:ascii="Arial" w:hAnsi="Arial"/>
                <w:color w:val="231F20"/>
                <w:sz w:val="18"/>
              </w:rPr>
              <w:t>: Diretrizes da política de PI e interface com outras políticas institucionais, como condições de serviço, recrutamento, conflitos de interesse e compromisso e contratação com clientes</w:t>
            </w:r>
          </w:p>
          <w:p w14:paraId="62011CA5" w14:textId="77777777"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rPr>
            </w:pPr>
            <w:r>
              <w:rPr>
                <w:rFonts w:ascii="Arial" w:hAnsi="Arial"/>
                <w:b/>
                <w:color w:val="231F20"/>
                <w:sz w:val="18"/>
              </w:rPr>
              <w:t>Serviços jurídicos</w:t>
            </w:r>
            <w:r>
              <w:rPr>
                <w:rFonts w:ascii="Arial" w:hAnsi="Arial"/>
                <w:color w:val="231F20"/>
                <w:sz w:val="18"/>
              </w:rPr>
              <w:t>: Diretrizes de política de PI, contratos e acordos de PI, compreensão do que constitui PI e as diferentes formas de proteção de PI e negociação de PI</w:t>
            </w:r>
          </w:p>
          <w:p w14:paraId="5FB4E039" w14:textId="77777777" w:rsidR="00A45002" w:rsidRPr="006078F5" w:rsidRDefault="00A45002" w:rsidP="001B6C31">
            <w:pPr>
              <w:pStyle w:val="ListParagraph"/>
              <w:numPr>
                <w:ilvl w:val="0"/>
                <w:numId w:val="97"/>
              </w:numPr>
              <w:tabs>
                <w:tab w:val="left" w:pos="851"/>
              </w:tabs>
              <w:autoSpaceDE w:val="0"/>
              <w:autoSpaceDN w:val="0"/>
              <w:adjustRightInd w:val="0"/>
              <w:spacing w:after="100"/>
              <w:ind w:left="273" w:hanging="284"/>
              <w:jc w:val="both"/>
              <w:rPr>
                <w:rFonts w:ascii="Arial" w:hAnsi="Arial" w:cs="Arial"/>
                <w:color w:val="231F20"/>
                <w:sz w:val="18"/>
                <w:szCs w:val="20"/>
              </w:rPr>
            </w:pPr>
            <w:r>
              <w:rPr>
                <w:rFonts w:ascii="Arial" w:hAnsi="Arial"/>
                <w:b/>
                <w:color w:val="231F20"/>
                <w:sz w:val="18"/>
              </w:rPr>
              <w:t>Pesquisa de contrato e subsídio</w:t>
            </w:r>
            <w:r>
              <w:rPr>
                <w:rFonts w:ascii="Arial" w:hAnsi="Arial"/>
                <w:color w:val="231F20"/>
                <w:sz w:val="18"/>
              </w:rPr>
              <w:t>: Contratos e acordos de PI, especialmente cláusulas relativas à titularidade de PI e diretrizes de política de PI</w:t>
            </w:r>
          </w:p>
        </w:tc>
      </w:tr>
      <w:tr w:rsidR="00910FD6" w:rsidRPr="00C04211" w14:paraId="7074E24D" w14:textId="77777777" w:rsidTr="001B6C31">
        <w:trPr>
          <w:gridAfter w:val="1"/>
          <w:wAfter w:w="73" w:type="dxa"/>
        </w:trPr>
        <w:tc>
          <w:tcPr>
            <w:tcW w:w="8790" w:type="dxa"/>
            <w:gridSpan w:val="3"/>
            <w:tcBorders>
              <w:top w:val="single" w:sz="4" w:space="0" w:color="auto"/>
            </w:tcBorders>
          </w:tcPr>
          <w:p w14:paraId="6FA6E38F" w14:textId="6CAA5AE0" w:rsidR="00910FD6" w:rsidRPr="00BD07D8" w:rsidRDefault="00910FD6" w:rsidP="006078F5">
            <w:pPr>
              <w:autoSpaceDE w:val="0"/>
              <w:autoSpaceDN w:val="0"/>
              <w:adjustRightInd w:val="0"/>
              <w:rPr>
                <w:rFonts w:ascii="Arial" w:hAnsi="Arial" w:cs="Arial"/>
                <w:i/>
                <w:color w:val="231F20"/>
                <w:sz w:val="18"/>
                <w:szCs w:val="18"/>
              </w:rPr>
            </w:pPr>
            <w:r>
              <w:rPr>
                <w:rFonts w:ascii="Arial" w:hAnsi="Arial"/>
                <w:i/>
                <w:color w:val="231F20"/>
                <w:sz w:val="18"/>
              </w:rPr>
              <w:t xml:space="preserve">Fonte: Adaptado de: Pefile, S. e Krattiger, A., </w:t>
            </w:r>
            <w:hyperlink r:id="rId17" w:history="1">
              <w:r>
                <w:rPr>
                  <w:rStyle w:val="Hyperlink"/>
                  <w:rFonts w:ascii="Arial" w:hAnsi="Arial"/>
                  <w:i/>
                  <w:sz w:val="18"/>
                </w:rPr>
                <w:t>Training Staff in IP Management</w:t>
              </w:r>
              <w:r w:rsidRPr="00BD07D8">
                <w:rPr>
                  <w:rStyle w:val="FootnoteReference"/>
                  <w:rFonts w:ascii="Arial" w:hAnsi="Arial" w:cs="Arial"/>
                  <w:i/>
                  <w:color w:val="231F20"/>
                  <w:sz w:val="18"/>
                  <w:szCs w:val="18"/>
                  <w:lang w:val="en-US"/>
                </w:rPr>
                <w:footnoteReference w:id="35"/>
              </w:r>
            </w:hyperlink>
          </w:p>
        </w:tc>
      </w:tr>
    </w:tbl>
    <w:p w14:paraId="4F1A9FD4" w14:textId="77777777" w:rsidR="00BC777F" w:rsidRPr="00CC0CF0" w:rsidRDefault="00BC777F" w:rsidP="00BC777F">
      <w:pPr>
        <w:autoSpaceDE w:val="0"/>
        <w:autoSpaceDN w:val="0"/>
        <w:adjustRightInd w:val="0"/>
        <w:spacing w:after="0" w:line="240" w:lineRule="auto"/>
        <w:rPr>
          <w:rFonts w:ascii="GillSans" w:hAnsi="GillSans" w:cs="GillSans"/>
          <w:color w:val="FFFFFF"/>
          <w:sz w:val="20"/>
          <w:szCs w:val="20"/>
          <w:lang w:val="en-US"/>
        </w:rPr>
      </w:pPr>
    </w:p>
    <w:p w14:paraId="4B726B98" w14:textId="77777777" w:rsidR="00D33173" w:rsidRPr="00B00EEA" w:rsidRDefault="008F7643" w:rsidP="00464282">
      <w:pPr>
        <w:pStyle w:val="ListParagraph"/>
        <w:numPr>
          <w:ilvl w:val="2"/>
          <w:numId w:val="10"/>
        </w:numPr>
        <w:tabs>
          <w:tab w:val="left" w:pos="851"/>
        </w:tabs>
        <w:spacing w:after="0" w:line="240" w:lineRule="auto"/>
        <w:ind w:left="426" w:hanging="426"/>
        <w:jc w:val="both"/>
        <w:rPr>
          <w:rFonts w:ascii="Arial" w:hAnsi="Arial" w:cs="Arial"/>
          <w:i/>
          <w:sz w:val="20"/>
        </w:rPr>
      </w:pPr>
      <w:r>
        <w:rPr>
          <w:rFonts w:ascii="Arial" w:hAnsi="Arial"/>
          <w:i/>
          <w:sz w:val="20"/>
        </w:rPr>
        <w:t xml:space="preserve">1.3.X. </w:t>
      </w:r>
      <w:r>
        <w:rPr>
          <w:rFonts w:ascii="Arial" w:hAnsi="Arial"/>
          <w:b/>
          <w:i/>
          <w:sz w:val="20"/>
        </w:rPr>
        <w:t>D</w:t>
      </w:r>
      <w:r>
        <w:rPr>
          <w:rFonts w:ascii="Arial" w:hAnsi="Arial"/>
          <w:b/>
          <w:i/>
          <w:color w:val="000000" w:themeColor="text1"/>
          <w:sz w:val="20"/>
        </w:rPr>
        <w:t>ireitos de outros titulares de DPI.</w:t>
      </w:r>
      <w:r>
        <w:rPr>
          <w:rFonts w:ascii="Arial" w:hAnsi="Arial"/>
          <w:i/>
          <w:sz w:val="20"/>
        </w:rPr>
        <w:t xml:space="preserve"> A Instituição respeita os direitos econômicos e morais de outros titulares de DPI. Membros da Equipe, Alunos e Visitantes que pretendam usar qualquer material proprietário ou de PI fornecido por, ou de titularidade de, terceiros devem garantir que eles e a Instituição estejam autorizados a fazê-lo. </w:t>
      </w:r>
    </w:p>
    <w:p w14:paraId="7F968F6A" w14:textId="77777777" w:rsidR="008F7643" w:rsidRPr="0024467F" w:rsidRDefault="008F7643" w:rsidP="008F7643">
      <w:pPr>
        <w:autoSpaceDE w:val="0"/>
        <w:autoSpaceDN w:val="0"/>
        <w:adjustRightInd w:val="0"/>
        <w:spacing w:after="0" w:line="240" w:lineRule="auto"/>
        <w:ind w:left="426"/>
        <w:jc w:val="both"/>
        <w:rPr>
          <w:rFonts w:ascii="Arial" w:hAnsi="Arial" w:cs="Arial"/>
          <w:b/>
          <w:color w:val="000000" w:themeColor="text1"/>
          <w:sz w:val="20"/>
        </w:rPr>
      </w:pPr>
    </w:p>
    <w:p w14:paraId="4E08D69C" w14:textId="77777777" w:rsidR="009D4F7B" w:rsidRPr="00B00EEA" w:rsidRDefault="00662C52" w:rsidP="00540105">
      <w:pPr>
        <w:autoSpaceDE w:val="0"/>
        <w:autoSpaceDN w:val="0"/>
        <w:adjustRightInd w:val="0"/>
        <w:spacing w:after="0" w:line="240" w:lineRule="auto"/>
        <w:ind w:left="426"/>
        <w:jc w:val="both"/>
        <w:rPr>
          <w:rFonts w:ascii="Arial" w:hAnsi="Arial" w:cs="Arial"/>
          <w:sz w:val="20"/>
          <w:szCs w:val="20"/>
        </w:rPr>
      </w:pPr>
      <w:r>
        <w:rPr>
          <w:rFonts w:ascii="Arial" w:hAnsi="Arial"/>
          <w:sz w:val="20"/>
        </w:rPr>
        <w:t>A Instituição não deve infringir intencionalmente ou negligentemente os direitos de PI de terceiros. Embora em alguns casos o uso para pesquisa ou ensino possa se enquadrar em exceções à lei nacional de PI relevante (como uma exceção para pesquisa e desenvolvimento que prevê que a pesquisa conduzida sobre um assunto protegido por lei não constituirá violação), isso não deve ser presumido, pois a lei nessa área é complexa. Os membros da equipe, alunos e visitantes devem solicitar o apoio do EGPI em caso de dúvidas.</w:t>
      </w:r>
      <w:r w:rsidR="00C96C8E" w:rsidRPr="00B00EEA">
        <w:rPr>
          <w:rStyle w:val="FootnoteReference"/>
          <w:rFonts w:ascii="Arial" w:hAnsi="Arial" w:cs="Arial"/>
          <w:sz w:val="20"/>
          <w:szCs w:val="20"/>
          <w:lang w:val="en-US"/>
        </w:rPr>
        <w:footnoteReference w:id="36"/>
      </w:r>
      <w:r>
        <w:rPr>
          <w:rFonts w:ascii="Arial" w:hAnsi="Arial"/>
          <w:sz w:val="20"/>
        </w:rPr>
        <w:t xml:space="preserve">  </w:t>
      </w:r>
    </w:p>
    <w:p w14:paraId="441DF750" w14:textId="77777777" w:rsidR="00194209" w:rsidRPr="00B00EEA" w:rsidRDefault="00B9654A" w:rsidP="00B7519E">
      <w:pPr>
        <w:pStyle w:val="Heading3"/>
        <w:spacing w:before="360"/>
        <w:rPr>
          <w:sz w:val="24"/>
        </w:rPr>
      </w:pPr>
      <w:bookmarkStart w:id="44" w:name="_Toc494115945"/>
      <w:bookmarkStart w:id="45" w:name="_Toc516160040"/>
      <w:bookmarkStart w:id="46" w:name="_Toc516219383"/>
      <w:bookmarkStart w:id="47" w:name="_Toc516496024"/>
      <w:bookmarkStart w:id="48" w:name="_Toc516829396"/>
      <w:r>
        <w:rPr>
          <w:sz w:val="24"/>
        </w:rPr>
        <w:t>Recursos Úteis</w:t>
      </w:r>
      <w:bookmarkEnd w:id="44"/>
      <w:r>
        <w:rPr>
          <w:sz w:val="24"/>
        </w:rPr>
        <w:t xml:space="preserve"> Relacionados ao Artigo 1</w:t>
      </w:r>
      <w:bookmarkEnd w:id="45"/>
      <w:bookmarkEnd w:id="46"/>
      <w:bookmarkEnd w:id="47"/>
      <w:bookmarkEnd w:id="48"/>
    </w:p>
    <w:p w14:paraId="4CA58D55" w14:textId="77777777" w:rsidR="00F20AED"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rPr>
      </w:pPr>
      <w:r>
        <w:rPr>
          <w:rFonts w:ascii="Arial" w:hAnsi="Arial"/>
          <w:b/>
          <w:sz w:val="20"/>
        </w:rPr>
        <w:t>Prefácio</w:t>
      </w:r>
      <w:r>
        <w:rPr>
          <w:rFonts w:ascii="Arial" w:hAnsi="Arial"/>
          <w:sz w:val="20"/>
        </w:rPr>
        <w:t xml:space="preserve">. Para descobrir como outras instituições formularam o prefácio de suas políticas, pesquise no Banco de Dados da OMPI sobre Políticas de PI. </w:t>
      </w:r>
    </w:p>
    <w:p w14:paraId="062BC47C" w14:textId="77777777" w:rsidR="00F20AED" w:rsidRPr="0024467F" w:rsidRDefault="00F20AED"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b/>
          <w:sz w:val="20"/>
          <w:lang w:eastAsia="en-US"/>
        </w:rPr>
      </w:pPr>
    </w:p>
    <w:p w14:paraId="581D6AEA" w14:textId="3A77BB97" w:rsidR="009357E9"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b/>
          <w:sz w:val="20"/>
        </w:rPr>
      </w:pPr>
      <w:r>
        <w:rPr>
          <w:rFonts w:ascii="Arial" w:hAnsi="Arial"/>
          <w:b/>
          <w:sz w:val="20"/>
        </w:rPr>
        <w:t>Diretrizes nacionais ou códigos de práticas para gestão de PI em atividades de transferência de conhecimento.</w:t>
      </w:r>
      <w:r>
        <w:rPr>
          <w:rFonts w:ascii="Arial" w:hAnsi="Arial"/>
          <w:sz w:val="20"/>
        </w:rPr>
        <w:t xml:space="preserve"> Algumas agências ou conselhos nacionais desenvolveram orientações não vinculativas para a titularidade, promoção, disseminação, comercialização e proteção de PI gerada a partir de pesquisas por instituições do setor público</w:t>
      </w:r>
      <w:r w:rsidRPr="00B00EEA">
        <w:rPr>
          <w:rStyle w:val="FootnoteReference"/>
          <w:rFonts w:ascii="Arial" w:hAnsi="Arial" w:cs="Arial"/>
          <w:sz w:val="20"/>
          <w:lang w:val="en-US"/>
        </w:rPr>
        <w:footnoteReference w:id="37"/>
      </w:r>
      <w:r w:rsidR="008411EA">
        <w:rPr>
          <w:rFonts w:ascii="Arial" w:hAnsi="Arial"/>
          <w:sz w:val="20"/>
        </w:rPr>
        <w:t xml:space="preserve">. </w:t>
      </w:r>
      <w:r>
        <w:rPr>
          <w:rFonts w:ascii="Arial" w:hAnsi="Arial"/>
          <w:sz w:val="20"/>
        </w:rPr>
        <w:t>O objetivo dessas diretrizes é aproveitar o conhecimento e a experiência existentes e evitar patenteamento e licenciamentos abusivos</w:t>
      </w:r>
      <w:r w:rsidR="008411EA">
        <w:rPr>
          <w:rFonts w:ascii="Arial" w:hAnsi="Arial"/>
          <w:sz w:val="20"/>
        </w:rPr>
        <w:t xml:space="preserve">. </w:t>
      </w:r>
      <w:r>
        <w:rPr>
          <w:rFonts w:ascii="Arial" w:hAnsi="Arial"/>
          <w:sz w:val="20"/>
        </w:rPr>
        <w:t>Abaixo estão alguns exemplos (a lista não é exaustiva).</w:t>
      </w:r>
    </w:p>
    <w:p w14:paraId="7B9B70BD" w14:textId="77777777" w:rsidR="00384690" w:rsidRPr="00B00EEA" w:rsidRDefault="00057D3B"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ascii="Arial" w:hAnsi="Arial" w:cs="Arial"/>
          <w:sz w:val="20"/>
        </w:rPr>
      </w:pPr>
      <w:bookmarkStart w:id="49" w:name="Box6"/>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49"/>
      <w:r>
        <w:rPr>
          <w:rFonts w:ascii="Arial" w:hAnsi="Arial"/>
          <w:b/>
          <w:sz w:val="20"/>
        </w:rPr>
        <w:t xml:space="preserve"> Exemplos de Diretrizes Nacionais ou Códigos de Práticas para Gestão de PI</w:t>
      </w:r>
      <w:r>
        <w:rPr>
          <w:rFonts w:ascii="Arial" w:hAnsi="Arial"/>
          <w:sz w:val="20"/>
        </w:rPr>
        <w:t>:</w:t>
      </w:r>
    </w:p>
    <w:p w14:paraId="15410BC8" w14:textId="77777777" w:rsidR="00384690" w:rsidRPr="0024467F" w:rsidRDefault="00384690" w:rsidP="00DA7E04">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ascii="Arial" w:hAnsi="Arial" w:cs="Arial"/>
          <w:sz w:val="20"/>
        </w:rPr>
      </w:pPr>
    </w:p>
    <w:p w14:paraId="7B6DBAB7" w14:textId="77777777" w:rsidR="00DB518E"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sidRPr="0024467F">
        <w:rPr>
          <w:rFonts w:ascii="Arial" w:hAnsi="Arial"/>
          <w:sz w:val="20"/>
          <w:lang w:val="en-US"/>
        </w:rPr>
        <w:t xml:space="preserve">Austrália: </w:t>
      </w:r>
      <w:hyperlink r:id="rId18" w:history="1">
        <w:r w:rsidRPr="0024467F">
          <w:rPr>
            <w:rStyle w:val="Hyperlink"/>
            <w:rFonts w:ascii="Arial" w:hAnsi="Arial"/>
            <w:sz w:val="20"/>
            <w:lang w:val="en-US"/>
          </w:rPr>
          <w:t>National Principles of Intellectual Property Management for Publicly Funded Research</w:t>
        </w:r>
      </w:hyperlink>
      <w:r w:rsidRPr="0024467F">
        <w:rPr>
          <w:rFonts w:ascii="Arial" w:hAnsi="Arial"/>
          <w:sz w:val="20"/>
          <w:lang w:val="en-US"/>
        </w:rPr>
        <w:t xml:space="preserve">. </w:t>
      </w:r>
      <w:r>
        <w:rPr>
          <w:rFonts w:ascii="Arial" w:hAnsi="Arial"/>
          <w:sz w:val="20"/>
        </w:rPr>
        <w:t>Desenvolvido pelo Conselho Australiano de Pesquisa.</w:t>
      </w:r>
    </w:p>
    <w:p w14:paraId="3BA0EE20" w14:textId="77777777" w:rsidR="00DB518E" w:rsidRPr="0024467F"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24467F">
        <w:rPr>
          <w:rFonts w:ascii="Arial" w:hAnsi="Arial"/>
          <w:sz w:val="20"/>
          <w:lang w:val="en-US"/>
        </w:rPr>
        <w:t xml:space="preserve">Europa: </w:t>
      </w:r>
      <w:hyperlink r:id="rId19" w:history="1">
        <w:r w:rsidRPr="0024467F">
          <w:rPr>
            <w:rStyle w:val="Hyperlink"/>
            <w:rFonts w:ascii="Arial" w:hAnsi="Arial"/>
            <w:sz w:val="20"/>
            <w:lang w:val="en-US"/>
          </w:rPr>
          <w:t>Commission Recommendation on the management of IP in knowledge transfer activities and Code of Practice for universities and other public research organisations</w:t>
        </w:r>
      </w:hyperlink>
      <w:r w:rsidRPr="0024467F">
        <w:rPr>
          <w:rStyle w:val="Hyperlink"/>
          <w:rFonts w:ascii="Arial" w:hAnsi="Arial"/>
          <w:sz w:val="20"/>
          <w:lang w:val="en-US"/>
        </w:rPr>
        <w:t xml:space="preserve"> </w:t>
      </w:r>
      <w:r w:rsidRPr="0024467F">
        <w:rPr>
          <w:rFonts w:ascii="Arial" w:hAnsi="Arial"/>
          <w:sz w:val="20"/>
          <w:lang w:val="en-US"/>
        </w:rPr>
        <w:t>(2008) adotado pela Comissão Europeia.</w:t>
      </w:r>
      <w:r w:rsidR="00DB518E" w:rsidRPr="00B00EEA">
        <w:rPr>
          <w:rStyle w:val="FootnoteReference"/>
          <w:rFonts w:ascii="Arial" w:hAnsi="Arial" w:cs="Arial"/>
          <w:sz w:val="20"/>
          <w:lang w:val="en-US"/>
        </w:rPr>
        <w:footnoteReference w:id="38"/>
      </w:r>
    </w:p>
    <w:p w14:paraId="27DC0DFB" w14:textId="0C7CCBBF" w:rsidR="00DB518E" w:rsidRPr="00B00EEA" w:rsidRDefault="00DB518E"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sidRPr="0024467F">
        <w:rPr>
          <w:rFonts w:ascii="Arial" w:hAnsi="Arial"/>
          <w:sz w:val="20"/>
          <w:lang w:val="en-US"/>
        </w:rPr>
        <w:t xml:space="preserve">Europa: </w:t>
      </w:r>
      <w:hyperlink r:id="rId20" w:history="1">
        <w:r w:rsidRPr="0024467F">
          <w:rPr>
            <w:rStyle w:val="Hyperlink"/>
            <w:rFonts w:ascii="Arial" w:hAnsi="Arial"/>
            <w:sz w:val="20"/>
            <w:lang w:val="en-US"/>
          </w:rPr>
          <w:t>European Research Area Guidelines on IP Management in International Research Collaboration Agreements in European and Non-European Partners</w:t>
        </w:r>
      </w:hyperlink>
      <w:r w:rsidRPr="0024467F">
        <w:rPr>
          <w:rFonts w:ascii="Arial" w:hAnsi="Arial"/>
          <w:sz w:val="20"/>
          <w:lang w:val="en-US"/>
        </w:rPr>
        <w:t xml:space="preserve"> (2012)</w:t>
      </w:r>
      <w:r w:rsidR="008411EA">
        <w:rPr>
          <w:rFonts w:ascii="Arial" w:hAnsi="Arial"/>
          <w:sz w:val="20"/>
          <w:lang w:val="en-US"/>
        </w:rPr>
        <w:t xml:space="preserve">. </w:t>
      </w:r>
      <w:r>
        <w:rPr>
          <w:rFonts w:ascii="Arial" w:hAnsi="Arial"/>
          <w:sz w:val="20"/>
        </w:rPr>
        <w:t>Produzido pelo Comitê do Espaço Europeu de Pesquisa.</w:t>
      </w:r>
    </w:p>
    <w:p w14:paraId="40110D2E"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sidRPr="0024467F">
        <w:rPr>
          <w:rFonts w:ascii="Arial" w:hAnsi="Arial"/>
          <w:sz w:val="20"/>
          <w:lang w:val="en-US"/>
        </w:rPr>
        <w:t xml:space="preserve">Irlanda: </w:t>
      </w:r>
      <w:hyperlink r:id="rId21" w:history="1">
        <w:r w:rsidRPr="0024467F">
          <w:rPr>
            <w:rStyle w:val="Hyperlink"/>
            <w:rFonts w:ascii="Arial" w:hAnsi="Arial"/>
            <w:sz w:val="20"/>
            <w:lang w:val="en-US"/>
          </w:rPr>
          <w:t>National Code of Practice for Managing IP form Publicly Funded Research</w:t>
        </w:r>
      </w:hyperlink>
      <w:r w:rsidRPr="0024467F">
        <w:rPr>
          <w:rFonts w:ascii="Arial" w:hAnsi="Arial"/>
          <w:sz w:val="20"/>
          <w:lang w:val="en-US"/>
        </w:rPr>
        <w:t xml:space="preserve">. </w:t>
      </w:r>
      <w:r>
        <w:rPr>
          <w:rFonts w:ascii="Arial" w:hAnsi="Arial"/>
          <w:sz w:val="20"/>
        </w:rPr>
        <w:t>Desenvolvido pelo Conselho Irlandês de Ciência, Technology and Inn.</w:t>
      </w:r>
    </w:p>
    <w:p w14:paraId="693383FC"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sz w:val="20"/>
        </w:rPr>
        <w:t xml:space="preserve">Irlanda: </w:t>
      </w:r>
      <w:hyperlink r:id="rId22" w:history="1">
        <w:r>
          <w:rPr>
            <w:rStyle w:val="Hyperlink"/>
            <w:rFonts w:ascii="Arial" w:hAnsi="Arial"/>
            <w:sz w:val="20"/>
          </w:rPr>
          <w:t>The national IP Protocol 2016</w:t>
        </w:r>
      </w:hyperlink>
      <w:r>
        <w:rPr>
          <w:rFonts w:ascii="Arial" w:hAnsi="Arial"/>
          <w:sz w:val="20"/>
        </w:rPr>
        <w:t>. Desenvolvido pela Knowledge Transfer Ireland</w:t>
      </w:r>
    </w:p>
    <w:p w14:paraId="785B586C"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sz w:val="20"/>
        </w:rPr>
        <w:t xml:space="preserve">Reino Unido: </w:t>
      </w:r>
      <w:hyperlink r:id="rId23" w:history="1">
        <w:r>
          <w:rPr>
            <w:rStyle w:val="Hyperlink"/>
            <w:rFonts w:ascii="Arial" w:hAnsi="Arial"/>
            <w:sz w:val="20"/>
          </w:rPr>
          <w:t>Intellectual Asset Management for Universities</w:t>
        </w:r>
      </w:hyperlink>
      <w:r>
        <w:rPr>
          <w:rFonts w:ascii="Arial" w:hAnsi="Arial"/>
          <w:sz w:val="20"/>
        </w:rPr>
        <w:t>. Desenvolvido pelo Escritório de Propriedade Intelectual.</w:t>
      </w:r>
    </w:p>
    <w:p w14:paraId="635C2D6E"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sz w:val="20"/>
        </w:rPr>
        <w:t xml:space="preserve">Estados Unidos da América: </w:t>
      </w:r>
      <w:hyperlink r:id="rId24" w:history="1">
        <w:r>
          <w:rPr>
            <w:rStyle w:val="Hyperlink"/>
            <w:rFonts w:ascii="Arial" w:hAnsi="Arial"/>
            <w:sz w:val="20"/>
          </w:rPr>
          <w:t>Nine Points to Consider in Licensing University Technology</w:t>
        </w:r>
      </w:hyperlink>
      <w:r>
        <w:rPr>
          <w:rStyle w:val="Hyperlink"/>
          <w:rFonts w:ascii="Arial" w:hAnsi="Arial"/>
          <w:sz w:val="20"/>
        </w:rPr>
        <w:t xml:space="preserve"> (2007)</w:t>
      </w:r>
      <w:r>
        <w:rPr>
          <w:rFonts w:ascii="Arial" w:hAnsi="Arial"/>
          <w:sz w:val="20"/>
        </w:rPr>
        <w:t>. Desenvolvido pela liderança de 12 instituições nos E.U.A.</w:t>
      </w:r>
    </w:p>
    <w:p w14:paraId="6247BB16" w14:textId="77777777" w:rsidR="00046148" w:rsidRPr="00B00EE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sidRPr="0024467F">
        <w:rPr>
          <w:rFonts w:ascii="Arial" w:hAnsi="Arial"/>
          <w:sz w:val="20"/>
          <w:lang w:val="en-US"/>
        </w:rPr>
        <w:t xml:space="preserve">US: </w:t>
      </w:r>
      <w:hyperlink r:id="rId25" w:history="1">
        <w:r w:rsidRPr="0024467F">
          <w:rPr>
            <w:rStyle w:val="Hyperlink"/>
            <w:rFonts w:ascii="Arial" w:hAnsi="Arial"/>
            <w:sz w:val="20"/>
            <w:lang w:val="en-US"/>
          </w:rPr>
          <w:t>Managing Intellectual Property in the Public Interest</w:t>
        </w:r>
      </w:hyperlink>
      <w:r w:rsidRPr="0024467F">
        <w:rPr>
          <w:rFonts w:ascii="Arial" w:hAnsi="Arial"/>
          <w:sz w:val="20"/>
          <w:lang w:val="en-US"/>
        </w:rPr>
        <w:t xml:space="preserve">. </w:t>
      </w:r>
      <w:r>
        <w:rPr>
          <w:rFonts w:ascii="Arial" w:hAnsi="Arial"/>
          <w:sz w:val="20"/>
        </w:rPr>
        <w:t>Desenvolvido pelo Conselho Nacional de Pesquisa.</w:t>
      </w:r>
    </w:p>
    <w:p w14:paraId="74E12AEF" w14:textId="77777777" w:rsidR="00046148" w:rsidRPr="0024467F"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18"/>
          <w:lang w:val="en-US"/>
        </w:rPr>
      </w:pPr>
      <w:r w:rsidRPr="0024467F">
        <w:rPr>
          <w:rFonts w:ascii="Arial" w:hAnsi="Arial"/>
          <w:sz w:val="20"/>
          <w:lang w:val="en-US"/>
        </w:rPr>
        <w:t xml:space="preserve">US: </w:t>
      </w:r>
      <w:hyperlink r:id="rId26" w:history="1">
        <w:r w:rsidRPr="0024467F">
          <w:rPr>
            <w:rStyle w:val="Hyperlink"/>
            <w:rFonts w:ascii="Arial" w:hAnsi="Arial"/>
            <w:sz w:val="20"/>
            <w:lang w:val="en-US"/>
          </w:rPr>
          <w:t>Statement of Principles and Strategies for the Equitable Dissemination of Medical Technologies</w:t>
        </w:r>
      </w:hyperlink>
      <w:r w:rsidRPr="0024467F">
        <w:rPr>
          <w:rFonts w:ascii="Arial" w:hAnsi="Arial"/>
          <w:sz w:val="20"/>
          <w:lang w:val="en-US"/>
        </w:rPr>
        <w:t xml:space="preserve"> (2010)</w:t>
      </w:r>
    </w:p>
    <w:p w14:paraId="7D38FAE5" w14:textId="77777777" w:rsidR="006A7745" w:rsidRPr="00B00EEA" w:rsidRDefault="006A7745" w:rsidP="00B7519E">
      <w:pPr>
        <w:pStyle w:val="ListParagraph"/>
        <w:spacing w:line="240" w:lineRule="auto"/>
        <w:ind w:left="426"/>
        <w:jc w:val="both"/>
        <w:rPr>
          <w:rStyle w:val="Hyperlink"/>
          <w:rFonts w:ascii="Arial" w:hAnsi="Arial" w:cs="Arial"/>
          <w:color w:val="auto"/>
          <w:szCs w:val="32"/>
          <w:u w:val="none"/>
          <w:lang w:val="en-US"/>
        </w:rPr>
      </w:pPr>
    </w:p>
    <w:p w14:paraId="0DFE2EF0" w14:textId="77777777" w:rsidR="0002456F" w:rsidRPr="00B00EEA" w:rsidRDefault="0002456F"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rPr>
      </w:pPr>
      <w:r>
        <w:rPr>
          <w:rFonts w:ascii="Arial" w:hAnsi="Arial"/>
          <w:b/>
          <w:sz w:val="20"/>
        </w:rPr>
        <w:lastRenderedPageBreak/>
        <w:t>Comercialização Socialmente Responsável</w:t>
      </w:r>
    </w:p>
    <w:p w14:paraId="6B5B5785" w14:textId="77777777" w:rsidR="0002456F" w:rsidRPr="0024467F" w:rsidRDefault="0002456F" w:rsidP="00721706">
      <w:pPr>
        <w:autoSpaceDE w:val="0"/>
        <w:autoSpaceDN w:val="0"/>
        <w:adjustRightInd w:val="0"/>
        <w:spacing w:after="0" w:line="240" w:lineRule="auto"/>
        <w:ind w:left="720" w:hanging="360"/>
        <w:jc w:val="both"/>
        <w:rPr>
          <w:rFonts w:ascii="Arial" w:eastAsiaTheme="minorHAnsi" w:hAnsi="Arial" w:cs="Arial"/>
          <w:sz w:val="20"/>
          <w:lang w:val="en-US"/>
        </w:rPr>
      </w:pPr>
      <w:r w:rsidRPr="0024467F">
        <w:rPr>
          <w:rFonts w:ascii="Arial" w:hAnsi="Arial"/>
          <w:sz w:val="20"/>
          <w:lang w:val="en-US"/>
        </w:rPr>
        <w:t>-</w:t>
      </w:r>
      <w:r w:rsidRPr="0024467F">
        <w:rPr>
          <w:rFonts w:ascii="Arial" w:hAnsi="Arial"/>
          <w:sz w:val="20"/>
          <w:lang w:val="en-US"/>
        </w:rPr>
        <w:tab/>
        <w:t xml:space="preserve">Stevens, A., </w:t>
      </w:r>
      <w:hyperlink r:id="rId27" w:history="1">
        <w:r w:rsidRPr="0024467F">
          <w:rPr>
            <w:rStyle w:val="Hyperlink"/>
            <w:rFonts w:ascii="Arial" w:hAnsi="Arial"/>
            <w:sz w:val="20"/>
            <w:lang w:val="en-US"/>
          </w:rPr>
          <w:t>An emerging model for life sciences commercialization</w:t>
        </w:r>
      </w:hyperlink>
      <w:r w:rsidRPr="0024467F">
        <w:rPr>
          <w:rFonts w:ascii="Arial" w:hAnsi="Arial"/>
          <w:sz w:val="20"/>
          <w:lang w:val="en-US"/>
        </w:rPr>
        <w:t xml:space="preserve"> (2017).</w:t>
      </w:r>
    </w:p>
    <w:p w14:paraId="2A397B36" w14:textId="77777777" w:rsidR="00F71527" w:rsidRDefault="00F71527" w:rsidP="00721706">
      <w:pPr>
        <w:autoSpaceDE w:val="0"/>
        <w:autoSpaceDN w:val="0"/>
        <w:adjustRightInd w:val="0"/>
        <w:spacing w:after="0" w:line="240" w:lineRule="auto"/>
        <w:ind w:left="720" w:hanging="360"/>
        <w:jc w:val="both"/>
        <w:rPr>
          <w:rFonts w:ascii="Arial" w:eastAsiaTheme="minorHAnsi" w:hAnsi="Arial" w:cs="Arial"/>
          <w:sz w:val="20"/>
        </w:rPr>
      </w:pPr>
      <w:r>
        <w:rPr>
          <w:rFonts w:ascii="Arial" w:hAnsi="Arial"/>
          <w:sz w:val="20"/>
        </w:rPr>
        <w:t>-</w:t>
      </w:r>
      <w:r>
        <w:rPr>
          <w:rFonts w:ascii="Arial" w:hAnsi="Arial"/>
          <w:sz w:val="20"/>
        </w:rPr>
        <w:tab/>
      </w:r>
      <w:hyperlink r:id="rId28" w:anchor="Documento técnico" w:history="1">
        <w:r>
          <w:rPr>
            <w:rStyle w:val="Hyperlink"/>
            <w:rFonts w:ascii="Arial" w:hAnsi="Arial"/>
            <w:sz w:val="20"/>
          </w:rPr>
          <w:t>IP Advocate</w:t>
        </w:r>
      </w:hyperlink>
    </w:p>
    <w:p w14:paraId="7A387DB0" w14:textId="22DB0778" w:rsidR="00721706" w:rsidRPr="00AA1A8A" w:rsidRDefault="00721706" w:rsidP="00721706">
      <w:pPr>
        <w:pStyle w:val="ListParagraph"/>
        <w:numPr>
          <w:ilvl w:val="0"/>
          <w:numId w:val="59"/>
        </w:numPr>
        <w:jc w:val="both"/>
        <w:rPr>
          <w:rFonts w:ascii="Arial" w:eastAsia="Times New Roman" w:hAnsi="Arial" w:cs="Arial"/>
          <w:b/>
          <w:bCs/>
          <w:sz w:val="20"/>
        </w:rPr>
      </w:pPr>
      <w:r>
        <w:rPr>
          <w:rFonts w:ascii="Arial" w:hAnsi="Arial"/>
          <w:sz w:val="20"/>
        </w:rPr>
        <w:t xml:space="preserve">de Política </w:t>
      </w:r>
      <w:hyperlink r:id="rId29" w:history="1">
        <w:r>
          <w:rPr>
            <w:rStyle w:val="Hyperlink"/>
            <w:rFonts w:ascii="Arial" w:hAnsi="Arial"/>
            <w:sz w:val="20"/>
          </w:rPr>
          <w:t>No Interesse Público:</w:t>
        </w:r>
      </w:hyperlink>
      <w:hyperlink r:id="rId30" w:history="1">
        <w:r>
          <w:rPr>
            <w:rStyle w:val="Hyperlink"/>
            <w:rFonts w:ascii="Arial" w:hAnsi="Arial"/>
            <w:sz w:val="20"/>
          </w:rPr>
          <w:t xml:space="preserve"> Nove Pontos a Considerar no Licenciamento de Tecnologia da Universidade</w:t>
        </w:r>
      </w:hyperlink>
      <w:r w:rsidR="008411EA">
        <w:rPr>
          <w:rFonts w:ascii="Arial" w:hAnsi="Arial"/>
          <w:sz w:val="20"/>
        </w:rPr>
        <w:t xml:space="preserve">. </w:t>
      </w:r>
      <w:r>
        <w:rPr>
          <w:rFonts w:ascii="Arial" w:hAnsi="Arial"/>
          <w:sz w:val="20"/>
        </w:rPr>
        <w:t>Redigido por 12 instituições participantes e endossado pela AUTM e mais de 70 outras instituições</w:t>
      </w:r>
      <w:r w:rsidR="008411EA">
        <w:rPr>
          <w:rFonts w:ascii="Arial" w:hAnsi="Arial"/>
          <w:sz w:val="20"/>
        </w:rPr>
        <w:t xml:space="preserve">. </w:t>
      </w:r>
      <w:r>
        <w:rPr>
          <w:rFonts w:ascii="Arial" w:hAnsi="Arial"/>
          <w:sz w:val="20"/>
        </w:rPr>
        <w:t>O artigo tem um anexo com exemplos de cláusulas</w:t>
      </w:r>
      <w:r w:rsidR="008411EA">
        <w:rPr>
          <w:rFonts w:ascii="Arial" w:hAnsi="Arial"/>
          <w:sz w:val="20"/>
        </w:rPr>
        <w:t xml:space="preserve">. </w:t>
      </w:r>
      <w:r>
        <w:rPr>
          <w:rFonts w:ascii="Arial" w:hAnsi="Arial"/>
          <w:sz w:val="20"/>
        </w:rPr>
        <w:t xml:space="preserve">Veja também </w:t>
      </w:r>
      <w:hyperlink w:anchor="Box63" w:history="1">
        <w:r>
          <w:rPr>
            <w:rStyle w:val="Hyperlink"/>
            <w:rFonts w:ascii="Arial" w:hAnsi="Arial"/>
            <w:sz w:val="20"/>
          </w:rPr>
          <w:t>Caixa 63</w:t>
        </w:r>
      </w:hyperlink>
      <w:r>
        <w:rPr>
          <w:rFonts w:ascii="Arial" w:hAnsi="Arial"/>
          <w:sz w:val="20"/>
        </w:rPr>
        <w:t>.</w:t>
      </w:r>
    </w:p>
    <w:p w14:paraId="643AB62E" w14:textId="77777777" w:rsidR="00721706" w:rsidRPr="00664E3C" w:rsidRDefault="00721706" w:rsidP="00721706">
      <w:pPr>
        <w:pStyle w:val="ListParagraph"/>
        <w:numPr>
          <w:ilvl w:val="0"/>
          <w:numId w:val="59"/>
        </w:numPr>
        <w:jc w:val="both"/>
        <w:rPr>
          <w:rFonts w:ascii="Arial" w:eastAsia="Times New Roman" w:hAnsi="Arial" w:cs="Arial"/>
          <w:b/>
          <w:bCs/>
          <w:sz w:val="20"/>
        </w:rPr>
      </w:pPr>
      <w:r>
        <w:rPr>
          <w:rFonts w:ascii="Arial" w:hAnsi="Arial"/>
          <w:sz w:val="20"/>
        </w:rPr>
        <w:t>Centro para a Gestão de PI em Saúde e P&amp;D (MIHR).</w:t>
      </w:r>
    </w:p>
    <w:p w14:paraId="3B6BFC9F" w14:textId="77777777" w:rsidR="00664E3C" w:rsidRPr="0024467F" w:rsidRDefault="00664E3C" w:rsidP="00664E3C">
      <w:pPr>
        <w:pStyle w:val="ListParagraph"/>
        <w:jc w:val="both"/>
        <w:rPr>
          <w:rFonts w:ascii="Arial" w:eastAsia="Times New Roman" w:hAnsi="Arial" w:cs="Arial"/>
          <w:b/>
          <w:bCs/>
          <w:sz w:val="20"/>
        </w:rPr>
      </w:pPr>
    </w:p>
    <w:p w14:paraId="38C7278B" w14:textId="77777777" w:rsidR="00DF1BDA" w:rsidRPr="00B00EEA" w:rsidRDefault="001F061B"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rPr>
      </w:pPr>
      <w:r>
        <w:rPr>
          <w:rFonts w:ascii="Arial" w:hAnsi="Arial"/>
          <w:b/>
          <w:sz w:val="20"/>
        </w:rPr>
        <w:t>Recomendações para introduzir educação em PI e empreendedorismo</w:t>
      </w:r>
    </w:p>
    <w:p w14:paraId="4B44D9C9" w14:textId="77777777" w:rsidR="00DF1BDA" w:rsidRPr="00B00EEA" w:rsidRDefault="001F061B"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rPr>
      </w:pPr>
      <w:r>
        <w:rPr>
          <w:rFonts w:ascii="Arial" w:hAnsi="Arial"/>
          <w:sz w:val="20"/>
        </w:rPr>
        <w:t xml:space="preserve">A OCDE realizou uma extensa pesquisa sobre o papel do ensino superior no fomento do empreendedorismo. O livro </w:t>
      </w:r>
      <w:hyperlink r:id="rId31" w:history="1">
        <w:r>
          <w:rPr>
            <w:rStyle w:val="Hyperlink"/>
            <w:rFonts w:ascii="Arial" w:hAnsi="Arial"/>
            <w:i/>
            <w:sz w:val="20"/>
          </w:rPr>
          <w:t>Entrepreneurship and Higher Education</w:t>
        </w:r>
      </w:hyperlink>
      <w:r>
        <w:rPr>
          <w:rFonts w:ascii="Arial" w:hAnsi="Arial"/>
          <w:sz w:val="20"/>
        </w:rPr>
        <w:t>, OECD, 2008, propõe uma série de recomendações para fortalecer as transferências de conhecimento e a comercialização de pesquisas, bem como recomendações úteis para o estabelecimento de um currículo abrangente de empreendedorismo.</w:t>
      </w:r>
    </w:p>
    <w:p w14:paraId="2B63C924" w14:textId="537FBA97" w:rsidR="00EF19D6" w:rsidRPr="00B00EEA" w:rsidRDefault="00EF19D6"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rPr>
      </w:pPr>
      <w:r w:rsidRPr="0024467F">
        <w:rPr>
          <w:rFonts w:ascii="Arial" w:hAnsi="Arial"/>
          <w:sz w:val="20"/>
          <w:lang w:val="en-US"/>
        </w:rPr>
        <w:t>IP-Unilink</w:t>
      </w:r>
      <w:r w:rsidRPr="00B00EEA">
        <w:rPr>
          <w:rStyle w:val="FootnoteReference"/>
          <w:rFonts w:ascii="Arial" w:eastAsiaTheme="minorHAnsi" w:hAnsi="Arial" w:cs="Arial"/>
          <w:sz w:val="20"/>
          <w:lang w:val="en-US" w:eastAsia="en-US"/>
        </w:rPr>
        <w:footnoteReference w:id="39"/>
      </w:r>
      <w:r w:rsidRPr="0024467F">
        <w:rPr>
          <w:rFonts w:ascii="Arial" w:hAnsi="Arial"/>
          <w:sz w:val="20"/>
          <w:lang w:val="en-US"/>
        </w:rPr>
        <w:t xml:space="preserve"> desenvolveu um relatório </w:t>
      </w:r>
      <w:hyperlink r:id="rId32" w:history="1">
        <w:r w:rsidRPr="0024467F">
          <w:rPr>
            <w:rStyle w:val="Hyperlink"/>
            <w:rFonts w:ascii="Arial" w:hAnsi="Arial"/>
            <w:i/>
            <w:sz w:val="20"/>
            <w:lang w:val="en-US"/>
          </w:rPr>
          <w:t>How proactive IP Management can improve research collaborations</w:t>
        </w:r>
      </w:hyperlink>
      <w:r w:rsidR="008411EA">
        <w:rPr>
          <w:rFonts w:ascii="Arial" w:hAnsi="Arial"/>
          <w:sz w:val="20"/>
          <w:lang w:val="en-US"/>
        </w:rPr>
        <w:t xml:space="preserve">. </w:t>
      </w:r>
      <w:r>
        <w:rPr>
          <w:rFonts w:ascii="Arial" w:hAnsi="Arial"/>
          <w:sz w:val="20"/>
        </w:rPr>
        <w:t>O relatório contém exemplos de boas práticas no campo da educação em PI de países da UE e do BRIC.</w:t>
      </w:r>
    </w:p>
    <w:p w14:paraId="2E282ABE" w14:textId="77777777" w:rsidR="004E3DE4" w:rsidRPr="0024467F" w:rsidRDefault="00662C52"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rPr>
      </w:pPr>
      <w:r w:rsidRPr="0024467F">
        <w:rPr>
          <w:rFonts w:ascii="Arial" w:hAnsi="Arial"/>
          <w:sz w:val="20"/>
          <w:lang w:val="en-US"/>
        </w:rPr>
        <w:t>University Entrepreneurship and Technology Transfer: Process, Design and Intellectual Property, Volume 16, 241-274 (2005).</w:t>
      </w:r>
    </w:p>
    <w:p w14:paraId="55FC8B7F" w14:textId="77777777" w:rsidR="00EE57E9" w:rsidRPr="0024467F" w:rsidRDefault="00EE57E9"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rPr>
      </w:pPr>
      <w:r w:rsidRPr="0024467F">
        <w:rPr>
          <w:rFonts w:ascii="Arial" w:hAnsi="Arial"/>
          <w:sz w:val="20"/>
          <w:lang w:val="en-US"/>
        </w:rPr>
        <w:t>Pefile, S. e Krattiger, A.,</w:t>
      </w:r>
      <w:r w:rsidRPr="0024467F">
        <w:rPr>
          <w:rFonts w:ascii="Arial" w:hAnsi="Arial"/>
          <w:i/>
          <w:color w:val="231F20"/>
          <w:sz w:val="14"/>
          <w:lang w:val="en-US"/>
        </w:rPr>
        <w:t xml:space="preserve"> </w:t>
      </w:r>
      <w:hyperlink r:id="rId33" w:history="1">
        <w:r w:rsidRPr="0024467F">
          <w:rPr>
            <w:rStyle w:val="Hyperlink"/>
            <w:rFonts w:ascii="Arial" w:hAnsi="Arial"/>
            <w:i/>
            <w:sz w:val="20"/>
            <w:lang w:val="en-US"/>
          </w:rPr>
          <w:t>Training Staff in IP Management</w:t>
        </w:r>
      </w:hyperlink>
      <w:r w:rsidRPr="0024467F">
        <w:rPr>
          <w:rFonts w:ascii="Arial" w:hAnsi="Arial"/>
          <w:i/>
          <w:color w:val="231F20"/>
          <w:sz w:val="20"/>
          <w:lang w:val="en-US"/>
        </w:rPr>
        <w:t xml:space="preserve">, </w:t>
      </w:r>
      <w:r w:rsidRPr="0024467F">
        <w:rPr>
          <w:rFonts w:ascii="Arial" w:hAnsi="Arial"/>
          <w:sz w:val="20"/>
          <w:lang w:val="en-US"/>
        </w:rPr>
        <w:t>Em: Intellectual Property Management in Health and Agricultural Innovation: A Handbook of Best Practices.</w:t>
      </w:r>
    </w:p>
    <w:p w14:paraId="5480641F" w14:textId="77777777" w:rsidR="008702F3" w:rsidRPr="00B00EEA" w:rsidRDefault="008702F3"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sz w:val="20"/>
          <w:lang w:val="en-US" w:eastAsia="en-US"/>
        </w:rPr>
      </w:pPr>
    </w:p>
    <w:p w14:paraId="5C8DE30F" w14:textId="77777777" w:rsidR="009935B1" w:rsidRPr="00B00EEA" w:rsidRDefault="009935B1"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lang w:val="en-US" w:eastAsia="en-US"/>
        </w:rPr>
      </w:pPr>
    </w:p>
    <w:p w14:paraId="4A4CA292" w14:textId="77777777" w:rsidR="008702F3" w:rsidRPr="00B00EEA" w:rsidRDefault="008702F3"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lang w:val="en-US" w:eastAsia="en-US"/>
        </w:rPr>
      </w:pPr>
    </w:p>
    <w:p w14:paraId="790598FF" w14:textId="77777777" w:rsidR="00E22076" w:rsidRPr="0024467F" w:rsidRDefault="00E22076" w:rsidP="002F3C51">
      <w:pPr>
        <w:pStyle w:val="Heading2"/>
        <w:rPr>
          <w:lang w:val="en-US"/>
        </w:rPr>
      </w:pPr>
      <w:bookmarkStart w:id="50" w:name="_Toc490468517"/>
    </w:p>
    <w:p w14:paraId="66CB664C" w14:textId="77777777" w:rsidR="00072F2A" w:rsidRPr="00B00EEA" w:rsidRDefault="00060558" w:rsidP="002F3C51">
      <w:pPr>
        <w:pStyle w:val="Heading2"/>
      </w:pPr>
      <w:bookmarkStart w:id="51" w:name="_Toc516160041"/>
      <w:bookmarkStart w:id="52" w:name="_Toc516219384"/>
      <w:bookmarkStart w:id="53" w:name="_Toc516496025"/>
      <w:bookmarkStart w:id="54" w:name="_Toc516829397"/>
      <w:bookmarkStart w:id="55" w:name="_Toc185241080"/>
      <w:r>
        <w:t>ARTIGO 2 – DEFINIÇÕES</w:t>
      </w:r>
      <w:bookmarkEnd w:id="50"/>
      <w:bookmarkEnd w:id="51"/>
      <w:bookmarkEnd w:id="52"/>
      <w:bookmarkEnd w:id="53"/>
      <w:bookmarkEnd w:id="54"/>
      <w:bookmarkEnd w:id="55"/>
      <w:r>
        <w:t xml:space="preserve">  </w:t>
      </w:r>
    </w:p>
    <w:p w14:paraId="24204E99" w14:textId="77777777" w:rsidR="00E22076" w:rsidRPr="0024467F" w:rsidRDefault="00E22076" w:rsidP="002F3C51">
      <w:pPr>
        <w:pStyle w:val="Heading2"/>
      </w:pPr>
    </w:p>
    <w:p w14:paraId="06740705" w14:textId="77777777" w:rsidR="00194209" w:rsidRPr="00B00EEA" w:rsidRDefault="0004177B" w:rsidP="00B7519E">
      <w:pPr>
        <w:pStyle w:val="Heading3"/>
        <w:spacing w:before="360"/>
        <w:rPr>
          <w:sz w:val="24"/>
        </w:rPr>
      </w:pPr>
      <w:bookmarkStart w:id="56" w:name="_Toc516160042"/>
      <w:bookmarkStart w:id="57" w:name="_Toc516219385"/>
      <w:bookmarkStart w:id="58" w:name="_Toc516496026"/>
      <w:bookmarkStart w:id="59" w:name="_Toc516829398"/>
      <w:r>
        <w:rPr>
          <w:sz w:val="24"/>
        </w:rPr>
        <w:t>Introdução</w:t>
      </w:r>
      <w:bookmarkEnd w:id="56"/>
      <w:bookmarkEnd w:id="57"/>
      <w:bookmarkEnd w:id="58"/>
      <w:bookmarkEnd w:id="59"/>
    </w:p>
    <w:p w14:paraId="2C3E1094" w14:textId="4A5CE495" w:rsidR="00DE678D" w:rsidRPr="00B00EEA" w:rsidRDefault="00EC5B4C" w:rsidP="000B0442">
      <w:pPr>
        <w:spacing w:after="0" w:line="240" w:lineRule="auto"/>
        <w:jc w:val="both"/>
        <w:rPr>
          <w:rFonts w:ascii="Arial" w:hAnsi="Arial" w:cs="Arial"/>
          <w:sz w:val="20"/>
          <w:szCs w:val="20"/>
        </w:rPr>
      </w:pPr>
      <w:r>
        <w:rPr>
          <w:rFonts w:ascii="Arial" w:hAnsi="Arial"/>
          <w:sz w:val="20"/>
        </w:rPr>
        <w:t>As definições fornecem a base para uma interpretação e implementação claras de políticas</w:t>
      </w:r>
      <w:r w:rsidR="008411EA">
        <w:rPr>
          <w:rFonts w:ascii="Arial" w:hAnsi="Arial"/>
          <w:sz w:val="20"/>
        </w:rPr>
        <w:t xml:space="preserve">. </w:t>
      </w:r>
      <w:r>
        <w:rPr>
          <w:rFonts w:ascii="Arial" w:hAnsi="Arial"/>
          <w:sz w:val="20"/>
        </w:rPr>
        <w:t>As definições propostas no Modelo são baseadas em muitos anos de prática em diversas instituições ao redor do mundo</w:t>
      </w:r>
      <w:r w:rsidR="008411EA">
        <w:rPr>
          <w:rFonts w:ascii="Arial" w:hAnsi="Arial"/>
          <w:sz w:val="20"/>
        </w:rPr>
        <w:t xml:space="preserve">. </w:t>
      </w:r>
      <w:r>
        <w:rPr>
          <w:rFonts w:ascii="Arial" w:hAnsi="Arial"/>
          <w:sz w:val="20"/>
        </w:rPr>
        <w:t>Elas são projetadas para clareza, simplicidade e brevidade</w:t>
      </w:r>
      <w:r w:rsidR="008411EA">
        <w:rPr>
          <w:rFonts w:ascii="Arial" w:hAnsi="Arial"/>
          <w:sz w:val="20"/>
        </w:rPr>
        <w:t xml:space="preserve">. </w:t>
      </w:r>
      <w:r>
        <w:rPr>
          <w:rFonts w:ascii="Arial" w:hAnsi="Arial"/>
          <w:sz w:val="20"/>
        </w:rPr>
        <w:t xml:space="preserve">Nem todas as definições listadas no Modelo precisam ser incluídas em uma Política de PI. </w:t>
      </w:r>
    </w:p>
    <w:p w14:paraId="640EB55C" w14:textId="77777777" w:rsidR="00DE678D" w:rsidRPr="0024467F" w:rsidRDefault="00DE678D" w:rsidP="000B0442">
      <w:pPr>
        <w:spacing w:after="0" w:line="240" w:lineRule="auto"/>
        <w:jc w:val="both"/>
        <w:rPr>
          <w:rFonts w:ascii="Arial" w:hAnsi="Arial" w:cs="Arial"/>
          <w:sz w:val="20"/>
          <w:szCs w:val="20"/>
        </w:rPr>
      </w:pPr>
    </w:p>
    <w:p w14:paraId="23508216" w14:textId="77777777" w:rsidR="00DE678D" w:rsidRPr="00B00EEA" w:rsidRDefault="00057D3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Escrever Definições</w:t>
      </w:r>
    </w:p>
    <w:p w14:paraId="629B3C8A" w14:textId="77777777" w:rsidR="00730B7B" w:rsidRPr="00B00EEA" w:rsidRDefault="00730B7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lang w:val="en-US"/>
        </w:rPr>
      </w:pPr>
    </w:p>
    <w:p w14:paraId="786E5CF6" w14:textId="44296A69" w:rsidR="00194209"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rPr>
      </w:pPr>
      <w:r>
        <w:rPr>
          <w:rFonts w:ascii="Arial" w:hAnsi="Arial"/>
          <w:sz w:val="20"/>
        </w:rPr>
        <w:t>Selecione e crie suas próprias definições para acomodar as exigências de leis e regulamentações nacionais específicas</w:t>
      </w:r>
      <w:r w:rsidR="008411EA">
        <w:rPr>
          <w:rFonts w:ascii="Arial" w:hAnsi="Arial"/>
          <w:sz w:val="20"/>
        </w:rPr>
        <w:t xml:space="preserve">. </w:t>
      </w:r>
    </w:p>
    <w:p w14:paraId="3CF1399C" w14:textId="77777777" w:rsidR="00DE678D"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rPr>
      </w:pPr>
      <w:r>
        <w:rPr>
          <w:rFonts w:ascii="Arial" w:hAnsi="Arial"/>
          <w:sz w:val="20"/>
        </w:rPr>
        <w:t>Faça referência a outros documentos/políticas que podem conter termos semelhantes para garantir que definições comuns sejam usadas.</w:t>
      </w:r>
    </w:p>
    <w:p w14:paraId="0D3BF369" w14:textId="77777777" w:rsidR="00072F2A" w:rsidRPr="00B00EEA" w:rsidRDefault="004556EA" w:rsidP="00B7519E">
      <w:pPr>
        <w:pStyle w:val="Heading3"/>
        <w:spacing w:before="360"/>
        <w:rPr>
          <w:sz w:val="24"/>
        </w:rPr>
      </w:pPr>
      <w:bookmarkStart w:id="60" w:name="_Toc494115949"/>
      <w:bookmarkStart w:id="61" w:name="_Toc516160043"/>
      <w:bookmarkStart w:id="62" w:name="_Toc516219386"/>
      <w:bookmarkStart w:id="63" w:name="_Toc516496027"/>
      <w:bookmarkStart w:id="64" w:name="_Toc516829399"/>
      <w:r>
        <w:rPr>
          <w:sz w:val="24"/>
        </w:rPr>
        <w:t>Algumas definições explicadas</w:t>
      </w:r>
      <w:bookmarkEnd w:id="60"/>
      <w:bookmarkEnd w:id="61"/>
      <w:bookmarkEnd w:id="62"/>
      <w:bookmarkEnd w:id="63"/>
      <w:bookmarkEnd w:id="64"/>
    </w:p>
    <w:p w14:paraId="4FF5BF89" w14:textId="60D7CBF3" w:rsidR="00B30642" w:rsidRPr="00B00EEA" w:rsidRDefault="008D4889" w:rsidP="00BA15FD">
      <w:pPr>
        <w:spacing w:after="0" w:line="240" w:lineRule="auto"/>
        <w:jc w:val="both"/>
        <w:rPr>
          <w:rFonts w:ascii="Arial" w:eastAsia="Times New Roman" w:hAnsi="Arial" w:cs="Times New Roman"/>
          <w:b/>
          <w:sz w:val="20"/>
        </w:rPr>
      </w:pPr>
      <w:r>
        <w:rPr>
          <w:rFonts w:ascii="Arial" w:hAnsi="Arial"/>
          <w:b/>
          <w:sz w:val="20"/>
        </w:rPr>
        <w:t>PI Antecedente</w:t>
      </w:r>
      <w:r w:rsidR="008411EA">
        <w:rPr>
          <w:rFonts w:ascii="Arial" w:hAnsi="Arial"/>
          <w:b/>
          <w:sz w:val="20"/>
        </w:rPr>
        <w:t xml:space="preserve">. </w:t>
      </w:r>
    </w:p>
    <w:p w14:paraId="21C1D40C" w14:textId="1DE8EA37"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rPr>
      </w:pPr>
      <w:r>
        <w:rPr>
          <w:rFonts w:ascii="Arial" w:hAnsi="Arial"/>
          <w:sz w:val="20"/>
        </w:rPr>
        <w:t>Às vezes chamada de “</w:t>
      </w:r>
      <w:r>
        <w:rPr>
          <w:rFonts w:ascii="Arial" w:hAnsi="Arial"/>
          <w:b/>
          <w:sz w:val="20"/>
        </w:rPr>
        <w:t>PI Pré-existente</w:t>
      </w:r>
      <w:r>
        <w:rPr>
          <w:rFonts w:ascii="Arial" w:hAnsi="Arial"/>
          <w:sz w:val="20"/>
        </w:rPr>
        <w:t>.”  As cláusulas que tratam de PI Antecedente são muito comuns em Projetos de Pesquisa</w:t>
      </w:r>
      <w:r w:rsidR="008411EA">
        <w:rPr>
          <w:rFonts w:ascii="Arial" w:hAnsi="Arial"/>
          <w:sz w:val="20"/>
        </w:rPr>
        <w:t xml:space="preserve">. </w:t>
      </w:r>
      <w:r>
        <w:rPr>
          <w:rFonts w:ascii="Arial" w:hAnsi="Arial"/>
          <w:sz w:val="20"/>
        </w:rPr>
        <w:t xml:space="preserve">Neste contexto, a PI Antecedente geralmente se refere à PI (i) licenciada ou de titularidade de qualquer parte do Projeto de Pesquisa antes do início do Projeto; ou (ii) gerada independentemente do projeto específico por essa parte; e que é trazida ou usada como parte do Projeto de Pesquisa. </w:t>
      </w:r>
    </w:p>
    <w:p w14:paraId="23F08BB4" w14:textId="77777777"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rPr>
      </w:pPr>
      <w:r>
        <w:rPr>
          <w:rFonts w:ascii="Arial" w:hAnsi="Arial"/>
          <w:sz w:val="20"/>
        </w:rPr>
        <w:lastRenderedPageBreak/>
        <w:t xml:space="preserve">A PI Antecedente pode incluir DPIs registrados, mas os pesquisadores também podem trazer outras PI Antecedente, como know-how específico, software e dados existentes para uma colaboração. </w:t>
      </w:r>
    </w:p>
    <w:p w14:paraId="5E2C4CD5" w14:textId="77777777" w:rsidR="008D4889"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rPr>
      </w:pPr>
      <w:r>
        <w:rPr>
          <w:rFonts w:ascii="Arial" w:hAnsi="Arial"/>
          <w:sz w:val="20"/>
        </w:rPr>
        <w:t>Se a PI Antecedente for de titularidade de outra parte que não esteja envolvida com o Projeto, ela é geralmente chamada de “PI de Terceiros” e você precisará obter permissão relevante para usar esta PI. </w:t>
      </w:r>
    </w:p>
    <w:p w14:paraId="648C7C6A" w14:textId="77777777" w:rsidR="005B53E5" w:rsidRPr="00B00EEA" w:rsidRDefault="00254241" w:rsidP="009D4A54">
      <w:pPr>
        <w:pStyle w:val="ListParagraph"/>
        <w:numPr>
          <w:ilvl w:val="0"/>
          <w:numId w:val="74"/>
        </w:numPr>
        <w:spacing w:after="0" w:line="240" w:lineRule="auto"/>
        <w:ind w:left="426" w:hanging="426"/>
        <w:jc w:val="both"/>
        <w:rPr>
          <w:rFonts w:ascii="Arial" w:eastAsia="Times New Roman" w:hAnsi="Arial" w:cs="Times New Roman"/>
          <w:sz w:val="20"/>
        </w:rPr>
      </w:pPr>
      <w:r>
        <w:rPr>
          <w:rFonts w:ascii="Arial" w:hAnsi="Arial"/>
          <w:sz w:val="20"/>
        </w:rPr>
        <w:t xml:space="preserve">A PI que surge no decurso da execução de um Projeto de Pesquisa é geralmente chamada de “PI de Primeiro Plano”. </w:t>
      </w:r>
    </w:p>
    <w:p w14:paraId="7C8DE411" w14:textId="77777777" w:rsidR="00827F50" w:rsidRPr="0024467F" w:rsidRDefault="00827F50" w:rsidP="00BA15FD">
      <w:pPr>
        <w:spacing w:after="0" w:line="240" w:lineRule="auto"/>
        <w:jc w:val="both"/>
        <w:rPr>
          <w:rFonts w:ascii="Arial" w:eastAsia="Times New Roman" w:hAnsi="Arial" w:cs="Times New Roman"/>
          <w:b/>
          <w:sz w:val="20"/>
        </w:rPr>
      </w:pPr>
    </w:p>
    <w:p w14:paraId="6A736027" w14:textId="1799D938" w:rsidR="003F4283" w:rsidRPr="00B00EEA" w:rsidRDefault="00C36CD1" w:rsidP="00BA15FD">
      <w:pPr>
        <w:spacing w:after="0" w:line="240" w:lineRule="auto"/>
        <w:jc w:val="both"/>
        <w:rPr>
          <w:rFonts w:ascii="Arial" w:hAnsi="Arial" w:cs="Arial"/>
          <w:sz w:val="20"/>
          <w:szCs w:val="20"/>
        </w:rPr>
      </w:pPr>
      <w:r>
        <w:rPr>
          <w:rFonts w:ascii="Arial" w:hAnsi="Arial"/>
          <w:b/>
          <w:sz w:val="20"/>
        </w:rPr>
        <w:t>Comercialização</w:t>
      </w:r>
      <w:r w:rsidR="008411EA">
        <w:rPr>
          <w:rFonts w:ascii="Arial" w:hAnsi="Arial"/>
          <w:sz w:val="20"/>
        </w:rPr>
        <w:t xml:space="preserve">. </w:t>
      </w:r>
    </w:p>
    <w:p w14:paraId="673C9B4C" w14:textId="75F8B050" w:rsidR="005B53E5" w:rsidRPr="00B00EEA" w:rsidRDefault="004556EA" w:rsidP="009D4A54">
      <w:pPr>
        <w:pStyle w:val="ListParagraph"/>
        <w:numPr>
          <w:ilvl w:val="0"/>
          <w:numId w:val="35"/>
        </w:numPr>
        <w:spacing w:after="0" w:line="240" w:lineRule="auto"/>
        <w:ind w:left="426" w:hanging="426"/>
        <w:jc w:val="both"/>
        <w:rPr>
          <w:rFonts w:ascii="Arial" w:hAnsi="Arial" w:cs="Arial"/>
          <w:sz w:val="20"/>
          <w:szCs w:val="20"/>
        </w:rPr>
      </w:pPr>
      <w:r>
        <w:rPr>
          <w:rFonts w:ascii="Arial" w:hAnsi="Arial"/>
          <w:sz w:val="20"/>
        </w:rPr>
        <w:t xml:space="preserve">Existem muitos caminhos de comercialização, tanto com fins lucrativos quanto sem fins lucrativos. Isso pode envolver licenciamento exclusivo ou não exclusivo, cessão de PI, formação de uma start-up, uso de empresas de gerenciamento de patentes ou agências governamentais, uso sem fins lucrativos ou joint ventures. Veja também </w:t>
      </w:r>
      <w:hyperlink w:anchor="_Commercialization_Pathways" w:history="1">
        <w:r>
          <w:rPr>
            <w:rStyle w:val="Hyperlink"/>
            <w:rFonts w:ascii="Arial" w:hAnsi="Arial"/>
            <w:sz w:val="20"/>
          </w:rPr>
          <w:t>Artigo 9</w:t>
        </w:r>
        <w:r w:rsidR="001B6C31">
          <w:rPr>
            <w:rStyle w:val="Hyperlink"/>
            <w:rFonts w:ascii="Arial" w:hAnsi="Arial"/>
            <w:sz w:val="20"/>
          </w:rPr>
          <w:t>.</w:t>
        </w:r>
        <w:r>
          <w:rPr>
            <w:rStyle w:val="Hyperlink"/>
            <w:rFonts w:ascii="Arial" w:hAnsi="Arial"/>
            <w:sz w:val="20"/>
          </w:rPr>
          <w:t>4</w:t>
        </w:r>
      </w:hyperlink>
      <w:r>
        <w:rPr>
          <w:rFonts w:ascii="Arial" w:hAnsi="Arial"/>
          <w:sz w:val="20"/>
        </w:rPr>
        <w:t>.</w:t>
      </w:r>
    </w:p>
    <w:p w14:paraId="1B1E985D" w14:textId="77777777" w:rsidR="00BA15FD" w:rsidRPr="00B00EEA" w:rsidRDefault="00BA15FD" w:rsidP="009D4A54">
      <w:pPr>
        <w:pStyle w:val="ListParagraph"/>
        <w:numPr>
          <w:ilvl w:val="0"/>
          <w:numId w:val="35"/>
        </w:numPr>
        <w:spacing w:after="0" w:line="240" w:lineRule="auto"/>
        <w:ind w:left="426" w:hanging="426"/>
        <w:jc w:val="both"/>
        <w:rPr>
          <w:rFonts w:ascii="Arial" w:hAnsi="Arial" w:cs="Arial"/>
          <w:sz w:val="20"/>
          <w:szCs w:val="20"/>
        </w:rPr>
      </w:pPr>
      <w:r>
        <w:rPr>
          <w:rFonts w:ascii="Arial" w:hAnsi="Arial"/>
          <w:sz w:val="20"/>
        </w:rPr>
        <w:t>O uso de Materiais do Curso pela Instituição para fins de ensino e pesquisa em seus programas, geralmente não constitui Comercialização da PI.</w:t>
      </w:r>
    </w:p>
    <w:p w14:paraId="7FC7F4E2" w14:textId="77777777" w:rsidR="005B53E5" w:rsidRPr="0024467F" w:rsidRDefault="005B53E5" w:rsidP="00B7519E">
      <w:pPr>
        <w:pStyle w:val="ListParagraph"/>
        <w:spacing w:after="0" w:line="240" w:lineRule="auto"/>
        <w:ind w:left="426"/>
        <w:jc w:val="both"/>
        <w:rPr>
          <w:rFonts w:ascii="Arial" w:hAnsi="Arial" w:cs="Arial"/>
          <w:sz w:val="20"/>
          <w:szCs w:val="20"/>
        </w:rPr>
      </w:pPr>
    </w:p>
    <w:p w14:paraId="350A7EC9" w14:textId="1612338B" w:rsidR="004E3DE4" w:rsidRPr="00B00EEA" w:rsidRDefault="004E3DE4" w:rsidP="004E3DE4">
      <w:pPr>
        <w:tabs>
          <w:tab w:val="left" w:pos="993"/>
        </w:tabs>
        <w:spacing w:after="0" w:line="240" w:lineRule="auto"/>
        <w:jc w:val="both"/>
        <w:rPr>
          <w:rFonts w:ascii="Arial" w:eastAsia="Times New Roman" w:hAnsi="Arial" w:cs="Arial"/>
          <w:bCs/>
          <w:sz w:val="20"/>
        </w:rPr>
      </w:pPr>
      <w:r>
        <w:rPr>
          <w:rFonts w:ascii="Arial" w:hAnsi="Arial"/>
          <w:b/>
          <w:sz w:val="20"/>
        </w:rPr>
        <w:t>Entidade de Comercialização</w:t>
      </w:r>
      <w:r w:rsidR="008411EA">
        <w:rPr>
          <w:rFonts w:ascii="Arial" w:hAnsi="Arial"/>
          <w:b/>
          <w:sz w:val="20"/>
        </w:rPr>
        <w:t xml:space="preserve">. </w:t>
      </w:r>
      <w:r>
        <w:rPr>
          <w:rFonts w:ascii="Arial" w:hAnsi="Arial"/>
          <w:sz w:val="20"/>
        </w:rPr>
        <w:t>Pode ser uma spin-off/out ou uma start-up.</w:t>
      </w:r>
    </w:p>
    <w:p w14:paraId="6EAEA215" w14:textId="6E707BB4" w:rsidR="004E3DE4" w:rsidRPr="00BD07D8"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rPr>
      </w:pPr>
      <w:r>
        <w:rPr>
          <w:rFonts w:ascii="Arial" w:hAnsi="Arial"/>
          <w:sz w:val="20"/>
        </w:rPr>
        <w:t>Uma start-up é uma empresa nova</w:t>
      </w:r>
      <w:r w:rsidR="008411EA">
        <w:rPr>
          <w:rFonts w:ascii="Arial" w:hAnsi="Arial"/>
          <w:sz w:val="20"/>
        </w:rPr>
        <w:t xml:space="preserve">. </w:t>
      </w:r>
      <w:r>
        <w:rPr>
          <w:rFonts w:ascii="Arial" w:hAnsi="Arial"/>
          <w:sz w:val="20"/>
        </w:rPr>
        <w:t>No contexto de uma Política de PI institucional, uma start-up pode ter sido formada por Membros da Equipe ou Alunos da Instituição, ou pode ser uma nova empresa que adquire e busca comercializar a PI da Instituição. Não há um período de tempo definitivo em que uma empresa recém-formada deixa de ser uma start-up</w:t>
      </w:r>
      <w:r w:rsidR="008411EA">
        <w:rPr>
          <w:rFonts w:ascii="Arial" w:hAnsi="Arial"/>
          <w:sz w:val="20"/>
        </w:rPr>
        <w:t xml:space="preserve">. </w:t>
      </w:r>
      <w:r>
        <w:rPr>
          <w:rFonts w:ascii="Arial" w:hAnsi="Arial"/>
          <w:sz w:val="20"/>
        </w:rPr>
        <w:t>No entanto, dezoito a vinte e quatro meses é razoável</w:t>
      </w:r>
      <w:r w:rsidR="008411EA">
        <w:rPr>
          <w:rFonts w:ascii="Arial" w:hAnsi="Arial"/>
          <w:sz w:val="20"/>
        </w:rPr>
        <w:t xml:space="preserve">. </w:t>
      </w:r>
      <w:r>
        <w:rPr>
          <w:rFonts w:ascii="Arial" w:hAnsi="Arial"/>
          <w:sz w:val="20"/>
        </w:rPr>
        <w:t xml:space="preserve">A start-up pode ser formada. </w:t>
      </w:r>
    </w:p>
    <w:p w14:paraId="3C8D0141" w14:textId="77777777"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rPr>
      </w:pPr>
      <w:r>
        <w:rPr>
          <w:rFonts w:ascii="Arial" w:hAnsi="Arial"/>
          <w:sz w:val="20"/>
        </w:rPr>
        <w:t>Uma spin-off (ou spin-out) se refere a uma empresa start-up que "se desliga" ou "se separa" da Instituição. Uma spin-off está, portanto, sempre associada à Instituição.</w:t>
      </w:r>
    </w:p>
    <w:p w14:paraId="0875FDBF" w14:textId="77777777"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rPr>
      </w:pPr>
      <w:r>
        <w:rPr>
          <w:rFonts w:ascii="Arial" w:hAnsi="Arial"/>
          <w:sz w:val="20"/>
        </w:rPr>
        <w:t xml:space="preserve">As start-ups ou spin-offs podem, em alguns casos, ser parcialmente detidas pela Instituição em virtude do contrato de licenciamento de PI que reparte a participação accionista </w:t>
      </w:r>
      <w:r>
        <w:rPr>
          <w:rFonts w:ascii="Arial" w:hAnsi="Arial"/>
          <w:i/>
          <w:sz w:val="20"/>
        </w:rPr>
        <w:t>in lieu</w:t>
      </w:r>
      <w:r>
        <w:rPr>
          <w:rFonts w:ascii="Arial" w:hAnsi="Arial"/>
          <w:sz w:val="20"/>
        </w:rPr>
        <w:t xml:space="preserve"> de, por exemplo, royalties.</w:t>
      </w:r>
    </w:p>
    <w:p w14:paraId="319447C7" w14:textId="77777777" w:rsidR="00F05FF0" w:rsidRPr="0024467F" w:rsidRDefault="00F05FF0" w:rsidP="00E73746">
      <w:pPr>
        <w:spacing w:after="0" w:line="240" w:lineRule="auto"/>
        <w:jc w:val="both"/>
        <w:rPr>
          <w:rFonts w:ascii="Arial" w:eastAsia="Times New Roman" w:hAnsi="Arial" w:cs="Arial"/>
          <w:b/>
          <w:sz w:val="20"/>
          <w:szCs w:val="20"/>
        </w:rPr>
      </w:pPr>
    </w:p>
    <w:p w14:paraId="20926A65" w14:textId="77777777" w:rsidR="00DA7E04" w:rsidRPr="00B00EEA" w:rsidRDefault="00006582" w:rsidP="0038100C">
      <w:pPr>
        <w:spacing w:after="0" w:line="240" w:lineRule="auto"/>
        <w:jc w:val="both"/>
        <w:rPr>
          <w:rFonts w:ascii="Arial" w:hAnsi="Arial" w:cs="Arial"/>
          <w:b/>
          <w:sz w:val="20"/>
          <w:szCs w:val="20"/>
        </w:rPr>
      </w:pPr>
      <w:r>
        <w:rPr>
          <w:rFonts w:ascii="Arial" w:hAnsi="Arial"/>
          <w:b/>
          <w:sz w:val="20"/>
        </w:rPr>
        <w:t xml:space="preserve">Materiais do Curso. </w:t>
      </w:r>
    </w:p>
    <w:p w14:paraId="2C087B03" w14:textId="3252C261" w:rsidR="0038100C" w:rsidRPr="00B00EEA" w:rsidRDefault="004E3DE4" w:rsidP="009D4A54">
      <w:pPr>
        <w:pStyle w:val="ListParagraph"/>
        <w:numPr>
          <w:ilvl w:val="0"/>
          <w:numId w:val="135"/>
        </w:numPr>
        <w:spacing w:after="0" w:line="240" w:lineRule="auto"/>
        <w:ind w:left="426" w:hanging="426"/>
        <w:jc w:val="both"/>
        <w:rPr>
          <w:rFonts w:ascii="Arial" w:eastAsia="Times New Roman" w:hAnsi="Arial" w:cs="Arial"/>
          <w:sz w:val="20"/>
        </w:rPr>
      </w:pPr>
      <w:r>
        <w:rPr>
          <w:rFonts w:ascii="Arial" w:hAnsi="Arial"/>
          <w:sz w:val="20"/>
        </w:rPr>
        <w:t>Os Materiais do Curso podem estar em qualquer formato, incluindo material digital, impresso, em vídeo e gráfico, e podem incluir:</w:t>
      </w:r>
    </w:p>
    <w:p w14:paraId="5C63DF28"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rPr>
      </w:pPr>
      <w:r>
        <w:rPr>
          <w:rFonts w:ascii="Arial" w:hAnsi="Arial"/>
          <w:sz w:val="20"/>
        </w:rPr>
        <w:t>guias de cursos, apostilas, materiais on-line;</w:t>
      </w:r>
    </w:p>
    <w:p w14:paraId="7E74DCCA"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rPr>
      </w:pPr>
      <w:r>
        <w:rPr>
          <w:rFonts w:ascii="Arial" w:hAnsi="Arial"/>
          <w:sz w:val="20"/>
        </w:rPr>
        <w:t>materiais de apresentação (incluindo notas de aula, imagens, slides, gráficos, apresentações multimídia, software do curso e outros materiais audiovisuais);</w:t>
      </w:r>
    </w:p>
    <w:p w14:paraId="64473AB9"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rPr>
      </w:pPr>
      <w:r>
        <w:rPr>
          <w:rFonts w:ascii="Arial" w:hAnsi="Arial"/>
          <w:sz w:val="20"/>
        </w:rPr>
        <w:t>ferramentas de aprendizagem virtual;</w:t>
      </w:r>
    </w:p>
    <w:p w14:paraId="1BA4C977"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rPr>
      </w:pPr>
      <w:r>
        <w:rPr>
          <w:rFonts w:ascii="Arial" w:hAnsi="Arial"/>
          <w:sz w:val="20"/>
        </w:rPr>
        <w:t>manuais de instruções, livros e guias; e</w:t>
      </w:r>
    </w:p>
    <w:p w14:paraId="1BD1902E" w14:textId="77777777" w:rsidR="0038100C" w:rsidRPr="00B00EEA" w:rsidRDefault="007816B9" w:rsidP="009D4A54">
      <w:pPr>
        <w:pStyle w:val="ListParagraph"/>
        <w:numPr>
          <w:ilvl w:val="0"/>
          <w:numId w:val="34"/>
        </w:numPr>
        <w:spacing w:after="0" w:line="240" w:lineRule="auto"/>
        <w:ind w:hanging="294"/>
        <w:jc w:val="both"/>
        <w:rPr>
          <w:rFonts w:ascii="Arial" w:eastAsia="Times New Roman" w:hAnsi="Arial" w:cs="Arial"/>
          <w:sz w:val="20"/>
        </w:rPr>
      </w:pPr>
      <w:r>
        <w:rPr>
          <w:rFonts w:ascii="Arial" w:hAnsi="Arial"/>
          <w:sz w:val="20"/>
        </w:rPr>
        <w:t xml:space="preserve">questões de avaliação e exame. </w:t>
      </w:r>
    </w:p>
    <w:p w14:paraId="51950628" w14:textId="77777777" w:rsidR="003F4283" w:rsidRPr="0024467F" w:rsidRDefault="003F4283" w:rsidP="003F4283">
      <w:pPr>
        <w:pStyle w:val="ListParagraph"/>
        <w:spacing w:after="0" w:line="240" w:lineRule="auto"/>
        <w:jc w:val="both"/>
        <w:rPr>
          <w:rFonts w:ascii="Arial" w:eastAsia="Times New Roman" w:hAnsi="Arial" w:cs="Arial"/>
          <w:sz w:val="20"/>
        </w:rPr>
      </w:pPr>
    </w:p>
    <w:p w14:paraId="5D1A1761" w14:textId="77777777" w:rsidR="00DA7E04" w:rsidRPr="00B00EEA" w:rsidRDefault="00953E35" w:rsidP="00FE304B">
      <w:pPr>
        <w:pStyle w:val="Default"/>
        <w:jc w:val="both"/>
        <w:rPr>
          <w:rFonts w:eastAsia="Times New Roman"/>
          <w:b/>
          <w:sz w:val="20"/>
          <w:szCs w:val="22"/>
        </w:rPr>
      </w:pPr>
      <w:r>
        <w:rPr>
          <w:b/>
          <w:color w:val="auto"/>
          <w:sz w:val="20"/>
        </w:rPr>
        <w:t>Criador.</w:t>
      </w:r>
      <w:r>
        <w:rPr>
          <w:b/>
          <w:sz w:val="20"/>
        </w:rPr>
        <w:t xml:space="preserve"> </w:t>
      </w:r>
    </w:p>
    <w:p w14:paraId="4CFFBED3" w14:textId="42BC9D1E" w:rsidR="00FE304B" w:rsidRPr="00CC0CF0" w:rsidRDefault="00FE304B" w:rsidP="009D4A54">
      <w:pPr>
        <w:pStyle w:val="Default"/>
        <w:numPr>
          <w:ilvl w:val="0"/>
          <w:numId w:val="135"/>
        </w:numPr>
        <w:ind w:left="426" w:hanging="426"/>
        <w:jc w:val="both"/>
        <w:rPr>
          <w:color w:val="auto"/>
          <w:sz w:val="20"/>
          <w:szCs w:val="22"/>
        </w:rPr>
      </w:pPr>
      <w:r>
        <w:rPr>
          <w:sz w:val="20"/>
        </w:rPr>
        <w:t>Este termo é usado para se referir a qualquer Membro da Equipe, Aluno ou Visitante que cria PI na Instituição.</w:t>
      </w:r>
      <w:r>
        <w:rPr>
          <w:b/>
          <w:sz w:val="20"/>
        </w:rPr>
        <w:t xml:space="preserve"> </w:t>
      </w:r>
      <w:r>
        <w:rPr>
          <w:sz w:val="20"/>
        </w:rPr>
        <w:t>O Criador</w:t>
      </w:r>
      <w:r>
        <w:rPr>
          <w:color w:val="auto"/>
          <w:sz w:val="20"/>
        </w:rPr>
        <w:t xml:space="preserve"> pode ser um inventor, autor, artista, designer, desenvolvedor e outras designações semelhantes, conforme definido por lei e usado na prática</w:t>
      </w:r>
      <w:r w:rsidR="008411EA">
        <w:rPr>
          <w:sz w:val="20"/>
        </w:rPr>
        <w:t xml:space="preserve">. </w:t>
      </w:r>
      <w:r>
        <w:rPr>
          <w:sz w:val="20"/>
        </w:rPr>
        <w:t>Para ser considerado um Criador, um indivíduo deve ser considerado um criador da PI de acordo com a lei relevante, por exemplo, um inventor de acordo com a Lei de Patentes, ou um autor ou coautor de acordo com a Lei de Direitos Autorais. É reconhecido que o esforço colaborativo ou cooperativo pode envolver vários Criadores</w:t>
      </w:r>
      <w:r w:rsidR="008411EA">
        <w:rPr>
          <w:sz w:val="20"/>
        </w:rPr>
        <w:t xml:space="preserve">. </w:t>
      </w:r>
      <w:r>
        <w:rPr>
          <w:sz w:val="20"/>
        </w:rPr>
        <w:t xml:space="preserve">Para efeitos do Modelo de Política, o </w:t>
      </w:r>
      <w:r>
        <w:rPr>
          <w:color w:val="auto"/>
          <w:sz w:val="20"/>
        </w:rPr>
        <w:t>Criador pode ser um Membro da Equipe, Visitante ou Aluno.</w:t>
      </w:r>
    </w:p>
    <w:p w14:paraId="0A4895A6" w14:textId="77777777" w:rsidR="00165818" w:rsidRPr="0024467F" w:rsidRDefault="00165818" w:rsidP="003F4283">
      <w:pPr>
        <w:pStyle w:val="ListParagraph"/>
        <w:spacing w:after="0" w:line="240" w:lineRule="auto"/>
        <w:jc w:val="both"/>
        <w:rPr>
          <w:rFonts w:ascii="Arial" w:eastAsia="Times New Roman" w:hAnsi="Arial" w:cs="Arial"/>
          <w:sz w:val="20"/>
        </w:rPr>
      </w:pPr>
    </w:p>
    <w:p w14:paraId="1DA1B17C" w14:textId="4AC315A3" w:rsidR="00DA7E04" w:rsidRPr="00B00EEA" w:rsidRDefault="0000497C" w:rsidP="0000497C">
      <w:pPr>
        <w:autoSpaceDE w:val="0"/>
        <w:autoSpaceDN w:val="0"/>
        <w:adjustRightInd w:val="0"/>
        <w:spacing w:after="0" w:line="240" w:lineRule="auto"/>
        <w:jc w:val="both"/>
        <w:rPr>
          <w:rFonts w:ascii="Arial" w:hAnsi="Arial" w:cs="Arial"/>
          <w:b/>
          <w:sz w:val="20"/>
        </w:rPr>
      </w:pPr>
      <w:r>
        <w:rPr>
          <w:rFonts w:ascii="Arial" w:hAnsi="Arial"/>
          <w:b/>
          <w:sz w:val="20"/>
        </w:rPr>
        <w:t>Facilitador</w:t>
      </w:r>
      <w:r w:rsidR="008411EA">
        <w:rPr>
          <w:rFonts w:ascii="Arial" w:hAnsi="Arial"/>
          <w:b/>
          <w:sz w:val="20"/>
        </w:rPr>
        <w:t xml:space="preserve">. </w:t>
      </w:r>
    </w:p>
    <w:p w14:paraId="5F22B404" w14:textId="77777777" w:rsidR="0000497C" w:rsidRPr="00B00EEA" w:rsidRDefault="0000497C" w:rsidP="009D4A54">
      <w:pPr>
        <w:pStyle w:val="ListParagraph"/>
        <w:numPr>
          <w:ilvl w:val="0"/>
          <w:numId w:val="135"/>
        </w:numPr>
        <w:autoSpaceDE w:val="0"/>
        <w:autoSpaceDN w:val="0"/>
        <w:adjustRightInd w:val="0"/>
        <w:spacing w:after="0" w:line="240" w:lineRule="auto"/>
        <w:ind w:left="426" w:hanging="426"/>
        <w:jc w:val="both"/>
        <w:rPr>
          <w:rFonts w:ascii="Arial" w:hAnsi="Arial" w:cs="Arial"/>
          <w:sz w:val="20"/>
        </w:rPr>
      </w:pPr>
      <w:r>
        <w:rPr>
          <w:rFonts w:ascii="Arial" w:hAnsi="Arial"/>
          <w:sz w:val="20"/>
        </w:rPr>
        <w:t>Este termo é relevante no contexto dos incentivos (Artigo 10), para recompensar também aqueles que fizeram contribuições indiretas para gerar PI (por exemplo, alocando uma parcela dos retornos ao departamento).</w:t>
      </w:r>
    </w:p>
    <w:p w14:paraId="5160F2B7" w14:textId="77777777" w:rsidR="0000497C" w:rsidRPr="0024467F" w:rsidRDefault="0000497C" w:rsidP="0000497C">
      <w:pPr>
        <w:autoSpaceDE w:val="0"/>
        <w:autoSpaceDN w:val="0"/>
        <w:adjustRightInd w:val="0"/>
        <w:spacing w:after="0" w:line="240" w:lineRule="auto"/>
        <w:jc w:val="both"/>
        <w:rPr>
          <w:rFonts w:ascii="Arial" w:hAnsi="Arial" w:cs="Arial"/>
          <w:b/>
          <w:sz w:val="20"/>
        </w:rPr>
      </w:pPr>
    </w:p>
    <w:p w14:paraId="0F4C3A97" w14:textId="63F89C75" w:rsidR="00533A10" w:rsidRPr="00B00EEA" w:rsidRDefault="003F4283" w:rsidP="00734F31">
      <w:pPr>
        <w:autoSpaceDE w:val="0"/>
        <w:autoSpaceDN w:val="0"/>
        <w:adjustRightInd w:val="0"/>
        <w:spacing w:after="0" w:line="240" w:lineRule="auto"/>
        <w:jc w:val="both"/>
        <w:rPr>
          <w:rFonts w:ascii="Arial" w:hAnsi="Arial" w:cs="Arial"/>
          <w:b/>
          <w:sz w:val="20"/>
        </w:rPr>
      </w:pPr>
      <w:r>
        <w:rPr>
          <w:rFonts w:ascii="Arial" w:hAnsi="Arial"/>
          <w:b/>
          <w:sz w:val="20"/>
        </w:rPr>
        <w:t>Recursos Genéticos (RGs)</w:t>
      </w:r>
      <w:r w:rsidR="008411EA">
        <w:rPr>
          <w:rFonts w:ascii="Arial" w:hAnsi="Arial"/>
          <w:b/>
          <w:sz w:val="20"/>
        </w:rPr>
        <w:t xml:space="preserve">. </w:t>
      </w:r>
    </w:p>
    <w:p w14:paraId="7A7059BD"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rPr>
      </w:pPr>
      <w:r>
        <w:rPr>
          <w:rFonts w:ascii="Arial" w:hAnsi="Arial"/>
          <w:sz w:val="20"/>
        </w:rPr>
        <w:t xml:space="preserve">Os RGs em si, como encontrados na natureza, não são PI. Eles não são criações da mente humana e, portanto, não podem ser protegidos diretamente como PI. No entanto, as invenções baseadas em ou desenvolvidas com o uso de RGs são elegíveis para proteção através do sistema de PI, quer através de uma patente, quer, no caso de atividades de investigação e melhoramento </w:t>
      </w:r>
      <w:r>
        <w:rPr>
          <w:rFonts w:ascii="Arial" w:hAnsi="Arial"/>
          <w:sz w:val="20"/>
        </w:rPr>
        <w:lastRenderedPageBreak/>
        <w:t xml:space="preserve">que possam levar à criação de novas variedades vegetais, por um sistema </w:t>
      </w:r>
      <w:r>
        <w:rPr>
          <w:rFonts w:ascii="Arial" w:hAnsi="Arial"/>
          <w:i/>
          <w:sz w:val="20"/>
        </w:rPr>
        <w:t>sui generis</w:t>
      </w:r>
      <w:r>
        <w:rPr>
          <w:rFonts w:ascii="Arial" w:hAnsi="Arial"/>
          <w:sz w:val="20"/>
        </w:rPr>
        <w:t xml:space="preserve"> que regula os direitos dos melhoradores de plantas.</w:t>
      </w:r>
      <w:r w:rsidRPr="00B00EEA">
        <w:rPr>
          <w:rStyle w:val="FootnoteReference"/>
          <w:rFonts w:ascii="Arial" w:hAnsi="Arial" w:cs="Arial"/>
          <w:sz w:val="20"/>
          <w:lang w:val="en-US"/>
        </w:rPr>
        <w:footnoteReference w:id="40"/>
      </w:r>
    </w:p>
    <w:p w14:paraId="432FB247" w14:textId="77777777" w:rsidR="00C43039"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rPr>
      </w:pPr>
      <w:r>
        <w:rPr>
          <w:rFonts w:ascii="Arial" w:hAnsi="Arial"/>
          <w:sz w:val="20"/>
        </w:rPr>
        <w:t xml:space="preserve">Os RGs estão sujeitos a regulamentações de acesso e repartição de benefícios, em particular no escopo dos quadros jurídicos e políticos internacionais definidos pela </w:t>
      </w:r>
      <w:r>
        <w:rPr>
          <w:rFonts w:ascii="Arial" w:hAnsi="Arial"/>
          <w:i/>
          <w:sz w:val="20"/>
        </w:rPr>
        <w:t>Convenção sobre a Diversidade Biológica</w:t>
      </w:r>
      <w:r>
        <w:rPr>
          <w:rFonts w:ascii="Arial" w:hAnsi="Arial"/>
          <w:sz w:val="20"/>
        </w:rPr>
        <w:t xml:space="preserve"> (CDB) e seu </w:t>
      </w:r>
      <w:r>
        <w:rPr>
          <w:rFonts w:ascii="Arial" w:hAnsi="Arial"/>
          <w:i/>
          <w:sz w:val="20"/>
        </w:rPr>
        <w:t>Protocolo de Nagoya sobre o Acesso aos Recursos Genéticos e a Repartição Justa e Equitativa dos Benefícios Derivados da sua Utilização</w:t>
      </w:r>
      <w:r>
        <w:rPr>
          <w:rFonts w:ascii="Arial" w:hAnsi="Arial"/>
          <w:sz w:val="20"/>
        </w:rPr>
        <w:t xml:space="preserve">, bem como pelo </w:t>
      </w:r>
      <w:r>
        <w:rPr>
          <w:rFonts w:ascii="Arial" w:hAnsi="Arial"/>
          <w:i/>
          <w:sz w:val="20"/>
        </w:rPr>
        <w:t>Tratado Internacional sobre Recursos Genéticos Vegetais para Alimentação e Agricultura da Organização das Nações Unidas para Alimentação e Agricultura</w:t>
      </w:r>
      <w:r>
        <w:rPr>
          <w:rFonts w:ascii="Arial" w:hAnsi="Arial"/>
          <w:sz w:val="20"/>
        </w:rPr>
        <w:t>.</w:t>
      </w:r>
      <w:r w:rsidRPr="00B00EEA">
        <w:rPr>
          <w:rStyle w:val="FootnoteReference"/>
          <w:rFonts w:ascii="Arial" w:hAnsi="Arial" w:cs="Arial"/>
          <w:sz w:val="20"/>
          <w:lang w:val="en-US"/>
        </w:rPr>
        <w:footnoteReference w:id="41"/>
      </w:r>
    </w:p>
    <w:p w14:paraId="17D72922"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rPr>
      </w:pPr>
      <w:r>
        <w:rPr>
          <w:rFonts w:ascii="Arial" w:hAnsi="Arial"/>
          <w:sz w:val="20"/>
        </w:rPr>
        <w:t>O princípio do consentimento prévio informado (CPI) relativo ao acesso aos RGs é um dos pilares da CDB.</w:t>
      </w:r>
      <w:r w:rsidRPr="00B00EEA">
        <w:rPr>
          <w:rStyle w:val="FootnoteReference"/>
          <w:rFonts w:ascii="Arial" w:hAnsi="Arial" w:cs="Arial"/>
          <w:sz w:val="20"/>
          <w:lang w:val="en-US"/>
        </w:rPr>
        <w:footnoteReference w:id="42"/>
      </w:r>
      <w:r>
        <w:rPr>
          <w:rFonts w:ascii="Arial" w:hAnsi="Arial"/>
          <w:sz w:val="20"/>
        </w:rPr>
        <w:t xml:space="preserve">  De acordo com o princípio do CPI, os titulares devem ser totalmente consultados antes que seus recursos genéticos sejam acessados ou utilizados por terceiros e um acordo deve ser alcançado em termos apropriados; eles também devem ser totalmente informados sobre as consequências do uso pretendido. O escopo de uso acordado pode ser definido em contratos, licenças ou acordos, geralmente chamados de acordos de acesso e repartição de benefícios, que podem especificar como os benefícios derivados das atividades comerciais devem ser compartilhados. </w:t>
      </w:r>
    </w:p>
    <w:p w14:paraId="3451C0F0"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rPr>
      </w:pPr>
      <w:r>
        <w:rPr>
          <w:rFonts w:ascii="Arial" w:hAnsi="Arial"/>
          <w:sz w:val="20"/>
        </w:rPr>
        <w:t>A ideia de um equilíbrio equitativo de interesses na lei de PI é frequentemente expressa em termos de equilíbrio entre os interesses dos titulares de direitos e do público geral. De acordo com este princípio, os titulares de RGs recebem uma parcela equitativa dos benefícios decorrentes do uso dos RGs, que podem ser expressos em termos de benefícios financeiros ou outros benefícios não financeiros</w:t>
      </w:r>
      <w:r>
        <w:rPr>
          <w:sz w:val="20"/>
        </w:rPr>
        <w:t>.</w:t>
      </w:r>
      <w:r w:rsidRPr="00B00EEA">
        <w:rPr>
          <w:rStyle w:val="FootnoteReference"/>
          <w:rFonts w:ascii="Arial" w:hAnsi="Arial" w:cs="Arial"/>
          <w:sz w:val="20"/>
          <w:lang w:val="en-US"/>
        </w:rPr>
        <w:footnoteReference w:id="43"/>
      </w:r>
      <w:r>
        <w:rPr>
          <w:sz w:val="20"/>
        </w:rPr>
        <w:t xml:space="preserve"> </w:t>
      </w:r>
    </w:p>
    <w:p w14:paraId="3F638AE2" w14:textId="77777777" w:rsidR="003F4283" w:rsidRPr="00B00EEA" w:rsidRDefault="003F4283" w:rsidP="009D4A54">
      <w:pPr>
        <w:pStyle w:val="ListParagraph"/>
        <w:numPr>
          <w:ilvl w:val="0"/>
          <w:numId w:val="73"/>
        </w:numPr>
        <w:autoSpaceDE w:val="0"/>
        <w:autoSpaceDN w:val="0"/>
        <w:adjustRightInd w:val="0"/>
        <w:spacing w:after="0" w:line="240" w:lineRule="auto"/>
        <w:ind w:left="426" w:hanging="426"/>
        <w:jc w:val="both"/>
        <w:rPr>
          <w:sz w:val="20"/>
        </w:rPr>
      </w:pPr>
      <w:r>
        <w:rPr>
          <w:rFonts w:ascii="Arial" w:hAnsi="Arial"/>
          <w:sz w:val="20"/>
        </w:rPr>
        <w:t xml:space="preserve">Para mais informações, veja a </w:t>
      </w:r>
      <w:hyperlink r:id="rId34" w:history="1">
        <w:r>
          <w:rPr>
            <w:rStyle w:val="Hyperlink"/>
            <w:rFonts w:ascii="Arial" w:hAnsi="Arial"/>
            <w:sz w:val="20"/>
          </w:rPr>
          <w:t>página da web da OMPI</w:t>
        </w:r>
        <w:r>
          <w:rPr>
            <w:rStyle w:val="Hyperlink"/>
            <w:sz w:val="20"/>
          </w:rPr>
          <w:t xml:space="preserve"> </w:t>
        </w:r>
        <w:r>
          <w:rPr>
            <w:rStyle w:val="Hyperlink"/>
            <w:rFonts w:ascii="Arial" w:hAnsi="Arial"/>
            <w:sz w:val="20"/>
          </w:rPr>
          <w:t>sobre Recursos Genéticos</w:t>
        </w:r>
      </w:hyperlink>
      <w:r>
        <w:rPr>
          <w:sz w:val="20"/>
        </w:rPr>
        <w:t>.</w:t>
      </w:r>
    </w:p>
    <w:p w14:paraId="68D3D5D1" w14:textId="77777777" w:rsidR="003F4283" w:rsidRPr="0024467F" w:rsidRDefault="003F4283" w:rsidP="00734F31">
      <w:pPr>
        <w:spacing w:after="0" w:line="240" w:lineRule="auto"/>
        <w:jc w:val="both"/>
        <w:rPr>
          <w:rFonts w:ascii="Arial" w:hAnsi="Arial" w:cs="Arial"/>
          <w:sz w:val="20"/>
          <w:szCs w:val="20"/>
        </w:rPr>
      </w:pPr>
    </w:p>
    <w:p w14:paraId="2ABFD81D" w14:textId="655034AA" w:rsidR="00DB271B" w:rsidRPr="00B00EEA" w:rsidRDefault="005C3F73" w:rsidP="00734F31">
      <w:pPr>
        <w:spacing w:after="0" w:line="240" w:lineRule="auto"/>
        <w:jc w:val="both"/>
        <w:rPr>
          <w:rFonts w:ascii="Arial" w:hAnsi="Arial" w:cs="Arial"/>
          <w:b/>
          <w:color w:val="000000" w:themeColor="text1"/>
          <w:sz w:val="20"/>
        </w:rPr>
      </w:pPr>
      <w:r>
        <w:rPr>
          <w:rFonts w:ascii="Arial" w:hAnsi="Arial"/>
          <w:b/>
          <w:color w:val="000000" w:themeColor="text1"/>
          <w:sz w:val="20"/>
        </w:rPr>
        <w:t>Invenção</w:t>
      </w:r>
      <w:r w:rsidR="008411EA">
        <w:rPr>
          <w:rFonts w:ascii="Arial" w:hAnsi="Arial"/>
          <w:b/>
          <w:color w:val="000000" w:themeColor="text1"/>
          <w:sz w:val="20"/>
        </w:rPr>
        <w:t xml:space="preserve">. </w:t>
      </w:r>
    </w:p>
    <w:p w14:paraId="1CD28A28" w14:textId="47BCDF52" w:rsidR="00DB271B" w:rsidRPr="00B00EEA" w:rsidRDefault="00076ADB" w:rsidP="009D4A54">
      <w:pPr>
        <w:pStyle w:val="ListParagraph"/>
        <w:numPr>
          <w:ilvl w:val="0"/>
          <w:numId w:val="36"/>
        </w:numPr>
        <w:spacing w:line="240" w:lineRule="auto"/>
        <w:ind w:left="426" w:hanging="426"/>
        <w:jc w:val="both"/>
        <w:rPr>
          <w:rFonts w:ascii="Arial" w:hAnsi="Arial" w:cs="Arial"/>
          <w:sz w:val="20"/>
        </w:rPr>
      </w:pPr>
      <w:r>
        <w:rPr>
          <w:rFonts w:ascii="Arial" w:hAnsi="Arial"/>
          <w:sz w:val="20"/>
        </w:rPr>
        <w:t>Esta definição precisa ser adaptada à legislação nacional que trata de patentes</w:t>
      </w:r>
      <w:r w:rsidR="008411EA">
        <w:rPr>
          <w:rFonts w:ascii="Arial" w:hAnsi="Arial"/>
          <w:sz w:val="20"/>
        </w:rPr>
        <w:t xml:space="preserve">. </w:t>
      </w:r>
      <w:r>
        <w:rPr>
          <w:rFonts w:ascii="Arial" w:hAnsi="Arial"/>
          <w:sz w:val="20"/>
        </w:rPr>
        <w:t>Muitas leis nacionais estabelecem o que não pode ser considerado uma invenção, mas não definem o que é uma invenção, além de estabelecer os critérios que uma invenção deve cumprir para ser patenteável</w:t>
      </w:r>
      <w:r w:rsidR="008411EA">
        <w:rPr>
          <w:rFonts w:ascii="Arial" w:hAnsi="Arial"/>
          <w:sz w:val="20"/>
        </w:rPr>
        <w:t xml:space="preserve">. </w:t>
      </w:r>
    </w:p>
    <w:p w14:paraId="540AEE28" w14:textId="77777777" w:rsidR="00F43DEF" w:rsidRPr="00B00EEA" w:rsidRDefault="00DB271B" w:rsidP="009D4A54">
      <w:pPr>
        <w:pStyle w:val="ListParagraph"/>
        <w:numPr>
          <w:ilvl w:val="0"/>
          <w:numId w:val="36"/>
        </w:numPr>
        <w:spacing w:after="0" w:line="240" w:lineRule="auto"/>
        <w:ind w:left="425" w:hanging="425"/>
        <w:jc w:val="both"/>
        <w:rPr>
          <w:rFonts w:ascii="Arial" w:hAnsi="Arial" w:cs="Arial"/>
          <w:sz w:val="20"/>
        </w:rPr>
      </w:pPr>
      <w:r>
        <w:rPr>
          <w:rFonts w:ascii="Arial" w:hAnsi="Arial"/>
          <w:sz w:val="20"/>
        </w:rPr>
        <w:t>Poderia ser acrescentado um esclarecimento sobre o que constitui uma “invenção patenteável”. Existem inúmeras condições que devem ser atendidas para obter uma patente e não é possível compilar uma lista exaustiva e universalmente aplicável. Entretanto, algumas das principais condições incluem o seguinte:</w:t>
      </w:r>
    </w:p>
    <w:p w14:paraId="425F5544" w14:textId="77777777" w:rsidR="00F43DEF" w:rsidRPr="00B00EEA" w:rsidRDefault="00F43DEF" w:rsidP="009D4A54">
      <w:pPr>
        <w:numPr>
          <w:ilvl w:val="0"/>
          <w:numId w:val="37"/>
        </w:numPr>
        <w:spacing w:after="0" w:line="240" w:lineRule="auto"/>
        <w:ind w:hanging="294"/>
        <w:jc w:val="both"/>
        <w:rPr>
          <w:rFonts w:ascii="Arial" w:hAnsi="Arial" w:cs="Arial"/>
          <w:sz w:val="20"/>
        </w:rPr>
      </w:pPr>
      <w:r>
        <w:rPr>
          <w:rFonts w:ascii="Arial" w:hAnsi="Arial"/>
          <w:sz w:val="20"/>
        </w:rPr>
        <w:t>A invenção deve ser nova/inovadora, isto é, incluir algumas características inovadoras que não são conhecidas no corpo de conhecimento existente em sua área técnica. Este corpo de conhecimento existente é denominado “estado da técnica”.</w:t>
      </w:r>
    </w:p>
    <w:p w14:paraId="5E56D849" w14:textId="77777777" w:rsidR="00F43DEF" w:rsidRPr="00B00EEA" w:rsidRDefault="00F43DEF" w:rsidP="009D4A54">
      <w:pPr>
        <w:numPr>
          <w:ilvl w:val="0"/>
          <w:numId w:val="37"/>
        </w:numPr>
        <w:spacing w:after="0" w:line="240" w:lineRule="auto"/>
        <w:ind w:hanging="294"/>
        <w:jc w:val="both"/>
        <w:rPr>
          <w:rFonts w:ascii="Arial" w:hAnsi="Arial" w:cs="Arial"/>
          <w:sz w:val="20"/>
        </w:rPr>
      </w:pPr>
      <w:r>
        <w:rPr>
          <w:rFonts w:ascii="Arial" w:hAnsi="Arial"/>
          <w:sz w:val="20"/>
        </w:rPr>
        <w:t>A invenção deve envolver uma “etapa inventiva” ou deve ser “não óbvia”, o que significa que não poderia ser deduzida obviamente por uma pessoa com habilidade comum no campo técnico relevante.</w:t>
      </w:r>
    </w:p>
    <w:p w14:paraId="44B44668" w14:textId="77777777" w:rsidR="00F43DEF" w:rsidRPr="00B00EEA" w:rsidRDefault="00F43DEF" w:rsidP="009D4A54">
      <w:pPr>
        <w:numPr>
          <w:ilvl w:val="0"/>
          <w:numId w:val="37"/>
        </w:numPr>
        <w:spacing w:after="0" w:line="240" w:lineRule="auto"/>
        <w:ind w:hanging="294"/>
        <w:jc w:val="both"/>
        <w:rPr>
          <w:rFonts w:ascii="Arial" w:hAnsi="Arial" w:cs="Arial"/>
          <w:sz w:val="20"/>
        </w:rPr>
      </w:pPr>
      <w:r>
        <w:rPr>
          <w:rFonts w:ascii="Arial" w:hAnsi="Arial"/>
          <w:sz w:val="20"/>
        </w:rPr>
        <w:t>A invenção deve ser passível de aplicação industrial, o que significa que deve ser capaz de ser usada para uma finalidade industrial ou comercial além de um mero fenômeno teórico, ou ser útil.</w:t>
      </w:r>
    </w:p>
    <w:p w14:paraId="52FDCE1C" w14:textId="77777777" w:rsidR="00F43DEF" w:rsidRPr="00B00EEA" w:rsidRDefault="00F43DEF" w:rsidP="009D4A54">
      <w:pPr>
        <w:numPr>
          <w:ilvl w:val="0"/>
          <w:numId w:val="37"/>
        </w:numPr>
        <w:spacing w:after="0" w:line="240" w:lineRule="auto"/>
        <w:ind w:hanging="294"/>
        <w:jc w:val="both"/>
        <w:rPr>
          <w:rFonts w:ascii="Arial" w:hAnsi="Arial" w:cs="Arial"/>
          <w:sz w:val="20"/>
        </w:rPr>
      </w:pPr>
      <w:r>
        <w:rPr>
          <w:rFonts w:ascii="Arial" w:hAnsi="Arial"/>
          <w:sz w:val="20"/>
        </w:rPr>
        <w:t xml:space="preserve">Seu objeto deve ser aceito como “patenteável” por lei. Em muitos países, descobertas, teorias científicas, criações estéticas, métodos matemáticos, variedades de plantas ou animais, </w:t>
      </w:r>
      <w:r>
        <w:rPr>
          <w:rFonts w:ascii="Arial" w:hAnsi="Arial"/>
          <w:sz w:val="20"/>
        </w:rPr>
        <w:lastRenderedPageBreak/>
        <w:t>descobertas de substâncias naturais, métodos comerciais, métodos de tratamento médico (em oposição a produtos médicos) ou programas de computador geralmente não são patenteáveis.</w:t>
      </w:r>
    </w:p>
    <w:p w14:paraId="6DD8E934" w14:textId="77777777" w:rsidR="00F43DEF" w:rsidRPr="00B00EEA" w:rsidRDefault="00F43DEF" w:rsidP="009D4A54">
      <w:pPr>
        <w:numPr>
          <w:ilvl w:val="0"/>
          <w:numId w:val="37"/>
        </w:numPr>
        <w:spacing w:after="0" w:line="240" w:lineRule="auto"/>
        <w:ind w:hanging="294"/>
        <w:jc w:val="both"/>
        <w:rPr>
          <w:rFonts w:ascii="Arial" w:hAnsi="Arial" w:cs="Arial"/>
          <w:b/>
          <w:sz w:val="20"/>
        </w:rPr>
      </w:pPr>
      <w:r>
        <w:rPr>
          <w:rFonts w:ascii="Arial" w:hAnsi="Arial"/>
          <w:sz w:val="20"/>
        </w:rPr>
        <w:t>A invenção deve ser divulgada em um pedido de forma suficientemente clara e completa para possibilitar que ela seja replicada por uma pessoa com um nível comum de habilidade no campo técnico relevante.</w:t>
      </w:r>
    </w:p>
    <w:p w14:paraId="35775259" w14:textId="77777777" w:rsidR="00F43DEF" w:rsidRPr="0024467F" w:rsidRDefault="00F43DEF" w:rsidP="00734F31">
      <w:pPr>
        <w:spacing w:after="0" w:line="240" w:lineRule="auto"/>
        <w:jc w:val="both"/>
        <w:rPr>
          <w:rFonts w:ascii="Arial" w:hAnsi="Arial" w:cs="Arial"/>
          <w:b/>
          <w:sz w:val="20"/>
        </w:rPr>
      </w:pPr>
    </w:p>
    <w:p w14:paraId="3D9EEDE2" w14:textId="552CEBBA" w:rsidR="00533105" w:rsidRPr="00B00EEA" w:rsidRDefault="00E91FE4" w:rsidP="00B7519E">
      <w:pPr>
        <w:spacing w:after="0" w:line="240" w:lineRule="auto"/>
        <w:jc w:val="both"/>
        <w:rPr>
          <w:rFonts w:ascii="Arial" w:hAnsi="Arial" w:cs="Arial"/>
          <w:b/>
          <w:sz w:val="20"/>
        </w:rPr>
      </w:pPr>
      <w:r>
        <w:rPr>
          <w:rFonts w:ascii="Arial" w:hAnsi="Arial"/>
          <w:b/>
          <w:sz w:val="20"/>
        </w:rPr>
        <w:t>Inventor</w:t>
      </w:r>
      <w:r w:rsidR="008411EA">
        <w:rPr>
          <w:rFonts w:ascii="Arial" w:hAnsi="Arial"/>
          <w:b/>
          <w:sz w:val="20"/>
        </w:rPr>
        <w:t xml:space="preserve">. </w:t>
      </w:r>
    </w:p>
    <w:p w14:paraId="1518D0DE" w14:textId="02F93F47" w:rsidR="00F97422" w:rsidRPr="00B00EEA" w:rsidRDefault="00F97422" w:rsidP="009D4A54">
      <w:pPr>
        <w:pStyle w:val="ListParagraph"/>
        <w:numPr>
          <w:ilvl w:val="0"/>
          <w:numId w:val="75"/>
        </w:numPr>
        <w:spacing w:line="240" w:lineRule="auto"/>
        <w:ind w:left="426" w:hanging="426"/>
        <w:jc w:val="both"/>
        <w:rPr>
          <w:rFonts w:ascii="Arial" w:hAnsi="Arial" w:cs="Arial"/>
          <w:sz w:val="20"/>
        </w:rPr>
      </w:pPr>
      <w:r>
        <w:rPr>
          <w:rFonts w:ascii="Arial" w:hAnsi="Arial"/>
          <w:sz w:val="20"/>
        </w:rPr>
        <w:t xml:space="preserve">O “inventor” é a pessoa que </w:t>
      </w:r>
      <w:r>
        <w:rPr>
          <w:rStyle w:val="st1"/>
          <w:rFonts w:ascii="Arial" w:hAnsi="Arial"/>
          <w:sz w:val="20"/>
        </w:rPr>
        <w:t>cria ou desenvolve um novo método, forma, dispositivo ou outro meio útil que se torna conhecido como uma invenção</w:t>
      </w:r>
      <w:r w:rsidR="008411EA">
        <w:rPr>
          <w:rStyle w:val="st1"/>
          <w:rFonts w:ascii="Arial" w:hAnsi="Arial"/>
          <w:sz w:val="20"/>
        </w:rPr>
        <w:t xml:space="preserve">. </w:t>
      </w:r>
      <w:r>
        <w:rPr>
          <w:rStyle w:val="st1"/>
          <w:rFonts w:ascii="Arial" w:hAnsi="Arial"/>
          <w:sz w:val="20"/>
        </w:rPr>
        <w:t>Isso inclui uma pessoa que concebeu um elemento essencial da invenção, a fim de se qualificar para ser citada como inventor em um pedido de patente ou em uma patente</w:t>
      </w:r>
      <w:r w:rsidR="008411EA">
        <w:rPr>
          <w:rStyle w:val="st1"/>
          <w:rFonts w:ascii="Arial" w:hAnsi="Arial"/>
          <w:sz w:val="20"/>
        </w:rPr>
        <w:t xml:space="preserve">. </w:t>
      </w:r>
      <w:r>
        <w:rPr>
          <w:rFonts w:ascii="Arial" w:hAnsi="Arial"/>
          <w:sz w:val="20"/>
        </w:rPr>
        <w:t xml:space="preserve">Isto é diferente do  </w:t>
      </w:r>
      <w:r>
        <w:rPr>
          <w:rStyle w:val="st1"/>
          <w:rFonts w:ascii="Arial" w:hAnsi="Arial"/>
          <w:sz w:val="20"/>
        </w:rPr>
        <w:t>“proprietário” ou “titular” de uma patente, que é a pessoa a quem a patente é concedida. O inventor e o titular não são necessariamente a mesma pessoa. Entretanto, o inventor deve ser listado como inventor na patente, caso contrário, será motivo para revogação da patente.</w:t>
      </w:r>
    </w:p>
    <w:p w14:paraId="74119F59" w14:textId="17E86911" w:rsidR="004E3DE4" w:rsidRPr="00B00EEA" w:rsidRDefault="00CA6AB5" w:rsidP="00B7519E">
      <w:pPr>
        <w:spacing w:after="0" w:line="240" w:lineRule="auto"/>
        <w:jc w:val="both"/>
        <w:rPr>
          <w:rFonts w:ascii="Arial" w:hAnsi="Arial" w:cs="Arial"/>
          <w:b/>
          <w:sz w:val="20"/>
        </w:rPr>
      </w:pPr>
      <w:r>
        <w:rPr>
          <w:rFonts w:ascii="Arial" w:hAnsi="Arial"/>
          <w:b/>
          <w:sz w:val="20"/>
        </w:rPr>
        <w:t>Formulário de Divulgação de PI</w:t>
      </w:r>
      <w:r w:rsidR="008411EA">
        <w:rPr>
          <w:rFonts w:ascii="Arial" w:hAnsi="Arial"/>
          <w:b/>
          <w:sz w:val="20"/>
        </w:rPr>
        <w:t>.</w:t>
      </w:r>
    </w:p>
    <w:p w14:paraId="631B1D34" w14:textId="77777777" w:rsidR="004E3DE4" w:rsidRPr="00B00EEA" w:rsidRDefault="00CA6AB5" w:rsidP="009D4A54">
      <w:pPr>
        <w:pStyle w:val="ListParagraph"/>
        <w:numPr>
          <w:ilvl w:val="0"/>
          <w:numId w:val="75"/>
        </w:numPr>
        <w:spacing w:line="240" w:lineRule="auto"/>
        <w:ind w:left="426" w:hanging="426"/>
        <w:jc w:val="both"/>
        <w:rPr>
          <w:rFonts w:ascii="Arial" w:hAnsi="Arial" w:cs="Arial"/>
          <w:sz w:val="20"/>
        </w:rPr>
      </w:pPr>
      <w:r>
        <w:rPr>
          <w:rFonts w:ascii="Arial" w:hAnsi="Arial"/>
          <w:sz w:val="20"/>
        </w:rPr>
        <w:t xml:space="preserve">Às vezes chamado de “formulário de divulgação da invenção” ou “relatório de divulgação da invenção”. É um documento confidencial que deve ser preenchido pelo inventor/autor principal e submetido ao EGPI, quando algo novo for concebido ou desenvolvido com possível aplicação comercial. </w:t>
      </w:r>
    </w:p>
    <w:p w14:paraId="223C481B" w14:textId="49CA0249" w:rsidR="004E3DE4" w:rsidRPr="00B00EEA" w:rsidRDefault="00937604" w:rsidP="009D4A54">
      <w:pPr>
        <w:pStyle w:val="ListParagraph"/>
        <w:numPr>
          <w:ilvl w:val="0"/>
          <w:numId w:val="75"/>
        </w:numPr>
        <w:spacing w:line="240" w:lineRule="auto"/>
        <w:ind w:left="426" w:hanging="426"/>
        <w:jc w:val="both"/>
        <w:rPr>
          <w:rFonts w:ascii="Arial" w:hAnsi="Arial" w:cs="Arial"/>
          <w:sz w:val="20"/>
        </w:rPr>
      </w:pPr>
      <w:r>
        <w:rPr>
          <w:rFonts w:ascii="Arial" w:hAnsi="Arial"/>
          <w:sz w:val="20"/>
        </w:rPr>
        <w:t>O objetivo deste formulário é registrar o que foi inventado e permitir uma avaliação da patenteabilidade/possível proteção de PI</w:t>
      </w:r>
      <w:r w:rsidR="008411EA">
        <w:rPr>
          <w:rFonts w:ascii="Arial" w:hAnsi="Arial"/>
          <w:sz w:val="20"/>
        </w:rPr>
        <w:t xml:space="preserve">. </w:t>
      </w:r>
    </w:p>
    <w:p w14:paraId="7DA70314" w14:textId="77777777" w:rsidR="00937604" w:rsidRPr="00B00EEA" w:rsidRDefault="00E25ABF" w:rsidP="009D4A54">
      <w:pPr>
        <w:pStyle w:val="ListParagraph"/>
        <w:numPr>
          <w:ilvl w:val="0"/>
          <w:numId w:val="75"/>
        </w:numPr>
        <w:spacing w:line="240" w:lineRule="auto"/>
        <w:ind w:left="426" w:hanging="426"/>
        <w:jc w:val="both"/>
        <w:rPr>
          <w:rFonts w:ascii="Arial" w:hAnsi="Arial" w:cs="Arial"/>
          <w:sz w:val="20"/>
        </w:rPr>
      </w:pPr>
      <w:r>
        <w:rPr>
          <w:rFonts w:ascii="Arial" w:hAnsi="Arial"/>
          <w:sz w:val="20"/>
        </w:rPr>
        <w:t>Um Formulário de Divulgação de PI normalmente contém algumas informações básicas que apontam para a determinação da patenteabilidade e também informações sobre diversas fontes de financiamento.</w:t>
      </w:r>
    </w:p>
    <w:p w14:paraId="0B2E1D37" w14:textId="77777777" w:rsidR="004E3DE4" w:rsidRPr="00B00EEA" w:rsidRDefault="003F4283" w:rsidP="00734F31">
      <w:pPr>
        <w:spacing w:after="0" w:line="240" w:lineRule="auto"/>
        <w:jc w:val="both"/>
        <w:rPr>
          <w:rFonts w:ascii="Arial" w:eastAsia="Times New Roman" w:hAnsi="Arial" w:cs="Arial"/>
          <w:b/>
          <w:sz w:val="20"/>
        </w:rPr>
      </w:pPr>
      <w:r>
        <w:rPr>
          <w:rFonts w:ascii="Arial" w:hAnsi="Arial"/>
          <w:b/>
          <w:sz w:val="20"/>
        </w:rPr>
        <w:t xml:space="preserve">Despesas de PI. </w:t>
      </w:r>
    </w:p>
    <w:p w14:paraId="03237FB5" w14:textId="70F6535E" w:rsidR="004E3DE4" w:rsidRPr="00B00EEA" w:rsidRDefault="003F4283" w:rsidP="009D4A54">
      <w:pPr>
        <w:pStyle w:val="ListParagraph"/>
        <w:numPr>
          <w:ilvl w:val="0"/>
          <w:numId w:val="122"/>
        </w:numPr>
        <w:spacing w:after="0" w:line="240" w:lineRule="auto"/>
        <w:ind w:left="426" w:hanging="426"/>
        <w:jc w:val="both"/>
        <w:rPr>
          <w:rFonts w:ascii="Arial" w:hAnsi="Arial" w:cs="Arial"/>
          <w:sz w:val="20"/>
        </w:rPr>
      </w:pPr>
      <w:r>
        <w:rPr>
          <w:rFonts w:ascii="Arial" w:hAnsi="Arial"/>
          <w:sz w:val="20"/>
        </w:rPr>
        <w:t>O termo “Despesas de PI” é usado para o cálculo das receitas de PI (royalties, etc.) que serão distribuídas entre as partes interessadas</w:t>
      </w:r>
      <w:r w:rsidR="008411EA">
        <w:rPr>
          <w:rFonts w:ascii="Arial" w:hAnsi="Arial"/>
          <w:sz w:val="20"/>
        </w:rPr>
        <w:t xml:space="preserve">. </w:t>
      </w:r>
      <w:r>
        <w:rPr>
          <w:rFonts w:ascii="Arial" w:hAnsi="Arial"/>
          <w:sz w:val="20"/>
        </w:rPr>
        <w:t>É a prática mais comum para uma Instituição recuperar todas as Despesas de PI (dinheiro pago a entidades externas) primeiro e o valor resultante (denominado “Receita Líquida”) é então compartilhado com os inventores ou outras partes interessadas</w:t>
      </w:r>
      <w:r w:rsidR="001B6C31">
        <w:rPr>
          <w:rFonts w:ascii="Arial" w:hAnsi="Arial"/>
          <w:sz w:val="20"/>
        </w:rPr>
        <w:t>.</w:t>
      </w:r>
      <w:r w:rsidR="004652EC" w:rsidRPr="00B00EEA">
        <w:rPr>
          <w:rStyle w:val="FootnoteReference"/>
          <w:rFonts w:ascii="Arial" w:hAnsi="Arial" w:cs="Arial"/>
          <w:sz w:val="20"/>
          <w:lang w:val="en-US"/>
        </w:rPr>
        <w:footnoteReference w:id="44"/>
      </w:r>
    </w:p>
    <w:p w14:paraId="03E6E320" w14:textId="77777777" w:rsidR="004652EC" w:rsidRPr="00B00EEA" w:rsidRDefault="004652EC" w:rsidP="009D4A54">
      <w:pPr>
        <w:pStyle w:val="ListParagraph"/>
        <w:numPr>
          <w:ilvl w:val="0"/>
          <w:numId w:val="122"/>
        </w:numPr>
        <w:spacing w:after="0" w:line="240" w:lineRule="auto"/>
        <w:ind w:left="426" w:hanging="426"/>
        <w:jc w:val="both"/>
        <w:rPr>
          <w:rFonts w:ascii="Arial" w:hAnsi="Arial" w:cs="Arial"/>
          <w:sz w:val="20"/>
        </w:rPr>
      </w:pPr>
      <w:r>
        <w:rPr>
          <w:rFonts w:ascii="Arial" w:hAnsi="Arial"/>
          <w:sz w:val="20"/>
        </w:rPr>
        <w:t>Há uma série de variações importantes sobre o que uma Instituição geralmente considera “Despesas de PI” e é importante fornecer uma definição detalhada do termo.</w:t>
      </w:r>
    </w:p>
    <w:p w14:paraId="4BA40816" w14:textId="77777777" w:rsidR="004652EC" w:rsidRPr="0024467F" w:rsidRDefault="004652EC" w:rsidP="00734F31">
      <w:pPr>
        <w:spacing w:after="0" w:line="240" w:lineRule="auto"/>
        <w:jc w:val="both"/>
        <w:rPr>
          <w:rFonts w:ascii="Arial" w:hAnsi="Arial" w:cs="Arial"/>
          <w:sz w:val="20"/>
        </w:rPr>
      </w:pPr>
    </w:p>
    <w:p w14:paraId="6ED70D12" w14:textId="77777777" w:rsidR="00DA7E04" w:rsidRPr="00B00EEA" w:rsidRDefault="008B5D9D" w:rsidP="00734F31">
      <w:pPr>
        <w:spacing w:after="0" w:line="240" w:lineRule="auto"/>
        <w:jc w:val="both"/>
        <w:rPr>
          <w:rFonts w:ascii="Arial" w:eastAsia="Times New Roman" w:hAnsi="Arial" w:cs="Arial"/>
          <w:b/>
          <w:sz w:val="20"/>
        </w:rPr>
      </w:pPr>
      <w:r>
        <w:rPr>
          <w:rFonts w:ascii="Arial" w:hAnsi="Arial"/>
          <w:b/>
          <w:color w:val="000000" w:themeColor="text1"/>
          <w:sz w:val="20"/>
        </w:rPr>
        <w:t>Comitê de PI</w:t>
      </w:r>
      <w:r>
        <w:rPr>
          <w:rFonts w:ascii="Arial" w:hAnsi="Arial"/>
          <w:b/>
          <w:sz w:val="20"/>
        </w:rPr>
        <w:t xml:space="preserve">. </w:t>
      </w:r>
    </w:p>
    <w:p w14:paraId="4B1D5B55" w14:textId="4100AFD0" w:rsidR="0046513B" w:rsidRPr="00B00EEA" w:rsidRDefault="00DB4710" w:rsidP="009D4A54">
      <w:pPr>
        <w:pStyle w:val="ListParagraph"/>
        <w:numPr>
          <w:ilvl w:val="0"/>
          <w:numId w:val="136"/>
        </w:numPr>
        <w:spacing w:after="0" w:line="240" w:lineRule="auto"/>
        <w:ind w:left="426" w:hanging="426"/>
        <w:jc w:val="both"/>
        <w:rPr>
          <w:rFonts w:ascii="Arial" w:hAnsi="Arial" w:cs="Arial"/>
          <w:sz w:val="20"/>
        </w:rPr>
      </w:pPr>
      <w:r>
        <w:rPr>
          <w:rFonts w:ascii="Arial" w:hAnsi="Arial"/>
          <w:sz w:val="20"/>
        </w:rPr>
        <w:t>Use o termo que sua instituição selecionou para o Comitê de PI. Este pode ser um indivíduo (por exemplo, Presidente, Vice-Presidente, Vice-Reitor, Vice-Reitor Adjunto), mas geralmente é um comitê, conselho ou painel, frequentemente chamado de Comitê de Direção ou Conselho Consultivo de PI (Propriedade Intelectual)</w:t>
      </w:r>
      <w:r w:rsidR="008411EA">
        <w:rPr>
          <w:rFonts w:ascii="Arial" w:hAnsi="Arial"/>
          <w:sz w:val="20"/>
        </w:rPr>
        <w:t xml:space="preserve">. </w:t>
      </w:r>
    </w:p>
    <w:p w14:paraId="4045A605" w14:textId="6EE70546" w:rsidR="00DB4710" w:rsidRPr="00B00EEA" w:rsidRDefault="00DB4710" w:rsidP="009D4A54">
      <w:pPr>
        <w:pStyle w:val="ListParagraph"/>
        <w:numPr>
          <w:ilvl w:val="0"/>
          <w:numId w:val="136"/>
        </w:numPr>
        <w:spacing w:after="0" w:line="240" w:lineRule="auto"/>
        <w:ind w:left="426" w:hanging="426"/>
        <w:jc w:val="both"/>
        <w:rPr>
          <w:rFonts w:ascii="Arial" w:hAnsi="Arial" w:cs="Arial"/>
          <w:sz w:val="20"/>
        </w:rPr>
      </w:pPr>
      <w:r>
        <w:rPr>
          <w:rFonts w:ascii="Arial" w:hAnsi="Arial"/>
          <w:sz w:val="20"/>
        </w:rPr>
        <w:t xml:space="preserve">Geralmente, o Comitê de PI é composto pelo Diretor Sênior Responsável, Reitores das principais faculdades, representante legal da Instituição, representante do EGPI e, frequentemente, uma ou mais pessoas externas que podem ser especialistas em PI ou ter alguma outra especialização relevante para auxiliar nas decisões de gestão e comercialização de PI. Veja também </w:t>
      </w:r>
      <w:hyperlink w:anchor="_Article_4.1_-" w:history="1">
        <w:r>
          <w:rPr>
            <w:rStyle w:val="Hyperlink"/>
            <w:rFonts w:ascii="Arial" w:hAnsi="Arial"/>
            <w:sz w:val="20"/>
          </w:rPr>
          <w:t>Artigo 4</w:t>
        </w:r>
        <w:r w:rsidR="001B6C31">
          <w:rPr>
            <w:rStyle w:val="Hyperlink"/>
            <w:rFonts w:ascii="Arial" w:hAnsi="Arial"/>
            <w:sz w:val="20"/>
          </w:rPr>
          <w:t>.</w:t>
        </w:r>
        <w:r>
          <w:rPr>
            <w:rStyle w:val="Hyperlink"/>
            <w:rFonts w:ascii="Arial" w:hAnsi="Arial"/>
            <w:sz w:val="20"/>
          </w:rPr>
          <w:t>1</w:t>
        </w:r>
      </w:hyperlink>
      <w:r>
        <w:rPr>
          <w:rFonts w:ascii="Arial" w:hAnsi="Arial"/>
          <w:sz w:val="20"/>
        </w:rPr>
        <w:t xml:space="preserve">. </w:t>
      </w:r>
    </w:p>
    <w:p w14:paraId="4AFED4FF" w14:textId="77777777" w:rsidR="00DB4710" w:rsidRPr="00B00EEA" w:rsidRDefault="00DB4710" w:rsidP="00734F31">
      <w:pPr>
        <w:spacing w:after="0" w:line="240" w:lineRule="auto"/>
        <w:jc w:val="both"/>
        <w:rPr>
          <w:rFonts w:ascii="Arial" w:eastAsia="Times New Roman" w:hAnsi="Arial" w:cs="Arial"/>
          <w:b/>
          <w:sz w:val="20"/>
          <w:lang w:val="en-US"/>
        </w:rPr>
      </w:pPr>
    </w:p>
    <w:p w14:paraId="2D3E29E8" w14:textId="1DD101E3" w:rsidR="00DA7E04" w:rsidRPr="00B00EEA" w:rsidRDefault="00625FEC" w:rsidP="00734F31">
      <w:pPr>
        <w:spacing w:after="0" w:line="240" w:lineRule="auto"/>
        <w:jc w:val="both"/>
        <w:rPr>
          <w:rFonts w:ascii="Arial" w:eastAsia="Times New Roman" w:hAnsi="Arial" w:cs="Arial"/>
          <w:b/>
          <w:sz w:val="20"/>
        </w:rPr>
      </w:pPr>
      <w:r>
        <w:rPr>
          <w:rFonts w:ascii="Arial" w:hAnsi="Arial"/>
          <w:b/>
          <w:sz w:val="20"/>
        </w:rPr>
        <w:t>Escritório de Gestão de PI (EGPI)</w:t>
      </w:r>
      <w:r w:rsidR="008411EA">
        <w:rPr>
          <w:rFonts w:ascii="Arial" w:hAnsi="Arial"/>
          <w:sz w:val="20"/>
        </w:rPr>
        <w:t xml:space="preserve">. </w:t>
      </w:r>
    </w:p>
    <w:p w14:paraId="44DA7901" w14:textId="0A5C5468" w:rsidR="003F4283" w:rsidRPr="00B00EEA" w:rsidRDefault="003F4283" w:rsidP="009D4A54">
      <w:pPr>
        <w:pStyle w:val="ListParagraph"/>
        <w:numPr>
          <w:ilvl w:val="0"/>
          <w:numId w:val="136"/>
        </w:numPr>
        <w:spacing w:after="0" w:line="240" w:lineRule="auto"/>
        <w:ind w:left="426" w:hanging="426"/>
        <w:jc w:val="both"/>
        <w:rPr>
          <w:rFonts w:ascii="Arial" w:eastAsia="Times New Roman" w:hAnsi="Arial" w:cs="Arial"/>
          <w:sz w:val="20"/>
        </w:rPr>
      </w:pPr>
      <w:r>
        <w:rPr>
          <w:rFonts w:ascii="Arial" w:hAnsi="Arial"/>
          <w:sz w:val="20"/>
        </w:rPr>
        <w:t>Use o termo selecionado pela sua instituição</w:t>
      </w:r>
      <w:r w:rsidR="008411EA">
        <w:rPr>
          <w:rFonts w:ascii="Arial" w:hAnsi="Arial"/>
          <w:sz w:val="20"/>
        </w:rPr>
        <w:t xml:space="preserve">. </w:t>
      </w:r>
      <w:r>
        <w:rPr>
          <w:rFonts w:ascii="Arial" w:hAnsi="Arial"/>
          <w:sz w:val="20"/>
        </w:rPr>
        <w:t>Outros nomes usados para isso incluem Escritório de Transferência de Tecnologia (ETT), Escritório de Gestão de Propriedade Intelectual e Tecnologia (EGPIT) e Escritório de Gestão de Licenciamento</w:t>
      </w:r>
      <w:r w:rsidR="008411EA">
        <w:rPr>
          <w:rFonts w:ascii="Arial" w:hAnsi="Arial"/>
          <w:sz w:val="20"/>
        </w:rPr>
        <w:t xml:space="preserve">. </w:t>
      </w:r>
      <w:r>
        <w:rPr>
          <w:rFonts w:ascii="Arial" w:hAnsi="Arial"/>
          <w:sz w:val="20"/>
        </w:rPr>
        <w:t xml:space="preserve">Em alguns casos, as funções do EGPI são realizadas por uma empresa autônoma de titularidade integral da Instituição, que pode ter um nome que reflita as funções de comercialização e gestão de PI. Veja também </w:t>
      </w:r>
      <w:hyperlink w:anchor="_Artigo_4.2_–" w:history="1">
        <w:r w:rsidRPr="001B6C31">
          <w:rPr>
            <w:rStyle w:val="Hyperlink"/>
            <w:rFonts w:ascii="Arial" w:hAnsi="Arial"/>
            <w:sz w:val="20"/>
          </w:rPr>
          <w:t>Artigo 4.2</w:t>
        </w:r>
      </w:hyperlink>
      <w:r>
        <w:rPr>
          <w:rFonts w:ascii="Arial" w:hAnsi="Arial"/>
          <w:sz w:val="20"/>
        </w:rPr>
        <w:t>.</w:t>
      </w:r>
    </w:p>
    <w:p w14:paraId="0C60FF65" w14:textId="77777777" w:rsidR="003F4283" w:rsidRPr="00B00EEA" w:rsidRDefault="003F4283" w:rsidP="00734F31">
      <w:pPr>
        <w:spacing w:after="0" w:line="240" w:lineRule="auto"/>
        <w:jc w:val="both"/>
        <w:rPr>
          <w:rFonts w:ascii="Arial" w:eastAsia="Times New Roman" w:hAnsi="Arial" w:cs="Arial"/>
          <w:sz w:val="20"/>
          <w:lang w:val="en-US"/>
        </w:rPr>
      </w:pPr>
    </w:p>
    <w:p w14:paraId="00328BFA" w14:textId="38A947D3" w:rsidR="004E3DE4" w:rsidRPr="00B00EEA" w:rsidRDefault="00C724C8" w:rsidP="00B7519E">
      <w:pPr>
        <w:autoSpaceDE w:val="0"/>
        <w:autoSpaceDN w:val="0"/>
        <w:adjustRightInd w:val="0"/>
        <w:spacing w:after="0" w:line="240" w:lineRule="auto"/>
        <w:jc w:val="both"/>
        <w:rPr>
          <w:rFonts w:ascii="Arial" w:eastAsia="Times New Roman" w:hAnsi="Arial" w:cs="Arial"/>
          <w:b/>
          <w:sz w:val="20"/>
        </w:rPr>
      </w:pPr>
      <w:r>
        <w:rPr>
          <w:rFonts w:ascii="Arial" w:hAnsi="Arial"/>
          <w:b/>
          <w:sz w:val="20"/>
        </w:rPr>
        <w:t>[Opção:] Transferência de Conhecimento</w:t>
      </w:r>
      <w:r w:rsidR="008411EA">
        <w:rPr>
          <w:rFonts w:ascii="Arial" w:hAnsi="Arial"/>
          <w:b/>
          <w:sz w:val="20"/>
        </w:rPr>
        <w:t xml:space="preserve">. </w:t>
      </w:r>
    </w:p>
    <w:p w14:paraId="2E30B7D5" w14:textId="77777777" w:rsidR="00090CCB" w:rsidRPr="00B00EEA" w:rsidRDefault="00090CCB" w:rsidP="009D4A54">
      <w:pPr>
        <w:pStyle w:val="ListParagraph"/>
        <w:numPr>
          <w:ilvl w:val="0"/>
          <w:numId w:val="123"/>
        </w:numPr>
        <w:autoSpaceDE w:val="0"/>
        <w:autoSpaceDN w:val="0"/>
        <w:adjustRightInd w:val="0"/>
        <w:spacing w:after="0" w:line="240" w:lineRule="auto"/>
        <w:ind w:left="426" w:hanging="426"/>
        <w:jc w:val="both"/>
        <w:rPr>
          <w:rFonts w:ascii="Arial" w:eastAsia="Times New Roman" w:hAnsi="Arial" w:cs="Arial"/>
          <w:sz w:val="20"/>
        </w:rPr>
      </w:pPr>
      <w:r>
        <w:rPr>
          <w:rFonts w:ascii="Arial" w:hAnsi="Arial"/>
          <w:sz w:val="20"/>
        </w:rPr>
        <w:t xml:space="preserve">Muitas definições são fornecidas em fontes acadêmicas de prestígio e sites populares, por exemplo </w:t>
      </w:r>
    </w:p>
    <w:p w14:paraId="1E094132" w14:textId="77777777" w:rsidR="0046513B" w:rsidRPr="0024467F" w:rsidRDefault="0046513B" w:rsidP="0046513B">
      <w:pPr>
        <w:pStyle w:val="ListParagraph"/>
        <w:autoSpaceDE w:val="0"/>
        <w:autoSpaceDN w:val="0"/>
        <w:adjustRightInd w:val="0"/>
        <w:spacing w:after="0" w:line="240" w:lineRule="auto"/>
        <w:ind w:left="426"/>
        <w:jc w:val="both"/>
        <w:rPr>
          <w:rFonts w:ascii="Arial" w:eastAsia="Times New Roman" w:hAnsi="Arial" w:cs="Arial"/>
          <w:sz w:val="20"/>
        </w:rPr>
      </w:pPr>
    </w:p>
    <w:p w14:paraId="6416E2B8" w14:textId="77777777" w:rsidR="00090CCB" w:rsidRPr="00B00EEA" w:rsidRDefault="00693502" w:rsidP="00C60DE4">
      <w:pPr>
        <w:autoSpaceDE w:val="0"/>
        <w:autoSpaceDN w:val="0"/>
        <w:adjustRightInd w:val="0"/>
        <w:spacing w:after="0" w:line="240" w:lineRule="auto"/>
        <w:ind w:left="1134"/>
        <w:jc w:val="both"/>
        <w:rPr>
          <w:rFonts w:ascii="Arial" w:eastAsia="Times New Roman" w:hAnsi="Arial" w:cs="Arial"/>
          <w:sz w:val="20"/>
        </w:rPr>
      </w:pPr>
      <w:r>
        <w:rPr>
          <w:rFonts w:ascii="Arial" w:hAnsi="Arial"/>
          <w:sz w:val="20"/>
        </w:rPr>
        <w:lastRenderedPageBreak/>
        <w:t>“</w:t>
      </w:r>
      <w:r>
        <w:rPr>
          <w:rFonts w:ascii="Arial" w:hAnsi="Arial"/>
          <w:i/>
          <w:sz w:val="20"/>
        </w:rPr>
        <w:t>A transferência de conhecimento envolve os processos de captura, coleta e compartilhamento de conhecimento explícito e tácito, incluindo habilidades e competências. Inclui atividades comerciais e não comerciais, como colaborações de pesquisa, consultoria, licenciamento, criação de spin-offs, mobilidade de pesquisadores, publicação, etc. Embora a ênfase esteja no conhecimento científico e tecnológico, outras formas, como processos de negócios habilitados por tecnologia, também estão envolvidas</w:t>
      </w:r>
      <w:r>
        <w:rPr>
          <w:rFonts w:ascii="Arial" w:hAnsi="Arial"/>
          <w:sz w:val="20"/>
        </w:rPr>
        <w:t>.”</w:t>
      </w:r>
      <w:r w:rsidRPr="00C04211">
        <w:rPr>
          <w:rStyle w:val="FootnoteReference"/>
          <w:rFonts w:ascii="Arial" w:hAnsi="Arial" w:cs="Arial"/>
          <w:sz w:val="20"/>
          <w:lang w:val="en-US"/>
        </w:rPr>
        <w:footnoteReference w:id="45"/>
      </w:r>
      <w:r>
        <w:rPr>
          <w:rFonts w:ascii="Arial" w:hAnsi="Arial"/>
          <w:sz w:val="20"/>
        </w:rPr>
        <w:t xml:space="preserve">  </w:t>
      </w:r>
    </w:p>
    <w:p w14:paraId="5D049897" w14:textId="77777777" w:rsidR="00090CCB" w:rsidRPr="0024467F" w:rsidRDefault="00090CCB" w:rsidP="00C60DE4">
      <w:pPr>
        <w:autoSpaceDE w:val="0"/>
        <w:autoSpaceDN w:val="0"/>
        <w:adjustRightInd w:val="0"/>
        <w:spacing w:after="0" w:line="240" w:lineRule="auto"/>
        <w:ind w:left="1134"/>
        <w:jc w:val="both"/>
        <w:rPr>
          <w:rFonts w:ascii="Arial" w:eastAsia="Times New Roman" w:hAnsi="Arial" w:cs="Arial"/>
          <w:sz w:val="20"/>
        </w:rPr>
      </w:pPr>
    </w:p>
    <w:p w14:paraId="145EBA57" w14:textId="051A370D" w:rsidR="00F97422" w:rsidRPr="00B00EEA" w:rsidRDefault="00F97422" w:rsidP="009D4A54">
      <w:pPr>
        <w:pStyle w:val="ListParagraph"/>
        <w:numPr>
          <w:ilvl w:val="0"/>
          <w:numId w:val="124"/>
        </w:numPr>
        <w:autoSpaceDE w:val="0"/>
        <w:autoSpaceDN w:val="0"/>
        <w:adjustRightInd w:val="0"/>
        <w:spacing w:after="0" w:line="240" w:lineRule="auto"/>
        <w:ind w:left="426" w:hanging="426"/>
        <w:jc w:val="both"/>
        <w:rPr>
          <w:rFonts w:ascii="Arial" w:hAnsi="Arial" w:cs="Arial"/>
          <w:sz w:val="20"/>
        </w:rPr>
      </w:pPr>
      <w:r>
        <w:rPr>
          <w:rFonts w:ascii="Arial" w:hAnsi="Arial"/>
          <w:sz w:val="20"/>
        </w:rPr>
        <w:t>No escopo do Modelo, a Transferência de Conhecimento é um termo coletivo para a transferência de novas invenções, criações, descobertas, inovações, processos, conhecimentos, ideias e experiências, que resultam de pesquisas conduzidas na Instituição, para um ambiente comercial para uso</w:t>
      </w:r>
      <w:r w:rsidR="008411EA">
        <w:rPr>
          <w:rFonts w:ascii="Arial" w:hAnsi="Arial"/>
          <w:sz w:val="20"/>
        </w:rPr>
        <w:t xml:space="preserve">. </w:t>
      </w:r>
      <w:r>
        <w:rPr>
          <w:rFonts w:ascii="Arial" w:hAnsi="Arial"/>
          <w:sz w:val="20"/>
        </w:rPr>
        <w:t>De acordo com a Universidade de Cambridge</w:t>
      </w:r>
      <w:r w:rsidRPr="00CC0CF0">
        <w:rPr>
          <w:rStyle w:val="FootnoteReference"/>
          <w:rFonts w:ascii="Arial" w:hAnsi="Arial" w:cs="Arial"/>
          <w:iCs/>
          <w:sz w:val="20"/>
          <w:lang w:val="en-US"/>
        </w:rPr>
        <w:footnoteReference w:id="46"/>
      </w:r>
      <w:r>
        <w:rPr>
          <w:rFonts w:ascii="Arial" w:hAnsi="Arial"/>
          <w:sz w:val="20"/>
        </w:rPr>
        <w:t>, Transferência de Conhecimento é “</w:t>
      </w:r>
      <w:r>
        <w:rPr>
          <w:rFonts w:ascii="Arial" w:hAnsi="Arial"/>
          <w:i/>
          <w:color w:val="121212"/>
          <w:sz w:val="20"/>
        </w:rPr>
        <w:t>tudo sobre a transferência de propriedade tangível e intelectual, conhecimento especializado, aprendizado e habilidades entre a academia e a comunidade não acadêmica. Também é amplamente reconhecida pelo governo e financiadores como um retorno importante sobre o investimento do Reino Unido em pesquisa acadêmica, que fornece uma força motriz significativa para melhorar o crescimento econômico e o bem-estar social. Para acadêmicos, a Transferência de Conhecimento (TC) pode ser uma forma de obter novas perspectivas sobre possíveis direções e abordagens para pesquisa. Este elemento de troca bidirecional da TC está no cerne de uma colaboração bem-sucedida e sustentável</w:t>
      </w:r>
      <w:r>
        <w:rPr>
          <w:rFonts w:ascii="Arial" w:hAnsi="Arial"/>
          <w:color w:val="121212"/>
          <w:sz w:val="20"/>
        </w:rPr>
        <w:t>.”</w:t>
      </w:r>
    </w:p>
    <w:p w14:paraId="111F5B26" w14:textId="77777777" w:rsidR="00F97422" w:rsidRPr="0024467F" w:rsidRDefault="00F97422" w:rsidP="00B7519E">
      <w:pPr>
        <w:pStyle w:val="ListParagraph"/>
        <w:autoSpaceDE w:val="0"/>
        <w:autoSpaceDN w:val="0"/>
        <w:adjustRightInd w:val="0"/>
        <w:spacing w:after="0" w:line="240" w:lineRule="auto"/>
        <w:ind w:left="284"/>
        <w:jc w:val="both"/>
        <w:rPr>
          <w:rFonts w:ascii="Arial" w:hAnsi="Arial" w:cs="Arial"/>
          <w:sz w:val="20"/>
        </w:rPr>
      </w:pPr>
    </w:p>
    <w:p w14:paraId="7AF8757A" w14:textId="0082FB7B" w:rsidR="004E3DE4" w:rsidRPr="00B00EEA" w:rsidRDefault="00EB2508" w:rsidP="00734F31">
      <w:pPr>
        <w:spacing w:after="0" w:line="240" w:lineRule="auto"/>
        <w:jc w:val="both"/>
        <w:rPr>
          <w:rFonts w:ascii="Arial" w:hAnsi="Arial" w:cs="Arial"/>
          <w:b/>
          <w:sz w:val="20"/>
        </w:rPr>
      </w:pPr>
      <w:r>
        <w:rPr>
          <w:rFonts w:ascii="Arial" w:hAnsi="Arial"/>
          <w:b/>
          <w:sz w:val="20"/>
        </w:rPr>
        <w:t>[Opção] Patente</w:t>
      </w:r>
      <w:r w:rsidR="008411EA">
        <w:rPr>
          <w:rFonts w:ascii="Arial" w:hAnsi="Arial"/>
          <w:sz w:val="20"/>
        </w:rPr>
        <w:t xml:space="preserve">. </w:t>
      </w:r>
    </w:p>
    <w:p w14:paraId="28BFBDC3" w14:textId="77777777" w:rsidR="004E3DE4" w:rsidRPr="00B00EEA" w:rsidRDefault="004E3DE4" w:rsidP="009D4A54">
      <w:pPr>
        <w:pStyle w:val="ListParagraph"/>
        <w:numPr>
          <w:ilvl w:val="0"/>
          <w:numId w:val="124"/>
        </w:numPr>
        <w:spacing w:after="0" w:line="240" w:lineRule="auto"/>
        <w:ind w:left="426" w:hanging="426"/>
        <w:jc w:val="both"/>
        <w:rPr>
          <w:rFonts w:ascii="Arial" w:hAnsi="Arial" w:cs="Arial"/>
          <w:sz w:val="20"/>
        </w:rPr>
      </w:pPr>
      <w:r>
        <w:rPr>
          <w:rFonts w:ascii="Arial" w:hAnsi="Arial"/>
          <w:sz w:val="20"/>
        </w:rPr>
        <w:t xml:space="preserve">Uma definição de “Patente” – adaptada à Lei de Patentes nacional – poderia ser adicionada. Uma patente é um conjunto de direitos de exclusão concedidos por lei aos requerentes de invenções que são novas, não óbvias e comercialmente aplicáveis. </w:t>
      </w:r>
    </w:p>
    <w:p w14:paraId="5EDF9FCE" w14:textId="72CB2C9E" w:rsidR="004E3DE4" w:rsidRPr="00B00EEA" w:rsidRDefault="004E3DE4" w:rsidP="009D4A54">
      <w:pPr>
        <w:pStyle w:val="ListParagraph"/>
        <w:numPr>
          <w:ilvl w:val="0"/>
          <w:numId w:val="124"/>
        </w:numPr>
        <w:spacing w:after="0" w:line="240" w:lineRule="auto"/>
        <w:ind w:left="426" w:hanging="426"/>
        <w:jc w:val="both"/>
        <w:rPr>
          <w:rFonts w:ascii="Arial" w:hAnsi="Arial" w:cs="Arial"/>
          <w:sz w:val="20"/>
        </w:rPr>
      </w:pPr>
      <w:r>
        <w:rPr>
          <w:rFonts w:ascii="Arial" w:hAnsi="Arial"/>
          <w:sz w:val="20"/>
        </w:rPr>
        <w:t>Ela é válida por um período de tempo limitado (geralmente 20 anos a partir da data de depósito de convenção), durante o qual os titulares de patentes podem explorar comercialmente suas invenções de forma excludente</w:t>
      </w:r>
      <w:r w:rsidR="008411EA">
        <w:rPr>
          <w:rFonts w:ascii="Arial" w:hAnsi="Arial"/>
          <w:sz w:val="20"/>
        </w:rPr>
        <w:t xml:space="preserve">. </w:t>
      </w:r>
      <w:r>
        <w:rPr>
          <w:rFonts w:ascii="Arial" w:hAnsi="Arial"/>
          <w:sz w:val="20"/>
        </w:rPr>
        <w:t>Os direitos do titular da patente só podem ser exercidos após o pedido de patente ter sido concedido.</w:t>
      </w:r>
    </w:p>
    <w:p w14:paraId="440283FE" w14:textId="5D09B76B" w:rsidR="004E3DE4" w:rsidRPr="00B00EEA" w:rsidRDefault="004E3DE4" w:rsidP="009D4A54">
      <w:pPr>
        <w:pStyle w:val="ListParagraph"/>
        <w:numPr>
          <w:ilvl w:val="0"/>
          <w:numId w:val="124"/>
        </w:numPr>
        <w:spacing w:after="0" w:line="240" w:lineRule="auto"/>
        <w:ind w:left="426" w:hanging="426"/>
        <w:jc w:val="both"/>
        <w:rPr>
          <w:rFonts w:ascii="Arial" w:hAnsi="Arial" w:cs="Arial"/>
          <w:sz w:val="20"/>
        </w:rPr>
      </w:pPr>
      <w:r>
        <w:rPr>
          <w:rFonts w:ascii="Arial" w:hAnsi="Arial"/>
          <w:sz w:val="20"/>
        </w:rPr>
        <w:t xml:space="preserve">Em troca, os requerentes são obrigados a divulgar suas invenções ao público de maneira que permita a outros, versados na técnica, replicar a invenção; este é o fundamento do </w:t>
      </w:r>
      <w:r>
        <w:rPr>
          <w:rFonts w:ascii="Arial" w:hAnsi="Arial"/>
          <w:i/>
          <w:sz w:val="20"/>
        </w:rPr>
        <w:t>quid pro quo</w:t>
      </w:r>
      <w:r w:rsidR="008411EA">
        <w:rPr>
          <w:rFonts w:ascii="Arial" w:hAnsi="Arial"/>
          <w:sz w:val="20"/>
        </w:rPr>
        <w:t xml:space="preserve">. </w:t>
      </w:r>
    </w:p>
    <w:p w14:paraId="2F8E7F2A" w14:textId="77777777" w:rsidR="00F43DEF" w:rsidRPr="0024467F" w:rsidRDefault="00F43DEF" w:rsidP="00734F31">
      <w:pPr>
        <w:spacing w:after="0" w:line="240" w:lineRule="auto"/>
        <w:jc w:val="both"/>
        <w:rPr>
          <w:rFonts w:ascii="Arial" w:hAnsi="Arial" w:cs="Arial"/>
          <w:sz w:val="20"/>
        </w:rPr>
      </w:pPr>
    </w:p>
    <w:p w14:paraId="08B14A93" w14:textId="77777777" w:rsidR="00D346B9" w:rsidRPr="00B00EEA" w:rsidRDefault="00E733C0" w:rsidP="00734F31">
      <w:pPr>
        <w:pStyle w:val="CommentText"/>
        <w:spacing w:after="0"/>
        <w:jc w:val="both"/>
        <w:rPr>
          <w:rFonts w:ascii="Arial" w:hAnsi="Arial" w:cs="Arial"/>
          <w:b/>
          <w:szCs w:val="22"/>
        </w:rPr>
      </w:pPr>
      <w:r>
        <w:rPr>
          <w:rFonts w:ascii="Arial" w:hAnsi="Arial"/>
          <w:b/>
        </w:rPr>
        <w:t xml:space="preserve">Variedade de Plantas. </w:t>
      </w:r>
    </w:p>
    <w:p w14:paraId="1486947D" w14:textId="08C20090" w:rsidR="00573347" w:rsidRPr="00B00EEA" w:rsidRDefault="002616B9"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Muitas universidades e instituições de pesquisa conduzem pesquisas em áreas como produção de culturas, pecuária e saúde animal, silvicultura, pescas e armazenamento de culturas</w:t>
      </w:r>
      <w:r w:rsidR="008411EA">
        <w:rPr>
          <w:rFonts w:ascii="Arial" w:hAnsi="Arial"/>
          <w:sz w:val="20"/>
        </w:rPr>
        <w:t xml:space="preserve">. </w:t>
      </w:r>
      <w:r>
        <w:rPr>
          <w:rFonts w:ascii="Arial" w:hAnsi="Arial"/>
          <w:sz w:val="20"/>
        </w:rPr>
        <w:t>Os esforços de pesquisa nessas áreas levaram a uma série de conquistas específicas, por exemplo, variedades de muitas culturas, que são capazes de produzir altos rendimentos, mais adequadas a sistemas agrícolas específicos, resistentes ou tolerantes às principais doenças e pragas, etc. Essas variedades são disponibilizadas aos agricultores por meio de serviços de sementes existentes</w:t>
      </w:r>
      <w:r w:rsidR="008411EA">
        <w:rPr>
          <w:rFonts w:ascii="Arial" w:hAnsi="Arial"/>
          <w:sz w:val="20"/>
        </w:rPr>
        <w:t xml:space="preserve">. </w:t>
      </w:r>
      <w:r>
        <w:rPr>
          <w:rFonts w:ascii="Arial" w:hAnsi="Arial"/>
          <w:sz w:val="20"/>
        </w:rPr>
        <w:t>Para cada variedade, dados descritivos também estão disponíveis</w:t>
      </w:r>
      <w:r w:rsidR="008411EA">
        <w:rPr>
          <w:rFonts w:ascii="Arial" w:hAnsi="Arial"/>
          <w:sz w:val="20"/>
        </w:rPr>
        <w:t xml:space="preserve">. </w:t>
      </w:r>
      <w:r>
        <w:rPr>
          <w:rFonts w:ascii="Arial" w:hAnsi="Arial"/>
          <w:sz w:val="20"/>
        </w:rPr>
        <w:t>Eles fornecem uma breve descrição da variedade: origem (grupo, pedigree, nome comum, etc.), características agrícolas (sistema de cultivo, ciclo vegetativo, adaptabilidade a estresses bióticos e/ou abióticos), rendimento, qualidade do grão, etc. Esses dados facilitam a escolha de uma variedade específica para um tipo relevante de sistema de cultivo.</w:t>
      </w:r>
    </w:p>
    <w:p w14:paraId="09FB43E6" w14:textId="77777777" w:rsidR="00573347" w:rsidRPr="00B00EEA" w:rsidRDefault="00573347" w:rsidP="00464282">
      <w:pPr>
        <w:pStyle w:val="ListParagraph"/>
        <w:numPr>
          <w:ilvl w:val="0"/>
          <w:numId w:val="6"/>
        </w:numPr>
        <w:shd w:val="clear" w:color="auto" w:fill="FFFFFF"/>
        <w:spacing w:after="0" w:line="240" w:lineRule="auto"/>
        <w:ind w:left="426" w:hanging="426"/>
        <w:jc w:val="both"/>
        <w:rPr>
          <w:rFonts w:ascii="Arial" w:hAnsi="Arial" w:cs="Arial"/>
          <w:sz w:val="20"/>
        </w:rPr>
      </w:pPr>
      <w:r>
        <w:rPr>
          <w:rFonts w:ascii="Arial" w:hAnsi="Arial"/>
          <w:sz w:val="20"/>
        </w:rPr>
        <w:t xml:space="preserve">Uma variedade de plantas representa um grupo de plantas mais precisamente definido, selecionadas dentro de uma espécie, com um conjunto comum de características. Sob a </w:t>
      </w:r>
      <w:hyperlink r:id="rId35" w:history="1">
        <w:r>
          <w:rPr>
            <w:rStyle w:val="Hyperlink"/>
            <w:rFonts w:ascii="Arial" w:hAnsi="Arial"/>
            <w:color w:val="auto"/>
            <w:sz w:val="20"/>
          </w:rPr>
          <w:t>Convenção Internacional para a Proteção de Novas Variedades de Plantas</w:t>
        </w:r>
        <w:r w:rsidRPr="00B00EEA">
          <w:rPr>
            <w:rStyle w:val="FootnoteReference"/>
            <w:rFonts w:ascii="Arial" w:hAnsi="Arial" w:cs="Arial"/>
            <w:sz w:val="20"/>
            <w:u w:val="single"/>
            <w:lang w:val="en-US"/>
          </w:rPr>
          <w:footnoteReference w:id="47"/>
        </w:r>
      </w:hyperlink>
      <w:r>
        <w:rPr>
          <w:rFonts w:ascii="Arial" w:hAnsi="Arial"/>
          <w:sz w:val="20"/>
        </w:rPr>
        <w:t xml:space="preserve"> (“Convenção de UPOV”) e a </w:t>
      </w:r>
      <w:hyperlink r:id="rId36" w:history="1">
        <w:r>
          <w:rPr>
            <w:rStyle w:val="Hyperlink"/>
            <w:rFonts w:ascii="Arial" w:hAnsi="Arial"/>
            <w:color w:val="auto"/>
            <w:sz w:val="20"/>
          </w:rPr>
          <w:t>Convenção Europeia sobre Patentes</w:t>
        </w:r>
      </w:hyperlink>
      <w:r>
        <w:rPr>
          <w:rStyle w:val="Hyperlink"/>
          <w:rFonts w:ascii="Arial" w:hAnsi="Arial"/>
          <w:color w:val="auto"/>
          <w:sz w:val="20"/>
          <w:u w:val="none"/>
        </w:rPr>
        <w:t xml:space="preserve">, </w:t>
      </w:r>
      <w:r>
        <w:rPr>
          <w:rFonts w:ascii="Arial" w:hAnsi="Arial"/>
          <w:sz w:val="20"/>
        </w:rPr>
        <w:t xml:space="preserve">a seguinte definição é usada: </w:t>
      </w:r>
    </w:p>
    <w:p w14:paraId="076882C9" w14:textId="77777777" w:rsidR="00573347" w:rsidRPr="0024467F" w:rsidRDefault="00573347" w:rsidP="00B7519E">
      <w:pPr>
        <w:pStyle w:val="ListParagraph"/>
        <w:shd w:val="clear" w:color="auto" w:fill="FFFFFF" w:themeFill="background1"/>
        <w:spacing w:after="0" w:line="240" w:lineRule="auto"/>
        <w:ind w:left="426"/>
        <w:jc w:val="both"/>
        <w:rPr>
          <w:rFonts w:ascii="Arial" w:hAnsi="Arial" w:cs="Arial"/>
          <w:sz w:val="20"/>
        </w:rPr>
      </w:pPr>
    </w:p>
    <w:p w14:paraId="4F6DFD49" w14:textId="77777777" w:rsidR="00573347" w:rsidRPr="00B00EEA" w:rsidRDefault="00573347" w:rsidP="00B7519E">
      <w:pPr>
        <w:pStyle w:val="ListParagraph"/>
        <w:shd w:val="clear" w:color="auto" w:fill="FFFFFF" w:themeFill="background1"/>
        <w:spacing w:after="0" w:line="240" w:lineRule="auto"/>
        <w:ind w:left="1134"/>
        <w:jc w:val="both"/>
        <w:rPr>
          <w:rFonts w:ascii="Arial" w:hAnsi="Arial" w:cs="Arial"/>
          <w:i/>
          <w:sz w:val="20"/>
        </w:rPr>
      </w:pPr>
      <w:r>
        <w:rPr>
          <w:rFonts w:ascii="Arial" w:hAnsi="Arial"/>
          <w:i/>
          <w:sz w:val="20"/>
        </w:rPr>
        <w:t xml:space="preserve">“variedade” significa um agrupamento de plantas dentro de um único táxon botânico da classificação mais baixa conhecida, agrupamento esse que, independentemente das condições para a concessão de um direito de melhorador serem integralmente cumpridas, pode ser (i) definido pela expressão das características resultantes de um dado genótipo ou combinação de genótipos, (ii) distinguido de qualquer outro agrupamento de plantas </w:t>
      </w:r>
      <w:r>
        <w:rPr>
          <w:rFonts w:ascii="Arial" w:hAnsi="Arial"/>
          <w:i/>
          <w:sz w:val="20"/>
        </w:rPr>
        <w:lastRenderedPageBreak/>
        <w:t>pela expressão de pelo menos uma das referidas características e (iii) considerado como uma unidade no que diz respeito à sua adequação para ser propagado inalterado;</w:t>
      </w:r>
    </w:p>
    <w:p w14:paraId="499AB010" w14:textId="77777777" w:rsidR="000B5B31" w:rsidRPr="0024467F" w:rsidRDefault="000B5B31" w:rsidP="00B7519E">
      <w:pPr>
        <w:pStyle w:val="ListParagraph"/>
        <w:shd w:val="clear" w:color="auto" w:fill="FFFFFF" w:themeFill="background1"/>
        <w:spacing w:after="0" w:line="240" w:lineRule="auto"/>
        <w:ind w:left="1134"/>
        <w:jc w:val="both"/>
        <w:rPr>
          <w:rFonts w:ascii="Arial" w:hAnsi="Arial" w:cs="Arial"/>
          <w:i/>
          <w:sz w:val="20"/>
        </w:rPr>
      </w:pPr>
    </w:p>
    <w:p w14:paraId="4E6127C9" w14:textId="26612EBB" w:rsidR="002616B9" w:rsidRPr="00B00EEA" w:rsidRDefault="002616B9"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A proteção de variedades vegetais, também chamada de “direito do melhorador de plantas” (DMP), pode ser concedida a um melhorador se a variedade obtida for considerada nova, distinta, uniforme e estável, e tiver uma denominação adequada</w:t>
      </w:r>
      <w:r w:rsidR="008411EA">
        <w:rPr>
          <w:rFonts w:ascii="Arial" w:hAnsi="Arial"/>
          <w:sz w:val="20"/>
        </w:rPr>
        <w:t xml:space="preserve">. </w:t>
      </w:r>
      <w:r>
        <w:rPr>
          <w:rFonts w:ascii="Arial" w:hAnsi="Arial"/>
          <w:sz w:val="20"/>
        </w:rPr>
        <w:t>De acordo com esse direito, certos atos relativos à exploração da variedade protegida exigem autorização prévia do melhorador.</w:t>
      </w:r>
      <w:r w:rsidRPr="00B00EEA">
        <w:rPr>
          <w:rStyle w:val="FootnoteReference"/>
          <w:rFonts w:ascii="Arial" w:hAnsi="Arial" w:cs="Arial"/>
          <w:sz w:val="20"/>
          <w:lang w:val="en-US"/>
        </w:rPr>
        <w:footnoteReference w:id="48"/>
      </w:r>
    </w:p>
    <w:p w14:paraId="004018EC" w14:textId="3A97BEAD" w:rsidR="0034174F" w:rsidRPr="00B00EEA" w:rsidRDefault="0034174F"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Novas variedades de plantas formadas após modificação genética podem ser objeto de um direito de melhorador de plantas</w:t>
      </w:r>
      <w:r w:rsidR="008411EA">
        <w:rPr>
          <w:rFonts w:ascii="Arial" w:hAnsi="Arial"/>
          <w:sz w:val="20"/>
        </w:rPr>
        <w:t xml:space="preserve">. </w:t>
      </w:r>
      <w:r>
        <w:rPr>
          <w:rFonts w:ascii="Arial" w:hAnsi="Arial"/>
          <w:sz w:val="20"/>
        </w:rPr>
        <w:t>Além disso, essa variedade de planta geneticamente modificada pode ser protegida por meio da Lei de Patentes.</w:t>
      </w:r>
    </w:p>
    <w:p w14:paraId="3608D37A" w14:textId="01EEE5ED" w:rsidR="006D0CFD" w:rsidRPr="00B00EEA" w:rsidRDefault="00CE6392" w:rsidP="00734F31">
      <w:pPr>
        <w:pStyle w:val="CommentText"/>
        <w:spacing w:after="0"/>
        <w:jc w:val="both"/>
        <w:rPr>
          <w:rFonts w:ascii="Arial" w:hAnsi="Arial" w:cs="Arial"/>
          <w:b/>
          <w:szCs w:val="22"/>
        </w:rPr>
      </w:pPr>
      <w:r>
        <w:rPr>
          <w:rFonts w:ascii="Arial" w:hAnsi="Arial"/>
          <w:b/>
        </w:rPr>
        <w:t>Divulgação Pública</w:t>
      </w:r>
      <w:r w:rsidR="008411EA">
        <w:rPr>
          <w:rFonts w:ascii="Arial" w:hAnsi="Arial"/>
          <w:b/>
        </w:rPr>
        <w:t xml:space="preserve">. </w:t>
      </w:r>
    </w:p>
    <w:p w14:paraId="0BA5BC94" w14:textId="6381D4EB" w:rsidR="00CE6392" w:rsidRPr="00B00EEA" w:rsidRDefault="00CE6392"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No campo dos direitos autorais, “divulgação” pode significar tornar uma obra acessível ao público pela primeira vez</w:t>
      </w:r>
      <w:r w:rsidR="008411EA">
        <w:rPr>
          <w:rFonts w:ascii="Arial" w:hAnsi="Arial"/>
          <w:sz w:val="20"/>
        </w:rPr>
        <w:t xml:space="preserve">. </w:t>
      </w:r>
      <w:r>
        <w:rPr>
          <w:rFonts w:ascii="Arial" w:hAnsi="Arial"/>
          <w:sz w:val="20"/>
        </w:rPr>
        <w:t xml:space="preserve">A primeira publicação de obras é uma - mas não a única - forma possível de divulgação, uma vez que as obras também podem ser divulgadas por meio de atos não relacionados a direitos autorais, como execução pública e transmissão ao público por cabo (fio). De acordo com certas leis nacionais, o “direito de divulgação” é um direito moral. </w:t>
      </w:r>
    </w:p>
    <w:p w14:paraId="70401FAD" w14:textId="582E788C" w:rsidR="00CE6392" w:rsidRPr="00B00EEA" w:rsidRDefault="00BF3887"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No campo das patentes, a “divulgação” faz parte da lógica central da lei de patentes</w:t>
      </w:r>
      <w:r w:rsidR="008411EA">
        <w:rPr>
          <w:rFonts w:ascii="Arial" w:hAnsi="Arial"/>
          <w:sz w:val="20"/>
        </w:rPr>
        <w:t xml:space="preserve">. </w:t>
      </w:r>
      <w:r>
        <w:rPr>
          <w:rFonts w:ascii="Arial" w:hAnsi="Arial"/>
          <w:sz w:val="20"/>
        </w:rPr>
        <w:t>A lei de patentes impõe uma obrigação geral aos requerentes de patentes, conforme referido no Artigo 5 do Tratado de Cooperação em Matéria de Patentes (PCT), “</w:t>
      </w:r>
      <w:r>
        <w:rPr>
          <w:rFonts w:ascii="Arial" w:hAnsi="Arial"/>
          <w:i/>
          <w:sz w:val="20"/>
        </w:rPr>
        <w:t>divulgar a invenção de uma maneira suficientemente clara e completa para que a invenção possa ser realizada por uma pessoa versada na técnica</w:t>
      </w:r>
      <w:r>
        <w:rPr>
          <w:rFonts w:ascii="Arial" w:hAnsi="Arial"/>
          <w:sz w:val="20"/>
        </w:rPr>
        <w:t>”</w:t>
      </w:r>
      <w:r w:rsidR="008411EA">
        <w:rPr>
          <w:rFonts w:ascii="Arial" w:hAnsi="Arial"/>
          <w:sz w:val="20"/>
        </w:rPr>
        <w:t xml:space="preserve">. </w:t>
      </w:r>
    </w:p>
    <w:p w14:paraId="670C2C9A" w14:textId="77777777" w:rsidR="00561A54" w:rsidRPr="00B00EEA" w:rsidRDefault="00561A54"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Algumas ações de divulgação podem resultar na perda de direitos sobre parte ou toda a propriedade intelectual de alguém (é particularmente fácil comprometer inadvertidamente os direitos de patente de alguém). Portanto, controles devem ser implementados para manter novas invenções confidenciais por um período limitado para permitir que o EGPI realize uma análise oportuna do caso, incluindo a avaliação de patenteabilidade.</w:t>
      </w:r>
    </w:p>
    <w:p w14:paraId="5917FA6B" w14:textId="1264D984" w:rsidR="00691142" w:rsidRPr="00B00EEA" w:rsidRDefault="009D08AE" w:rsidP="00734F31">
      <w:pPr>
        <w:tabs>
          <w:tab w:val="left" w:pos="993"/>
        </w:tabs>
        <w:spacing w:after="0" w:line="240" w:lineRule="auto"/>
        <w:jc w:val="both"/>
        <w:rPr>
          <w:rFonts w:ascii="Arial" w:hAnsi="Arial" w:cs="Arial"/>
          <w:b/>
          <w:sz w:val="20"/>
        </w:rPr>
      </w:pPr>
      <w:r>
        <w:rPr>
          <w:rFonts w:ascii="Arial" w:hAnsi="Arial"/>
          <w:b/>
          <w:sz w:val="20"/>
        </w:rPr>
        <w:t>Domínio Público</w:t>
      </w:r>
      <w:r w:rsidR="008411EA">
        <w:rPr>
          <w:rFonts w:ascii="Arial" w:hAnsi="Arial"/>
          <w:b/>
          <w:sz w:val="20"/>
        </w:rPr>
        <w:t xml:space="preserve">. </w:t>
      </w:r>
    </w:p>
    <w:p w14:paraId="07EEB8FC" w14:textId="77777777" w:rsidR="007429A0" w:rsidRPr="00B00EEA" w:rsidRDefault="00691D5F" w:rsidP="009D4A54">
      <w:pPr>
        <w:pStyle w:val="ListParagraph"/>
        <w:numPr>
          <w:ilvl w:val="0"/>
          <w:numId w:val="125"/>
        </w:numPr>
        <w:tabs>
          <w:tab w:val="left" w:pos="993"/>
        </w:tabs>
        <w:spacing w:after="0" w:line="240" w:lineRule="auto"/>
        <w:ind w:left="426" w:hanging="426"/>
        <w:jc w:val="both"/>
        <w:rPr>
          <w:rFonts w:ascii="Arial" w:eastAsia="Times New Roman" w:hAnsi="Arial" w:cs="Arial"/>
          <w:bCs/>
          <w:sz w:val="20"/>
        </w:rPr>
      </w:pPr>
      <w:r>
        <w:rPr>
          <w:rFonts w:ascii="Arial" w:hAnsi="Arial"/>
          <w:sz w:val="20"/>
        </w:rPr>
        <w:t>Em geral, uma obra é considerada de domínio público se não houver restrição legal para seu uso pelo público.</w:t>
      </w:r>
    </w:p>
    <w:p w14:paraId="6C3B546A" w14:textId="77777777" w:rsidR="007429A0"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rPr>
      </w:pPr>
      <w:r>
        <w:rPr>
          <w:rFonts w:ascii="Arial" w:hAnsi="Arial"/>
          <w:sz w:val="20"/>
        </w:rPr>
        <w:t xml:space="preserve">O Domínio Público foi definido </w:t>
      </w:r>
      <w:r>
        <w:rPr>
          <w:rFonts w:ascii="Arial" w:hAnsi="Arial"/>
          <w:b/>
          <w:sz w:val="20"/>
        </w:rPr>
        <w:t>no campo de direitos autorais</w:t>
      </w:r>
      <w:r>
        <w:rPr>
          <w:rFonts w:ascii="Arial" w:hAnsi="Arial"/>
          <w:sz w:val="20"/>
        </w:rPr>
        <w:t xml:space="preserve"> </w:t>
      </w:r>
      <w:r>
        <w:rPr>
          <w:rFonts w:ascii="Arial" w:hAnsi="Arial"/>
          <w:b/>
          <w:sz w:val="20"/>
        </w:rPr>
        <w:t>e dos objetos de direitos conexos</w:t>
      </w:r>
      <w:r>
        <w:rPr>
          <w:rFonts w:ascii="Arial" w:hAnsi="Arial"/>
          <w:sz w:val="20"/>
        </w:rPr>
        <w:t xml:space="preserve"> como “</w:t>
      </w:r>
      <w:r>
        <w:rPr>
          <w:rFonts w:ascii="Arial" w:hAnsi="Arial"/>
          <w:i/>
          <w:sz w:val="20"/>
        </w:rPr>
        <w:t>o escopo das obras que pode ser usado e explorado por qualquer pessoa sem autorização e sem a obrigação de pagar remuneração aos titulares dos direitos autorais e direitos conexos em causa - em regra devido à expiração do seu prazo de proteção ou devido à ausência de um tratado internacional que lhes garanta proteção no determinado país</w:t>
      </w:r>
      <w:r>
        <w:rPr>
          <w:rFonts w:ascii="Arial" w:hAnsi="Arial"/>
          <w:sz w:val="20"/>
        </w:rPr>
        <w:t>.</w:t>
      </w:r>
      <w:r w:rsidR="00BF3887" w:rsidRPr="00B00EEA">
        <w:rPr>
          <w:rStyle w:val="FootnoteReference"/>
          <w:rFonts w:ascii="Arial" w:hAnsi="Arial" w:cs="Arial"/>
          <w:sz w:val="20"/>
          <w:lang w:val="en-US"/>
        </w:rPr>
        <w:footnoteReference w:id="49"/>
      </w:r>
      <w:r>
        <w:rPr>
          <w:rFonts w:ascii="Arial" w:hAnsi="Arial"/>
          <w:sz w:val="20"/>
        </w:rPr>
        <w:t>”</w:t>
      </w:r>
    </w:p>
    <w:p w14:paraId="3B22618A" w14:textId="77777777" w:rsidR="009D08AE"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rPr>
      </w:pPr>
      <w:r>
        <w:rPr>
          <w:rFonts w:ascii="Arial" w:hAnsi="Arial"/>
          <w:sz w:val="20"/>
        </w:rPr>
        <w:t>O Domínio Público</w:t>
      </w:r>
      <w:r>
        <w:rPr>
          <w:rFonts w:ascii="Arial" w:hAnsi="Arial"/>
          <w:b/>
          <w:sz w:val="20"/>
        </w:rPr>
        <w:t xml:space="preserve"> em relação à lei de patentes</w:t>
      </w:r>
      <w:r>
        <w:rPr>
          <w:rFonts w:ascii="Arial" w:hAnsi="Arial"/>
          <w:sz w:val="20"/>
        </w:rPr>
        <w:t xml:space="preserve"> consiste em conhecimento, ideias e inovações sobre os quais nenhuma pessoa ou organização tem direitos de propriedade. O conhecimento, as ideias e as inovações são de Domínio Público se não houver restrições legais de uso (variando em diferentes legislações e formando, portanto, diferentes domínios públicos), após a expiração de patentes (normalmente 20 anos), como consequência de direitos não renovados/caducados, após revogação e após invalidação das patentes</w:t>
      </w:r>
      <w:r w:rsidR="00BF3887" w:rsidRPr="00B00EEA">
        <w:rPr>
          <w:rStyle w:val="FootnoteReference"/>
          <w:rFonts w:ascii="Arial" w:hAnsi="Arial" w:cs="Arial"/>
          <w:sz w:val="20"/>
          <w:lang w:val="en-US"/>
        </w:rPr>
        <w:footnoteReference w:id="50"/>
      </w:r>
      <w:r>
        <w:rPr>
          <w:rFonts w:ascii="Arial" w:hAnsi="Arial"/>
          <w:sz w:val="20"/>
        </w:rPr>
        <w:t xml:space="preserve">. </w:t>
      </w:r>
    </w:p>
    <w:p w14:paraId="3104CEDD" w14:textId="77777777" w:rsidR="00AF62DE" w:rsidRPr="0024467F" w:rsidRDefault="00AF62DE" w:rsidP="00734F31">
      <w:pPr>
        <w:tabs>
          <w:tab w:val="left" w:pos="993"/>
        </w:tabs>
        <w:spacing w:after="0" w:line="240" w:lineRule="auto"/>
        <w:jc w:val="both"/>
        <w:rPr>
          <w:rFonts w:ascii="Arial" w:hAnsi="Arial" w:cs="Arial"/>
          <w:b/>
          <w:sz w:val="20"/>
        </w:rPr>
      </w:pPr>
    </w:p>
    <w:p w14:paraId="2080C50F" w14:textId="1716208A" w:rsidR="00DA7E04" w:rsidRPr="00B00EEA" w:rsidRDefault="00AF62DE" w:rsidP="00734F31">
      <w:pPr>
        <w:tabs>
          <w:tab w:val="left" w:pos="993"/>
        </w:tabs>
        <w:spacing w:after="0" w:line="240" w:lineRule="auto"/>
        <w:jc w:val="both"/>
        <w:rPr>
          <w:rFonts w:ascii="Arial" w:hAnsi="Arial" w:cs="Arial"/>
          <w:b/>
          <w:sz w:val="20"/>
        </w:rPr>
      </w:pPr>
      <w:r>
        <w:rPr>
          <w:rFonts w:ascii="Arial" w:hAnsi="Arial"/>
          <w:b/>
          <w:sz w:val="20"/>
        </w:rPr>
        <w:t>Pesquisa</w:t>
      </w:r>
      <w:r w:rsidR="008411EA">
        <w:rPr>
          <w:rFonts w:ascii="Arial" w:hAnsi="Arial"/>
          <w:b/>
          <w:sz w:val="20"/>
        </w:rPr>
        <w:t xml:space="preserve">. </w:t>
      </w:r>
    </w:p>
    <w:p w14:paraId="0714A2F3" w14:textId="77777777" w:rsidR="009D08AE" w:rsidRPr="00B00EEA" w:rsidRDefault="00AF62DE" w:rsidP="009D4A54">
      <w:pPr>
        <w:pStyle w:val="ListParagraph"/>
        <w:numPr>
          <w:ilvl w:val="0"/>
          <w:numId w:val="137"/>
        </w:numPr>
        <w:tabs>
          <w:tab w:val="left" w:pos="993"/>
        </w:tabs>
        <w:spacing w:after="0" w:line="240" w:lineRule="auto"/>
        <w:ind w:left="426" w:hanging="426"/>
        <w:jc w:val="both"/>
        <w:rPr>
          <w:rFonts w:ascii="Arial" w:hAnsi="Arial" w:cs="Arial"/>
          <w:b/>
          <w:sz w:val="20"/>
        </w:rPr>
      </w:pPr>
      <w:r>
        <w:rPr>
          <w:rFonts w:ascii="Arial" w:hAnsi="Arial"/>
          <w:sz w:val="20"/>
        </w:rPr>
        <w:t>A pesquisa compreende três atividades: Pesquisa Básica, Pesquisa Aplicada e Desenvolvimento Experimental; em que:</w:t>
      </w:r>
    </w:p>
    <w:p w14:paraId="3DBBF73B"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rPr>
      </w:pPr>
      <w:r>
        <w:rPr>
          <w:rFonts w:ascii="Arial" w:hAnsi="Arial"/>
          <w:color w:val="0070C0"/>
          <w:sz w:val="20"/>
        </w:rPr>
        <w:t xml:space="preserve">Pesquisa Básica </w:t>
      </w:r>
      <w:r>
        <w:rPr>
          <w:rFonts w:ascii="Arial" w:hAnsi="Arial"/>
          <w:color w:val="000000" w:themeColor="text1"/>
          <w:sz w:val="20"/>
        </w:rPr>
        <w:t xml:space="preserve">é uma obra experimental ou teórica realizada principalmente para adquirir novos conhecimentos sobre os fundamentos subjacentes dos fenômenos e fatos observáveis, sem nenhuma aplicação ou uso específico em vista; </w:t>
      </w:r>
    </w:p>
    <w:p w14:paraId="6F0859B0"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rPr>
      </w:pPr>
      <w:r>
        <w:rPr>
          <w:rFonts w:ascii="Arial" w:hAnsi="Arial"/>
          <w:color w:val="0070C0"/>
          <w:sz w:val="20"/>
        </w:rPr>
        <w:t>Pesquisa Aplicada</w:t>
      </w:r>
      <w:r>
        <w:rPr>
          <w:rFonts w:ascii="Arial" w:hAnsi="Arial"/>
          <w:color w:val="000000" w:themeColor="text1"/>
          <w:sz w:val="20"/>
        </w:rPr>
        <w:t xml:space="preserve"> é também uma investigação original realizada com o objetivo de adquirir novos conhecimentos. No entanto, é dirigida principalmente para um objetivo ou meta prática específica; e</w:t>
      </w:r>
    </w:p>
    <w:p w14:paraId="2E65AB2D"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rPr>
      </w:pPr>
      <w:r>
        <w:rPr>
          <w:rFonts w:ascii="Arial" w:hAnsi="Arial"/>
          <w:color w:val="0070C0"/>
          <w:sz w:val="20"/>
        </w:rPr>
        <w:lastRenderedPageBreak/>
        <w:t>Desenvolvimento Experimental</w:t>
      </w:r>
      <w:r>
        <w:rPr>
          <w:rFonts w:ascii="Arial" w:hAnsi="Arial"/>
          <w:color w:val="000000" w:themeColor="text1"/>
          <w:sz w:val="20"/>
        </w:rPr>
        <w:t xml:space="preserve"> é uma trabalha sistemática, baseada em conhecimento existente obtida por meio de Pesquisa e/ou experiência prática, que é direcionada à produção de novos materiais, produtos ou dispositivos, à instalação de novos processos, sistemas e serviços, ou à melhoria substancial daqueles já produzidos ou instalados.</w:t>
      </w:r>
      <w:r w:rsidR="0034174F" w:rsidRPr="00B00EEA">
        <w:rPr>
          <w:rStyle w:val="FootnoteReference"/>
          <w:rFonts w:ascii="Arial" w:eastAsia="Times New Roman" w:hAnsi="Arial" w:cs="Arial"/>
          <w:color w:val="000000" w:themeColor="text1"/>
          <w:sz w:val="20"/>
          <w:lang w:val="en-US"/>
        </w:rPr>
        <w:footnoteReference w:id="51"/>
      </w:r>
      <w:r>
        <w:rPr>
          <w:rFonts w:ascii="Arial" w:hAnsi="Arial"/>
          <w:color w:val="000000" w:themeColor="text1"/>
          <w:sz w:val="20"/>
        </w:rPr>
        <w:t xml:space="preserve"> </w:t>
      </w:r>
    </w:p>
    <w:p w14:paraId="0D64A91B" w14:textId="77777777" w:rsidR="00AF62DE" w:rsidRPr="0024467F" w:rsidRDefault="00AF62DE" w:rsidP="00734F31">
      <w:pPr>
        <w:spacing w:after="0" w:line="240" w:lineRule="auto"/>
        <w:jc w:val="both"/>
        <w:rPr>
          <w:rFonts w:ascii="Arial" w:eastAsia="Times New Roman" w:hAnsi="Arial" w:cs="Arial"/>
          <w:b/>
          <w:bCs/>
          <w:sz w:val="20"/>
        </w:rPr>
      </w:pPr>
    </w:p>
    <w:p w14:paraId="69B8166C" w14:textId="3F9E3B5F" w:rsidR="006D0CFD" w:rsidRPr="00B00EEA" w:rsidRDefault="00014D53" w:rsidP="00734F31">
      <w:pPr>
        <w:spacing w:after="0" w:line="240" w:lineRule="auto"/>
        <w:jc w:val="both"/>
        <w:rPr>
          <w:rFonts w:ascii="Arial" w:eastAsia="Times New Roman" w:hAnsi="Arial" w:cs="Arial"/>
          <w:b/>
          <w:bCs/>
          <w:sz w:val="20"/>
        </w:rPr>
      </w:pPr>
      <w:r>
        <w:rPr>
          <w:rFonts w:ascii="Arial" w:hAnsi="Arial"/>
          <w:b/>
          <w:sz w:val="20"/>
        </w:rPr>
        <w:t>Trabalhos Acadêmicos</w:t>
      </w:r>
      <w:r w:rsidR="008411EA">
        <w:rPr>
          <w:rFonts w:ascii="Arial" w:hAnsi="Arial"/>
          <w:b/>
          <w:sz w:val="20"/>
        </w:rPr>
        <w:t xml:space="preserve">. </w:t>
      </w:r>
    </w:p>
    <w:p w14:paraId="56410E1E" w14:textId="77777777"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rPr>
      </w:pPr>
      <w:r>
        <w:rPr>
          <w:rFonts w:ascii="Arial" w:hAnsi="Arial"/>
          <w:sz w:val="20"/>
        </w:rPr>
        <w:t>Os Trabalhos Acadêmicos podem incluir, mas não estão limitados a, publicações acadêmicas, artigos de periódicos acadêmicos, boletins de pesquisa, monografias, livros, artigos de conferências e apresentações relacionadas, peças de teatro, poemas, composições musicais, gravações sonoras, material de vídeo ou filme, obras de multimídia, fotografias e outras obras criativas.</w:t>
      </w:r>
    </w:p>
    <w:p w14:paraId="18C7696C" w14:textId="42E100CA"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rPr>
      </w:pPr>
      <w:r>
        <w:rPr>
          <w:rFonts w:ascii="Arial" w:hAnsi="Arial"/>
          <w:sz w:val="20"/>
        </w:rPr>
        <w:t xml:space="preserve">Os Membros da Equipe geralmente possuem direitos de PI sobre seus Trabalhos Acadêmicos (veja </w:t>
      </w:r>
      <w:hyperlink w:anchor="_Article_5.1_–" w:history="1">
        <w:r>
          <w:rPr>
            <w:rStyle w:val="Hyperlink"/>
            <w:rFonts w:ascii="Arial" w:hAnsi="Arial"/>
            <w:sz w:val="20"/>
          </w:rPr>
          <w:t>Artigo 5.1.2</w:t>
        </w:r>
      </w:hyperlink>
      <w:r>
        <w:rPr>
          <w:rFonts w:ascii="Arial" w:hAnsi="Arial"/>
          <w:sz w:val="20"/>
        </w:rPr>
        <w:t>. Modelo)</w:t>
      </w:r>
      <w:r w:rsidR="008411EA">
        <w:rPr>
          <w:rFonts w:ascii="Arial" w:hAnsi="Arial"/>
          <w:sz w:val="20"/>
        </w:rPr>
        <w:t xml:space="preserve">. </w:t>
      </w:r>
    </w:p>
    <w:p w14:paraId="35240384" w14:textId="77777777" w:rsidR="00BF3887" w:rsidRPr="00B00EEA" w:rsidRDefault="006D0CFD" w:rsidP="009D4A54">
      <w:pPr>
        <w:pStyle w:val="ListParagraph"/>
        <w:numPr>
          <w:ilvl w:val="0"/>
          <w:numId w:val="38"/>
        </w:numPr>
        <w:tabs>
          <w:tab w:val="left" w:pos="993"/>
        </w:tabs>
        <w:spacing w:after="0" w:line="240" w:lineRule="auto"/>
        <w:ind w:left="426" w:hanging="426"/>
        <w:jc w:val="both"/>
        <w:rPr>
          <w:rFonts w:ascii="Arial" w:eastAsia="Times New Roman" w:hAnsi="Arial" w:cs="Arial"/>
          <w:b/>
          <w:sz w:val="20"/>
        </w:rPr>
      </w:pPr>
      <w:r>
        <w:rPr>
          <w:rFonts w:ascii="Arial" w:hAnsi="Arial"/>
          <w:sz w:val="20"/>
        </w:rPr>
        <w:t>Algumas instituições excluem softwares de computador e base de dados.</w:t>
      </w:r>
    </w:p>
    <w:p w14:paraId="41A7AA08" w14:textId="77777777" w:rsidR="00E97F0E" w:rsidRPr="0024467F" w:rsidRDefault="00E97F0E" w:rsidP="00734F31">
      <w:pPr>
        <w:tabs>
          <w:tab w:val="left" w:pos="993"/>
        </w:tabs>
        <w:spacing w:after="0" w:line="240" w:lineRule="auto"/>
        <w:jc w:val="both"/>
        <w:rPr>
          <w:rFonts w:ascii="Arial" w:eastAsia="Times New Roman" w:hAnsi="Arial" w:cs="Arial"/>
          <w:b/>
          <w:sz w:val="20"/>
        </w:rPr>
      </w:pPr>
    </w:p>
    <w:p w14:paraId="5832CEE5" w14:textId="77777777" w:rsidR="00DA7E04" w:rsidRPr="00B00EEA" w:rsidRDefault="000B4F38" w:rsidP="00734F31">
      <w:pPr>
        <w:tabs>
          <w:tab w:val="left" w:pos="426"/>
          <w:tab w:val="left" w:pos="993"/>
        </w:tabs>
        <w:spacing w:after="0" w:line="240" w:lineRule="auto"/>
        <w:jc w:val="both"/>
        <w:rPr>
          <w:rFonts w:ascii="Arial" w:eastAsia="Times New Roman" w:hAnsi="Arial" w:cs="Arial"/>
          <w:sz w:val="20"/>
        </w:rPr>
      </w:pPr>
      <w:r>
        <w:rPr>
          <w:rFonts w:ascii="Arial" w:hAnsi="Arial"/>
          <w:b/>
          <w:sz w:val="20"/>
        </w:rPr>
        <w:t>Diretor Sênior Responsável.</w:t>
      </w:r>
      <w:r>
        <w:rPr>
          <w:rFonts w:ascii="Arial" w:hAnsi="Arial"/>
          <w:sz w:val="20"/>
        </w:rPr>
        <w:t xml:space="preserve"> </w:t>
      </w:r>
    </w:p>
    <w:p w14:paraId="303806CD" w14:textId="00FCB422" w:rsidR="000B4F38" w:rsidRPr="00B00EEA" w:rsidRDefault="000B4F38" w:rsidP="009D4A54">
      <w:pPr>
        <w:pStyle w:val="ListParagraph"/>
        <w:numPr>
          <w:ilvl w:val="0"/>
          <w:numId w:val="138"/>
        </w:numPr>
        <w:tabs>
          <w:tab w:val="left" w:pos="426"/>
          <w:tab w:val="left" w:pos="993"/>
        </w:tabs>
        <w:spacing w:after="0" w:line="240" w:lineRule="auto"/>
        <w:ind w:left="426" w:hanging="426"/>
        <w:jc w:val="both"/>
        <w:rPr>
          <w:rFonts w:ascii="Arial" w:eastAsia="Times New Roman" w:hAnsi="Arial" w:cs="Arial"/>
          <w:sz w:val="20"/>
        </w:rPr>
      </w:pPr>
      <w:r>
        <w:rPr>
          <w:rFonts w:ascii="Arial" w:hAnsi="Arial"/>
          <w:sz w:val="20"/>
        </w:rPr>
        <w:t>O Diretor Sênior Responsável pode nomear um representante para exercer alguns aspectos desta autoridade</w:t>
      </w:r>
      <w:r w:rsidR="008411EA">
        <w:rPr>
          <w:rFonts w:ascii="Arial" w:hAnsi="Arial"/>
          <w:sz w:val="20"/>
        </w:rPr>
        <w:t xml:space="preserve">. </w:t>
      </w:r>
      <w:r>
        <w:rPr>
          <w:rFonts w:ascii="Arial" w:hAnsi="Arial"/>
          <w:sz w:val="20"/>
        </w:rPr>
        <w:t xml:space="preserve">No caso de universidades, essa pessoa tende a ser um dos vice-reitores, normalmente o responsável por Pesquisa ou Acadêmico; no caso de organizações de pesquisa, pode ser um Vice-Presidente ou Executivo que se reporta ao Diretor Executivo ou Presidente da organização. </w:t>
      </w:r>
    </w:p>
    <w:p w14:paraId="7069B79E" w14:textId="77777777" w:rsidR="00BE639C" w:rsidRPr="0024467F" w:rsidRDefault="00BE639C" w:rsidP="00734F31">
      <w:pPr>
        <w:tabs>
          <w:tab w:val="left" w:pos="993"/>
        </w:tabs>
        <w:spacing w:after="0" w:line="240" w:lineRule="auto"/>
        <w:jc w:val="both"/>
        <w:rPr>
          <w:rFonts w:ascii="Arial" w:eastAsia="Times New Roman" w:hAnsi="Arial" w:cs="Arial"/>
          <w:sz w:val="20"/>
        </w:rPr>
      </w:pPr>
    </w:p>
    <w:p w14:paraId="22B61DBD" w14:textId="3604A15B" w:rsidR="00DA7E04" w:rsidRPr="00B00EEA" w:rsidRDefault="003707A0" w:rsidP="00734F31">
      <w:pPr>
        <w:spacing w:after="0" w:line="240" w:lineRule="auto"/>
        <w:jc w:val="both"/>
        <w:rPr>
          <w:rFonts w:ascii="Arial" w:hAnsi="Arial" w:cs="Arial"/>
          <w:b/>
          <w:sz w:val="20"/>
        </w:rPr>
      </w:pPr>
      <w:r>
        <w:rPr>
          <w:rFonts w:ascii="Arial" w:hAnsi="Arial"/>
          <w:b/>
          <w:sz w:val="20"/>
        </w:rPr>
        <w:t>Membros da Equipe</w:t>
      </w:r>
      <w:r w:rsidR="008411EA">
        <w:rPr>
          <w:rFonts w:ascii="Arial" w:hAnsi="Arial"/>
          <w:b/>
          <w:sz w:val="20"/>
        </w:rPr>
        <w:t xml:space="preserve">. </w:t>
      </w:r>
    </w:p>
    <w:p w14:paraId="3F9FA085" w14:textId="1016D751" w:rsidR="003707A0" w:rsidRPr="00B00EEA" w:rsidRDefault="003707A0" w:rsidP="009D4A54">
      <w:pPr>
        <w:pStyle w:val="ListParagraph"/>
        <w:numPr>
          <w:ilvl w:val="0"/>
          <w:numId w:val="138"/>
        </w:numPr>
        <w:spacing w:after="0" w:line="240" w:lineRule="auto"/>
        <w:ind w:left="426" w:hanging="426"/>
        <w:jc w:val="both"/>
        <w:rPr>
          <w:rFonts w:ascii="Arial" w:hAnsi="Arial" w:cs="Arial"/>
          <w:sz w:val="20"/>
        </w:rPr>
      </w:pPr>
      <w:r>
        <w:rPr>
          <w:rFonts w:ascii="Arial" w:hAnsi="Arial"/>
          <w:sz w:val="20"/>
        </w:rPr>
        <w:t>Termos alternativos são: "Empregados"; "Corpo Docente"</w:t>
      </w:r>
      <w:r w:rsidRPr="00B00EEA">
        <w:rPr>
          <w:rStyle w:val="FootnoteReference"/>
          <w:rFonts w:ascii="Arial" w:hAnsi="Arial" w:cs="Arial"/>
          <w:sz w:val="20"/>
          <w:lang w:val="en-US"/>
        </w:rPr>
        <w:footnoteReference w:id="52"/>
      </w:r>
      <w:r>
        <w:rPr>
          <w:rFonts w:ascii="Arial" w:hAnsi="Arial"/>
          <w:sz w:val="20"/>
        </w:rPr>
        <w:t>; "Professores e Funcionários”</w:t>
      </w:r>
      <w:r w:rsidRPr="00B00EEA">
        <w:rPr>
          <w:rStyle w:val="FootnoteReference"/>
          <w:rFonts w:ascii="Arial" w:hAnsi="Arial" w:cs="Arial"/>
          <w:sz w:val="20"/>
          <w:lang w:val="en-US"/>
        </w:rPr>
        <w:footnoteReference w:id="53"/>
      </w:r>
      <w:r>
        <w:rPr>
          <w:rFonts w:ascii="Arial" w:hAnsi="Arial"/>
          <w:sz w:val="20"/>
        </w:rPr>
        <w:t>; "Acadêmicos”</w:t>
      </w:r>
      <w:r w:rsidRPr="00B00EEA">
        <w:rPr>
          <w:rStyle w:val="FootnoteReference"/>
          <w:rFonts w:ascii="Arial" w:hAnsi="Arial" w:cs="Arial"/>
          <w:sz w:val="20"/>
          <w:lang w:val="en-US"/>
        </w:rPr>
        <w:footnoteReference w:id="54"/>
      </w:r>
      <w:r>
        <w:rPr>
          <w:rFonts w:ascii="Arial" w:hAnsi="Arial"/>
          <w:sz w:val="20"/>
        </w:rPr>
        <w:t>, etc</w:t>
      </w:r>
      <w:r w:rsidR="008411EA">
        <w:rPr>
          <w:rFonts w:ascii="Arial" w:hAnsi="Arial"/>
          <w:sz w:val="20"/>
        </w:rPr>
        <w:t>.</w:t>
      </w:r>
    </w:p>
    <w:p w14:paraId="69DDE561" w14:textId="77777777" w:rsidR="003707A0" w:rsidRPr="0024467F" w:rsidRDefault="003707A0" w:rsidP="00734F31">
      <w:pPr>
        <w:spacing w:after="0" w:line="240" w:lineRule="auto"/>
        <w:jc w:val="both"/>
        <w:rPr>
          <w:rFonts w:ascii="Arial" w:hAnsi="Arial" w:cs="Arial"/>
          <w:sz w:val="20"/>
        </w:rPr>
      </w:pPr>
    </w:p>
    <w:p w14:paraId="00B5BCFE" w14:textId="09A5A7D3" w:rsidR="00CB4125" w:rsidRPr="00B00EEA" w:rsidRDefault="007429A0" w:rsidP="002F3C51">
      <w:pPr>
        <w:spacing w:after="0" w:line="240" w:lineRule="auto"/>
        <w:jc w:val="both"/>
        <w:rPr>
          <w:rFonts w:ascii="Arial" w:hAnsi="Arial" w:cs="Arial"/>
          <w:sz w:val="20"/>
          <w:szCs w:val="20"/>
        </w:rPr>
      </w:pPr>
      <w:r>
        <w:rPr>
          <w:rFonts w:ascii="Arial" w:hAnsi="Arial"/>
          <w:b/>
          <w:sz w:val="20"/>
        </w:rPr>
        <w:t>Aluno</w:t>
      </w:r>
      <w:r w:rsidR="008411EA">
        <w:rPr>
          <w:rFonts w:ascii="Arial" w:hAnsi="Arial"/>
          <w:b/>
          <w:sz w:val="20"/>
        </w:rPr>
        <w:t xml:space="preserve">. </w:t>
      </w:r>
    </w:p>
    <w:p w14:paraId="57200E53" w14:textId="77777777" w:rsidR="00CB4125" w:rsidRPr="00B00EEA" w:rsidRDefault="007E7F43" w:rsidP="009D4A54">
      <w:pPr>
        <w:pStyle w:val="ListParagraph"/>
        <w:numPr>
          <w:ilvl w:val="0"/>
          <w:numId w:val="39"/>
        </w:numPr>
        <w:tabs>
          <w:tab w:val="left" w:pos="567"/>
        </w:tabs>
        <w:spacing w:after="0" w:line="240" w:lineRule="auto"/>
        <w:ind w:left="426" w:hanging="426"/>
        <w:jc w:val="both"/>
        <w:rPr>
          <w:rFonts w:ascii="Arial" w:hAnsi="Arial" w:cs="Arial"/>
          <w:color w:val="000000" w:themeColor="text1"/>
          <w:sz w:val="20"/>
        </w:rPr>
      </w:pPr>
      <w:r>
        <w:rPr>
          <w:rFonts w:ascii="Arial" w:hAnsi="Arial"/>
          <w:sz w:val="20"/>
        </w:rPr>
        <w:t xml:space="preserve">A Política de PI abrange os alunos com uma Nomeação (nesse caso, eles são Visitantes) e os alunos que têm um contrato de trabalho (nesse caso, eles são Membros da Equipe). </w:t>
      </w:r>
    </w:p>
    <w:p w14:paraId="03D26CE2" w14:textId="77777777" w:rsidR="003E5F02"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i/>
          <w:sz w:val="20"/>
        </w:rPr>
      </w:pPr>
      <w:r>
        <w:rPr>
          <w:rFonts w:ascii="Arial" w:hAnsi="Arial"/>
          <w:sz w:val="20"/>
        </w:rPr>
        <w:t>Além disso, a Política tem implicações para os alunos cuja pesquisa faz parte dos Projetos de Pesquisa da Instituição (artigo 5.2.3. Modelo) ou Contratos de Pesquisa (artigo 5.2.4. Modelo).</w:t>
      </w:r>
    </w:p>
    <w:p w14:paraId="3AA7DA2A" w14:textId="77777777" w:rsidR="00AC7693"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sz w:val="20"/>
          <w:szCs w:val="20"/>
        </w:rPr>
      </w:pPr>
      <w:r>
        <w:rPr>
          <w:rFonts w:ascii="Arial" w:hAnsi="Arial"/>
          <w:sz w:val="20"/>
        </w:rPr>
        <w:t xml:space="preserve">Observe que em alguns países um PhD é considerado um aluno (também com status legal), enquanto em outros países um PhD é um funcionário (Membro da Equipe). Em alguns países, como a Holanda, o PhD pode escolher ser aluno ou funcionário. </w:t>
      </w:r>
    </w:p>
    <w:p w14:paraId="546962B6" w14:textId="77777777" w:rsidR="00AC7693" w:rsidRPr="0024467F" w:rsidRDefault="00AC7693" w:rsidP="00734F31">
      <w:pPr>
        <w:spacing w:after="0" w:line="240" w:lineRule="auto"/>
        <w:jc w:val="both"/>
        <w:rPr>
          <w:rFonts w:ascii="Arial" w:hAnsi="Arial" w:cs="Arial"/>
          <w:sz w:val="20"/>
          <w:szCs w:val="20"/>
        </w:rPr>
      </w:pPr>
    </w:p>
    <w:p w14:paraId="69FCB7B5" w14:textId="06CF6B5F" w:rsidR="00274DFD" w:rsidRPr="00B00EEA" w:rsidRDefault="001D7A14" w:rsidP="00734F31">
      <w:pPr>
        <w:spacing w:after="0" w:line="240" w:lineRule="auto"/>
        <w:jc w:val="both"/>
        <w:rPr>
          <w:rFonts w:ascii="Arial" w:eastAsia="Times New Roman" w:hAnsi="Arial" w:cs="Arial"/>
          <w:sz w:val="20"/>
        </w:rPr>
      </w:pPr>
      <w:r>
        <w:rPr>
          <w:rFonts w:ascii="Arial" w:hAnsi="Arial"/>
          <w:b/>
          <w:sz w:val="20"/>
        </w:rPr>
        <w:t>[Opção:] Propriedade Tangível de Pesquisa (PTP)</w:t>
      </w:r>
      <w:r w:rsidR="008411EA">
        <w:rPr>
          <w:rFonts w:ascii="Arial" w:hAnsi="Arial"/>
          <w:b/>
          <w:sz w:val="20"/>
        </w:rPr>
        <w:t xml:space="preserve">. </w:t>
      </w:r>
    </w:p>
    <w:p w14:paraId="1F20818F" w14:textId="574EE816" w:rsidR="00A27D46" w:rsidRPr="00B00EEA" w:rsidRDefault="00A27D46" w:rsidP="009D4A54">
      <w:pPr>
        <w:pStyle w:val="ListParagraph"/>
        <w:numPr>
          <w:ilvl w:val="0"/>
          <w:numId w:val="40"/>
        </w:numPr>
        <w:shd w:val="clear" w:color="auto" w:fill="FFFFFF"/>
        <w:spacing w:after="0" w:line="240" w:lineRule="auto"/>
        <w:ind w:left="425" w:hanging="425"/>
        <w:jc w:val="both"/>
        <w:rPr>
          <w:rFonts w:ascii="Arial" w:eastAsia="Times New Roman" w:hAnsi="Arial" w:cs="Arial"/>
          <w:b/>
          <w:bCs/>
          <w:sz w:val="20"/>
        </w:rPr>
      </w:pPr>
      <w:r>
        <w:rPr>
          <w:rFonts w:ascii="Arial" w:hAnsi="Arial"/>
          <w:sz w:val="20"/>
        </w:rPr>
        <w:t>Materiais físicos, incluindo todo o material biológico, como plantas e animais inteiros, culturas microbianas, sementes e estacas, DNA e outras moléculas biológicas.</w:t>
      </w:r>
    </w:p>
    <w:p w14:paraId="3D170685" w14:textId="77777777" w:rsidR="00274DFD"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rPr>
      </w:pPr>
      <w:r>
        <w:rPr>
          <w:rFonts w:ascii="Arial" w:hAnsi="Arial"/>
          <w:sz w:val="20"/>
        </w:rPr>
        <w:t>Matéria física, incluindo materiais biológicos (por exemplo, linhagens celulares, organismos, proteínas, plasmídeos, DNA/RNA</w:t>
      </w:r>
      <w:r w:rsidRPr="00B00EEA">
        <w:rPr>
          <w:rStyle w:val="FootnoteReference"/>
          <w:rFonts w:ascii="Arial" w:eastAsia="Times New Roman" w:hAnsi="Arial" w:cs="Arial"/>
          <w:sz w:val="20"/>
          <w:lang w:val="en-US"/>
        </w:rPr>
        <w:footnoteReference w:id="55"/>
      </w:r>
      <w:r>
        <w:rPr>
          <w:rFonts w:ascii="Arial" w:hAnsi="Arial"/>
          <w:sz w:val="20"/>
        </w:rPr>
        <w:t>, compostos bioquímicos, animais transgênicos), chips de circuitos integrados, dispositivos protótipos, circuitos de placa de ensaio e equipamentos. A PTP pode ou não ser patenteável e é separada e distinta da PI. A PTP e a PI podem existir simultaneamente na mesma tecnologia.</w:t>
      </w:r>
    </w:p>
    <w:p w14:paraId="3761DF4E" w14:textId="77777777" w:rsidR="00490EC3" w:rsidRPr="00B00EEA" w:rsidRDefault="00490EC3" w:rsidP="009D4A54">
      <w:pPr>
        <w:pStyle w:val="ListParagraph"/>
        <w:numPr>
          <w:ilvl w:val="0"/>
          <w:numId w:val="40"/>
        </w:numPr>
        <w:spacing w:after="0" w:line="240" w:lineRule="auto"/>
        <w:ind w:left="426" w:hanging="426"/>
        <w:jc w:val="both"/>
        <w:rPr>
          <w:rFonts w:ascii="Arial" w:eastAsia="Times New Roman" w:hAnsi="Arial" w:cs="Arial"/>
          <w:sz w:val="20"/>
        </w:rPr>
      </w:pPr>
      <w:r>
        <w:rPr>
          <w:rFonts w:ascii="Arial" w:hAnsi="Arial"/>
          <w:sz w:val="20"/>
        </w:rPr>
        <w:t>Aqueles resultados de pesquisa que estão em uma forma tangível, diferentemente de propriedade intangível. Exemplos de Propriedade Tangível de Pesquisa podem incluir, mas não estão limitados a: chips de circuito integrado, software de computador, base de dados de computador, materiais biológicos, protótipos de engenharia, desenhos de engenharia e outras propriedades que podem ser fisicamente distribuídas. A Propriedade Tangível de Pesquisa pode frequentemente ter direitos de propriedade intangível associados. ​</w:t>
      </w:r>
    </w:p>
    <w:p w14:paraId="40C075A6" w14:textId="6F1DE157" w:rsidR="001D7A14"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rPr>
      </w:pPr>
      <w:r>
        <w:rPr>
          <w:rFonts w:ascii="Arial" w:hAnsi="Arial"/>
          <w:sz w:val="20"/>
        </w:rPr>
        <w:t>Esse tipo de propriedade é comum em pesquisas de ciências biológicas</w:t>
      </w:r>
      <w:r w:rsidR="008411EA">
        <w:rPr>
          <w:rFonts w:ascii="Arial" w:hAnsi="Arial"/>
          <w:sz w:val="20"/>
        </w:rPr>
        <w:t xml:space="preserve">. </w:t>
      </w:r>
      <w:r>
        <w:rPr>
          <w:rFonts w:ascii="Arial" w:hAnsi="Arial"/>
          <w:sz w:val="20"/>
        </w:rPr>
        <w:t>É importante observar que a propriedade tangível é distinta e diferente da PI intangível</w:t>
      </w:r>
      <w:r w:rsidR="008411EA">
        <w:rPr>
          <w:rFonts w:ascii="Arial" w:hAnsi="Arial"/>
          <w:sz w:val="20"/>
        </w:rPr>
        <w:t xml:space="preserve">. </w:t>
      </w:r>
      <w:r>
        <w:rPr>
          <w:rFonts w:ascii="Arial" w:hAnsi="Arial"/>
          <w:sz w:val="20"/>
        </w:rPr>
        <w:t xml:space="preserve">Ela é abrangida por regras e </w:t>
      </w:r>
      <w:r>
        <w:rPr>
          <w:rFonts w:ascii="Arial" w:hAnsi="Arial"/>
          <w:sz w:val="20"/>
        </w:rPr>
        <w:lastRenderedPageBreak/>
        <w:t>jurisdições legais muito diferentes</w:t>
      </w:r>
      <w:r w:rsidR="008411EA">
        <w:rPr>
          <w:rFonts w:ascii="Arial" w:hAnsi="Arial"/>
          <w:sz w:val="20"/>
        </w:rPr>
        <w:t xml:space="preserve">. </w:t>
      </w:r>
      <w:r>
        <w:rPr>
          <w:rFonts w:ascii="Arial" w:hAnsi="Arial"/>
          <w:sz w:val="20"/>
        </w:rPr>
        <w:t>A PI e a PTP podem existir simultaneamente para a mesma tecnologia.</w:t>
      </w:r>
    </w:p>
    <w:p w14:paraId="326E31A1" w14:textId="77777777" w:rsidR="001D7A14" w:rsidRPr="0024467F" w:rsidRDefault="001D7A14" w:rsidP="00734F31">
      <w:pPr>
        <w:pStyle w:val="ListParagraph"/>
        <w:tabs>
          <w:tab w:val="left" w:pos="993"/>
        </w:tabs>
        <w:spacing w:after="0" w:line="240" w:lineRule="auto"/>
        <w:jc w:val="both"/>
        <w:rPr>
          <w:rFonts w:ascii="Arial" w:eastAsia="Times New Roman" w:hAnsi="Arial" w:cs="Arial"/>
          <w:sz w:val="20"/>
          <w:szCs w:val="20"/>
        </w:rPr>
      </w:pPr>
    </w:p>
    <w:p w14:paraId="4872BC8A" w14:textId="7DBD829D" w:rsidR="00B500E6" w:rsidRPr="00B00EEA" w:rsidRDefault="00B53D31" w:rsidP="00734F31">
      <w:pPr>
        <w:spacing w:after="0" w:line="240" w:lineRule="auto"/>
        <w:jc w:val="both"/>
        <w:rPr>
          <w:rFonts w:ascii="Arial" w:hAnsi="Arial" w:cs="Arial"/>
          <w:sz w:val="20"/>
        </w:rPr>
      </w:pPr>
      <w:r>
        <w:rPr>
          <w:rFonts w:ascii="Arial" w:hAnsi="Arial"/>
          <w:b/>
          <w:sz w:val="20"/>
        </w:rPr>
        <w:t>Segredos Comerciais</w:t>
      </w:r>
      <w:r w:rsidR="008411EA">
        <w:rPr>
          <w:rFonts w:ascii="Arial" w:hAnsi="Arial"/>
          <w:b/>
          <w:sz w:val="20"/>
        </w:rPr>
        <w:t xml:space="preserve">. </w:t>
      </w:r>
    </w:p>
    <w:p w14:paraId="74B7C5CF" w14:textId="77777777" w:rsidR="0034174F" w:rsidRPr="00B00EEA" w:rsidRDefault="0034174F"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É uma forma de informação confidencial e às vezes pode ser chamada de ”</w:t>
      </w:r>
      <w:r>
        <w:rPr>
          <w:rFonts w:ascii="Arial" w:hAnsi="Arial"/>
          <w:b/>
          <w:sz w:val="20"/>
        </w:rPr>
        <w:t>know-how</w:t>
      </w:r>
      <w:r>
        <w:rPr>
          <w:rFonts w:ascii="Arial" w:hAnsi="Arial"/>
          <w:sz w:val="20"/>
        </w:rPr>
        <w:t>”.</w:t>
      </w:r>
    </w:p>
    <w:p w14:paraId="492C8192" w14:textId="77777777" w:rsidR="00C60DE4" w:rsidRPr="00B00EEA" w:rsidRDefault="0034174F"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A definição geral de um segredo comercial é algo que “</w:t>
      </w:r>
      <w:r>
        <w:rPr>
          <w:rFonts w:ascii="Arial" w:hAnsi="Arial"/>
          <w:i/>
          <w:sz w:val="20"/>
        </w:rPr>
        <w:t>não é geralmente conhecido pelo público, fornece algum benefício ao titular do segredo como resultado de não ser conhecido, e que o titular exerce cuidados razoáveis para evitar que seja geralmente conhecido</w:t>
      </w:r>
      <w:r>
        <w:rPr>
          <w:rFonts w:ascii="Arial" w:hAnsi="Arial"/>
          <w:sz w:val="20"/>
        </w:rPr>
        <w:t xml:space="preserve">”. </w:t>
      </w:r>
    </w:p>
    <w:p w14:paraId="4B73A31E" w14:textId="77777777" w:rsidR="0034174F" w:rsidRPr="00B00EEA" w:rsidRDefault="0034174F"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Os segredos comerciais podem incluir, por exemplo:</w:t>
      </w:r>
    </w:p>
    <w:p w14:paraId="2E459103"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r>
        <w:rPr>
          <w:rFonts w:ascii="Arial" w:hAnsi="Arial"/>
          <w:sz w:val="20"/>
        </w:rPr>
        <w:t>informações científicas e técnicas confidenciais (por exemplo, resultados de pesquisas</w:t>
      </w:r>
      <w:r w:rsidRPr="00B00EEA">
        <w:rPr>
          <w:rFonts w:ascii="Arial" w:hAnsi="Arial" w:cs="Arial"/>
          <w:sz w:val="20"/>
          <w:vertAlign w:val="superscript"/>
          <w:lang w:val="en-US"/>
        </w:rPr>
        <w:footnoteReference w:id="56"/>
      </w:r>
      <w:r>
        <w:rPr>
          <w:rFonts w:ascii="Arial" w:hAnsi="Arial"/>
          <w:sz w:val="20"/>
        </w:rPr>
        <w:t xml:space="preserve"> em cadernos de laboratório ou relatórios de divulgação de invenções, código-fonte e objeto não publicado de software, desenhos técnicos, etc.);</w:t>
      </w:r>
    </w:p>
    <w:p w14:paraId="3DD8F522"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r>
        <w:rPr>
          <w:rFonts w:ascii="Arial" w:hAnsi="Arial"/>
          <w:sz w:val="20"/>
        </w:rPr>
        <w:t>uma invenção antes do depósito de um pedido de patente;</w:t>
      </w:r>
    </w:p>
    <w:p w14:paraId="4740F969"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r>
        <w:rPr>
          <w:rFonts w:ascii="Arial" w:hAnsi="Arial"/>
          <w:sz w:val="20"/>
        </w:rPr>
        <w:t>novo conhecimento comercial valioso que é intencionalmente omitido de um pedido de patente e nunca é protegido pela concessão de uma patente, por exemplo, para minimizar a perspectiva de engenharia reversa;</w:t>
      </w:r>
    </w:p>
    <w:p w14:paraId="22AD05BE"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r>
        <w:rPr>
          <w:rFonts w:ascii="Arial" w:hAnsi="Arial"/>
          <w:sz w:val="20"/>
        </w:rPr>
        <w:t>materiais de pesquisa, incluindo materiais biológicos e dados;</w:t>
      </w:r>
    </w:p>
    <w:p w14:paraId="62C20045"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r>
        <w:rPr>
          <w:rFonts w:ascii="Arial" w:hAnsi="Arial"/>
          <w:sz w:val="20"/>
        </w:rPr>
        <w:t>informações comercialmente sensíveis, como relatórios confidenciais e informações financeiras não conhecidas publicamente;</w:t>
      </w:r>
    </w:p>
    <w:p w14:paraId="47914463" w14:textId="77777777" w:rsidR="00BD6696" w:rsidRPr="00B00EEA" w:rsidRDefault="00BD6696" w:rsidP="00464282">
      <w:pPr>
        <w:pStyle w:val="ListParagraph"/>
        <w:numPr>
          <w:ilvl w:val="0"/>
          <w:numId w:val="11"/>
        </w:numPr>
        <w:spacing w:line="240" w:lineRule="auto"/>
        <w:ind w:left="426" w:hanging="426"/>
        <w:jc w:val="both"/>
        <w:rPr>
          <w:rFonts w:ascii="Arial" w:hAnsi="Arial" w:cs="Arial"/>
          <w:sz w:val="20"/>
          <w:szCs w:val="20"/>
        </w:rPr>
      </w:pPr>
      <w:r>
        <w:rPr>
          <w:rFonts w:ascii="Arial" w:hAnsi="Arial"/>
          <w:sz w:val="20"/>
        </w:rPr>
        <w:t>As informações de segredo comercial podem ter valor considerável por si só e em conjunto com uma patente ou outras formas de PI (por exemplo, segredos comerciais na forma de know-how são frequentemente vitais para o funcionamento de invenções patenteadas).</w:t>
      </w:r>
    </w:p>
    <w:p w14:paraId="2AF96454" w14:textId="0585E330" w:rsidR="00072818" w:rsidRPr="00B00EEA" w:rsidRDefault="00072818" w:rsidP="00464282">
      <w:pPr>
        <w:pStyle w:val="ListParagraph"/>
        <w:numPr>
          <w:ilvl w:val="0"/>
          <w:numId w:val="11"/>
        </w:numPr>
        <w:spacing w:line="240" w:lineRule="auto"/>
        <w:ind w:left="426" w:hanging="426"/>
        <w:jc w:val="both"/>
        <w:rPr>
          <w:rFonts w:ascii="Arial" w:hAnsi="Arial" w:cs="Arial"/>
          <w:sz w:val="20"/>
          <w:szCs w:val="20"/>
        </w:rPr>
      </w:pPr>
      <w:r>
        <w:rPr>
          <w:rFonts w:ascii="Arial" w:hAnsi="Arial"/>
          <w:sz w:val="20"/>
        </w:rPr>
        <w:t>Para ser protegido por lei, o “sigilo” do segredo comercial deve ser mantido, por meio de ações de gestão contínuas. Isso inclui manter as informações em um local seguro e limitar o acesso às informações apenas às pessoas que precisam conhecê-las, controlar o número de documentos produzidos e estar sujeito a obrigações de não divulgação apropriadas (sob um acordo de confidencialidade)</w:t>
      </w:r>
      <w:r w:rsidR="008411EA">
        <w:rPr>
          <w:rFonts w:ascii="Arial" w:hAnsi="Arial"/>
          <w:sz w:val="20"/>
        </w:rPr>
        <w:t xml:space="preserve">. </w:t>
      </w:r>
    </w:p>
    <w:p w14:paraId="3C8AC69A" w14:textId="77777777" w:rsidR="00F21230" w:rsidRPr="00B00EEA" w:rsidRDefault="00691D5F" w:rsidP="00327970">
      <w:pPr>
        <w:spacing w:after="0" w:line="240" w:lineRule="auto"/>
        <w:jc w:val="both"/>
        <w:rPr>
          <w:rFonts w:ascii="Arial" w:eastAsia="Times New Roman" w:hAnsi="Arial" w:cs="Arial"/>
          <w:b/>
          <w:sz w:val="20"/>
          <w:szCs w:val="20"/>
        </w:rPr>
      </w:pPr>
      <w:r>
        <w:rPr>
          <w:rFonts w:ascii="Arial" w:hAnsi="Arial"/>
          <w:b/>
          <w:sz w:val="20"/>
        </w:rPr>
        <w:t>Conhecimento Tradicional (CT).</w:t>
      </w:r>
      <w:r w:rsidR="00EC5B4C" w:rsidRPr="00B00EEA">
        <w:rPr>
          <w:rStyle w:val="FootnoteReference"/>
          <w:rFonts w:ascii="Arial" w:eastAsia="Times New Roman" w:hAnsi="Arial" w:cs="Arial"/>
          <w:sz w:val="20"/>
          <w:szCs w:val="20"/>
          <w:lang w:val="en-US"/>
        </w:rPr>
        <w:footnoteReference w:id="57"/>
      </w:r>
      <w:r>
        <w:rPr>
          <w:rFonts w:ascii="Arial" w:hAnsi="Arial"/>
          <w:sz w:val="20"/>
        </w:rPr>
        <w:t xml:space="preserve"> </w:t>
      </w:r>
    </w:p>
    <w:p w14:paraId="32F1E4DA" w14:textId="77777777" w:rsidR="009B0088" w:rsidRPr="00B00EEA" w:rsidRDefault="009B0088" w:rsidP="009D4A54">
      <w:pPr>
        <w:pStyle w:val="ListParagraph"/>
        <w:numPr>
          <w:ilvl w:val="0"/>
          <w:numId w:val="76"/>
        </w:numPr>
        <w:spacing w:after="0" w:line="240" w:lineRule="auto"/>
        <w:ind w:left="426" w:hanging="426"/>
        <w:jc w:val="both"/>
        <w:rPr>
          <w:rFonts w:ascii="Arial" w:hAnsi="Arial" w:cs="Arial"/>
          <w:sz w:val="20"/>
        </w:rPr>
      </w:pPr>
      <w:r>
        <w:rPr>
          <w:rFonts w:ascii="Arial" w:hAnsi="Arial"/>
          <w:sz w:val="20"/>
        </w:rPr>
        <w:t>Dada a estreita relação entre os recursos genéticos e algumas formas de conhecimento tradicional, os princípios do consentimento prévio informado e da repartição de benefícios são aplicados em diversas leis nacionais relativas ao acesso e uso de CT.</w:t>
      </w:r>
    </w:p>
    <w:p w14:paraId="04E5500C" w14:textId="77777777" w:rsidR="009B0088" w:rsidRPr="00B00EEA" w:rsidRDefault="009B0088" w:rsidP="009D4A54">
      <w:pPr>
        <w:pStyle w:val="ListParagraph"/>
        <w:numPr>
          <w:ilvl w:val="0"/>
          <w:numId w:val="76"/>
        </w:numPr>
        <w:spacing w:after="0" w:line="240" w:lineRule="auto"/>
        <w:ind w:left="426" w:hanging="426"/>
        <w:jc w:val="both"/>
        <w:rPr>
          <w:rFonts w:ascii="Arial" w:eastAsia="Times New Roman" w:hAnsi="Arial" w:cs="Arial"/>
          <w:sz w:val="20"/>
          <w:szCs w:val="20"/>
        </w:rPr>
      </w:pPr>
      <w:r>
        <w:rPr>
          <w:rFonts w:ascii="Arial" w:hAnsi="Arial"/>
          <w:sz w:val="20"/>
        </w:rPr>
        <w:t xml:space="preserve">Exemplos de conhecimento tradicional podem incluir: </w:t>
      </w:r>
    </w:p>
    <w:p w14:paraId="6C3C8F75"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rPr>
      </w:pPr>
      <w:r>
        <w:rPr>
          <w:rFonts w:ascii="Arial" w:hAnsi="Arial"/>
          <w:sz w:val="20"/>
        </w:rPr>
        <w:t xml:space="preserve">conhecimento sobre medicinas tradicionais; </w:t>
      </w:r>
    </w:p>
    <w:p w14:paraId="6A58770F"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rPr>
      </w:pPr>
      <w:r>
        <w:rPr>
          <w:rFonts w:ascii="Arial" w:hAnsi="Arial"/>
          <w:sz w:val="20"/>
        </w:rPr>
        <w:t>técnicas tradicionais de caça ou pesca; ou</w:t>
      </w:r>
    </w:p>
    <w:p w14:paraId="5EDC6884"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rPr>
      </w:pPr>
      <w:r>
        <w:rPr>
          <w:rFonts w:ascii="Arial" w:hAnsi="Arial"/>
          <w:sz w:val="20"/>
        </w:rPr>
        <w:t>conhecimento sobre padrões de migração animal ou gestão de água.</w:t>
      </w:r>
    </w:p>
    <w:p w14:paraId="48A289A3" w14:textId="77777777" w:rsidR="009B0088" w:rsidRPr="00B00EEA" w:rsidRDefault="009B0088" w:rsidP="009D4A54">
      <w:pPr>
        <w:pStyle w:val="ListParagraph"/>
        <w:numPr>
          <w:ilvl w:val="0"/>
          <w:numId w:val="77"/>
        </w:numPr>
        <w:spacing w:after="0" w:line="240" w:lineRule="auto"/>
        <w:ind w:left="426" w:hanging="426"/>
        <w:jc w:val="both"/>
        <w:rPr>
          <w:rFonts w:ascii="Arial" w:eastAsia="Times New Roman" w:hAnsi="Arial" w:cs="Arial"/>
          <w:sz w:val="20"/>
          <w:szCs w:val="20"/>
        </w:rPr>
      </w:pPr>
      <w:r>
        <w:rPr>
          <w:rFonts w:ascii="Arial" w:hAnsi="Arial"/>
          <w:sz w:val="20"/>
        </w:rPr>
        <w:t xml:space="preserve">“Conhecimento tradicional </w:t>
      </w:r>
      <w:r>
        <w:rPr>
          <w:rFonts w:ascii="Arial" w:hAnsi="Arial"/>
          <w:i/>
          <w:sz w:val="20"/>
        </w:rPr>
        <w:t>lato sensu</w:t>
      </w:r>
      <w:r>
        <w:rPr>
          <w:rFonts w:ascii="Arial" w:hAnsi="Arial"/>
          <w:sz w:val="20"/>
        </w:rPr>
        <w:t xml:space="preserve">” inclui o patrimônio cultural intelectual e imaterial, as práticas e os sistemas de conhecimento dos povos indígenas e das comunidades locais; em outras palavras, abrange o conhecimento e a expressão do conhecimento. “Conhecimento tradicional </w:t>
      </w:r>
      <w:r>
        <w:rPr>
          <w:rFonts w:ascii="Arial" w:hAnsi="Arial"/>
          <w:i/>
          <w:sz w:val="20"/>
        </w:rPr>
        <w:t>stricto sensu</w:t>
      </w:r>
      <w:r>
        <w:rPr>
          <w:rFonts w:ascii="Arial" w:hAnsi="Arial"/>
          <w:sz w:val="20"/>
        </w:rPr>
        <w:t xml:space="preserve">” se refere ao conhecimento como tal, especialmente o conhecimento técnico e científico resultante de uma atividade intelectual em um contexto tradicional. Nestas diretrizes, referimo-nos ao conhecimento tradicional </w:t>
      </w:r>
      <w:r>
        <w:rPr>
          <w:rFonts w:ascii="Arial" w:hAnsi="Arial"/>
          <w:i/>
          <w:sz w:val="20"/>
        </w:rPr>
        <w:t>stricto sensu</w:t>
      </w:r>
      <w:r>
        <w:rPr>
          <w:rFonts w:ascii="Arial" w:hAnsi="Arial"/>
          <w:sz w:val="20"/>
        </w:rPr>
        <w:t xml:space="preserve">. </w:t>
      </w:r>
    </w:p>
    <w:p w14:paraId="1E870B75" w14:textId="77777777" w:rsidR="00691D5F" w:rsidRPr="00B00EEA" w:rsidRDefault="009B0088" w:rsidP="009B0088">
      <w:pPr>
        <w:tabs>
          <w:tab w:val="left" w:pos="993"/>
        </w:tabs>
        <w:spacing w:after="0" w:line="240" w:lineRule="auto"/>
        <w:jc w:val="both"/>
        <w:rPr>
          <w:rFonts w:ascii="Arial" w:eastAsia="Times New Roman" w:hAnsi="Arial" w:cs="Arial"/>
          <w:i/>
          <w:color w:val="943634" w:themeColor="accent2" w:themeShade="BF"/>
          <w:sz w:val="20"/>
          <w:szCs w:val="20"/>
        </w:rPr>
      </w:pPr>
      <w:r>
        <w:rPr>
          <w:rFonts w:ascii="Arial" w:hAnsi="Arial"/>
          <w:i/>
          <w:color w:val="943634" w:themeColor="accent2" w:themeShade="BF"/>
          <w:sz w:val="20"/>
        </w:rPr>
        <w:t xml:space="preserve"> </w:t>
      </w:r>
    </w:p>
    <w:p w14:paraId="3DCF47CB" w14:textId="70E99253" w:rsidR="00DA7E04" w:rsidRPr="00B00EEA" w:rsidRDefault="006F7E19" w:rsidP="006F7E19">
      <w:pPr>
        <w:spacing w:after="0" w:line="240" w:lineRule="auto"/>
        <w:jc w:val="both"/>
        <w:rPr>
          <w:rFonts w:ascii="Arial" w:hAnsi="Arial" w:cs="Arial"/>
          <w:b/>
          <w:sz w:val="20"/>
          <w:szCs w:val="20"/>
        </w:rPr>
      </w:pPr>
      <w:bookmarkStart w:id="65" w:name="_Toc494115950"/>
      <w:r>
        <w:rPr>
          <w:rFonts w:ascii="Arial" w:hAnsi="Arial"/>
          <w:b/>
          <w:sz w:val="20"/>
        </w:rPr>
        <w:t>Visitante</w:t>
      </w:r>
      <w:r w:rsidR="008411EA">
        <w:rPr>
          <w:rFonts w:ascii="Arial" w:hAnsi="Arial"/>
          <w:b/>
          <w:sz w:val="20"/>
        </w:rPr>
        <w:t xml:space="preserve">. </w:t>
      </w:r>
    </w:p>
    <w:p w14:paraId="54020ABD" w14:textId="3D6E261A" w:rsidR="006F7E19" w:rsidRPr="00B00EEA" w:rsidRDefault="006F7E19" w:rsidP="009D4A54">
      <w:pPr>
        <w:pStyle w:val="ListParagraph"/>
        <w:numPr>
          <w:ilvl w:val="0"/>
          <w:numId w:val="77"/>
        </w:numPr>
        <w:spacing w:after="0" w:line="240" w:lineRule="auto"/>
        <w:ind w:left="426" w:hanging="426"/>
        <w:jc w:val="both"/>
        <w:rPr>
          <w:rFonts w:ascii="Arial" w:hAnsi="Arial" w:cs="Arial"/>
          <w:sz w:val="20"/>
          <w:szCs w:val="20"/>
        </w:rPr>
      </w:pPr>
      <w:r>
        <w:rPr>
          <w:rFonts w:ascii="Arial" w:hAnsi="Arial"/>
          <w:sz w:val="20"/>
        </w:rPr>
        <w:t>Algumas instituições usam “Nomeado”, “Pesquisador Visitante”, “Afiliado” ou termos semelhantes</w:t>
      </w:r>
      <w:r w:rsidR="008411EA">
        <w:rPr>
          <w:rFonts w:ascii="Arial" w:hAnsi="Arial"/>
          <w:sz w:val="20"/>
        </w:rPr>
        <w:t xml:space="preserve">. </w:t>
      </w:r>
      <w:r>
        <w:rPr>
          <w:rFonts w:ascii="Arial" w:hAnsi="Arial"/>
          <w:sz w:val="20"/>
        </w:rPr>
        <w:t>Visitantes também incluem destacamentos e licenças sabáticas.</w:t>
      </w:r>
    </w:p>
    <w:p w14:paraId="6D62E640" w14:textId="77777777" w:rsidR="00194209" w:rsidRPr="00B00EEA" w:rsidRDefault="000534B1" w:rsidP="00B7519E">
      <w:pPr>
        <w:pStyle w:val="Heading3"/>
        <w:spacing w:before="360"/>
        <w:rPr>
          <w:sz w:val="24"/>
        </w:rPr>
      </w:pPr>
      <w:bookmarkStart w:id="66" w:name="_Toc516160044"/>
      <w:bookmarkStart w:id="67" w:name="_Toc516219387"/>
      <w:bookmarkStart w:id="68" w:name="_Toc516496028"/>
      <w:bookmarkStart w:id="69" w:name="_Toc516829400"/>
      <w:r>
        <w:rPr>
          <w:sz w:val="24"/>
        </w:rPr>
        <w:t>Recursos Úteis</w:t>
      </w:r>
      <w:bookmarkEnd w:id="65"/>
      <w:r>
        <w:rPr>
          <w:sz w:val="24"/>
        </w:rPr>
        <w:t xml:space="preserve"> Relacionados ao Artigo 2</w:t>
      </w:r>
      <w:bookmarkEnd w:id="66"/>
      <w:bookmarkEnd w:id="67"/>
      <w:bookmarkEnd w:id="68"/>
      <w:bookmarkEnd w:id="69"/>
    </w:p>
    <w:p w14:paraId="06280D2E" w14:textId="77777777" w:rsidR="00210BFB" w:rsidRPr="00B00EEA" w:rsidRDefault="001F4AA6"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Definições relacionadas a PI</w:t>
      </w:r>
      <w:r>
        <w:rPr>
          <w:rFonts w:ascii="Arial" w:hAnsi="Arial"/>
          <w:sz w:val="20"/>
        </w:rPr>
        <w:t>. A OMPI fornece um conjunto de glossários e FAQs:</w:t>
      </w:r>
    </w:p>
    <w:p w14:paraId="498E4ECA" w14:textId="77777777" w:rsidR="00210BFB" w:rsidRPr="00B00EEA" w:rsidRDefault="00F265C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Fonts w:ascii="Arial" w:hAnsi="Arial" w:cs="Arial"/>
          <w:sz w:val="20"/>
        </w:rPr>
      </w:pPr>
      <w:hyperlink r:id="rId37" w:history="1">
        <w:r w:rsidR="00372C70">
          <w:rPr>
            <w:rStyle w:val="Hyperlink"/>
            <w:rFonts w:ascii="Arial" w:hAnsi="Arial"/>
            <w:sz w:val="20"/>
          </w:rPr>
          <w:t>Perguntas frequentes sobre patentes</w:t>
        </w:r>
      </w:hyperlink>
      <w:r w:rsidR="00372C70">
        <w:rPr>
          <w:rFonts w:ascii="Arial" w:hAnsi="Arial"/>
          <w:sz w:val="20"/>
        </w:rPr>
        <w:t>.</w:t>
      </w:r>
    </w:p>
    <w:p w14:paraId="7371743F" w14:textId="73F6217E" w:rsidR="00210BFB" w:rsidRPr="00B00EEA" w:rsidRDefault="00F265C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rPr>
      </w:pPr>
      <w:hyperlink r:id="rId38" w:history="1">
        <w:r w:rsidR="00372C70">
          <w:rPr>
            <w:rStyle w:val="Hyperlink"/>
            <w:rFonts w:ascii="Arial" w:hAnsi="Arial"/>
            <w:sz w:val="20"/>
          </w:rPr>
          <w:t>Glossário do PCT</w:t>
        </w:r>
      </w:hyperlink>
    </w:p>
    <w:p w14:paraId="62857F0F" w14:textId="77777777" w:rsidR="00210BFB" w:rsidRPr="00B00EEA" w:rsidRDefault="00F265C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rPr>
      </w:pPr>
      <w:hyperlink r:id="rId39" w:history="1">
        <w:r w:rsidR="00372C70">
          <w:rPr>
            <w:rStyle w:val="Hyperlink"/>
            <w:rFonts w:ascii="Arial" w:hAnsi="Arial"/>
            <w:sz w:val="20"/>
          </w:rPr>
          <w:t>Glossário sobre PI e recursos genéticos, conhecimento tradicional e expressões culturais tradicionais</w:t>
        </w:r>
      </w:hyperlink>
    </w:p>
    <w:p w14:paraId="36684B20" w14:textId="77777777" w:rsidR="00210BFB" w:rsidRPr="00B00EEA" w:rsidRDefault="00F265C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rPr>
      </w:pPr>
      <w:hyperlink r:id="rId40" w:history="1">
        <w:r w:rsidR="00372C70">
          <w:rPr>
            <w:rStyle w:val="Hyperlink"/>
            <w:rFonts w:ascii="Arial" w:hAnsi="Arial"/>
            <w:sz w:val="20"/>
          </w:rPr>
          <w:t>Glossário da WIPO Lex</w:t>
        </w:r>
      </w:hyperlink>
    </w:p>
    <w:p w14:paraId="5A16DAF2" w14:textId="77777777" w:rsidR="00210BFB" w:rsidRPr="00B00EEA" w:rsidRDefault="00F265CB"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rPr>
      </w:pPr>
      <w:hyperlink r:id="rId41" w:history="1">
        <w:r w:rsidR="00372C70">
          <w:rPr>
            <w:rStyle w:val="Hyperlink"/>
            <w:rFonts w:ascii="Arial" w:hAnsi="Arial"/>
            <w:sz w:val="20"/>
          </w:rPr>
          <w:t>Glossário de Estatísticas de Propriedade Industrial</w:t>
        </w:r>
      </w:hyperlink>
    </w:p>
    <w:p w14:paraId="39DA6B54" w14:textId="77777777" w:rsidR="00F53E69" w:rsidRPr="0024467F" w:rsidRDefault="00F53E69" w:rsidP="00B7519E">
      <w:pPr>
        <w:pStyle w:val="ListParagraph"/>
        <w:shd w:val="clear" w:color="auto" w:fill="FFFFFF" w:themeFill="background1"/>
        <w:autoSpaceDE w:val="0"/>
        <w:autoSpaceDN w:val="0"/>
        <w:adjustRightInd w:val="0"/>
        <w:spacing w:after="0" w:line="240" w:lineRule="auto"/>
        <w:ind w:left="851"/>
        <w:jc w:val="both"/>
        <w:rPr>
          <w:rStyle w:val="Hyperlink"/>
          <w:rFonts w:ascii="Arial" w:hAnsi="Arial" w:cs="Arial"/>
          <w:color w:val="auto"/>
          <w:sz w:val="20"/>
        </w:rPr>
      </w:pPr>
    </w:p>
    <w:p w14:paraId="0B544132" w14:textId="77777777" w:rsidR="00F53E69" w:rsidRPr="00B00EEA" w:rsidRDefault="00F53E69"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Definições relacionadas a Pesquisa</w:t>
      </w:r>
      <w:r>
        <w:rPr>
          <w:rFonts w:ascii="Arial" w:hAnsi="Arial"/>
          <w:sz w:val="20"/>
        </w:rPr>
        <w:t xml:space="preserve">. O Manual Frascati fornece um </w:t>
      </w:r>
      <w:hyperlink r:id="rId42" w:history="1">
        <w:r>
          <w:rPr>
            <w:rStyle w:val="Hyperlink"/>
            <w:rFonts w:ascii="Arial" w:hAnsi="Arial"/>
            <w:sz w:val="20"/>
          </w:rPr>
          <w:t>glossário de termos</w:t>
        </w:r>
      </w:hyperlink>
      <w:r>
        <w:rPr>
          <w:rFonts w:ascii="Arial" w:hAnsi="Arial"/>
          <w:sz w:val="20"/>
        </w:rPr>
        <w:t xml:space="preserve"> incluindo definições de pesquisa e desenvolvimento (P&amp;D) e seus componentes.</w:t>
      </w:r>
    </w:p>
    <w:p w14:paraId="3A55E02C" w14:textId="77777777" w:rsidR="00210BFB" w:rsidRPr="0024467F" w:rsidRDefault="00210BFB" w:rsidP="00E73746">
      <w:pPr>
        <w:pStyle w:val="ListParagraph"/>
        <w:shd w:val="clear" w:color="auto" w:fill="FFFFFF" w:themeFill="background1"/>
        <w:autoSpaceDE w:val="0"/>
        <w:autoSpaceDN w:val="0"/>
        <w:adjustRightInd w:val="0"/>
        <w:spacing w:after="0" w:line="240" w:lineRule="auto"/>
        <w:ind w:left="1800"/>
        <w:jc w:val="both"/>
        <w:rPr>
          <w:rFonts w:ascii="Arial" w:hAnsi="Arial" w:cs="Arial"/>
        </w:rPr>
      </w:pPr>
    </w:p>
    <w:p w14:paraId="0B85DCFE" w14:textId="77777777" w:rsidR="00E22076" w:rsidRPr="00B00EEA" w:rsidRDefault="00BE113E" w:rsidP="00B7519E">
      <w:bookmarkStart w:id="70" w:name="_Toc494115951"/>
      <w:r>
        <w:rPr>
          <w:rFonts w:ascii="Arial" w:hAnsi="Arial"/>
        </w:rPr>
        <w:t xml:space="preserve"> </w:t>
      </w:r>
      <w:bookmarkStart w:id="71" w:name="_Toc490468518"/>
      <w:bookmarkEnd w:id="70"/>
    </w:p>
    <w:p w14:paraId="297BAA0E" w14:textId="77777777" w:rsidR="00BE113E" w:rsidRPr="0024467F" w:rsidRDefault="00BE113E" w:rsidP="002F3C51">
      <w:pPr>
        <w:pStyle w:val="Heading2"/>
      </w:pPr>
    </w:p>
    <w:p w14:paraId="0837B441" w14:textId="77777777" w:rsidR="00664E3C" w:rsidRDefault="00664E3C" w:rsidP="002F3C51">
      <w:pPr>
        <w:pStyle w:val="Heading2"/>
      </w:pPr>
      <w:bookmarkStart w:id="72" w:name="_Toc516160045"/>
      <w:bookmarkStart w:id="73" w:name="_Toc516219388"/>
      <w:bookmarkStart w:id="74" w:name="_Toc516496029"/>
      <w:bookmarkStart w:id="75" w:name="_Toc516829401"/>
    </w:p>
    <w:p w14:paraId="5C0ADAEF" w14:textId="77777777" w:rsidR="00072F2A" w:rsidRPr="00B00EEA" w:rsidRDefault="00664E3C" w:rsidP="002F3C51">
      <w:pPr>
        <w:pStyle w:val="Heading2"/>
      </w:pPr>
      <w:bookmarkStart w:id="76" w:name="_Toc185241081"/>
      <w:r>
        <w:t xml:space="preserve">ARTIGO 3 – </w:t>
      </w:r>
      <w:bookmarkEnd w:id="71"/>
      <w:r>
        <w:t>ESCOPO DA POLÍTICA</w:t>
      </w:r>
      <w:bookmarkEnd w:id="72"/>
      <w:bookmarkEnd w:id="73"/>
      <w:bookmarkEnd w:id="74"/>
      <w:bookmarkEnd w:id="75"/>
      <w:bookmarkEnd w:id="76"/>
      <w:r>
        <w:t xml:space="preserve">  </w:t>
      </w:r>
    </w:p>
    <w:p w14:paraId="277DDAF1" w14:textId="77777777" w:rsidR="00E22076" w:rsidRPr="0024467F" w:rsidRDefault="00E22076" w:rsidP="002F3C51">
      <w:pPr>
        <w:pStyle w:val="Heading2"/>
      </w:pPr>
    </w:p>
    <w:p w14:paraId="22451A68" w14:textId="77777777" w:rsidR="00A924CD" w:rsidRPr="00B00EEA" w:rsidRDefault="00A924CD" w:rsidP="00B7519E">
      <w:pPr>
        <w:pStyle w:val="Heading3"/>
        <w:spacing w:after="200"/>
        <w:jc w:val="both"/>
        <w:rPr>
          <w:rFonts w:eastAsiaTheme="minorEastAsia"/>
          <w:b w:val="0"/>
          <w:bCs w:val="0"/>
          <w:color w:val="000000"/>
          <w:sz w:val="20"/>
          <w:szCs w:val="22"/>
        </w:rPr>
      </w:pPr>
      <w:bookmarkStart w:id="77" w:name="_Toc516160046"/>
      <w:bookmarkStart w:id="78" w:name="_Toc516219389"/>
      <w:bookmarkStart w:id="79" w:name="_Toc516496030"/>
      <w:bookmarkStart w:id="80" w:name="_Toc516829402"/>
      <w:bookmarkStart w:id="81" w:name="_Toc494115953"/>
      <w:r>
        <w:rPr>
          <w:b w:val="0"/>
          <w:color w:val="000000"/>
          <w:sz w:val="20"/>
        </w:rPr>
        <w:t>O escopo pode incluir os grupos (Membros da Equipe, Alunos e Visitantes) aos quais a política se refere, os tipos de PI cobertas e outras declarações com relação a períodos de tempo, fundos, etc.</w:t>
      </w:r>
      <w:bookmarkEnd w:id="77"/>
      <w:bookmarkEnd w:id="78"/>
      <w:bookmarkEnd w:id="79"/>
      <w:bookmarkEnd w:id="80"/>
    </w:p>
    <w:p w14:paraId="5012CCDD" w14:textId="77777777" w:rsidR="001929CD" w:rsidRPr="00B00EEA" w:rsidRDefault="001929CD" w:rsidP="00B7519E">
      <w:pPr>
        <w:pStyle w:val="Heading3"/>
        <w:spacing w:before="360"/>
        <w:rPr>
          <w:sz w:val="24"/>
        </w:rPr>
      </w:pPr>
      <w:bookmarkStart w:id="82" w:name="_Toc516160047"/>
      <w:bookmarkStart w:id="83" w:name="_Toc516219390"/>
      <w:bookmarkStart w:id="84" w:name="_Toc516496031"/>
      <w:bookmarkStart w:id="85" w:name="_Toc516829403"/>
      <w:bookmarkStart w:id="86" w:name="_Toc494115954"/>
      <w:bookmarkEnd w:id="81"/>
      <w:r>
        <w:rPr>
          <w:sz w:val="24"/>
        </w:rPr>
        <w:t>Artigo 3.2 – PI Antecedente</w:t>
      </w:r>
      <w:bookmarkEnd w:id="82"/>
      <w:bookmarkEnd w:id="83"/>
      <w:bookmarkEnd w:id="84"/>
      <w:bookmarkEnd w:id="85"/>
    </w:p>
    <w:p w14:paraId="7C4A2641" w14:textId="77777777" w:rsidR="008742F5" w:rsidRPr="00B00EEA" w:rsidRDefault="00356495" w:rsidP="009D4A54">
      <w:pPr>
        <w:pStyle w:val="Default"/>
        <w:numPr>
          <w:ilvl w:val="0"/>
          <w:numId w:val="81"/>
        </w:numPr>
        <w:ind w:left="426" w:hanging="426"/>
        <w:jc w:val="both"/>
        <w:rPr>
          <w:sz w:val="20"/>
          <w:szCs w:val="22"/>
        </w:rPr>
      </w:pPr>
      <w:r>
        <w:rPr>
          <w:sz w:val="20"/>
        </w:rPr>
        <w:t>É recomendável que os futuros membros da equipe, alunos e visitantes identifiquem claramente, por escrito, qualquer PI Antecedente na qual tenham interesse de titularidade antes do início de seu emprego ou inscrição. Ao fazer isso no início do relacionamento, você estará proativamente mitigando possíveis discussões futuras sobre quem é dono do quê.</w:t>
      </w:r>
    </w:p>
    <w:p w14:paraId="43AA8200" w14:textId="77777777" w:rsidR="00F326F0" w:rsidRPr="0024467F" w:rsidRDefault="00F326F0" w:rsidP="00730B7B">
      <w:pPr>
        <w:pStyle w:val="Default"/>
        <w:ind w:left="426" w:hanging="426"/>
        <w:jc w:val="both"/>
        <w:rPr>
          <w:sz w:val="20"/>
          <w:szCs w:val="22"/>
        </w:rPr>
      </w:pPr>
    </w:p>
    <w:p w14:paraId="7F4A1389" w14:textId="77777777" w:rsidR="00730B7B" w:rsidRPr="00B00EEA" w:rsidRDefault="00F326F0" w:rsidP="009D4A54">
      <w:pPr>
        <w:pStyle w:val="Default"/>
        <w:numPr>
          <w:ilvl w:val="0"/>
          <w:numId w:val="81"/>
        </w:numPr>
        <w:ind w:left="426" w:hanging="426"/>
        <w:jc w:val="both"/>
        <w:rPr>
          <w:sz w:val="20"/>
          <w:szCs w:val="22"/>
        </w:rPr>
      </w:pPr>
      <w:r>
        <w:rPr>
          <w:sz w:val="20"/>
        </w:rPr>
        <w:t>A notificação é geralmente feita ao Vice-Presidente; um modelo de Formulário de Notificação de PI Antecedente</w:t>
      </w:r>
      <w:r>
        <w:rPr>
          <w:b/>
          <w:sz w:val="20"/>
        </w:rPr>
        <w:t xml:space="preserve"> </w:t>
      </w:r>
      <w:r>
        <w:rPr>
          <w:sz w:val="20"/>
        </w:rPr>
        <w:t xml:space="preserve">pode ser útil para esses propósitos. O EGPI geralmente avaliará a natureza dessa PI e fornecerá um relatório. A Instituição tomará uma decisão e notificará o membro da equipe, aluno ou visitante sobre o resultado. </w:t>
      </w:r>
    </w:p>
    <w:p w14:paraId="57DC714B" w14:textId="77777777" w:rsidR="00730B7B" w:rsidRPr="0024467F" w:rsidRDefault="00730B7B" w:rsidP="00730B7B">
      <w:pPr>
        <w:pStyle w:val="Default"/>
        <w:ind w:left="426" w:hanging="426"/>
        <w:jc w:val="both"/>
        <w:rPr>
          <w:sz w:val="20"/>
          <w:szCs w:val="22"/>
        </w:rPr>
      </w:pPr>
    </w:p>
    <w:p w14:paraId="3EF33445" w14:textId="77777777" w:rsidR="009A4E40" w:rsidRPr="00B00EEA" w:rsidRDefault="009A4E40" w:rsidP="009D4A54">
      <w:pPr>
        <w:pStyle w:val="Default"/>
        <w:numPr>
          <w:ilvl w:val="0"/>
          <w:numId w:val="81"/>
        </w:numPr>
        <w:ind w:left="426" w:hanging="426"/>
        <w:jc w:val="both"/>
        <w:rPr>
          <w:sz w:val="22"/>
        </w:rPr>
      </w:pPr>
      <w:r>
        <w:rPr>
          <w:sz w:val="20"/>
        </w:rPr>
        <w:t xml:space="preserve">O EGPI manterá um registro confidencial de PI Antecedente que será levado em consideração quando uma nova PI for desenvolvida pelo membro da equipe/aluno/visitante em questão no decurso de seu emprego, matrícula ou nomeação na Instituição. </w:t>
      </w:r>
    </w:p>
    <w:p w14:paraId="132915BC" w14:textId="77777777" w:rsidR="00194209" w:rsidRPr="00B00EEA" w:rsidRDefault="000B248A" w:rsidP="00B7519E">
      <w:pPr>
        <w:pStyle w:val="Heading3"/>
        <w:spacing w:before="360"/>
        <w:rPr>
          <w:sz w:val="24"/>
        </w:rPr>
      </w:pPr>
      <w:bookmarkStart w:id="87" w:name="_Toc516160048"/>
      <w:bookmarkStart w:id="88" w:name="_Toc516219391"/>
      <w:bookmarkStart w:id="89" w:name="_Toc516496032"/>
      <w:bookmarkStart w:id="90" w:name="_Toc516829404"/>
      <w:r>
        <w:rPr>
          <w:sz w:val="24"/>
        </w:rPr>
        <w:t>Artigo 3.3 – Aplicabilidade</w:t>
      </w:r>
      <w:bookmarkEnd w:id="87"/>
      <w:bookmarkEnd w:id="88"/>
      <w:bookmarkEnd w:id="89"/>
      <w:bookmarkEnd w:id="90"/>
      <w:r>
        <w:rPr>
          <w:sz w:val="24"/>
        </w:rPr>
        <w:t xml:space="preserve"> </w:t>
      </w:r>
      <w:bookmarkEnd w:id="86"/>
    </w:p>
    <w:p w14:paraId="2A337888" w14:textId="3AFAD54C" w:rsidR="007B2484" w:rsidRPr="00B00EEA" w:rsidRDefault="007424E4" w:rsidP="009D4A54">
      <w:pPr>
        <w:pStyle w:val="ListParagraph"/>
        <w:numPr>
          <w:ilvl w:val="0"/>
          <w:numId w:val="25"/>
        </w:numPr>
        <w:spacing w:line="240" w:lineRule="auto"/>
        <w:ind w:left="426" w:hanging="426"/>
        <w:jc w:val="both"/>
        <w:rPr>
          <w:rFonts w:ascii="Arial" w:hAnsi="Arial" w:cs="Arial"/>
          <w:sz w:val="20"/>
          <w:szCs w:val="20"/>
        </w:rPr>
      </w:pPr>
      <w:r>
        <w:rPr>
          <w:rFonts w:ascii="Arial" w:hAnsi="Arial"/>
          <w:b/>
          <w:i/>
          <w:sz w:val="20"/>
        </w:rPr>
        <w:t>aplica-se</w:t>
      </w:r>
      <w:r>
        <w:rPr>
          <w:rFonts w:ascii="Arial" w:hAnsi="Arial"/>
          <w:sz w:val="20"/>
        </w:rPr>
        <w:t xml:space="preserve"> </w:t>
      </w:r>
      <w:r>
        <w:rPr>
          <w:rFonts w:ascii="Arial" w:hAnsi="Arial"/>
          <w:b/>
          <w:i/>
          <w:sz w:val="20"/>
        </w:rPr>
        <w:t>a todos os Membros da Equipe, Alunos e Visitantes:</w:t>
      </w:r>
      <w:r w:rsidRPr="0039137A">
        <w:rPr>
          <w:rFonts w:ascii="Arial" w:hAnsi="Arial"/>
          <w:bCs/>
          <w:iCs/>
          <w:sz w:val="20"/>
        </w:rPr>
        <w:t xml:space="preserve"> </w:t>
      </w:r>
      <w:r>
        <w:rPr>
          <w:rFonts w:ascii="Arial" w:hAnsi="Arial"/>
          <w:sz w:val="20"/>
        </w:rPr>
        <w:t>As políticas de PI geralmente declaram os grupos de pessoas aos quais a política é aplicável</w:t>
      </w:r>
      <w:r w:rsidR="008411EA">
        <w:rPr>
          <w:rFonts w:ascii="Arial" w:hAnsi="Arial"/>
          <w:sz w:val="20"/>
        </w:rPr>
        <w:t xml:space="preserve">. </w:t>
      </w:r>
      <w:r>
        <w:rPr>
          <w:rFonts w:ascii="Arial" w:hAnsi="Arial"/>
          <w:sz w:val="20"/>
        </w:rPr>
        <w:t>Na maioria dos casos, isso inclui professores, funcionários, alunos, visitantes e outros participantes dos programas de pesquisa da Instituição</w:t>
      </w:r>
      <w:r w:rsidR="008411EA">
        <w:rPr>
          <w:rFonts w:ascii="Arial" w:hAnsi="Arial"/>
          <w:sz w:val="20"/>
        </w:rPr>
        <w:t xml:space="preserve">. </w:t>
      </w:r>
      <w:r>
        <w:rPr>
          <w:rFonts w:ascii="Arial" w:hAnsi="Arial"/>
          <w:sz w:val="20"/>
        </w:rPr>
        <w:t>No entanto, regras, direitos de titularidade e obrigações diferentes geralmente se aplicarão aos Membros da Equipe (funcionários), Alunos (não funcionários) e Visitantes.</w:t>
      </w:r>
    </w:p>
    <w:p w14:paraId="13A3CBD5" w14:textId="77777777" w:rsidR="007B2484" w:rsidRPr="0024467F" w:rsidRDefault="007B2484" w:rsidP="004670EC">
      <w:pPr>
        <w:pStyle w:val="ListParagraph"/>
        <w:spacing w:line="240" w:lineRule="auto"/>
        <w:ind w:left="426" w:hanging="426"/>
        <w:jc w:val="both"/>
        <w:rPr>
          <w:rFonts w:ascii="Arial" w:hAnsi="Arial" w:cs="Arial"/>
          <w:sz w:val="20"/>
          <w:szCs w:val="20"/>
        </w:rPr>
      </w:pPr>
    </w:p>
    <w:p w14:paraId="0DCF565D" w14:textId="733B29D2" w:rsidR="001929CD" w:rsidRPr="00B00EEA" w:rsidRDefault="00C351D0" w:rsidP="009D4A54">
      <w:pPr>
        <w:pStyle w:val="ListParagraph"/>
        <w:numPr>
          <w:ilvl w:val="0"/>
          <w:numId w:val="25"/>
        </w:numPr>
        <w:spacing w:line="240" w:lineRule="auto"/>
        <w:ind w:left="426" w:hanging="426"/>
        <w:jc w:val="both"/>
        <w:rPr>
          <w:rFonts w:ascii="Arial" w:hAnsi="Arial" w:cs="Arial"/>
          <w:sz w:val="20"/>
          <w:szCs w:val="20"/>
        </w:rPr>
      </w:pPr>
      <w:r>
        <w:rPr>
          <w:rFonts w:ascii="Arial" w:hAnsi="Arial"/>
          <w:color w:val="000000" w:themeColor="text1"/>
          <w:sz w:val="20"/>
        </w:rPr>
        <w:t>A seleção de quais pessoas devem se enquadrar na Política de PI deve ser feita cuidadosamente, levando em consideração a tradição, a justiça e a ética, questões práticas e boas práticas de gestão aprendidas ao longo de décadas. O Modelo foi projetado com todos esses fatores em mente</w:t>
      </w:r>
      <w:r w:rsidR="008411EA">
        <w:rPr>
          <w:rFonts w:ascii="Arial" w:hAnsi="Arial"/>
          <w:color w:val="000000" w:themeColor="text1"/>
          <w:sz w:val="20"/>
        </w:rPr>
        <w:t xml:space="preserve">. </w:t>
      </w:r>
    </w:p>
    <w:p w14:paraId="6630F929" w14:textId="77777777" w:rsidR="001929CD" w:rsidRPr="0024467F" w:rsidRDefault="001929CD">
      <w:pPr>
        <w:pStyle w:val="ListParagraph"/>
        <w:spacing w:line="240" w:lineRule="auto"/>
        <w:ind w:left="0"/>
        <w:jc w:val="both"/>
        <w:rPr>
          <w:rFonts w:ascii="Arial" w:hAnsi="Arial" w:cs="Arial"/>
          <w:szCs w:val="20"/>
        </w:rPr>
      </w:pPr>
    </w:p>
    <w:p w14:paraId="7FD38FC1" w14:textId="77777777" w:rsidR="00BD26BF" w:rsidRPr="0024467F" w:rsidRDefault="00BD26BF">
      <w:pPr>
        <w:pStyle w:val="ListParagraph"/>
        <w:spacing w:line="240" w:lineRule="auto"/>
        <w:ind w:left="0"/>
        <w:jc w:val="both"/>
        <w:rPr>
          <w:rFonts w:ascii="Arial" w:hAnsi="Arial" w:cs="Arial"/>
          <w:szCs w:val="20"/>
        </w:rPr>
      </w:pPr>
    </w:p>
    <w:p w14:paraId="723ED499" w14:textId="446FC580" w:rsidR="00730B7B" w:rsidRPr="00B00EEA" w:rsidRDefault="00730B7B"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Definir o Escopo</w:t>
      </w:r>
    </w:p>
    <w:p w14:paraId="6F6EEA97" w14:textId="77777777" w:rsidR="005662A9" w:rsidRPr="0024467F" w:rsidRDefault="005662A9"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sz w:val="20"/>
          <w:szCs w:val="20"/>
        </w:rPr>
      </w:pPr>
    </w:p>
    <w:p w14:paraId="0D2A8A2F" w14:textId="77777777"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ascii="Arial" w:hAnsi="Arial" w:cs="Arial"/>
          <w:sz w:val="20"/>
          <w:szCs w:val="20"/>
        </w:rPr>
      </w:pPr>
      <w:r>
        <w:rPr>
          <w:rFonts w:ascii="Arial" w:hAnsi="Arial"/>
          <w:sz w:val="20"/>
        </w:rPr>
        <w:t>Considere cuidadosamente cada categoria de pessoas afiliadas à sua instituição e se elas devem se enquadrar ou não na política.</w:t>
      </w:r>
    </w:p>
    <w:p w14:paraId="3403F322" w14:textId="77777777"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rPr>
      </w:pPr>
      <w:r>
        <w:rPr>
          <w:rFonts w:ascii="Arial" w:hAnsi="Arial"/>
          <w:sz w:val="20"/>
        </w:rPr>
        <w:t xml:space="preserve">Determinar como cada categoria será vinculada pela política (veja </w:t>
      </w:r>
      <w:hyperlink w:anchor="_Article_3.4_–" w:history="1">
        <w:r>
          <w:rPr>
            <w:rStyle w:val="Hyperlink"/>
            <w:rFonts w:ascii="Arial" w:hAnsi="Arial"/>
            <w:sz w:val="20"/>
          </w:rPr>
          <w:t>Artigo 3.4</w:t>
        </w:r>
      </w:hyperlink>
      <w:r>
        <w:rPr>
          <w:rFonts w:ascii="Arial" w:hAnsi="Arial"/>
          <w:sz w:val="20"/>
        </w:rPr>
        <w:t>).</w:t>
      </w:r>
    </w:p>
    <w:p w14:paraId="169332D3" w14:textId="4F59F8C4" w:rsidR="00BE113E"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rPr>
      </w:pPr>
      <w:r>
        <w:rPr>
          <w:rFonts w:ascii="Arial" w:hAnsi="Arial"/>
          <w:sz w:val="20"/>
        </w:rPr>
        <w:t>Em seguida, pense em como lidar com cada tipo diferente de IP que eles podem criar</w:t>
      </w:r>
      <w:r w:rsidR="008411EA">
        <w:rPr>
          <w:rFonts w:ascii="Arial" w:hAnsi="Arial"/>
          <w:sz w:val="20"/>
        </w:rPr>
        <w:t xml:space="preserve">. </w:t>
      </w:r>
    </w:p>
    <w:p w14:paraId="28118978" w14:textId="77777777" w:rsidR="00EC4C0C" w:rsidRPr="0024467F" w:rsidRDefault="00EC4C0C">
      <w:pPr>
        <w:pStyle w:val="ListParagraph"/>
        <w:spacing w:line="240" w:lineRule="auto"/>
        <w:ind w:left="0"/>
        <w:jc w:val="both"/>
        <w:rPr>
          <w:rFonts w:ascii="Arial" w:hAnsi="Arial" w:cs="Arial"/>
          <w:sz w:val="20"/>
          <w:szCs w:val="20"/>
        </w:rPr>
      </w:pPr>
    </w:p>
    <w:p w14:paraId="43D378A4" w14:textId="77777777" w:rsidR="00356495" w:rsidRPr="00B00EEA" w:rsidRDefault="001929CD" w:rsidP="009D4A54">
      <w:pPr>
        <w:pStyle w:val="ListParagraph"/>
        <w:numPr>
          <w:ilvl w:val="0"/>
          <w:numId w:val="43"/>
        </w:numPr>
        <w:spacing w:line="240" w:lineRule="auto"/>
        <w:ind w:left="426" w:hanging="426"/>
        <w:jc w:val="both"/>
        <w:rPr>
          <w:rFonts w:ascii="Arial" w:hAnsi="Arial" w:cs="Arial"/>
          <w:sz w:val="20"/>
          <w:szCs w:val="20"/>
        </w:rPr>
      </w:pPr>
      <w:r>
        <w:rPr>
          <w:rFonts w:ascii="Arial" w:hAnsi="Arial"/>
          <w:b/>
          <w:i/>
          <w:sz w:val="20"/>
        </w:rPr>
        <w:lastRenderedPageBreak/>
        <w:t>quem participa de um Projeto de Pesquisa</w:t>
      </w:r>
      <w:r>
        <w:rPr>
          <w:rFonts w:ascii="Arial" w:hAnsi="Arial"/>
          <w:sz w:val="20"/>
        </w:rPr>
        <w:t xml:space="preserve">: O Modelo se aplica a indivíduos que participam de Projetos de Pesquisa, dadas as obrigações que a Instituição geralmente tem com partes externas que financiam tais projetos. </w:t>
      </w:r>
    </w:p>
    <w:p w14:paraId="22C80053" w14:textId="77777777" w:rsidR="00EC4C0C" w:rsidRPr="0024467F" w:rsidRDefault="00EC4C0C" w:rsidP="00B7519E">
      <w:pPr>
        <w:pStyle w:val="ListParagraph"/>
        <w:spacing w:line="240" w:lineRule="auto"/>
        <w:ind w:left="426"/>
        <w:jc w:val="both"/>
        <w:rPr>
          <w:rFonts w:ascii="Arial" w:hAnsi="Arial" w:cs="Arial"/>
          <w:sz w:val="20"/>
          <w:szCs w:val="20"/>
        </w:rPr>
      </w:pPr>
    </w:p>
    <w:p w14:paraId="6DC13456" w14:textId="77777777" w:rsidR="007424E4" w:rsidRPr="00B00EEA" w:rsidRDefault="008742F5" w:rsidP="009D4A54">
      <w:pPr>
        <w:pStyle w:val="ListParagraph"/>
        <w:numPr>
          <w:ilvl w:val="0"/>
          <w:numId w:val="43"/>
        </w:numPr>
        <w:spacing w:line="240" w:lineRule="auto"/>
        <w:ind w:left="426" w:hanging="426"/>
        <w:jc w:val="both"/>
        <w:rPr>
          <w:rFonts w:ascii="Arial" w:hAnsi="Arial" w:cs="Arial"/>
          <w:sz w:val="20"/>
          <w:szCs w:val="20"/>
        </w:rPr>
      </w:pPr>
      <w:bookmarkStart w:id="91" w:name="_Toc494115955"/>
      <w:r>
        <w:rPr>
          <w:rFonts w:ascii="Arial" w:hAnsi="Arial"/>
          <w:b/>
          <w:i/>
          <w:sz w:val="20"/>
        </w:rPr>
        <w:t>direitos e obrigações sobreviverão ao término do emprego</w:t>
      </w:r>
      <w:r>
        <w:rPr>
          <w:rFonts w:ascii="Arial" w:hAnsi="Arial"/>
          <w:sz w:val="20"/>
        </w:rPr>
        <w:t>: No caso de uma pessoa que esteja ou tenha estado envolvida na criação de PI deixar sua instituição para se juntar a outra instituição ou empresa, você deve garantir que haja um acordo por escrito, definindo a situação da titularidade da PI. Caso o Membro da Equipe, Aluno ou Visitante seja considerado um inventor/autor, então os benefícios advindos da comercialização da propriedade intelectual serão devidos ao inventor/autor após o término do vínculo empregatício.</w:t>
      </w:r>
    </w:p>
    <w:p w14:paraId="2801AC52" w14:textId="77777777" w:rsidR="00356495" w:rsidRPr="0024467F" w:rsidRDefault="00356495" w:rsidP="00B7519E">
      <w:pPr>
        <w:pStyle w:val="ListParagraph"/>
        <w:spacing w:line="240" w:lineRule="auto"/>
        <w:ind w:left="426"/>
        <w:jc w:val="both"/>
        <w:rPr>
          <w:szCs w:val="20"/>
        </w:rPr>
      </w:pPr>
    </w:p>
    <w:p w14:paraId="633CA0FA" w14:textId="77777777" w:rsidR="00504973" w:rsidRPr="00B00EEA" w:rsidRDefault="0066706C">
      <w:pPr>
        <w:pStyle w:val="Heading3"/>
        <w:rPr>
          <w:sz w:val="24"/>
        </w:rPr>
      </w:pPr>
      <w:bookmarkStart w:id="92" w:name="_Article_3.4_–"/>
      <w:bookmarkStart w:id="93" w:name="_Toc516160049"/>
      <w:bookmarkStart w:id="94" w:name="_Toc516219392"/>
      <w:bookmarkStart w:id="95" w:name="_Toc516496033"/>
      <w:bookmarkStart w:id="96" w:name="_Toc516829405"/>
      <w:bookmarkEnd w:id="92"/>
      <w:r>
        <w:rPr>
          <w:sz w:val="24"/>
        </w:rPr>
        <w:t>ARTIGO 3.4 – Efeito Vinculativo da Política</w:t>
      </w:r>
      <w:bookmarkEnd w:id="91"/>
      <w:bookmarkEnd w:id="93"/>
      <w:bookmarkEnd w:id="94"/>
      <w:bookmarkEnd w:id="95"/>
      <w:bookmarkEnd w:id="96"/>
    </w:p>
    <w:p w14:paraId="27F872D6" w14:textId="77777777" w:rsidR="000A4F79" w:rsidRPr="00B00EEA" w:rsidRDefault="004950E6" w:rsidP="000A4F79">
      <w:pPr>
        <w:spacing w:after="0" w:line="240" w:lineRule="auto"/>
        <w:jc w:val="both"/>
        <w:rPr>
          <w:rFonts w:ascii="Arial" w:hAnsi="Arial" w:cs="Arial"/>
          <w:b/>
          <w:color w:val="0070C0"/>
          <w:sz w:val="24"/>
        </w:rPr>
      </w:pPr>
      <w:r>
        <w:rPr>
          <w:rFonts w:ascii="Arial" w:hAnsi="Arial"/>
          <w:b/>
          <w:color w:val="0070C0"/>
          <w:sz w:val="24"/>
        </w:rPr>
        <w:t>Quando uma Política de PI é juridicamente vinculativa?</w:t>
      </w:r>
    </w:p>
    <w:p w14:paraId="015A3152" w14:textId="77777777" w:rsidR="000A4F79" w:rsidRPr="0024467F" w:rsidRDefault="000A4F79" w:rsidP="007323E2">
      <w:pPr>
        <w:spacing w:after="0" w:line="240" w:lineRule="auto"/>
        <w:jc w:val="both"/>
        <w:rPr>
          <w:rFonts w:ascii="Arial" w:hAnsi="Arial" w:cs="Arial"/>
          <w:color w:val="000000" w:themeColor="text1"/>
          <w:szCs w:val="20"/>
        </w:rPr>
      </w:pPr>
    </w:p>
    <w:p w14:paraId="7C22C564" w14:textId="028AE2A9" w:rsidR="004670EC" w:rsidRPr="00B00EEA" w:rsidRDefault="00EA3030" w:rsidP="007323E2">
      <w:pPr>
        <w:spacing w:line="240" w:lineRule="auto"/>
        <w:jc w:val="both"/>
        <w:rPr>
          <w:rFonts w:ascii="Arial" w:hAnsi="Arial" w:cs="Arial"/>
          <w:sz w:val="20"/>
        </w:rPr>
      </w:pPr>
      <w:r>
        <w:rPr>
          <w:rFonts w:ascii="Arial" w:hAnsi="Arial"/>
          <w:sz w:val="20"/>
        </w:rPr>
        <w:t>Uma Política de PI é exatamente isso – uma política, sendo um documento unilateral elaborado pela Instituição, não um documento consensual</w:t>
      </w:r>
      <w:r w:rsidR="008411EA">
        <w:rPr>
          <w:rFonts w:ascii="Arial" w:hAnsi="Arial"/>
          <w:sz w:val="20"/>
        </w:rPr>
        <w:t xml:space="preserve">. </w:t>
      </w:r>
      <w:r>
        <w:rPr>
          <w:rFonts w:ascii="Arial" w:hAnsi="Arial"/>
          <w:sz w:val="20"/>
        </w:rPr>
        <w:t xml:space="preserve">Portanto, uma política não é uma lei, mas uma proposta de curso de ação. Portanto, não pode ser </w:t>
      </w:r>
      <w:r>
        <w:rPr>
          <w:rFonts w:ascii="Arial" w:hAnsi="Arial"/>
          <w:i/>
          <w:iCs/>
          <w:sz w:val="20"/>
        </w:rPr>
        <w:t>presumido</w:t>
      </w:r>
      <w:r>
        <w:rPr>
          <w:rFonts w:ascii="Arial" w:hAnsi="Arial"/>
          <w:sz w:val="20"/>
        </w:rPr>
        <w:t xml:space="preserve"> que uma Política de PI seja juridicamente vinculativa. Algo mais é necessário para que isso aconteça. </w:t>
      </w:r>
    </w:p>
    <w:p w14:paraId="5CFB8CC8" w14:textId="77777777" w:rsidR="006630A0" w:rsidRPr="00B00EEA" w:rsidRDefault="006630A0" w:rsidP="007323E2">
      <w:pPr>
        <w:spacing w:line="240" w:lineRule="auto"/>
        <w:jc w:val="both"/>
        <w:rPr>
          <w:rFonts w:ascii="Arial" w:hAnsi="Arial" w:cs="Arial"/>
          <w:sz w:val="20"/>
        </w:rPr>
      </w:pPr>
      <w:r>
        <w:rPr>
          <w:rFonts w:ascii="Arial" w:hAnsi="Arial"/>
          <w:sz w:val="20"/>
        </w:rPr>
        <w:t xml:space="preserve">Para ser legalmente executável ou vinculativa, uma Política de PI deve ter força legislativa ou fazer parte de um contrato juridicamente vinculativo. Ambos os requisitos precisam ser analisados sob a lei aplicável do país. </w:t>
      </w:r>
    </w:p>
    <w:p w14:paraId="3954B8FC" w14:textId="77777777" w:rsidR="00A62617" w:rsidRPr="00B00EEA" w:rsidRDefault="00455CCB" w:rsidP="009D4A54">
      <w:pPr>
        <w:pStyle w:val="ListParagraph"/>
        <w:numPr>
          <w:ilvl w:val="0"/>
          <w:numId w:val="43"/>
        </w:numPr>
        <w:spacing w:after="0" w:line="240" w:lineRule="auto"/>
        <w:ind w:left="426" w:hanging="426"/>
        <w:jc w:val="both"/>
        <w:rPr>
          <w:rFonts w:ascii="Arial" w:hAnsi="Arial" w:cs="Arial"/>
          <w:sz w:val="20"/>
        </w:rPr>
      </w:pPr>
      <w:r>
        <w:rPr>
          <w:rFonts w:ascii="Arial" w:hAnsi="Arial"/>
          <w:color w:val="0070C0"/>
          <w:sz w:val="20"/>
        </w:rPr>
        <w:t xml:space="preserve">Política de PI com força legislativa em si mesma </w:t>
      </w:r>
      <w:r>
        <w:rPr>
          <w:rFonts w:ascii="Arial" w:hAnsi="Arial"/>
          <w:sz w:val="20"/>
        </w:rPr>
        <w:t>- Em alguns países, uma Política de PI pode ser lei, se for um estatuto de uma legislatura (legislação primária) ou legislação subordinada</w:t>
      </w:r>
      <w:r w:rsidR="00790567" w:rsidRPr="00B00EEA">
        <w:rPr>
          <w:rStyle w:val="FootnoteReference"/>
          <w:rFonts w:ascii="Arial" w:hAnsi="Arial" w:cs="Arial"/>
          <w:sz w:val="20"/>
          <w:lang w:val="en-US"/>
        </w:rPr>
        <w:footnoteReference w:id="58"/>
      </w:r>
      <w:r>
        <w:rPr>
          <w:rFonts w:ascii="Arial" w:hAnsi="Arial"/>
          <w:sz w:val="20"/>
        </w:rPr>
        <w:t xml:space="preserve"> autorizada por um estatuto de uma legislatura (como um regulamento, código ou regulamento). As Políticas de PI de muitas universidades estaduais nos Estados Unidos são leis nesse sentido, assim como as Políticas de PI de algumas universidades no Reino Unido. Muitas vezes é a própria Instituição que faz a legislação subordinada. </w:t>
      </w:r>
    </w:p>
    <w:p w14:paraId="02497DB5" w14:textId="77777777" w:rsidR="003805B7" w:rsidRPr="0024467F" w:rsidRDefault="003805B7" w:rsidP="007323E2">
      <w:pPr>
        <w:spacing w:after="0" w:line="240" w:lineRule="auto"/>
        <w:jc w:val="both"/>
        <w:rPr>
          <w:rFonts w:ascii="Arial" w:hAnsi="Arial" w:cs="Arial"/>
          <w:sz w:val="20"/>
        </w:rPr>
      </w:pPr>
    </w:p>
    <w:p w14:paraId="58683A48" w14:textId="77777777" w:rsidR="00EC062C" w:rsidRPr="00B00EEA" w:rsidRDefault="00455CCB" w:rsidP="009D4A54">
      <w:pPr>
        <w:pStyle w:val="ListParagraph"/>
        <w:numPr>
          <w:ilvl w:val="0"/>
          <w:numId w:val="67"/>
        </w:numPr>
        <w:spacing w:after="0" w:line="240" w:lineRule="auto"/>
        <w:ind w:left="426" w:hanging="426"/>
        <w:jc w:val="both"/>
        <w:rPr>
          <w:rFonts w:ascii="Arial" w:hAnsi="Arial" w:cs="Arial"/>
          <w:sz w:val="20"/>
        </w:rPr>
      </w:pPr>
      <w:r>
        <w:rPr>
          <w:rFonts w:ascii="Arial" w:hAnsi="Arial"/>
          <w:color w:val="0070C0"/>
          <w:sz w:val="20"/>
        </w:rPr>
        <w:t xml:space="preserve">Política de PI que reflete um princípio jurídico da lei nacional </w:t>
      </w:r>
      <w:r>
        <w:rPr>
          <w:rFonts w:ascii="Arial" w:hAnsi="Arial"/>
          <w:sz w:val="20"/>
        </w:rPr>
        <w:t>-</w:t>
      </w:r>
      <w:r>
        <w:rPr>
          <w:rFonts w:ascii="Arial" w:hAnsi="Arial"/>
          <w:color w:val="0070C0"/>
          <w:sz w:val="20"/>
        </w:rPr>
        <w:t xml:space="preserve"> </w:t>
      </w:r>
      <w:r>
        <w:rPr>
          <w:rFonts w:ascii="Arial" w:hAnsi="Arial"/>
          <w:sz w:val="20"/>
        </w:rPr>
        <w:t>As políticas institucionais de PI geralmente refletem regras da lei nacional,</w:t>
      </w:r>
      <w:r>
        <w:rPr>
          <w:rFonts w:ascii="Arial" w:hAnsi="Arial"/>
          <w:color w:val="0070C0"/>
          <w:sz w:val="20"/>
        </w:rPr>
        <w:t xml:space="preserve"> </w:t>
      </w:r>
      <w:r>
        <w:rPr>
          <w:rFonts w:ascii="Arial" w:hAnsi="Arial"/>
          <w:sz w:val="20"/>
        </w:rPr>
        <w:t>que se aplicam independentemente da Política de PI. Por exemplo, uma Política de PI pode prever que a Instituição seja titular da PI criada por um funcionário no decurso de suas funções, e essa também pode ser a regra geral estabelecida na legislação do país da Instituição.</w:t>
      </w:r>
    </w:p>
    <w:p w14:paraId="3190B879" w14:textId="77777777" w:rsidR="00122126" w:rsidRPr="0024467F" w:rsidRDefault="00122126" w:rsidP="00B7519E">
      <w:pPr>
        <w:pStyle w:val="ListParagraph"/>
        <w:spacing w:after="0" w:line="240" w:lineRule="auto"/>
        <w:ind w:left="426"/>
        <w:jc w:val="both"/>
        <w:rPr>
          <w:rFonts w:ascii="Arial" w:hAnsi="Arial" w:cs="Arial"/>
          <w:sz w:val="20"/>
        </w:rPr>
      </w:pPr>
    </w:p>
    <w:p w14:paraId="1801BC0C" w14:textId="4143CE25" w:rsidR="00455CCB" w:rsidRPr="00B00EEA" w:rsidRDefault="00455CCB" w:rsidP="009D4A54">
      <w:pPr>
        <w:pStyle w:val="ListParagraph"/>
        <w:numPr>
          <w:ilvl w:val="0"/>
          <w:numId w:val="43"/>
        </w:numPr>
        <w:spacing w:after="0" w:line="240" w:lineRule="auto"/>
        <w:ind w:left="426" w:hanging="426"/>
        <w:jc w:val="both"/>
        <w:rPr>
          <w:rFonts w:ascii="Arial" w:hAnsi="Arial" w:cs="Arial"/>
          <w:sz w:val="20"/>
        </w:rPr>
      </w:pPr>
      <w:r>
        <w:rPr>
          <w:rFonts w:ascii="Arial" w:hAnsi="Arial"/>
          <w:color w:val="0070C0"/>
          <w:sz w:val="20"/>
        </w:rPr>
        <w:t xml:space="preserve">Política de PI sendo parte de um contrato juridicamente vinculativo </w:t>
      </w:r>
      <w:r>
        <w:rPr>
          <w:rFonts w:ascii="Arial" w:hAnsi="Arial"/>
          <w:sz w:val="20"/>
        </w:rPr>
        <w:t>-</w:t>
      </w:r>
      <w:r>
        <w:rPr>
          <w:rFonts w:ascii="Arial" w:hAnsi="Arial"/>
          <w:color w:val="0070C0"/>
          <w:sz w:val="20"/>
        </w:rPr>
        <w:t xml:space="preserve"> </w:t>
      </w:r>
      <w:r>
        <w:rPr>
          <w:rFonts w:ascii="Arial" w:hAnsi="Arial"/>
          <w:sz w:val="20"/>
        </w:rPr>
        <w:t>Se os termos da Política de PI estiverem incluídos em um contrato juridicamente vinculativo, a Política de PI será aplicável às partes contratantes</w:t>
      </w:r>
      <w:r w:rsidR="008411EA">
        <w:rPr>
          <w:rFonts w:ascii="Arial" w:hAnsi="Arial"/>
          <w:sz w:val="20"/>
        </w:rPr>
        <w:t xml:space="preserve">. </w:t>
      </w:r>
    </w:p>
    <w:p w14:paraId="1597D3C8" w14:textId="77777777" w:rsidR="00455CCB" w:rsidRPr="0024467F" w:rsidRDefault="00455CCB" w:rsidP="00B7519E">
      <w:pPr>
        <w:spacing w:after="0" w:line="240" w:lineRule="auto"/>
        <w:jc w:val="both"/>
        <w:rPr>
          <w:rFonts w:ascii="Arial" w:hAnsi="Arial" w:cs="Arial"/>
        </w:rPr>
      </w:pPr>
    </w:p>
    <w:p w14:paraId="7CA454B4" w14:textId="77777777" w:rsidR="007424E4" w:rsidRPr="00B00EEA" w:rsidRDefault="00C60DE4" w:rsidP="007424E4">
      <w:pPr>
        <w:rPr>
          <w:rFonts w:ascii="Arial" w:hAnsi="Arial" w:cs="Arial"/>
          <w:b/>
          <w:color w:val="0070C0"/>
          <w:sz w:val="24"/>
        </w:rPr>
      </w:pPr>
      <w:r>
        <w:rPr>
          <w:rFonts w:ascii="Arial" w:hAnsi="Arial"/>
          <w:b/>
          <w:color w:val="0070C0"/>
          <w:sz w:val="24"/>
        </w:rPr>
        <w:t xml:space="preserve">Artigo 3.4.1 - Questões Especiais relacionadas aos Membros da Equipe </w:t>
      </w:r>
    </w:p>
    <w:p w14:paraId="47526E4F" w14:textId="0EF89A8B" w:rsidR="007424E4" w:rsidRPr="00B00EEA" w:rsidRDefault="007424E4" w:rsidP="009D4A54">
      <w:pPr>
        <w:pStyle w:val="ListParagraph"/>
        <w:numPr>
          <w:ilvl w:val="0"/>
          <w:numId w:val="67"/>
        </w:numPr>
        <w:spacing w:line="240" w:lineRule="auto"/>
        <w:ind w:left="426" w:hanging="426"/>
        <w:jc w:val="both"/>
        <w:rPr>
          <w:rFonts w:ascii="Arial" w:hAnsi="Arial" w:cs="Arial"/>
          <w:sz w:val="20"/>
        </w:rPr>
      </w:pPr>
      <w:r>
        <w:rPr>
          <w:rFonts w:ascii="Arial" w:hAnsi="Arial"/>
          <w:b/>
          <w:sz w:val="20"/>
        </w:rPr>
        <w:t xml:space="preserve">Artigo 3.4.1, </w:t>
      </w:r>
      <w:r>
        <w:rPr>
          <w:rFonts w:ascii="Arial" w:hAnsi="Arial"/>
          <w:b/>
          <w:i/>
          <w:sz w:val="20"/>
        </w:rPr>
        <w:t>garante que o contrato de trabalho […] inclua uma disposição que coloque os Membros da Equipe sob o escopo desta Política</w:t>
      </w:r>
      <w:r>
        <w:rPr>
          <w:rFonts w:ascii="Arial" w:hAnsi="Arial"/>
          <w:sz w:val="20"/>
        </w:rPr>
        <w:t>: Uma nota de precaução: As políticas institucionais de PI são normalmente incluídas “por referência” em contratos de trabalho, simplesmente para evitar a duplicação de todo o texto da política. Por exemplo, um contrato de trabalho pode declarar: “</w:t>
      </w:r>
      <w:r>
        <w:rPr>
          <w:rFonts w:ascii="Arial" w:hAnsi="Arial"/>
          <w:i/>
          <w:sz w:val="20"/>
        </w:rPr>
        <w:t>Jane Smith estará vinculada à Política de Propriedade Intelectual da universidade, cujas disposições são consideradas incorporadas por referência a este Contrato</w:t>
      </w:r>
      <w:r>
        <w:rPr>
          <w:rFonts w:ascii="Arial" w:hAnsi="Arial"/>
          <w:sz w:val="20"/>
        </w:rPr>
        <w:t>.”</w:t>
      </w:r>
    </w:p>
    <w:p w14:paraId="405E9C59" w14:textId="77777777" w:rsidR="009D7CD4" w:rsidRPr="00B00EEA" w:rsidRDefault="00DA4011" w:rsidP="00B7519E">
      <w:pPr>
        <w:shd w:val="clear" w:color="auto" w:fill="FFFFFF" w:themeFill="background1"/>
        <w:spacing w:after="0" w:line="240" w:lineRule="auto"/>
        <w:ind w:left="426"/>
        <w:jc w:val="both"/>
        <w:rPr>
          <w:rFonts w:ascii="Arial" w:hAnsi="Arial" w:cs="Arial"/>
          <w:sz w:val="20"/>
        </w:rPr>
      </w:pPr>
      <w:r>
        <w:rPr>
          <w:rFonts w:ascii="Arial" w:hAnsi="Arial"/>
          <w:sz w:val="20"/>
        </w:rPr>
        <w:lastRenderedPageBreak/>
        <w:t>Embora a maioria dos países aceite o princípio da “incorporação por referência”,</w:t>
      </w:r>
      <w:r w:rsidR="00340057" w:rsidRPr="00B00EEA">
        <w:rPr>
          <w:rStyle w:val="FootnoteReference"/>
          <w:rFonts w:ascii="Arial" w:hAnsi="Arial" w:cs="Arial"/>
          <w:sz w:val="20"/>
          <w:lang w:val="en-US"/>
        </w:rPr>
        <w:footnoteReference w:id="59"/>
      </w:r>
      <w:r>
        <w:rPr>
          <w:rFonts w:ascii="Arial" w:hAnsi="Arial"/>
          <w:sz w:val="20"/>
        </w:rPr>
        <w:t xml:space="preserve"> para ser válida, tal incorporação deve, contudo, cumprir requisitos legais rigorosos. Os seguintes requisitos geralmente se aplicam:</w:t>
      </w:r>
    </w:p>
    <w:p w14:paraId="08A0DF66"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r>
        <w:rPr>
          <w:rFonts w:ascii="Arial" w:hAnsi="Arial"/>
          <w:sz w:val="20"/>
        </w:rPr>
        <w:t>a referência à Política de PI deve ser clara e inequívoca;</w:t>
      </w:r>
    </w:p>
    <w:p w14:paraId="1EA6F019"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r>
        <w:rPr>
          <w:rFonts w:ascii="Arial" w:hAnsi="Arial"/>
          <w:sz w:val="20"/>
        </w:rPr>
        <w:t>a referência deve ser levada ao conhecimento do funcionário (ou aluno);</w:t>
      </w:r>
    </w:p>
    <w:p w14:paraId="0555B0B9"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r>
        <w:rPr>
          <w:rFonts w:ascii="Arial" w:hAnsi="Arial"/>
          <w:sz w:val="20"/>
        </w:rPr>
        <w:t>o funcionário (ou aluno) deve ter consentido com a Política de PI, o que significa que o funcionário (ou aluno) deve ter a oportunidade de lê-la e considerar seu conteúdo; e</w:t>
      </w:r>
    </w:p>
    <w:p w14:paraId="4369612E"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r>
        <w:rPr>
          <w:rFonts w:ascii="Arial" w:hAnsi="Arial"/>
          <w:sz w:val="20"/>
        </w:rPr>
        <w:t>os termos da Política de PI devem: (a) já ser conhecidos pelo funcionário (ou aluno), ou (b) estar facilmente disponível para o funcionário (ou aluno).</w:t>
      </w:r>
    </w:p>
    <w:p w14:paraId="3CC1EF7D" w14:textId="77777777" w:rsidR="003F61C4" w:rsidRPr="0024467F" w:rsidRDefault="003F61C4" w:rsidP="00B7519E">
      <w:pPr>
        <w:shd w:val="clear" w:color="auto" w:fill="FFFFFF" w:themeFill="background1"/>
        <w:spacing w:after="0" w:line="240" w:lineRule="auto"/>
        <w:jc w:val="both"/>
        <w:rPr>
          <w:rFonts w:ascii="Arial" w:hAnsi="Arial" w:cs="Arial"/>
          <w:sz w:val="4"/>
        </w:rPr>
      </w:pPr>
    </w:p>
    <w:p w14:paraId="770D56B7" w14:textId="77777777" w:rsidR="00724FB7" w:rsidRPr="0024467F" w:rsidRDefault="00724FB7" w:rsidP="00327970">
      <w:pPr>
        <w:shd w:val="clear" w:color="auto" w:fill="FFFFFF" w:themeFill="background1"/>
        <w:spacing w:after="0" w:line="240" w:lineRule="auto"/>
        <w:jc w:val="both"/>
        <w:rPr>
          <w:rFonts w:ascii="Arial" w:hAnsi="Arial" w:cs="Arial"/>
          <w:b/>
          <w:sz w:val="20"/>
        </w:rPr>
      </w:pPr>
    </w:p>
    <w:p w14:paraId="55C48F2F" w14:textId="724D6E35" w:rsidR="00455CCB" w:rsidRPr="00B00EE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Incorporação da Política de PI por Referência</w:t>
      </w:r>
    </w:p>
    <w:p w14:paraId="70B5DCB5" w14:textId="77777777" w:rsidR="00455CCB" w:rsidRPr="0024467F"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p>
    <w:p w14:paraId="0BE0F568" w14:textId="77777777" w:rsidR="009D7CD4" w:rsidRPr="00B00EEA" w:rsidRDefault="003F61C4"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rPr>
      </w:pPr>
      <w:r>
        <w:rPr>
          <w:rFonts w:ascii="Arial" w:hAnsi="Arial"/>
          <w:sz w:val="20"/>
        </w:rPr>
        <w:t xml:space="preserve">Se uma Instituição deseja incorporar sua Política de PI ao contrato de trabalho de um funcionário, ela deve: </w:t>
      </w:r>
    </w:p>
    <w:p w14:paraId="50334EC1" w14:textId="77777777" w:rsidR="00D31570"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r>
        <w:rPr>
          <w:rFonts w:ascii="Arial" w:hAnsi="Arial"/>
          <w:sz w:val="20"/>
        </w:rPr>
        <w:t>identificar o (grupo de) funcionários aos quais a Política de PI se destina a ser aplicada;</w:t>
      </w:r>
    </w:p>
    <w:p w14:paraId="5B610FE3" w14:textId="77777777"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rPr>
      </w:pPr>
      <w:r>
        <w:rPr>
          <w:rFonts w:ascii="Arial" w:hAnsi="Arial"/>
          <w:sz w:val="20"/>
        </w:rPr>
        <w:t>incluir uma cláusula semelhante ao exemplo de “Jane Smith” em seus contratos de trabalho escritos;</w:t>
      </w:r>
    </w:p>
    <w:p w14:paraId="35AB6623" w14:textId="77777777"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r>
        <w:rPr>
          <w:rFonts w:ascii="Arial" w:hAnsi="Arial"/>
          <w:sz w:val="20"/>
        </w:rPr>
        <w:t>enviar o contrato por e-mail ao funcionário que está prestes a ser contratado e, no e-mail, com destaque: (i) chamar a atenção para a cláusula; (ii) incluir um link para o URL atualizado da Política de PI; e (iii) incentivar o destinatário a ler a política com atenção; e</w:t>
      </w:r>
    </w:p>
    <w:p w14:paraId="0B7A0B0F" w14:textId="77777777" w:rsidR="009D7CD4"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r>
        <w:rPr>
          <w:rFonts w:ascii="Arial" w:hAnsi="Arial"/>
          <w:sz w:val="20"/>
        </w:rPr>
        <w:t>garantir que pelo menos dois (ou preferencialmente mais) dias se passem antes que o destinatário assine o contrato, para que não haja dúvidas de que ele/ela teve a oportunidade de revisar a Política de PI.</w:t>
      </w:r>
    </w:p>
    <w:p w14:paraId="6406F6B8" w14:textId="77777777" w:rsidR="00D31570" w:rsidRPr="0024467F" w:rsidRDefault="00D31570" w:rsidP="007323E2">
      <w:pPr>
        <w:spacing w:after="0" w:line="240" w:lineRule="auto"/>
        <w:jc w:val="both"/>
        <w:rPr>
          <w:rFonts w:ascii="Arial" w:hAnsi="Arial" w:cs="Arial"/>
          <w:b/>
          <w:color w:val="0070C0"/>
        </w:rPr>
      </w:pPr>
    </w:p>
    <w:p w14:paraId="7A33DA7D" w14:textId="77777777" w:rsidR="000B5B31" w:rsidRPr="0024467F" w:rsidRDefault="000B5B31" w:rsidP="00B7519E">
      <w:pPr>
        <w:pStyle w:val="ListParagraph"/>
        <w:autoSpaceDE w:val="0"/>
        <w:autoSpaceDN w:val="0"/>
        <w:adjustRightInd w:val="0"/>
        <w:spacing w:after="0" w:line="240" w:lineRule="auto"/>
        <w:ind w:left="426"/>
        <w:jc w:val="both"/>
        <w:rPr>
          <w:rFonts w:ascii="Arial" w:hAnsi="Arial" w:cs="Arial"/>
          <w:b/>
          <w:color w:val="0070C0"/>
        </w:rPr>
      </w:pPr>
    </w:p>
    <w:p w14:paraId="3251F1F6" w14:textId="77777777" w:rsidR="00CD1670" w:rsidRPr="00B00EEA" w:rsidRDefault="00C60DE4" w:rsidP="00B7519E">
      <w:pPr>
        <w:rPr>
          <w:rFonts w:ascii="Arial" w:hAnsi="Arial" w:cs="Arial"/>
          <w:b/>
          <w:color w:val="0070C0"/>
          <w:sz w:val="24"/>
        </w:rPr>
      </w:pPr>
      <w:r>
        <w:rPr>
          <w:rFonts w:ascii="Arial" w:hAnsi="Arial"/>
          <w:b/>
          <w:color w:val="0070C0"/>
          <w:sz w:val="24"/>
        </w:rPr>
        <w:t xml:space="preserve">Artigo 3.4.2 - Questões Especiais em relação aos Alunos </w:t>
      </w:r>
    </w:p>
    <w:p w14:paraId="0CBC2A49" w14:textId="2B9B44E1" w:rsidR="00B5600C" w:rsidRPr="00B00EEA" w:rsidRDefault="00BD24F3" w:rsidP="009D4A54">
      <w:pPr>
        <w:pStyle w:val="ListParagraph"/>
        <w:numPr>
          <w:ilvl w:val="0"/>
          <w:numId w:val="69"/>
        </w:numPr>
        <w:spacing w:after="0" w:line="240" w:lineRule="auto"/>
        <w:ind w:left="426" w:hanging="426"/>
        <w:jc w:val="both"/>
        <w:rPr>
          <w:rFonts w:ascii="Arial" w:hAnsi="Arial" w:cs="Arial"/>
          <w:sz w:val="20"/>
        </w:rPr>
      </w:pPr>
      <w:r>
        <w:rPr>
          <w:rFonts w:ascii="Arial" w:hAnsi="Arial"/>
          <w:b/>
          <w:sz w:val="20"/>
        </w:rPr>
        <w:t xml:space="preserve">Artigo 3.4.2., </w:t>
      </w:r>
      <w:r>
        <w:rPr>
          <w:rFonts w:ascii="Arial" w:hAnsi="Arial"/>
          <w:b/>
          <w:i/>
          <w:sz w:val="20"/>
        </w:rPr>
        <w:t>A Instituição deverá assegurar que os Alunos participantes de um Projeto de Pesquisa assinem um acordo</w:t>
      </w:r>
      <w:r>
        <w:rPr>
          <w:rFonts w:ascii="Arial" w:hAnsi="Arial"/>
          <w:sz w:val="20"/>
        </w:rPr>
        <w:t>: O ponto de partida é que os alunos sejam titulares de qualquer PI que eles gerem. Há, no entanto, considerações que podem justificar uma reivindicação de titularidade institucional. Isso inclui situações em que os alunos são financiados pela indústria ou trabalham em projetos de pesquisa da instituição (Veja o Artigo 5.2 para obter mais informações)</w:t>
      </w:r>
      <w:r w:rsidR="008411EA">
        <w:rPr>
          <w:rFonts w:ascii="Arial" w:hAnsi="Arial"/>
          <w:sz w:val="20"/>
        </w:rPr>
        <w:t xml:space="preserve">. </w:t>
      </w:r>
      <w:r>
        <w:rPr>
          <w:rFonts w:ascii="Arial" w:hAnsi="Arial"/>
          <w:sz w:val="20"/>
        </w:rPr>
        <w:t xml:space="preserve">Nessas circunstâncias, é razoável que a Instituição exija que o aluno celebre um acordo vinculativo com a Instituição, segundo o qual o aluno concorda em ceder à Instituição qualquer PI que ele gerar no contexto de tal projeto de pesquisa, para que a Instituição possa comercializar o pacote completo de PI decorrente do programa de pesquisa. Em troca, a universidade pode concordar em tratar o aluno como um funcionário para fins da política de repartição de receita da universidade para inventores acadêmicos. </w:t>
      </w:r>
    </w:p>
    <w:p w14:paraId="29AEE3AD" w14:textId="77777777" w:rsidR="00B5600C" w:rsidRPr="0024467F" w:rsidRDefault="00B5600C" w:rsidP="00B7519E">
      <w:pPr>
        <w:pStyle w:val="ListParagraph"/>
        <w:spacing w:after="0" w:line="240" w:lineRule="auto"/>
        <w:ind w:left="426"/>
        <w:jc w:val="both"/>
        <w:rPr>
          <w:rFonts w:ascii="Arial" w:hAnsi="Arial" w:cs="Arial"/>
          <w:sz w:val="20"/>
        </w:rPr>
      </w:pPr>
    </w:p>
    <w:p w14:paraId="35611D52" w14:textId="77777777" w:rsidR="00B5600C" w:rsidRPr="00B00EEA" w:rsidRDefault="00B5600C"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3.4.2., </w:t>
      </w:r>
      <w:r>
        <w:rPr>
          <w:rFonts w:ascii="Arial" w:hAnsi="Arial"/>
          <w:b/>
          <w:i/>
          <w:sz w:val="20"/>
        </w:rPr>
        <w:t>antes de começar o projeto</w:t>
      </w:r>
      <w:r>
        <w:rPr>
          <w:rFonts w:ascii="Arial" w:hAnsi="Arial"/>
          <w:sz w:val="20"/>
        </w:rPr>
        <w:t xml:space="preserve">: A Instituição precisa ter esse acordo vinculativo em vigor antes que o aluno gere qualquer PI, para que a Instituição possa, por sua vez, celebrar acordos vinculativos com patrocinadores e licenciados para a comercialização do pacote de PI. </w:t>
      </w:r>
    </w:p>
    <w:p w14:paraId="69AE927A" w14:textId="77777777" w:rsidR="00B5600C" w:rsidRPr="0024467F" w:rsidRDefault="00B5600C" w:rsidP="00B7519E">
      <w:pPr>
        <w:spacing w:after="0" w:line="240" w:lineRule="auto"/>
        <w:jc w:val="both"/>
        <w:rPr>
          <w:rFonts w:ascii="Arial" w:hAnsi="Arial" w:cs="Arial"/>
          <w:sz w:val="20"/>
        </w:rPr>
      </w:pPr>
    </w:p>
    <w:p w14:paraId="69363B4B" w14:textId="77777777" w:rsidR="00CD1670" w:rsidRPr="00B00EEA" w:rsidRDefault="004229FD" w:rsidP="00464282">
      <w:pPr>
        <w:pStyle w:val="ListParagraph"/>
        <w:numPr>
          <w:ilvl w:val="0"/>
          <w:numId w:val="11"/>
        </w:numPr>
        <w:spacing w:line="240" w:lineRule="auto"/>
        <w:ind w:left="426" w:hanging="426"/>
        <w:jc w:val="both"/>
        <w:rPr>
          <w:rFonts w:ascii="Arial" w:hAnsi="Arial" w:cs="Arial"/>
          <w:sz w:val="18"/>
          <w:szCs w:val="20"/>
        </w:rPr>
      </w:pPr>
      <w:r>
        <w:rPr>
          <w:rFonts w:ascii="Arial" w:hAnsi="Arial"/>
          <w:sz w:val="20"/>
        </w:rPr>
        <w:t xml:space="preserve">Muitas instituições promulgaram uma </w:t>
      </w:r>
      <w:r>
        <w:rPr>
          <w:rFonts w:ascii="Arial" w:hAnsi="Arial"/>
          <w:b/>
          <w:sz w:val="20"/>
        </w:rPr>
        <w:t>Política de PI autônoma para alunos</w:t>
      </w:r>
      <w:r>
        <w:rPr>
          <w:rFonts w:ascii="Arial" w:hAnsi="Arial"/>
          <w:sz w:val="20"/>
        </w:rPr>
        <w:t xml:space="preserve">, e/ou </w:t>
      </w:r>
      <w:r>
        <w:rPr>
          <w:rFonts w:ascii="Arial" w:hAnsi="Arial"/>
          <w:b/>
          <w:sz w:val="20"/>
        </w:rPr>
        <w:t>Diretrizes sobre o assunto da PI gerada por Alunos</w:t>
      </w:r>
      <w:r>
        <w:rPr>
          <w:rFonts w:ascii="Arial" w:hAnsi="Arial"/>
          <w:sz w:val="20"/>
        </w:rPr>
        <w:t xml:space="preserve">, o que pode facilitar a compreensão dos alunos. </w:t>
      </w:r>
      <w:r w:rsidR="00B5600C" w:rsidRPr="00B00EEA">
        <w:rPr>
          <w:rStyle w:val="FootnoteReference"/>
          <w:rFonts w:ascii="Arial" w:hAnsi="Arial" w:cs="Arial"/>
          <w:sz w:val="20"/>
          <w:lang w:val="en-US"/>
        </w:rPr>
        <w:footnoteReference w:id="60"/>
      </w:r>
      <w:r>
        <w:rPr>
          <w:rFonts w:ascii="Arial" w:hAnsi="Arial"/>
          <w:sz w:val="20"/>
        </w:rPr>
        <w:t xml:space="preserve">  Outras Instituições excluem especificamente os alunos do escopo da sua Política de PI (veja, por exemplo, UNISA</w:t>
      </w:r>
      <w:r w:rsidR="00CD1670" w:rsidRPr="00B00EEA">
        <w:rPr>
          <w:rFonts w:ascii="Arial" w:hAnsi="Arial" w:cs="Arial"/>
          <w:sz w:val="20"/>
          <w:vertAlign w:val="superscript"/>
          <w:lang w:val="en-US"/>
        </w:rPr>
        <w:footnoteReference w:id="61"/>
      </w:r>
      <w:r>
        <w:rPr>
          <w:rFonts w:ascii="Arial" w:hAnsi="Arial"/>
          <w:sz w:val="20"/>
        </w:rPr>
        <w:t>).</w:t>
      </w:r>
    </w:p>
    <w:p w14:paraId="608D9871" w14:textId="1F89CB6F" w:rsidR="00B5600C" w:rsidRPr="00B00EE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Lidar com PI de Alunos</w:t>
      </w:r>
    </w:p>
    <w:p w14:paraId="331E0BFB" w14:textId="77777777" w:rsidR="00B5600C" w:rsidRPr="0024467F"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p>
    <w:p w14:paraId="22BE695D" w14:textId="7EF50D55" w:rsidR="002329FB" w:rsidRPr="00B00EEA" w:rsidRDefault="002329F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rPr>
      </w:pPr>
      <w:r>
        <w:rPr>
          <w:rFonts w:ascii="Arial" w:hAnsi="Arial"/>
          <w:sz w:val="20"/>
        </w:rPr>
        <w:t>Há situações em que a Instituição deve possuir a PI gerada pelos Alunos, para que um pacote maior de PI da Instituição possa ser comercializado</w:t>
      </w:r>
      <w:r w:rsidR="008411EA">
        <w:rPr>
          <w:rFonts w:ascii="Arial" w:hAnsi="Arial"/>
          <w:sz w:val="20"/>
        </w:rPr>
        <w:t xml:space="preserve">. </w:t>
      </w:r>
      <w:r>
        <w:rPr>
          <w:rFonts w:ascii="Arial" w:hAnsi="Arial"/>
          <w:sz w:val="20"/>
        </w:rPr>
        <w:t>Nesses casos, tome medidas para garantir que você seja o titular da PI:</w:t>
      </w:r>
    </w:p>
    <w:p w14:paraId="7DDCCBB4"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rPr>
      </w:pPr>
      <w:r>
        <w:rPr>
          <w:rFonts w:ascii="Arial" w:hAnsi="Arial"/>
          <w:sz w:val="20"/>
        </w:rPr>
        <w:lastRenderedPageBreak/>
        <w:t>Tenha uma política apropriada para a PI dos alunos</w:t>
      </w:r>
    </w:p>
    <w:p w14:paraId="1A7FBE11" w14:textId="77777777" w:rsidR="00B5600C"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rPr>
      </w:pPr>
      <w:r>
        <w:rPr>
          <w:rFonts w:ascii="Arial" w:hAnsi="Arial"/>
          <w:sz w:val="20"/>
        </w:rPr>
        <w:t>Tenha documentos contratuais apropriados (cessões) para dar efeito à política;</w:t>
      </w:r>
    </w:p>
    <w:p w14:paraId="31AB4773"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rPr>
      </w:pPr>
      <w:r>
        <w:rPr>
          <w:rFonts w:ascii="Arial" w:hAnsi="Arial"/>
          <w:sz w:val="20"/>
        </w:rPr>
        <w:t>Tenha procedimentos adequados para garantir que os documentos sejam assinados;</w:t>
      </w:r>
    </w:p>
    <w:p w14:paraId="12E0E63D"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rPr>
      </w:pPr>
      <w:r>
        <w:rPr>
          <w:rFonts w:ascii="Arial" w:hAnsi="Arial"/>
          <w:sz w:val="20"/>
        </w:rPr>
        <w:t>Peça aconselhamento jurídico para garantir que as cessões de PI sejam juridicamente aplicáveis</w:t>
      </w:r>
      <w:r w:rsidR="00AE23BF" w:rsidRPr="00B00EEA">
        <w:rPr>
          <w:rStyle w:val="FootnoteReference"/>
          <w:rFonts w:ascii="Arial" w:hAnsi="Arial" w:cs="Arial"/>
          <w:sz w:val="20"/>
          <w:lang w:val="en-US"/>
        </w:rPr>
        <w:footnoteReference w:id="62"/>
      </w:r>
      <w:r>
        <w:rPr>
          <w:rFonts w:ascii="Arial" w:hAnsi="Arial"/>
          <w:sz w:val="20"/>
        </w:rPr>
        <w:t>.</w:t>
      </w:r>
    </w:p>
    <w:p w14:paraId="58ED755F" w14:textId="77777777" w:rsidR="00455CCB" w:rsidRPr="0024467F" w:rsidRDefault="00455CCB" w:rsidP="00455CCB">
      <w:pPr>
        <w:spacing w:after="0" w:line="240" w:lineRule="auto"/>
        <w:jc w:val="both"/>
        <w:rPr>
          <w:rFonts w:ascii="Arial" w:hAnsi="Arial" w:cs="Arial"/>
          <w:sz w:val="20"/>
          <w:highlight w:val="yellow"/>
        </w:rPr>
      </w:pPr>
    </w:p>
    <w:p w14:paraId="28BC94BB"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Quando a Questão da PI do Aluno Tende a Surgir?</w:t>
      </w:r>
    </w:p>
    <w:p w14:paraId="65A28DE4" w14:textId="77777777" w:rsidR="00F407FC" w:rsidRPr="0024467F"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rPr>
      </w:pPr>
    </w:p>
    <w:p w14:paraId="282A5A5E"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r>
        <w:rPr>
          <w:rFonts w:ascii="Arial" w:hAnsi="Arial"/>
          <w:sz w:val="20"/>
        </w:rPr>
        <w:t>O assunto da PI gerada por alunos ganha destaque quando o Escritório de Gestão de PI (EGPI) tenta comercializar um pacote de PI da Instituição e descobre-se que um aluno pode ser titular de parte da PI. Por exemplo:</w:t>
      </w:r>
    </w:p>
    <w:p w14:paraId="7BD98942"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14:paraId="6373A342"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rPr>
      </w:pPr>
      <w:r>
        <w:rPr>
          <w:rFonts w:ascii="Arial" w:hAnsi="Arial"/>
          <w:sz w:val="20"/>
        </w:rPr>
        <w:t>um projeto de pesquisa acadêmica conduzido pela Instituição resultou em uma invenção que é adequada para proteção de patente. A invenção tem potencial para ser explorada comercialmente. Se um aluno estiver envolvido na criação ou desenvolvimento da invenção, ele poderá ter direitos sobre a invenção;</w:t>
      </w:r>
    </w:p>
    <w:p w14:paraId="664B0599"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rPr>
      </w:pPr>
      <w:r>
        <w:rPr>
          <w:rFonts w:ascii="Arial" w:hAnsi="Arial"/>
          <w:sz w:val="20"/>
        </w:rPr>
        <w:t xml:space="preserve">a Instituição foi patrocinada para realizar um projeto de pesquisa por uma organização comercial. O acadêmico envolvido exige que vários alunos realizem trabalhos no projeto de pesquisa. Os alunos podem criar ou gerar PI, sozinhos ou em conjunto com outros. As disposições do acordo de pesquisa podem exigir que a PI gerada durante a pesquisa pertença ao patrocinador. </w:t>
      </w:r>
    </w:p>
    <w:p w14:paraId="6722AAA0" w14:textId="77777777" w:rsidR="00F407FC" w:rsidRPr="0024467F"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p>
    <w:p w14:paraId="37F8B97B"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r>
        <w:rPr>
          <w:rFonts w:ascii="Arial" w:hAnsi="Arial"/>
          <w:sz w:val="20"/>
        </w:rPr>
        <w:t>Nessas circunstâncias, o EGPI desejará garantir que a PI gerada por um aluno pertença à Instituição e/ou ao patrocinador da pesquisa. Entretanto, se o tópico não for abordado até este ponto, pode ser mais difícil para o EGPI obter o título limpo da PI para a Instituição. Entre os fatores que podem criar tal dificuldade são:</w:t>
      </w:r>
    </w:p>
    <w:p w14:paraId="5BF0791A"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rPr>
      </w:pPr>
      <w:r>
        <w:rPr>
          <w:rFonts w:ascii="Arial" w:hAnsi="Arial"/>
          <w:sz w:val="20"/>
        </w:rPr>
        <w:t>no momento em que a questão da PI é considerada (por exemplo, ao solicitar patentes ou ao fazer a devida diligência em relação a uma potencial transação de spin-off), o aluno pode ter deixado de estar na Instituição e pode ser difícil localizá-lo; ou</w:t>
      </w:r>
    </w:p>
    <w:p w14:paraId="3362B6FC"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rPr>
      </w:pPr>
      <w:r>
        <w:rPr>
          <w:rFonts w:ascii="Arial" w:hAnsi="Arial"/>
          <w:sz w:val="20"/>
        </w:rPr>
        <w:t>o aluno pode atribuir um valor maior à sua contribuição para a PI do que o justificado, e pode ser difícil concordar com um acordo apropriado de repartição de receita, principalmente se houver vários inventores/criadores.</w:t>
      </w:r>
    </w:p>
    <w:p w14:paraId="6D12A189" w14:textId="77777777" w:rsidR="00F407FC" w:rsidRPr="0024467F"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p>
    <w:p w14:paraId="7ECBE340"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r>
        <w:rPr>
          <w:rFonts w:ascii="Arial" w:hAnsi="Arial"/>
          <w:sz w:val="20"/>
        </w:rPr>
        <w:t>Por essas e outras razões, o EGPI geralmente deseja que o assunto da propriedade intelectual do aluno tenha sido tratado antes que a propriedade intelectual seja gerada.</w:t>
      </w:r>
    </w:p>
    <w:p w14:paraId="6EDA1066" w14:textId="77777777" w:rsidR="00A554DB" w:rsidRPr="0024467F"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p>
    <w:p w14:paraId="3EB40686" w14:textId="77777777" w:rsidR="00A554DB" w:rsidRPr="0024467F"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i/>
          <w:sz w:val="20"/>
          <w:lang w:val="en-US"/>
        </w:rPr>
      </w:pPr>
      <w:r w:rsidRPr="0024467F">
        <w:rPr>
          <w:rFonts w:ascii="Arial" w:hAnsi="Arial"/>
          <w:i/>
          <w:sz w:val="20"/>
          <w:lang w:val="en-US"/>
        </w:rPr>
        <w:t xml:space="preserve">Fonte: Adaptado de </w:t>
      </w:r>
      <w:hyperlink r:id="rId43" w:history="1">
        <w:r w:rsidRPr="0024467F">
          <w:rPr>
            <w:rStyle w:val="Hyperlink"/>
            <w:rFonts w:ascii="Arial" w:hAnsi="Arial"/>
            <w:i/>
            <w:sz w:val="20"/>
            <w:lang w:val="en-US"/>
          </w:rPr>
          <w:t>UNICO Practical Guides – Commercialization Agreements – Students and IP</w:t>
        </w:r>
      </w:hyperlink>
    </w:p>
    <w:p w14:paraId="1B6B2B0F" w14:textId="77777777" w:rsidR="00934945" w:rsidRPr="00B00EEA" w:rsidRDefault="00934945" w:rsidP="00897C14">
      <w:pPr>
        <w:spacing w:line="240" w:lineRule="auto"/>
        <w:jc w:val="both"/>
        <w:rPr>
          <w:rFonts w:ascii="Arial" w:hAnsi="Arial" w:cs="Arial"/>
          <w:highlight w:val="yellow"/>
          <w:lang w:val="en-US"/>
        </w:rPr>
      </w:pPr>
    </w:p>
    <w:p w14:paraId="795F92E5" w14:textId="77777777" w:rsidR="00897C14" w:rsidRPr="00B00EEA" w:rsidRDefault="00C60DE4" w:rsidP="00897C14">
      <w:pPr>
        <w:spacing w:line="240" w:lineRule="auto"/>
        <w:jc w:val="both"/>
        <w:rPr>
          <w:rFonts w:ascii="Arial" w:hAnsi="Arial" w:cs="Arial"/>
          <w:sz w:val="24"/>
        </w:rPr>
      </w:pPr>
      <w:r>
        <w:rPr>
          <w:rFonts w:ascii="Arial" w:hAnsi="Arial"/>
          <w:b/>
          <w:color w:val="0070C0"/>
          <w:sz w:val="24"/>
        </w:rPr>
        <w:t xml:space="preserve">Artigo 3.4.3 - Questões especiais em relação aos Visitantes </w:t>
      </w:r>
    </w:p>
    <w:p w14:paraId="62936116" w14:textId="77777777" w:rsidR="00665EF3" w:rsidRPr="00B00EEA" w:rsidRDefault="00665EF3" w:rsidP="009D4A54">
      <w:pPr>
        <w:pStyle w:val="ListParagraph"/>
        <w:numPr>
          <w:ilvl w:val="0"/>
          <w:numId w:val="29"/>
        </w:numPr>
        <w:spacing w:line="240" w:lineRule="auto"/>
        <w:ind w:left="426" w:hanging="426"/>
        <w:jc w:val="both"/>
        <w:rPr>
          <w:rFonts w:ascii="Arial" w:hAnsi="Arial" w:cs="Arial"/>
          <w:sz w:val="20"/>
          <w:szCs w:val="32"/>
        </w:rPr>
      </w:pPr>
      <w:r>
        <w:rPr>
          <w:rFonts w:ascii="Arial" w:hAnsi="Arial"/>
          <w:sz w:val="20"/>
        </w:rPr>
        <w:t>Um Visitante ou cientista visitante é um indivíduo empregado por uma Instituição que visita e realiza pesquisas em outra Instituição. As políticas de PI geralmente declaram que uma instituição anfitriã será titular da PI criada por um Visitante.</w:t>
      </w:r>
    </w:p>
    <w:p w14:paraId="4B00799C" w14:textId="77777777" w:rsidR="00665EF3" w:rsidRPr="00B00EEA" w:rsidRDefault="00665EF3" w:rsidP="007323E2">
      <w:pPr>
        <w:spacing w:line="240" w:lineRule="auto"/>
        <w:ind w:left="426"/>
        <w:jc w:val="both"/>
        <w:rPr>
          <w:rFonts w:ascii="Arial" w:hAnsi="Arial" w:cs="Arial"/>
          <w:sz w:val="20"/>
          <w:szCs w:val="32"/>
        </w:rPr>
      </w:pPr>
      <w:r>
        <w:rPr>
          <w:rFonts w:ascii="Arial" w:hAnsi="Arial"/>
          <w:sz w:val="20"/>
        </w:rPr>
        <w:t>No entanto:</w:t>
      </w:r>
    </w:p>
    <w:p w14:paraId="6C462FBC" w14:textId="77777777" w:rsidR="00665EF3" w:rsidRPr="00B00EEA" w:rsidRDefault="00665EF3" w:rsidP="009D4A54">
      <w:pPr>
        <w:pStyle w:val="ListParagraph"/>
        <w:numPr>
          <w:ilvl w:val="0"/>
          <w:numId w:val="70"/>
        </w:numPr>
        <w:spacing w:line="240" w:lineRule="auto"/>
        <w:ind w:hanging="294"/>
        <w:jc w:val="both"/>
        <w:rPr>
          <w:rFonts w:ascii="Arial" w:hAnsi="Arial" w:cs="Arial"/>
          <w:sz w:val="20"/>
          <w:szCs w:val="32"/>
        </w:rPr>
      </w:pPr>
      <w:r>
        <w:rPr>
          <w:rFonts w:ascii="Arial" w:hAnsi="Arial"/>
          <w:sz w:val="20"/>
        </w:rPr>
        <w:t>Se o Visitante na Instituição anfitriã continuar a pesquisa sobre um projeto originário da Instituição empregadora do Visitante, a Instituição empregadora não desejará que a PI do seu projeto seja de titularidade da Instituição anfitriã. Isso causa fragmentação da titularidade, o que pode impedir a comercialização.</w:t>
      </w:r>
    </w:p>
    <w:p w14:paraId="5BA225DF" w14:textId="77777777" w:rsidR="00665EF3" w:rsidRPr="00B00EEA" w:rsidRDefault="00D22145" w:rsidP="009D4A54">
      <w:pPr>
        <w:pStyle w:val="ListParagraph"/>
        <w:numPr>
          <w:ilvl w:val="0"/>
          <w:numId w:val="70"/>
        </w:numPr>
        <w:spacing w:line="240" w:lineRule="auto"/>
        <w:ind w:hanging="294"/>
        <w:jc w:val="both"/>
        <w:rPr>
          <w:rFonts w:ascii="Arial" w:hAnsi="Arial" w:cs="Arial"/>
          <w:sz w:val="20"/>
          <w:szCs w:val="32"/>
        </w:rPr>
      </w:pPr>
      <w:r>
        <w:rPr>
          <w:rFonts w:ascii="Arial" w:hAnsi="Arial"/>
          <w:sz w:val="20"/>
        </w:rPr>
        <w:t>Da mesma forma, se o Visitante na Instituição anfitriã realizar uma pesquisa sobre um projeto originário da Instituição anfitriã, a Instituição anfitriã não desejará que a PI do seu projeto seja de titularidade da Instituição empregadora.</w:t>
      </w:r>
    </w:p>
    <w:p w14:paraId="7693CF79" w14:textId="77777777" w:rsidR="00517D34" w:rsidRPr="0024467F" w:rsidRDefault="00517D34" w:rsidP="00B7519E">
      <w:pPr>
        <w:pStyle w:val="ListParagraph"/>
        <w:spacing w:line="240" w:lineRule="auto"/>
        <w:jc w:val="both"/>
        <w:rPr>
          <w:rFonts w:ascii="Arial" w:hAnsi="Arial" w:cs="Arial"/>
          <w:szCs w:val="32"/>
        </w:rPr>
      </w:pPr>
    </w:p>
    <w:p w14:paraId="1F8B51A4" w14:textId="0E197C2D" w:rsidR="00517D34" w:rsidRPr="00B00EEA" w:rsidRDefault="00517D34"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rPr>
      </w:pPr>
      <w:r>
        <w:rPr>
          <w:rFonts w:ascii="Arial" w:hAnsi="Arial"/>
          <w:b/>
          <w:sz w:val="20"/>
        </w:rPr>
        <w:lastRenderedPageBreak/>
        <w:t xml:space="preserve">Artigo 3.4.3., </w:t>
      </w:r>
      <w:r>
        <w:rPr>
          <w:rFonts w:ascii="Arial" w:hAnsi="Arial"/>
          <w:b/>
          <w:i/>
          <w:sz w:val="20"/>
        </w:rPr>
        <w:t>A Instituição deverá garantir que os Visitantes assinem um Contrato de Nomeação antes de iniciar qualquer atividade na Instituição</w:t>
      </w:r>
      <w:r>
        <w:rPr>
          <w:rFonts w:ascii="Arial" w:hAnsi="Arial"/>
          <w:sz w:val="20"/>
        </w:rPr>
        <w:t>: Para abordar as questões acima, é importante gerenciar claramente a titularidade da PI que será criada por um Visitante por meio de um acordo apropriado. A Instituição precisa ter esse acordo em vigor antes de qualquer trabalho ser realizado</w:t>
      </w:r>
      <w:r w:rsidR="008411EA">
        <w:rPr>
          <w:rFonts w:ascii="Arial" w:hAnsi="Arial"/>
          <w:sz w:val="20"/>
        </w:rPr>
        <w:t xml:space="preserve">. </w:t>
      </w:r>
      <w:r>
        <w:rPr>
          <w:rFonts w:ascii="Arial" w:hAnsi="Arial"/>
          <w:sz w:val="20"/>
        </w:rPr>
        <w:t xml:space="preserve">O acordo colocará o Visitante sob o escopo da Política de PI, mas está sujeito a acordos acordados caso a caso (veja </w:t>
      </w:r>
      <w:hyperlink w:anchor="_Article_5.3_–" w:history="1">
        <w:r>
          <w:rPr>
            <w:rStyle w:val="Hyperlink"/>
            <w:rFonts w:ascii="Arial" w:hAnsi="Arial"/>
            <w:sz w:val="20"/>
          </w:rPr>
          <w:t>Artigo 5.3</w:t>
        </w:r>
      </w:hyperlink>
      <w:r>
        <w:rPr>
          <w:rFonts w:ascii="Arial" w:hAnsi="Arial"/>
          <w:sz w:val="20"/>
        </w:rPr>
        <w:t xml:space="preserve">). </w:t>
      </w:r>
    </w:p>
    <w:p w14:paraId="3EC7BDA5" w14:textId="77777777" w:rsidR="00BD26BF" w:rsidRPr="0024467F" w:rsidRDefault="00BD26BF" w:rsidP="000C1792">
      <w:pPr>
        <w:pStyle w:val="ListParagraph"/>
        <w:autoSpaceDE w:val="0"/>
        <w:autoSpaceDN w:val="0"/>
        <w:adjustRightInd w:val="0"/>
        <w:spacing w:after="0" w:line="240" w:lineRule="auto"/>
        <w:ind w:left="426"/>
        <w:jc w:val="both"/>
        <w:rPr>
          <w:rFonts w:ascii="Arial" w:hAnsi="Arial" w:cs="Arial"/>
          <w:sz w:val="20"/>
        </w:rPr>
      </w:pPr>
    </w:p>
    <w:p w14:paraId="0FC33E35" w14:textId="476BD580" w:rsidR="004C0E3E" w:rsidRPr="00B00EEA" w:rsidRDefault="00237162"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Exemplo - Cláusulas de PI que Tratam de Visitantes </w:t>
      </w:r>
    </w:p>
    <w:p w14:paraId="503633DF" w14:textId="77777777" w:rsidR="004C0E3E" w:rsidRPr="0024467F" w:rsidRDefault="004C0E3E"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rPr>
      </w:pPr>
    </w:p>
    <w:p w14:paraId="4A70C9D4" w14:textId="77777777"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Pr>
          <w:rFonts w:ascii="Arial" w:hAnsi="Arial"/>
          <w:sz w:val="20"/>
          <w:u w:val="single"/>
        </w:rPr>
        <w:t>Faculdade de Medicina da Universidade Nacional Duke de Singapura</w:t>
      </w:r>
      <w:r>
        <w:rPr>
          <w:rFonts w:ascii="Arial" w:hAnsi="Arial"/>
          <w:sz w:val="20"/>
        </w:rPr>
        <w:t>:</w:t>
      </w:r>
    </w:p>
    <w:p w14:paraId="63FB9F5B" w14:textId="77777777"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Pr>
          <w:rFonts w:ascii="Arial" w:hAnsi="Arial"/>
          <w:sz w:val="20"/>
        </w:rPr>
        <w:t>“</w:t>
      </w:r>
      <w:r>
        <w:rPr>
          <w:rFonts w:ascii="Arial" w:hAnsi="Arial"/>
          <w:i/>
          <w:sz w:val="20"/>
        </w:rPr>
        <w:t>Os visitantes estarão vinculados a esta Política, a menos que sejam especificamente isentos ou alterados por acordo escrito com a Duke-NUS. Portanto, os visitantes são obrigados a divulgar qualquer invenção que eles criem ou desenvolvam enquanto estiverem na Duke-NUS. A comercialização dessa Invenção e a repartição de quaisquer benefícios comerciais líquidos serão negociados caso a caso com o Visitante, o empregador do Visitante e qualquer Terceiro relevante. Duke-NUS reconhecerá os direitos de publicação dos Visitantes, sujeitos a qualquer imperativo comercial predominante</w:t>
      </w:r>
      <w:r>
        <w:rPr>
          <w:rFonts w:ascii="Arial" w:hAnsi="Arial"/>
          <w:sz w:val="20"/>
        </w:rPr>
        <w:t>.”</w:t>
      </w:r>
    </w:p>
    <w:p w14:paraId="471D61FD" w14:textId="77777777" w:rsidR="006E2C88" w:rsidRPr="0024467F"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Cs w:val="20"/>
        </w:rPr>
      </w:pPr>
    </w:p>
    <w:p w14:paraId="4D451162" w14:textId="77777777"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u w:val="single"/>
        </w:rPr>
      </w:pPr>
      <w:r>
        <w:rPr>
          <w:rFonts w:ascii="Arial" w:hAnsi="Arial"/>
          <w:sz w:val="20"/>
          <w:u w:val="single"/>
        </w:rPr>
        <w:t>Universidade da Cidade do Cabo:</w:t>
      </w:r>
    </w:p>
    <w:p w14:paraId="6DB8BAB6" w14:textId="77777777"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Pr>
          <w:rFonts w:ascii="Arial" w:hAnsi="Arial"/>
          <w:sz w:val="20"/>
        </w:rPr>
        <w:t>“</w:t>
      </w:r>
      <w:r>
        <w:rPr>
          <w:rFonts w:ascii="Arial" w:hAnsi="Arial"/>
          <w:i/>
          <w:sz w:val="20"/>
        </w:rPr>
        <w:t>Os funcionários que permitem que os visitantes acessem os recursos da UCT devem garantir que o visitante tenha sido notificado sobre esta política e obter o reconhecimento por escrito do Visitante de eles que estão cientes de que estão vinculados a esta política na ausência de qualquer acordo por escrito em contrário</w:t>
      </w:r>
      <w:r>
        <w:rPr>
          <w:rFonts w:ascii="Arial" w:hAnsi="Arial"/>
          <w:sz w:val="20"/>
        </w:rPr>
        <w:t>.”</w:t>
      </w:r>
    </w:p>
    <w:p w14:paraId="62DFB759" w14:textId="77777777" w:rsidR="00CD1670" w:rsidRPr="0024467F" w:rsidRDefault="00CD1670" w:rsidP="00CD1670">
      <w:pPr>
        <w:spacing w:after="0" w:line="240" w:lineRule="auto"/>
        <w:jc w:val="both"/>
        <w:rPr>
          <w:rFonts w:ascii="Arial" w:hAnsi="Arial" w:cs="Arial"/>
          <w:highlight w:val="yellow"/>
        </w:rPr>
      </w:pPr>
    </w:p>
    <w:p w14:paraId="3074CF3D" w14:textId="77777777" w:rsidR="00664E3C" w:rsidRPr="0024467F" w:rsidRDefault="00664E3C" w:rsidP="00237162">
      <w:pPr>
        <w:spacing w:line="240" w:lineRule="auto"/>
        <w:jc w:val="both"/>
        <w:rPr>
          <w:rFonts w:ascii="Arial" w:hAnsi="Arial" w:cs="Arial"/>
          <w:b/>
          <w:color w:val="0070C0"/>
          <w:sz w:val="24"/>
        </w:rPr>
      </w:pPr>
    </w:p>
    <w:p w14:paraId="0C3F15E1" w14:textId="77777777" w:rsidR="00237162" w:rsidRPr="00B00EEA" w:rsidRDefault="00C60DE4" w:rsidP="00237162">
      <w:pPr>
        <w:spacing w:line="240" w:lineRule="auto"/>
        <w:jc w:val="both"/>
        <w:rPr>
          <w:rFonts w:ascii="Arial" w:hAnsi="Arial" w:cs="Arial"/>
          <w:b/>
          <w:color w:val="0070C0"/>
          <w:sz w:val="24"/>
        </w:rPr>
      </w:pPr>
      <w:r>
        <w:rPr>
          <w:rFonts w:ascii="Arial" w:hAnsi="Arial"/>
          <w:b/>
          <w:color w:val="0070C0"/>
          <w:sz w:val="24"/>
        </w:rPr>
        <w:t xml:space="preserve">Artigo 3.4.4 - Consentimento informado </w:t>
      </w:r>
    </w:p>
    <w:p w14:paraId="6B370D7C" w14:textId="77777777" w:rsidR="00237162" w:rsidRPr="00B00EEA" w:rsidRDefault="00EA10E9" w:rsidP="009D4A54">
      <w:pPr>
        <w:pStyle w:val="ListParagraph"/>
        <w:numPr>
          <w:ilvl w:val="0"/>
          <w:numId w:val="29"/>
        </w:numPr>
        <w:spacing w:line="240" w:lineRule="auto"/>
        <w:ind w:left="426" w:hanging="426"/>
        <w:jc w:val="both"/>
        <w:rPr>
          <w:rFonts w:ascii="Arial" w:hAnsi="Arial" w:cs="Arial"/>
          <w:sz w:val="20"/>
          <w:szCs w:val="32"/>
        </w:rPr>
      </w:pPr>
      <w:r>
        <w:rPr>
          <w:rFonts w:ascii="Arial" w:hAnsi="Arial"/>
          <w:sz w:val="20"/>
        </w:rPr>
        <w:t>Se funcionários, alunos ou visitantes não estiverem familiarizados com a Política de PI de sua Instituição, mas mesmo assim consentirem voluntariamente com ela, a política corre o risco de não ser totalmente juridicamente vinculativa. Para minimizar esse risco, é fundamental uma divulgação eficaz. A necessidade de documentação explícita e consentimento informado é especialmente importante quando há alunos envolvidos.</w:t>
      </w:r>
      <w:r w:rsidR="00717723" w:rsidRPr="00B00EEA">
        <w:rPr>
          <w:rStyle w:val="FootnoteReference"/>
          <w:rFonts w:ascii="Arial" w:hAnsi="Arial" w:cs="Arial"/>
          <w:sz w:val="20"/>
          <w:szCs w:val="32"/>
          <w:lang w:val="en-US"/>
        </w:rPr>
        <w:footnoteReference w:id="63"/>
      </w:r>
    </w:p>
    <w:p w14:paraId="3A0D4974" w14:textId="77777777" w:rsidR="00717723" w:rsidRPr="0024467F" w:rsidRDefault="00717723" w:rsidP="00B7519E">
      <w:pPr>
        <w:pStyle w:val="ListParagraph"/>
        <w:spacing w:line="240" w:lineRule="auto"/>
        <w:ind w:left="426"/>
        <w:jc w:val="both"/>
        <w:rPr>
          <w:rFonts w:ascii="Arial" w:hAnsi="Arial" w:cs="Arial"/>
          <w:sz w:val="20"/>
          <w:szCs w:val="32"/>
        </w:rPr>
      </w:pPr>
    </w:p>
    <w:p w14:paraId="2AC7C746" w14:textId="0EEA66F2" w:rsidR="00717723" w:rsidRPr="00B00EEA" w:rsidRDefault="00717723" w:rsidP="009D4A54">
      <w:pPr>
        <w:pStyle w:val="ListParagraph"/>
        <w:numPr>
          <w:ilvl w:val="0"/>
          <w:numId w:val="29"/>
        </w:numPr>
        <w:spacing w:line="240" w:lineRule="auto"/>
        <w:ind w:left="426" w:hanging="426"/>
        <w:jc w:val="both"/>
        <w:rPr>
          <w:rFonts w:ascii="Arial" w:hAnsi="Arial" w:cs="Arial"/>
          <w:sz w:val="20"/>
          <w:szCs w:val="32"/>
        </w:rPr>
      </w:pPr>
      <w:r>
        <w:rPr>
          <w:rFonts w:ascii="Arial" w:hAnsi="Arial"/>
          <w:b/>
          <w:sz w:val="20"/>
        </w:rPr>
        <w:t xml:space="preserve">Artigo 3.4.4., </w:t>
      </w:r>
      <w:r>
        <w:rPr>
          <w:rFonts w:ascii="Arial" w:hAnsi="Arial"/>
          <w:b/>
          <w:i/>
          <w:sz w:val="20"/>
        </w:rPr>
        <w:t>A Política […] deverá ser incluída no site da Instituição</w:t>
      </w:r>
      <w:r>
        <w:rPr>
          <w:rFonts w:ascii="Arial" w:hAnsi="Arial"/>
          <w:sz w:val="20"/>
        </w:rPr>
        <w:t xml:space="preserve">: Uma boa prática é desenvolver e publicar no site da Instituição material para membros da equipe, alunos, visitantes e colaboradores terceirizados esclarecendo como a Instituição trata cada indivíduo com relação à PI. O EGPI deve garantir que todos os indivíduos relevantes envolvidos na pesquisa saibam como acessar essas informações, tenham acessado e lido as informações e de fato concordem com os termos. </w:t>
      </w:r>
    </w:p>
    <w:p w14:paraId="4D34A3FE" w14:textId="517C046A" w:rsidR="004950E6" w:rsidRPr="00B00EE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Garantir que sua Política de PI seja Juridicamente Vinculativa</w:t>
      </w:r>
    </w:p>
    <w:p w14:paraId="77841FC3" w14:textId="77777777" w:rsidR="00237162" w:rsidRPr="0024467F"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p>
    <w:p w14:paraId="22C36989" w14:textId="77777777" w:rsidR="00237162" w:rsidRPr="00B00EEA" w:rsidRDefault="00852B17"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rPr>
      </w:pPr>
      <w:r>
        <w:rPr>
          <w:rFonts w:ascii="Arial" w:hAnsi="Arial"/>
          <w:sz w:val="20"/>
        </w:rPr>
        <w:t>Apoie sua Política de PI por meio de acordos escritos apropriados, reconhecidos e acordados por todos os indivíduos envolvidos na pesquisa:</w:t>
      </w:r>
    </w:p>
    <w:p w14:paraId="3DB4839D" w14:textId="77777777" w:rsidR="00E4378C" w:rsidRPr="0024467F" w:rsidRDefault="00E4378C"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rPr>
      </w:pPr>
    </w:p>
    <w:p w14:paraId="5129E584" w14:textId="1DC240AF" w:rsidR="00852B17" w:rsidRPr="00B00EEA" w:rsidRDefault="00852B17" w:rsidP="00C60DE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rPr>
      </w:pPr>
      <w:r>
        <w:rPr>
          <w:rFonts w:ascii="Arial" w:hAnsi="Arial"/>
          <w:sz w:val="20"/>
        </w:rPr>
        <w:t>- Para a equipe: no contrato de trabalho;</w:t>
      </w:r>
    </w:p>
    <w:p w14:paraId="4F56DDBB" w14:textId="77777777" w:rsidR="00E4378C" w:rsidRPr="00B00EEA" w:rsidRDefault="00E4378C" w:rsidP="0039137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141"/>
        <w:jc w:val="both"/>
        <w:rPr>
          <w:rFonts w:ascii="Arial" w:hAnsi="Arial" w:cs="Arial"/>
          <w:sz w:val="20"/>
          <w:szCs w:val="32"/>
        </w:rPr>
      </w:pPr>
      <w:r>
        <w:rPr>
          <w:rFonts w:ascii="Arial" w:hAnsi="Arial"/>
          <w:sz w:val="20"/>
        </w:rPr>
        <w:t>- Para alunos: em um documento de cessão cujos termos sejam equitativos e que seja assinado pelo aluno, empregando um processo que garanta que não haja injustiça ou abusividade;</w:t>
      </w:r>
    </w:p>
    <w:p w14:paraId="52853489" w14:textId="77777777" w:rsidR="00EA10E9" w:rsidRPr="00B00EEA"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rPr>
      </w:pPr>
      <w:r>
        <w:rPr>
          <w:rFonts w:ascii="Arial" w:hAnsi="Arial"/>
          <w:sz w:val="20"/>
        </w:rPr>
        <w:t>- Para Visitantes: em um acordo de nomeação, regulando a titularidade da PI que será criada pelo Visitante.</w:t>
      </w:r>
    </w:p>
    <w:p w14:paraId="5B3D514C" w14:textId="77777777" w:rsidR="00EA10E9" w:rsidRPr="0024467F"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rPr>
      </w:pPr>
    </w:p>
    <w:p w14:paraId="5A64AF2B" w14:textId="77777777"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rPr>
      </w:pPr>
      <w:r>
        <w:rPr>
          <w:rFonts w:ascii="Arial" w:hAnsi="Arial"/>
          <w:sz w:val="20"/>
        </w:rPr>
        <w:t>Esses acordos devem tratar da titularidade de PI, obrigações de confidencialidade e até que ponto as partes podem usar e comercializar a PI.</w:t>
      </w:r>
    </w:p>
    <w:p w14:paraId="63A0E74D" w14:textId="77777777" w:rsidR="00EA10E9" w:rsidRPr="0024467F"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rPr>
      </w:pPr>
    </w:p>
    <w:p w14:paraId="2ED65748" w14:textId="77777777"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rPr>
      </w:pPr>
      <w:r>
        <w:rPr>
          <w:rFonts w:ascii="Arial" w:hAnsi="Arial"/>
          <w:sz w:val="20"/>
        </w:rPr>
        <w:lastRenderedPageBreak/>
        <w:t>Entidades externas envolvidas na criação de PI – como empresas ou outras instituições que realizam trabalhos de subcontratação – também devem executar acordos escritos que tratem de questões de titularidade de PI, obrigações de confidencialidade e direitos de uso.</w:t>
      </w:r>
    </w:p>
    <w:p w14:paraId="6FDF249E" w14:textId="77777777" w:rsidR="00E4378C" w:rsidRPr="0024467F" w:rsidRDefault="00E4378C"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Cs w:val="32"/>
        </w:rPr>
      </w:pPr>
    </w:p>
    <w:p w14:paraId="5E8CBBD4" w14:textId="77777777" w:rsidR="004950E6"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rPr>
      </w:pPr>
      <w:r>
        <w:rPr>
          <w:rFonts w:ascii="Arial" w:hAnsi="Arial"/>
          <w:sz w:val="20"/>
        </w:rPr>
        <w:t>Divulgue sua Política de PI para aumentar a conscientização substancial sobre a Política.</w:t>
      </w:r>
    </w:p>
    <w:p w14:paraId="580EACB9" w14:textId="77777777" w:rsidR="00664E3C" w:rsidRDefault="00664E3C" w:rsidP="002F3C51">
      <w:pPr>
        <w:pStyle w:val="Heading3"/>
        <w:rPr>
          <w:sz w:val="24"/>
        </w:rPr>
      </w:pPr>
      <w:bookmarkStart w:id="97" w:name="_Toc494115956"/>
      <w:bookmarkStart w:id="98" w:name="_Toc516160050"/>
      <w:bookmarkStart w:id="99" w:name="_Toc516219393"/>
      <w:bookmarkStart w:id="100" w:name="_Toc516496034"/>
      <w:bookmarkStart w:id="101" w:name="_Toc516829406"/>
    </w:p>
    <w:p w14:paraId="460526F3" w14:textId="77777777" w:rsidR="00194209" w:rsidRPr="00B00EEA" w:rsidRDefault="005E4411" w:rsidP="002F3C51">
      <w:pPr>
        <w:pStyle w:val="Heading3"/>
        <w:rPr>
          <w:sz w:val="24"/>
        </w:rPr>
      </w:pPr>
      <w:r>
        <w:rPr>
          <w:sz w:val="24"/>
        </w:rPr>
        <w:t>Recursos Úteis</w:t>
      </w:r>
      <w:bookmarkEnd w:id="97"/>
      <w:r>
        <w:rPr>
          <w:sz w:val="24"/>
        </w:rPr>
        <w:t xml:space="preserve"> Relacionado ao Artigo 3</w:t>
      </w:r>
      <w:bookmarkEnd w:id="98"/>
      <w:bookmarkEnd w:id="99"/>
      <w:bookmarkEnd w:id="100"/>
      <w:bookmarkEnd w:id="101"/>
    </w:p>
    <w:p w14:paraId="4EB407C7" w14:textId="77777777" w:rsidR="005E449B" w:rsidRPr="00B00EEA" w:rsidRDefault="005E449B" w:rsidP="009D4A54">
      <w:pPr>
        <w:pStyle w:val="ListParagraph"/>
        <w:numPr>
          <w:ilvl w:val="0"/>
          <w:numId w:val="18"/>
        </w:numPr>
        <w:spacing w:line="240" w:lineRule="auto"/>
        <w:ind w:left="426" w:hanging="426"/>
        <w:jc w:val="both"/>
        <w:rPr>
          <w:rFonts w:ascii="Arial" w:hAnsi="Arial" w:cs="Arial"/>
          <w:sz w:val="20"/>
          <w:szCs w:val="32"/>
        </w:rPr>
      </w:pPr>
      <w:r>
        <w:rPr>
          <w:rFonts w:ascii="Arial" w:hAnsi="Arial"/>
          <w:b/>
          <w:sz w:val="20"/>
        </w:rPr>
        <w:t>Base jurídica para políticas de PI</w:t>
      </w:r>
      <w:r>
        <w:rPr>
          <w:rFonts w:ascii="Arial" w:hAnsi="Arial"/>
          <w:sz w:val="20"/>
        </w:rPr>
        <w:t xml:space="preserve">. </w:t>
      </w:r>
    </w:p>
    <w:p w14:paraId="6B9B2C6A" w14:textId="77777777" w:rsidR="00211343" w:rsidRPr="0024467F" w:rsidRDefault="005E449B" w:rsidP="009D4A54">
      <w:pPr>
        <w:pStyle w:val="ListParagraph"/>
        <w:numPr>
          <w:ilvl w:val="1"/>
          <w:numId w:val="45"/>
        </w:numPr>
        <w:spacing w:line="240" w:lineRule="auto"/>
        <w:ind w:left="709" w:hanging="283"/>
        <w:jc w:val="both"/>
        <w:rPr>
          <w:rFonts w:ascii="Arial" w:hAnsi="Arial" w:cs="Arial"/>
          <w:sz w:val="20"/>
          <w:szCs w:val="32"/>
          <w:lang w:val="en-US"/>
        </w:rPr>
      </w:pPr>
      <w:r w:rsidRPr="0024467F">
        <w:rPr>
          <w:rFonts w:ascii="Arial" w:hAnsi="Arial"/>
          <w:sz w:val="20"/>
          <w:lang w:val="en-US"/>
        </w:rPr>
        <w:t xml:space="preserve">Mendes, Philip (2016), </w:t>
      </w:r>
      <w:hyperlink r:id="rId44" w:history="1">
        <w:r w:rsidRPr="0024467F">
          <w:rPr>
            <w:rStyle w:val="Hyperlink"/>
            <w:rFonts w:ascii="Arial" w:hAnsi="Arial"/>
            <w:i/>
            <w:sz w:val="20"/>
            <w:lang w:val="en-US"/>
          </w:rPr>
          <w:t>To What Extent are University IP Policies Legally Binding?</w:t>
        </w:r>
      </w:hyperlink>
      <w:hyperlink r:id="rId45" w:history="1">
        <w:r w:rsidRPr="0024467F">
          <w:rPr>
            <w:rStyle w:val="Hyperlink"/>
            <w:rFonts w:ascii="Arial" w:hAnsi="Arial"/>
            <w:i/>
            <w:sz w:val="20"/>
            <w:lang w:val="en-US"/>
          </w:rPr>
          <w:t xml:space="preserve"> Part 1:</w:t>
        </w:r>
      </w:hyperlink>
      <w:hyperlink r:id="rId46" w:history="1">
        <w:r w:rsidRPr="0024467F">
          <w:rPr>
            <w:rStyle w:val="Hyperlink"/>
            <w:rFonts w:ascii="Arial" w:hAnsi="Arial"/>
            <w:i/>
            <w:sz w:val="20"/>
            <w:lang w:val="en-US"/>
          </w:rPr>
          <w:t xml:space="preserve"> Staff</w:t>
        </w:r>
      </w:hyperlink>
      <w:r w:rsidRPr="0024467F">
        <w:rPr>
          <w:rFonts w:ascii="Arial" w:hAnsi="Arial"/>
          <w:i/>
          <w:sz w:val="20"/>
          <w:lang w:val="en-US"/>
        </w:rPr>
        <w:t xml:space="preserve">, </w:t>
      </w:r>
      <w:r w:rsidRPr="0024467F">
        <w:rPr>
          <w:rFonts w:ascii="Arial" w:hAnsi="Arial"/>
          <w:sz w:val="20"/>
          <w:lang w:val="en-US"/>
        </w:rPr>
        <w:t>les Nouvelles - Journal of the Licensing Executives Society, Volume LI No. 3, Setembro de 2016</w:t>
      </w:r>
    </w:p>
    <w:p w14:paraId="3B03D785" w14:textId="77777777" w:rsidR="00E40C50" w:rsidRPr="0024467F" w:rsidRDefault="00954E9A" w:rsidP="009D4A54">
      <w:pPr>
        <w:pStyle w:val="ListParagraph"/>
        <w:numPr>
          <w:ilvl w:val="1"/>
          <w:numId w:val="45"/>
        </w:numPr>
        <w:spacing w:line="240" w:lineRule="auto"/>
        <w:ind w:left="709" w:hanging="283"/>
        <w:jc w:val="both"/>
        <w:rPr>
          <w:rFonts w:ascii="Arial" w:hAnsi="Arial" w:cs="Arial"/>
          <w:sz w:val="20"/>
          <w:lang w:val="en-US"/>
        </w:rPr>
      </w:pPr>
      <w:r w:rsidRPr="0024467F">
        <w:rPr>
          <w:rFonts w:ascii="Arial" w:hAnsi="Arial"/>
          <w:sz w:val="20"/>
          <w:lang w:val="en-US"/>
        </w:rPr>
        <w:t xml:space="preserve">Mendes, Philip (2016), </w:t>
      </w:r>
      <w:hyperlink r:id="rId47" w:history="1">
        <w:r w:rsidRPr="0024467F">
          <w:rPr>
            <w:rStyle w:val="Hyperlink"/>
            <w:rFonts w:ascii="Arial" w:hAnsi="Arial"/>
            <w:i/>
            <w:sz w:val="20"/>
            <w:lang w:val="en-US"/>
          </w:rPr>
          <w:t>To What Extent are University IP Policies Legally Binding?</w:t>
        </w:r>
      </w:hyperlink>
      <w:hyperlink r:id="rId48" w:history="1">
        <w:r w:rsidRPr="0024467F">
          <w:rPr>
            <w:rStyle w:val="Hyperlink"/>
            <w:rFonts w:ascii="Arial" w:hAnsi="Arial"/>
            <w:i/>
            <w:sz w:val="20"/>
            <w:lang w:val="en-US"/>
          </w:rPr>
          <w:t xml:space="preserve"> Part 2:</w:t>
        </w:r>
      </w:hyperlink>
      <w:hyperlink r:id="rId49" w:history="1">
        <w:r w:rsidRPr="0024467F">
          <w:rPr>
            <w:rStyle w:val="Hyperlink"/>
            <w:rFonts w:ascii="Arial" w:hAnsi="Arial"/>
            <w:i/>
            <w:sz w:val="20"/>
            <w:lang w:val="en-US"/>
          </w:rPr>
          <w:t xml:space="preserve"> Staff</w:t>
        </w:r>
      </w:hyperlink>
      <w:r w:rsidRPr="0024467F">
        <w:rPr>
          <w:rFonts w:ascii="Arial" w:hAnsi="Arial"/>
          <w:i/>
          <w:sz w:val="20"/>
          <w:lang w:val="en-US"/>
        </w:rPr>
        <w:t xml:space="preserve">, </w:t>
      </w:r>
      <w:r w:rsidRPr="0024467F">
        <w:rPr>
          <w:rFonts w:ascii="Arial" w:hAnsi="Arial"/>
          <w:sz w:val="20"/>
          <w:lang w:val="en-US"/>
        </w:rPr>
        <w:t>les Nouvelles - Journal of the Licensing Executives Society, Volume LI No. 4, Setembro de 2016</w:t>
      </w:r>
    </w:p>
    <w:p w14:paraId="1D6FCA48" w14:textId="3CD85F12" w:rsidR="00211343" w:rsidRPr="0024467F" w:rsidRDefault="00211343" w:rsidP="009D4A54">
      <w:pPr>
        <w:pStyle w:val="ListParagraph"/>
        <w:numPr>
          <w:ilvl w:val="1"/>
          <w:numId w:val="45"/>
        </w:numPr>
        <w:spacing w:line="240" w:lineRule="auto"/>
        <w:ind w:left="709" w:hanging="283"/>
        <w:jc w:val="both"/>
        <w:rPr>
          <w:rFonts w:ascii="Arial" w:hAnsi="Arial" w:cs="Arial"/>
          <w:sz w:val="20"/>
          <w:lang w:val="en-US"/>
        </w:rPr>
      </w:pPr>
      <w:r w:rsidRPr="0024467F">
        <w:rPr>
          <w:rFonts w:ascii="Arial" w:hAnsi="Arial"/>
          <w:sz w:val="20"/>
          <w:lang w:val="en-US"/>
        </w:rPr>
        <w:t xml:space="preserve">Mendes, Philip (2017), </w:t>
      </w:r>
      <w:hyperlink r:id="rId50" w:history="1">
        <w:r w:rsidRPr="0024467F">
          <w:rPr>
            <w:rStyle w:val="Hyperlink"/>
            <w:rFonts w:ascii="Arial" w:hAnsi="Arial"/>
            <w:i/>
            <w:sz w:val="20"/>
            <w:lang w:val="en-US"/>
          </w:rPr>
          <w:t>To What Extent are University IP Policies Legally Binding?</w:t>
        </w:r>
      </w:hyperlink>
      <w:hyperlink r:id="rId51" w:history="1">
        <w:r w:rsidRPr="0024467F">
          <w:rPr>
            <w:rStyle w:val="Hyperlink"/>
            <w:rFonts w:ascii="Arial" w:hAnsi="Arial"/>
            <w:i/>
            <w:sz w:val="20"/>
            <w:lang w:val="en-US"/>
          </w:rPr>
          <w:t xml:space="preserve"> Part 3:</w:t>
        </w:r>
      </w:hyperlink>
      <w:hyperlink r:id="rId52" w:history="1">
        <w:r w:rsidRPr="0024467F">
          <w:rPr>
            <w:rStyle w:val="Hyperlink"/>
            <w:rFonts w:ascii="Arial" w:hAnsi="Arial"/>
            <w:i/>
            <w:sz w:val="20"/>
            <w:lang w:val="en-US"/>
          </w:rPr>
          <w:t xml:space="preserve"> Staff</w:t>
        </w:r>
      </w:hyperlink>
      <w:r w:rsidRPr="0024467F">
        <w:rPr>
          <w:rFonts w:ascii="Arial" w:hAnsi="Arial"/>
          <w:i/>
          <w:sz w:val="20"/>
          <w:lang w:val="en-US"/>
        </w:rPr>
        <w:t xml:space="preserve">, </w:t>
      </w:r>
      <w:r w:rsidRPr="0024467F">
        <w:rPr>
          <w:rFonts w:ascii="Arial" w:hAnsi="Arial"/>
          <w:sz w:val="20"/>
          <w:lang w:val="en-US"/>
        </w:rPr>
        <w:t>les Nouvelles - Journal of the Licensing Executives Society, Volume LII No. 1, Setembro de 2017</w:t>
      </w:r>
      <w:r w:rsidR="008411EA">
        <w:rPr>
          <w:rFonts w:ascii="Arial" w:hAnsi="Arial"/>
          <w:sz w:val="20"/>
          <w:lang w:val="en-US"/>
        </w:rPr>
        <w:t xml:space="preserve">. </w:t>
      </w:r>
    </w:p>
    <w:p w14:paraId="64AFF223" w14:textId="77777777" w:rsidR="005E449B" w:rsidRPr="00B00EEA" w:rsidRDefault="005E449B" w:rsidP="00734F31">
      <w:pPr>
        <w:pStyle w:val="ListParagraph"/>
        <w:spacing w:line="240" w:lineRule="auto"/>
        <w:ind w:left="1440"/>
        <w:jc w:val="both"/>
        <w:rPr>
          <w:rFonts w:ascii="Arial" w:hAnsi="Arial" w:cs="Arial"/>
          <w:sz w:val="20"/>
          <w:szCs w:val="32"/>
          <w:lang w:val="en-US"/>
        </w:rPr>
      </w:pPr>
    </w:p>
    <w:p w14:paraId="4CE91B94" w14:textId="77777777" w:rsidR="00954E9A" w:rsidRPr="00B00EEA" w:rsidRDefault="005E449B" w:rsidP="009D4A54">
      <w:pPr>
        <w:pStyle w:val="ListParagraph"/>
        <w:numPr>
          <w:ilvl w:val="0"/>
          <w:numId w:val="18"/>
        </w:numPr>
        <w:spacing w:line="240" w:lineRule="auto"/>
        <w:ind w:left="426" w:hanging="426"/>
        <w:jc w:val="both"/>
        <w:rPr>
          <w:rFonts w:ascii="Arial" w:hAnsi="Arial" w:cs="Arial"/>
          <w:sz w:val="20"/>
          <w:szCs w:val="32"/>
        </w:rPr>
      </w:pPr>
      <w:r>
        <w:rPr>
          <w:rFonts w:ascii="Arial" w:hAnsi="Arial"/>
          <w:b/>
          <w:sz w:val="20"/>
        </w:rPr>
        <w:t>Políticas de PI</w:t>
      </w:r>
      <w:r>
        <w:rPr>
          <w:rFonts w:ascii="Arial" w:hAnsi="Arial"/>
          <w:sz w:val="20"/>
        </w:rPr>
        <w:t xml:space="preserve">. Exemplos podem ser encontrados em </w:t>
      </w:r>
      <w:hyperlink r:id="rId53" w:history="1">
        <w:r>
          <w:rPr>
            <w:rStyle w:val="Hyperlink"/>
            <w:rFonts w:ascii="Arial" w:hAnsi="Arial"/>
            <w:sz w:val="20"/>
          </w:rPr>
          <w:t>Base de dados da OMPI</w:t>
        </w:r>
      </w:hyperlink>
      <w:r>
        <w:rPr>
          <w:rFonts w:ascii="Arial" w:hAnsi="Arial"/>
          <w:sz w:val="20"/>
        </w:rPr>
        <w:t>.</w:t>
      </w:r>
    </w:p>
    <w:p w14:paraId="25D3E811" w14:textId="77777777" w:rsidR="00954E9A" w:rsidRPr="0024467F" w:rsidRDefault="00954E9A" w:rsidP="00954E9A">
      <w:pPr>
        <w:pStyle w:val="ListParagraph"/>
        <w:spacing w:line="240" w:lineRule="auto"/>
        <w:ind w:left="426"/>
        <w:jc w:val="both"/>
        <w:rPr>
          <w:rFonts w:ascii="Arial" w:hAnsi="Arial" w:cs="Arial"/>
          <w:sz w:val="20"/>
          <w:szCs w:val="32"/>
        </w:rPr>
      </w:pPr>
    </w:p>
    <w:p w14:paraId="4D7A8BD9" w14:textId="77777777" w:rsidR="00B5764C" w:rsidRPr="00B00EEA" w:rsidRDefault="005E449B" w:rsidP="009D4A54">
      <w:pPr>
        <w:pStyle w:val="ListParagraph"/>
        <w:numPr>
          <w:ilvl w:val="0"/>
          <w:numId w:val="18"/>
        </w:numPr>
        <w:spacing w:line="240" w:lineRule="auto"/>
        <w:ind w:left="426" w:hanging="426"/>
        <w:jc w:val="both"/>
        <w:rPr>
          <w:rFonts w:ascii="Arial" w:hAnsi="Arial" w:cs="Arial"/>
          <w:sz w:val="20"/>
          <w:szCs w:val="32"/>
        </w:rPr>
      </w:pPr>
      <w:r>
        <w:rPr>
          <w:rFonts w:ascii="Arial" w:hAnsi="Arial"/>
          <w:b/>
          <w:sz w:val="20"/>
        </w:rPr>
        <w:t>Gerenciameto de questões de PI de alunos</w:t>
      </w:r>
      <w:r>
        <w:rPr>
          <w:rFonts w:ascii="Arial" w:hAnsi="Arial"/>
          <w:sz w:val="20"/>
        </w:rPr>
        <w:t xml:space="preserve">. </w:t>
      </w:r>
    </w:p>
    <w:p w14:paraId="7153DC18" w14:textId="77777777" w:rsidR="00954E9A" w:rsidRPr="00B00EEA" w:rsidRDefault="00954E9A" w:rsidP="000C1792">
      <w:pPr>
        <w:pStyle w:val="ListParagraph"/>
        <w:numPr>
          <w:ilvl w:val="1"/>
          <w:numId w:val="18"/>
        </w:numPr>
        <w:spacing w:after="0" w:line="240" w:lineRule="auto"/>
        <w:ind w:left="709" w:hanging="284"/>
        <w:jc w:val="both"/>
        <w:rPr>
          <w:rFonts w:ascii="Arial" w:hAnsi="Arial" w:cs="Arial"/>
          <w:sz w:val="20"/>
          <w:szCs w:val="32"/>
        </w:rPr>
      </w:pPr>
      <w:r>
        <w:rPr>
          <w:rFonts w:ascii="Arial" w:hAnsi="Arial"/>
          <w:sz w:val="20"/>
        </w:rPr>
        <w:t>“</w:t>
      </w:r>
      <w:hyperlink r:id="rId54" w:history="1">
        <w:r>
          <w:rPr>
            <w:rStyle w:val="Hyperlink"/>
            <w:rFonts w:ascii="Arial" w:hAnsi="Arial"/>
            <w:i/>
            <w:sz w:val="20"/>
          </w:rPr>
          <w:t>Managing Student Intellectual Property Issues at Institutions of Higher Education:</w:t>
        </w:r>
      </w:hyperlink>
      <w:hyperlink r:id="rId55" w:history="1">
        <w:r>
          <w:rPr>
            <w:rStyle w:val="Hyperlink"/>
            <w:rFonts w:ascii="Arial" w:hAnsi="Arial"/>
            <w:i/>
            <w:sz w:val="20"/>
          </w:rPr>
          <w:t xml:space="preserve"> An AUTM Primer</w:t>
        </w:r>
      </w:hyperlink>
      <w:r>
        <w:rPr>
          <w:rFonts w:ascii="Arial" w:hAnsi="Arial"/>
          <w:sz w:val="20"/>
        </w:rPr>
        <w:t>” é um artigo útil para ajudar você a decidir se deve ou não incluir os alunos no escopo da sua Política de PI. Ele também destaca sete questões-chave que toda Instituição deve considerar para criar uma política de propriedade intelectual estudantil justa e abrangente.</w:t>
      </w:r>
    </w:p>
    <w:p w14:paraId="392F83DF" w14:textId="77777777" w:rsidR="00A554DB" w:rsidRPr="00B00EEA" w:rsidRDefault="00B5764C" w:rsidP="000C1792">
      <w:pPr>
        <w:spacing w:after="0" w:line="240" w:lineRule="auto"/>
        <w:ind w:left="709" w:hanging="284"/>
        <w:jc w:val="both"/>
        <w:rPr>
          <w:rFonts w:ascii="Arial" w:hAnsi="Arial" w:cs="Arial"/>
          <w:sz w:val="20"/>
          <w:szCs w:val="32"/>
        </w:rPr>
      </w:pPr>
      <w:r>
        <w:rPr>
          <w:rFonts w:ascii="Arial" w:hAnsi="Arial"/>
          <w:sz w:val="20"/>
        </w:rPr>
        <w:t>-</w:t>
      </w:r>
      <w:r>
        <w:rPr>
          <w:rFonts w:ascii="Arial" w:hAnsi="Arial"/>
          <w:sz w:val="20"/>
        </w:rPr>
        <w:tab/>
        <w:t>“</w:t>
      </w:r>
      <w:hyperlink r:id="rId56" w:history="1">
        <w:r>
          <w:rPr>
            <w:rStyle w:val="Hyperlink"/>
            <w:rFonts w:ascii="Arial" w:hAnsi="Arial"/>
            <w:i/>
            <w:sz w:val="20"/>
          </w:rPr>
          <w:t>Undergraduate Students—Your Rights Under Consumer Law</w:t>
        </w:r>
      </w:hyperlink>
      <w:r>
        <w:rPr>
          <w:rFonts w:ascii="Arial" w:hAnsi="Arial"/>
          <w:sz w:val="20"/>
        </w:rPr>
        <w:t>” explica a lei do Reino Unido aplicável a alunos de graduação (e pós-graduação).</w:t>
      </w:r>
    </w:p>
    <w:p w14:paraId="6EE2E54A" w14:textId="77777777" w:rsidR="00F407FC" w:rsidRDefault="00F407FC" w:rsidP="000C1792">
      <w:pPr>
        <w:spacing w:after="0" w:line="240" w:lineRule="auto"/>
        <w:ind w:left="709" w:hanging="283"/>
        <w:jc w:val="both"/>
        <w:rPr>
          <w:rFonts w:ascii="Arial" w:hAnsi="Arial" w:cs="Arial"/>
          <w:sz w:val="20"/>
        </w:rPr>
      </w:pPr>
      <w:r>
        <w:rPr>
          <w:rFonts w:ascii="Arial" w:hAnsi="Arial"/>
          <w:sz w:val="20"/>
        </w:rPr>
        <w:t xml:space="preserve">- </w:t>
      </w:r>
      <w:r>
        <w:rPr>
          <w:rFonts w:ascii="Arial" w:hAnsi="Arial"/>
          <w:sz w:val="20"/>
        </w:rPr>
        <w:tab/>
        <w:t xml:space="preserve">“PraxisUnico (2006), </w:t>
      </w:r>
      <w:hyperlink r:id="rId57" w:history="1">
        <w:r>
          <w:rPr>
            <w:rStyle w:val="Hyperlink"/>
            <w:rFonts w:ascii="Arial" w:hAnsi="Arial"/>
            <w:i/>
            <w:sz w:val="20"/>
          </w:rPr>
          <w:t>UNICO Practical Guide to Students and IP</w:t>
        </w:r>
      </w:hyperlink>
      <w:r>
        <w:rPr>
          <w:rFonts w:ascii="Arial" w:hAnsi="Arial"/>
          <w:sz w:val="20"/>
        </w:rPr>
        <w:t xml:space="preserve"> fornece uma introdução às questões legais e práticas que envolvem a titularidade e a gestão de PI gerada por alunos, juntamente com algumas práticas recomendadas, modelos de acordos sugeridos e checklists.</w:t>
      </w:r>
    </w:p>
    <w:p w14:paraId="11833B93" w14:textId="77777777" w:rsidR="00664E3C" w:rsidRPr="0024467F" w:rsidRDefault="00664E3C" w:rsidP="000C1792">
      <w:pPr>
        <w:spacing w:after="0" w:line="240" w:lineRule="auto"/>
        <w:ind w:left="709" w:hanging="283"/>
        <w:jc w:val="both"/>
        <w:rPr>
          <w:rFonts w:ascii="Arial" w:hAnsi="Arial" w:cs="Arial"/>
          <w:sz w:val="20"/>
        </w:rPr>
      </w:pPr>
    </w:p>
    <w:p w14:paraId="72913B42" w14:textId="77777777" w:rsidR="00664E3C" w:rsidRPr="0024467F" w:rsidRDefault="00664E3C" w:rsidP="000C1792">
      <w:pPr>
        <w:spacing w:after="0" w:line="240" w:lineRule="auto"/>
        <w:ind w:left="709" w:hanging="283"/>
        <w:jc w:val="both"/>
        <w:rPr>
          <w:rFonts w:ascii="Arial" w:hAnsi="Arial" w:cs="Arial"/>
          <w:sz w:val="20"/>
        </w:rPr>
      </w:pPr>
    </w:p>
    <w:p w14:paraId="489B5068" w14:textId="77777777" w:rsidR="00717723" w:rsidRPr="00B00EEA" w:rsidRDefault="00717723" w:rsidP="002F3C51">
      <w:pPr>
        <w:pStyle w:val="Heading2"/>
      </w:pPr>
      <w:bookmarkStart w:id="102" w:name="_Toc490468519"/>
      <w:bookmarkStart w:id="103" w:name="_Toc482103092"/>
    </w:p>
    <w:p w14:paraId="09688252" w14:textId="77777777" w:rsidR="009917E0" w:rsidRPr="00B00EEA" w:rsidRDefault="00060558" w:rsidP="002F3C51">
      <w:pPr>
        <w:pStyle w:val="Heading2"/>
      </w:pPr>
      <w:bookmarkStart w:id="104" w:name="_Toc516160051"/>
      <w:bookmarkStart w:id="105" w:name="_Toc516219394"/>
      <w:bookmarkStart w:id="106" w:name="_Toc516496035"/>
      <w:bookmarkStart w:id="107" w:name="_Toc516829407"/>
      <w:bookmarkStart w:id="108" w:name="_Toc185241082"/>
      <w:r>
        <w:t xml:space="preserve">ARTIGO 4 – </w:t>
      </w:r>
      <w:bookmarkEnd w:id="102"/>
      <w:r>
        <w:t>GOVERNANÇA E OPERAÇÃO</w:t>
      </w:r>
      <w:bookmarkEnd w:id="104"/>
      <w:bookmarkEnd w:id="105"/>
      <w:bookmarkEnd w:id="106"/>
      <w:bookmarkEnd w:id="107"/>
      <w:bookmarkEnd w:id="108"/>
      <w:r>
        <w:t xml:space="preserve"> </w:t>
      </w:r>
    </w:p>
    <w:p w14:paraId="095C43C8" w14:textId="77777777" w:rsidR="00E22076" w:rsidRPr="0024467F" w:rsidRDefault="00E22076" w:rsidP="002F3C51">
      <w:pPr>
        <w:pStyle w:val="Heading2"/>
      </w:pPr>
    </w:p>
    <w:bookmarkEnd w:id="103"/>
    <w:p w14:paraId="33A107C7" w14:textId="77777777" w:rsidR="00194209" w:rsidRPr="0024467F" w:rsidRDefault="00194209" w:rsidP="002F3C51">
      <w:pPr>
        <w:spacing w:after="0" w:line="240" w:lineRule="auto"/>
      </w:pPr>
    </w:p>
    <w:p w14:paraId="43B43901" w14:textId="77777777" w:rsidR="00914C30" w:rsidRPr="00B00EEA" w:rsidRDefault="009917E0" w:rsidP="002F3C51">
      <w:pPr>
        <w:pStyle w:val="Heading3"/>
        <w:rPr>
          <w:sz w:val="24"/>
        </w:rPr>
      </w:pPr>
      <w:bookmarkStart w:id="109" w:name="_Toc494115958"/>
      <w:bookmarkStart w:id="110" w:name="_Toc516160052"/>
      <w:bookmarkStart w:id="111" w:name="_Toc516219395"/>
      <w:bookmarkStart w:id="112" w:name="_Toc516496036"/>
      <w:bookmarkStart w:id="113" w:name="_Toc516829408"/>
      <w:r>
        <w:rPr>
          <w:sz w:val="24"/>
        </w:rPr>
        <w:t>Uma estrutura de implementação de duas camadas</w:t>
      </w:r>
      <w:bookmarkEnd w:id="109"/>
      <w:bookmarkEnd w:id="110"/>
      <w:bookmarkEnd w:id="111"/>
      <w:bookmarkEnd w:id="112"/>
      <w:bookmarkEnd w:id="113"/>
    </w:p>
    <w:p w14:paraId="73FBC1CA" w14:textId="3BDE783A" w:rsidR="00914C30" w:rsidRPr="00B00EEA" w:rsidRDefault="00914C30" w:rsidP="009D4A54">
      <w:pPr>
        <w:pStyle w:val="ListParagraph"/>
        <w:numPr>
          <w:ilvl w:val="0"/>
          <w:numId w:val="88"/>
        </w:numPr>
        <w:spacing w:after="0" w:line="240" w:lineRule="auto"/>
        <w:ind w:left="426" w:hanging="426"/>
        <w:jc w:val="both"/>
        <w:rPr>
          <w:rFonts w:ascii="Arial" w:hAnsi="Arial" w:cs="Arial"/>
          <w:sz w:val="20"/>
          <w:szCs w:val="32"/>
        </w:rPr>
      </w:pPr>
      <w:r>
        <w:rPr>
          <w:rFonts w:ascii="Arial" w:hAnsi="Arial"/>
          <w:sz w:val="20"/>
        </w:rPr>
        <w:t xml:space="preserve">Décadas de prática demonstraram a importância de ter uma estrutura de dois níveis para governar e implementar uma Política de PI: uma </w:t>
      </w:r>
      <w:r>
        <w:rPr>
          <w:rFonts w:ascii="Arial" w:hAnsi="Arial"/>
          <w:b/>
          <w:sz w:val="20"/>
        </w:rPr>
        <w:t xml:space="preserve">Governança de PI (Comitê de PI) </w:t>
      </w:r>
      <w:r>
        <w:rPr>
          <w:rFonts w:ascii="Arial" w:hAnsi="Arial"/>
          <w:sz w:val="20"/>
        </w:rPr>
        <w:t xml:space="preserve">e uma estrutura de </w:t>
      </w:r>
      <w:r>
        <w:rPr>
          <w:rFonts w:ascii="Arial" w:hAnsi="Arial"/>
          <w:b/>
          <w:sz w:val="20"/>
        </w:rPr>
        <w:t>Operações de PI (Escritório de Gestão de PI)</w:t>
      </w:r>
      <w:r w:rsidR="008411EA">
        <w:rPr>
          <w:rFonts w:ascii="Arial" w:hAnsi="Arial"/>
          <w:sz w:val="20"/>
        </w:rPr>
        <w:t xml:space="preserve">. </w:t>
      </w:r>
      <w:r>
        <w:rPr>
          <w:rFonts w:ascii="Arial" w:hAnsi="Arial"/>
          <w:sz w:val="20"/>
        </w:rPr>
        <w:t>Essas duas esferas operam de forma semi-independente, mas também estão intimamente ligadas. A governança de PI é a esfera de criação/evolução de políticas e orientação estratégica abrangente. As operações de PI são o domínio da gestão diária e das transações</w:t>
      </w:r>
      <w:r w:rsidR="008411EA">
        <w:rPr>
          <w:rFonts w:ascii="Arial" w:hAnsi="Arial"/>
          <w:sz w:val="20"/>
        </w:rPr>
        <w:t xml:space="preserve">. </w:t>
      </w:r>
    </w:p>
    <w:p w14:paraId="1C4647D7" w14:textId="77777777" w:rsidR="00914C30" w:rsidRPr="0024467F" w:rsidRDefault="00914C30" w:rsidP="00272391">
      <w:pPr>
        <w:tabs>
          <w:tab w:val="left" w:pos="426"/>
        </w:tabs>
        <w:spacing w:after="0" w:line="240" w:lineRule="auto"/>
        <w:ind w:left="426" w:hanging="426"/>
        <w:jc w:val="both"/>
        <w:rPr>
          <w:rFonts w:ascii="Arial" w:hAnsi="Arial" w:cs="Arial"/>
          <w:sz w:val="20"/>
          <w:szCs w:val="32"/>
        </w:rPr>
      </w:pPr>
    </w:p>
    <w:p w14:paraId="4F3EB47C" w14:textId="3A200263" w:rsidR="00082FA7" w:rsidRPr="00B00EEA" w:rsidRDefault="00914C30" w:rsidP="009D4A54">
      <w:pPr>
        <w:pStyle w:val="ListParagraph"/>
        <w:numPr>
          <w:ilvl w:val="0"/>
          <w:numId w:val="88"/>
        </w:numPr>
        <w:spacing w:after="0" w:line="240" w:lineRule="auto"/>
        <w:ind w:left="426" w:hanging="426"/>
        <w:jc w:val="both"/>
        <w:rPr>
          <w:rFonts w:ascii="Arial" w:hAnsi="Arial" w:cs="Arial"/>
          <w:sz w:val="20"/>
          <w:szCs w:val="32"/>
        </w:rPr>
      </w:pPr>
      <w:r>
        <w:rPr>
          <w:rFonts w:ascii="Arial" w:hAnsi="Arial"/>
          <w:sz w:val="20"/>
        </w:rPr>
        <w:t>Nesse modelo de dois níveis, cada domínio é gerenciado por uma entidade institucional diferente, mas ambos ficam sob os auspícios de um único executivo designado sênior da instituição (geralmente Presidente ou Vice-Presidente, Vice-Reitor ou Vice-Reitor Adjunto)</w:t>
      </w:r>
      <w:r w:rsidR="008411EA">
        <w:rPr>
          <w:rFonts w:ascii="Arial" w:hAnsi="Arial"/>
          <w:sz w:val="20"/>
        </w:rPr>
        <w:t xml:space="preserve">. </w:t>
      </w:r>
    </w:p>
    <w:p w14:paraId="339EC76C" w14:textId="77777777" w:rsidR="002A2271" w:rsidRPr="0024467F" w:rsidRDefault="002A2271" w:rsidP="00272391">
      <w:pPr>
        <w:tabs>
          <w:tab w:val="left" w:pos="426"/>
        </w:tabs>
        <w:spacing w:after="0" w:line="240" w:lineRule="auto"/>
        <w:ind w:left="426" w:hanging="426"/>
        <w:jc w:val="both"/>
        <w:rPr>
          <w:rFonts w:ascii="Arial" w:hAnsi="Arial" w:cs="Arial"/>
          <w:sz w:val="20"/>
          <w:szCs w:val="32"/>
        </w:rPr>
      </w:pPr>
    </w:p>
    <w:p w14:paraId="6D5553EC" w14:textId="77777777" w:rsidR="002A2271" w:rsidRPr="00B00EEA" w:rsidRDefault="002A2271" w:rsidP="009D4A54">
      <w:pPr>
        <w:pStyle w:val="ListParagraph"/>
        <w:numPr>
          <w:ilvl w:val="0"/>
          <w:numId w:val="88"/>
        </w:numPr>
        <w:spacing w:after="0" w:line="240" w:lineRule="auto"/>
        <w:ind w:left="426" w:hanging="426"/>
        <w:jc w:val="both"/>
        <w:rPr>
          <w:rFonts w:ascii="Arial" w:hAnsi="Arial" w:cs="Arial"/>
          <w:sz w:val="20"/>
          <w:szCs w:val="32"/>
        </w:rPr>
      </w:pPr>
      <w:r>
        <w:rPr>
          <w:rFonts w:ascii="Arial" w:hAnsi="Arial"/>
          <w:sz w:val="20"/>
        </w:rPr>
        <w:t>O artigo 4 lista as duas unidades e suas principais áreas de responsabilidade. É útil incluir também um número de telefone de contato ou endereço de e-mail geral.</w:t>
      </w:r>
    </w:p>
    <w:p w14:paraId="7D816ED4" w14:textId="77777777" w:rsidR="00897D62" w:rsidRPr="0024467F" w:rsidRDefault="00897D62">
      <w:pPr>
        <w:tabs>
          <w:tab w:val="left" w:pos="426"/>
        </w:tabs>
        <w:spacing w:after="0" w:line="240" w:lineRule="auto"/>
        <w:ind w:left="426" w:hanging="426"/>
        <w:jc w:val="both"/>
        <w:rPr>
          <w:rFonts w:ascii="Arial" w:hAnsi="Arial" w:cs="Arial"/>
          <w:szCs w:val="32"/>
        </w:rPr>
      </w:pPr>
    </w:p>
    <w:p w14:paraId="6985C302" w14:textId="77777777" w:rsidR="00082FA7" w:rsidRPr="00B00EEA" w:rsidRDefault="00C251E9">
      <w:pPr>
        <w:pStyle w:val="Heading3"/>
        <w:rPr>
          <w:sz w:val="24"/>
        </w:rPr>
      </w:pPr>
      <w:bookmarkStart w:id="114" w:name="_Article_4.1_-"/>
      <w:bookmarkStart w:id="115" w:name="_Toc494115959"/>
      <w:bookmarkStart w:id="116" w:name="_Toc516160053"/>
      <w:bookmarkStart w:id="117" w:name="_Toc516219396"/>
      <w:bookmarkStart w:id="118" w:name="_Toc516496037"/>
      <w:bookmarkStart w:id="119" w:name="_Toc516829409"/>
      <w:bookmarkEnd w:id="114"/>
      <w:r>
        <w:rPr>
          <w:sz w:val="24"/>
        </w:rPr>
        <w:lastRenderedPageBreak/>
        <w:t xml:space="preserve">Artigo 4.1 - </w:t>
      </w:r>
      <w:bookmarkEnd w:id="115"/>
      <w:r>
        <w:rPr>
          <w:sz w:val="24"/>
        </w:rPr>
        <w:t>Governança de PI – O Comitê de PI</w:t>
      </w:r>
      <w:bookmarkEnd w:id="116"/>
      <w:bookmarkEnd w:id="117"/>
      <w:bookmarkEnd w:id="118"/>
      <w:bookmarkEnd w:id="119"/>
      <w:r>
        <w:rPr>
          <w:sz w:val="24"/>
        </w:rPr>
        <w:t xml:space="preserve"> </w:t>
      </w:r>
    </w:p>
    <w:p w14:paraId="4B9717A4" w14:textId="7A63356C" w:rsidR="000D6517" w:rsidRPr="00B00EEA" w:rsidRDefault="000D6517" w:rsidP="009D4A54">
      <w:pPr>
        <w:pStyle w:val="ListParagraph"/>
        <w:numPr>
          <w:ilvl w:val="0"/>
          <w:numId w:val="90"/>
        </w:numPr>
        <w:tabs>
          <w:tab w:val="left" w:pos="426"/>
        </w:tabs>
        <w:spacing w:after="0" w:line="240" w:lineRule="auto"/>
        <w:ind w:left="426" w:hanging="426"/>
        <w:jc w:val="both"/>
        <w:rPr>
          <w:rFonts w:ascii="Arial" w:hAnsi="Arial" w:cs="Arial"/>
          <w:sz w:val="20"/>
          <w:szCs w:val="32"/>
        </w:rPr>
      </w:pPr>
      <w:r>
        <w:rPr>
          <w:rFonts w:ascii="Arial" w:hAnsi="Arial"/>
          <w:b/>
          <w:sz w:val="20"/>
        </w:rPr>
        <w:t xml:space="preserve">Artigo 4.1.1, </w:t>
      </w:r>
      <w:r>
        <w:rPr>
          <w:rFonts w:ascii="Arial" w:hAnsi="Arial"/>
          <w:b/>
          <w:i/>
          <w:sz w:val="20"/>
        </w:rPr>
        <w:t>finalidade</w:t>
      </w:r>
      <w:r>
        <w:rPr>
          <w:rFonts w:ascii="Arial" w:hAnsi="Arial"/>
          <w:sz w:val="20"/>
        </w:rPr>
        <w:t xml:space="preserve">: Um comitê ou conselho é estabelecido para garantir uma boa governança de PI, ou seja, criação e evolução de políticas e orientação estratégica. </w:t>
      </w:r>
    </w:p>
    <w:p w14:paraId="7E72C857" w14:textId="77777777" w:rsidR="000D6517" w:rsidRPr="0024467F" w:rsidRDefault="000D6517" w:rsidP="000D6517">
      <w:pPr>
        <w:pStyle w:val="ListParagraph"/>
        <w:tabs>
          <w:tab w:val="left" w:pos="426"/>
        </w:tabs>
        <w:spacing w:after="0" w:line="240" w:lineRule="auto"/>
        <w:ind w:left="426"/>
        <w:jc w:val="both"/>
        <w:rPr>
          <w:rFonts w:ascii="Arial" w:hAnsi="Arial" w:cs="Arial"/>
          <w:sz w:val="20"/>
          <w:szCs w:val="32"/>
        </w:rPr>
      </w:pPr>
    </w:p>
    <w:p w14:paraId="147CA2AD" w14:textId="51DE605F" w:rsidR="00B22B83" w:rsidRPr="00664E3C" w:rsidRDefault="00F546AA" w:rsidP="005146B1">
      <w:pPr>
        <w:pStyle w:val="ListParagraph"/>
        <w:numPr>
          <w:ilvl w:val="0"/>
          <w:numId w:val="24"/>
        </w:numPr>
        <w:tabs>
          <w:tab w:val="left" w:pos="426"/>
        </w:tabs>
        <w:spacing w:after="0" w:line="240" w:lineRule="auto"/>
        <w:ind w:left="426" w:hanging="426"/>
        <w:jc w:val="both"/>
        <w:rPr>
          <w:rFonts w:ascii="Arial" w:hAnsi="Arial" w:cs="Arial"/>
          <w:sz w:val="20"/>
          <w:szCs w:val="32"/>
        </w:rPr>
      </w:pPr>
      <w:r>
        <w:rPr>
          <w:rFonts w:ascii="Arial" w:hAnsi="Arial"/>
          <w:sz w:val="20"/>
        </w:rPr>
        <w:t>O Modelo usa o termo genérico “Comitê de PI”</w:t>
      </w:r>
      <w:r w:rsidR="008411EA">
        <w:rPr>
          <w:rFonts w:ascii="Arial" w:hAnsi="Arial"/>
          <w:sz w:val="20"/>
        </w:rPr>
        <w:t xml:space="preserve">. </w:t>
      </w:r>
      <w:r>
        <w:rPr>
          <w:rFonts w:ascii="Arial" w:hAnsi="Arial"/>
          <w:sz w:val="20"/>
        </w:rPr>
        <w:t>Pode ser chamado por qualquer outro nome, incluindo Gabinete do Vice-Presidente para Pesquisa</w:t>
      </w:r>
      <w:r w:rsidR="008857F1" w:rsidRPr="00B00EEA">
        <w:rPr>
          <w:rStyle w:val="FootnoteReference"/>
          <w:rFonts w:ascii="Arial" w:hAnsi="Arial" w:cs="Arial"/>
          <w:sz w:val="20"/>
          <w:szCs w:val="20"/>
          <w:lang w:val="en-US"/>
        </w:rPr>
        <w:footnoteReference w:id="64"/>
      </w:r>
      <w:r>
        <w:rPr>
          <w:rFonts w:ascii="Arial" w:hAnsi="Arial"/>
          <w:sz w:val="20"/>
        </w:rPr>
        <w:t>, Comissão de PI</w:t>
      </w:r>
      <w:r w:rsidR="008857F1" w:rsidRPr="00B00EEA">
        <w:rPr>
          <w:rStyle w:val="FootnoteReference"/>
          <w:rFonts w:ascii="Arial" w:hAnsi="Arial" w:cs="Arial"/>
          <w:sz w:val="20"/>
          <w:szCs w:val="20"/>
          <w:lang w:val="en-US"/>
        </w:rPr>
        <w:footnoteReference w:id="65"/>
      </w:r>
      <w:r>
        <w:rPr>
          <w:rFonts w:ascii="Arial" w:hAnsi="Arial"/>
          <w:sz w:val="20"/>
        </w:rPr>
        <w:t>, Conselho de PI da Universidade</w:t>
      </w:r>
      <w:r w:rsidR="008857F1" w:rsidRPr="00B00EEA">
        <w:rPr>
          <w:rStyle w:val="FootnoteReference"/>
          <w:rFonts w:ascii="Arial" w:hAnsi="Arial" w:cs="Arial"/>
          <w:sz w:val="20"/>
          <w:szCs w:val="20"/>
          <w:lang w:val="en-US"/>
        </w:rPr>
        <w:footnoteReference w:id="66"/>
      </w:r>
      <w:r>
        <w:rPr>
          <w:rFonts w:ascii="Arial" w:hAnsi="Arial"/>
          <w:sz w:val="20"/>
        </w:rPr>
        <w:t>, Comitê Consultivo de PI</w:t>
      </w:r>
      <w:r w:rsidR="008857F1" w:rsidRPr="00B00EEA">
        <w:rPr>
          <w:rStyle w:val="FootnoteReference"/>
          <w:rFonts w:ascii="Arial" w:hAnsi="Arial" w:cs="Arial"/>
          <w:sz w:val="20"/>
          <w:szCs w:val="20"/>
          <w:lang w:val="en-US"/>
        </w:rPr>
        <w:footnoteReference w:id="67"/>
      </w:r>
      <w:r>
        <w:rPr>
          <w:rFonts w:ascii="Arial" w:hAnsi="Arial"/>
          <w:sz w:val="20"/>
        </w:rPr>
        <w:t xml:space="preserve">, Comitê Diretor de PI, Conselho Consultivo de PI, etc. </w:t>
      </w:r>
    </w:p>
    <w:p w14:paraId="0C797E13" w14:textId="77777777" w:rsidR="00664E3C" w:rsidRPr="0024467F" w:rsidRDefault="00664E3C" w:rsidP="00664E3C">
      <w:pPr>
        <w:pStyle w:val="ListParagraph"/>
        <w:tabs>
          <w:tab w:val="left" w:pos="426"/>
        </w:tabs>
        <w:spacing w:after="0" w:line="240" w:lineRule="auto"/>
        <w:ind w:left="426"/>
        <w:jc w:val="both"/>
        <w:rPr>
          <w:rFonts w:ascii="Arial" w:hAnsi="Arial" w:cs="Arial"/>
          <w:sz w:val="20"/>
          <w:szCs w:val="32"/>
        </w:rPr>
      </w:pPr>
    </w:p>
    <w:p w14:paraId="2BE64D5C" w14:textId="4B055E01" w:rsidR="00C24E1D" w:rsidRPr="00B00EEA" w:rsidRDefault="00CB7830" w:rsidP="009D4A54">
      <w:pPr>
        <w:pStyle w:val="ListParagraph"/>
        <w:numPr>
          <w:ilvl w:val="0"/>
          <w:numId w:val="24"/>
        </w:numPr>
        <w:tabs>
          <w:tab w:val="left" w:pos="426"/>
          <w:tab w:val="left" w:pos="851"/>
        </w:tabs>
        <w:spacing w:after="0" w:line="240" w:lineRule="auto"/>
        <w:ind w:left="426" w:hanging="426"/>
        <w:jc w:val="both"/>
        <w:rPr>
          <w:rFonts w:ascii="Arial" w:hAnsi="Arial" w:cs="Arial"/>
          <w:sz w:val="20"/>
        </w:rPr>
      </w:pPr>
      <w:r>
        <w:rPr>
          <w:rFonts w:ascii="Arial" w:hAnsi="Arial"/>
          <w:b/>
          <w:sz w:val="20"/>
        </w:rPr>
        <w:t xml:space="preserve">Artigo 4.1.2, </w:t>
      </w:r>
      <w:r>
        <w:rPr>
          <w:rFonts w:ascii="Arial" w:hAnsi="Arial"/>
          <w:b/>
          <w:i/>
          <w:sz w:val="20"/>
        </w:rPr>
        <w:t>composição</w:t>
      </w:r>
      <w:r>
        <w:rPr>
          <w:rFonts w:ascii="Arial" w:hAnsi="Arial"/>
          <w:sz w:val="20"/>
        </w:rPr>
        <w:t xml:space="preserve">: Um Comitê de PI pode consistir em um único indivíduo autorizado (como Presidente, Vice-Presidente, Vice-Reitor ou Vice-Reitor Adjunto) ou de um conselho ou comitê de múltiplos membros. O Comité de PI é normalmente chefiado pelo </w:t>
      </w:r>
      <w:r>
        <w:rPr>
          <w:rFonts w:ascii="Arial" w:hAnsi="Arial"/>
          <w:i/>
          <w:sz w:val="20"/>
        </w:rPr>
        <w:t>Diretor Sênior Designado</w:t>
      </w:r>
      <w:r>
        <w:rPr>
          <w:rFonts w:ascii="Arial" w:hAnsi="Arial"/>
          <w:sz w:val="20"/>
        </w:rPr>
        <w:t xml:space="preserve"> da Instituição.</w:t>
      </w:r>
      <w:r w:rsidR="00E57DC1">
        <w:rPr>
          <w:rStyle w:val="FootnoteReference"/>
          <w:rFonts w:ascii="Arial" w:hAnsi="Arial" w:cs="Arial"/>
          <w:sz w:val="20"/>
          <w:szCs w:val="32"/>
          <w:lang w:val="en-US"/>
        </w:rPr>
        <w:footnoteReference w:id="68"/>
      </w:r>
    </w:p>
    <w:p w14:paraId="3D328D93" w14:textId="77777777" w:rsidR="00C24E1D" w:rsidRPr="0024467F" w:rsidRDefault="00C24E1D" w:rsidP="00E73746">
      <w:pPr>
        <w:pStyle w:val="ListParagraph"/>
        <w:tabs>
          <w:tab w:val="left" w:pos="426"/>
          <w:tab w:val="left" w:pos="851"/>
        </w:tabs>
        <w:spacing w:after="0" w:line="240" w:lineRule="auto"/>
        <w:ind w:left="426" w:hanging="426"/>
        <w:jc w:val="both"/>
        <w:rPr>
          <w:rFonts w:ascii="Arial" w:hAnsi="Arial" w:cs="Arial"/>
          <w:sz w:val="20"/>
        </w:rPr>
      </w:pPr>
    </w:p>
    <w:p w14:paraId="576E215C" w14:textId="0DC5AB56" w:rsidR="003451D3" w:rsidRPr="00B00EEA" w:rsidRDefault="000D6517" w:rsidP="00E73746">
      <w:pPr>
        <w:tabs>
          <w:tab w:val="left" w:pos="426"/>
          <w:tab w:val="left" w:pos="851"/>
        </w:tabs>
        <w:spacing w:after="0" w:line="240" w:lineRule="auto"/>
        <w:ind w:left="426" w:hanging="426"/>
        <w:jc w:val="both"/>
        <w:rPr>
          <w:rFonts w:ascii="Arial" w:hAnsi="Arial" w:cs="Arial"/>
          <w:sz w:val="20"/>
        </w:rPr>
      </w:pPr>
      <w:r>
        <w:rPr>
          <w:rFonts w:ascii="Arial" w:hAnsi="Arial"/>
          <w:sz w:val="20"/>
        </w:rPr>
        <w:tab/>
        <w:t>Algumas Instituições nomeiam apenas Membros da Equipe ativos da Instituição ou ex-alunos. Outros nomeiam uma mistura de membros internos e externos, geralmente com a maioria da equipe ativa</w:t>
      </w:r>
      <w:r w:rsidR="008411EA">
        <w:rPr>
          <w:rFonts w:ascii="Arial" w:hAnsi="Arial"/>
          <w:sz w:val="20"/>
        </w:rPr>
        <w:t xml:space="preserve">. </w:t>
      </w:r>
      <w:r>
        <w:rPr>
          <w:rFonts w:ascii="Arial" w:hAnsi="Arial"/>
          <w:sz w:val="20"/>
        </w:rPr>
        <w:t>Além disso, algumas instituições também têm um Comitê de PI composto inteiramente por membros externos. Esses grupos frequentemente são especialistas em tecnologia e comercialização que fornecem consultoria e suporte para esforços de comercialização de PI.</w:t>
      </w:r>
    </w:p>
    <w:p w14:paraId="3702A1E9" w14:textId="77777777" w:rsidR="00CB7830" w:rsidRPr="00B00EEA" w:rsidRDefault="00B22B83" w:rsidP="002F3C51">
      <w:pPr>
        <w:pStyle w:val="ListParagraph"/>
        <w:tabs>
          <w:tab w:val="left" w:pos="284"/>
        </w:tabs>
        <w:spacing w:after="0" w:line="240" w:lineRule="auto"/>
        <w:ind w:left="284" w:hanging="284"/>
        <w:jc w:val="both"/>
        <w:rPr>
          <w:rFonts w:ascii="Arial" w:hAnsi="Arial" w:cs="Arial"/>
          <w:sz w:val="20"/>
          <w:szCs w:val="32"/>
        </w:rPr>
      </w:pPr>
      <w:r>
        <w:rPr>
          <w:rFonts w:ascii="Arial" w:hAnsi="Arial"/>
          <w:sz w:val="20"/>
        </w:rPr>
        <w:t xml:space="preserve">  </w:t>
      </w:r>
    </w:p>
    <w:p w14:paraId="7A369971" w14:textId="77777777" w:rsidR="00664E3C" w:rsidRPr="0024467F" w:rsidRDefault="00664E3C" w:rsidP="00664E3C">
      <w:pPr>
        <w:tabs>
          <w:tab w:val="left" w:pos="426"/>
        </w:tabs>
        <w:spacing w:after="0" w:line="240" w:lineRule="auto"/>
        <w:jc w:val="both"/>
        <w:rPr>
          <w:rFonts w:ascii="Arial" w:hAnsi="Arial" w:cs="Arial"/>
          <w:sz w:val="20"/>
        </w:rPr>
      </w:pPr>
    </w:p>
    <w:p w14:paraId="1BA97C63" w14:textId="3C6145CC" w:rsidR="00162B6B" w:rsidRPr="00B00EEA" w:rsidRDefault="00664E3C" w:rsidP="00664E3C">
      <w:pPr>
        <w:tabs>
          <w:tab w:val="left" w:pos="426"/>
        </w:tabs>
        <w:spacing w:after="0" w:line="240" w:lineRule="auto"/>
        <w:jc w:val="both"/>
        <w:rPr>
          <w:rFonts w:ascii="Arial" w:eastAsiaTheme="minorHAnsi" w:hAnsi="Arial" w:cs="Arial"/>
          <w:sz w:val="20"/>
        </w:rPr>
      </w:pPr>
      <w:r>
        <w:rPr>
          <w:rFonts w:ascii="Arial" w:hAnsi="Arial"/>
          <w:sz w:val="20"/>
        </w:rPr>
        <w:tab/>
        <w:t>Por exemplo, o Comité de PI pode compreender o seguinte:</w:t>
      </w:r>
    </w:p>
    <w:p w14:paraId="5015B103"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rPr>
      </w:pPr>
      <w:r>
        <w:rPr>
          <w:rFonts w:ascii="Arial" w:hAnsi="Arial"/>
          <w:sz w:val="20"/>
        </w:rPr>
        <w:t>Vice-Reitor ou Vice-Presidente responsável pela pesquisa</w:t>
      </w:r>
    </w:p>
    <w:p w14:paraId="6B34B221"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rPr>
      </w:pPr>
      <w:r>
        <w:rPr>
          <w:rFonts w:ascii="Arial" w:hAnsi="Arial"/>
          <w:sz w:val="20"/>
        </w:rPr>
        <w:t>Diretor Jurídico</w:t>
      </w:r>
    </w:p>
    <w:p w14:paraId="5FA2875C"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rPr>
      </w:pPr>
      <w:r>
        <w:rPr>
          <w:rFonts w:ascii="Arial" w:hAnsi="Arial"/>
          <w:sz w:val="20"/>
        </w:rPr>
        <w:t>Diretor Executivo de Finanças</w:t>
      </w:r>
    </w:p>
    <w:p w14:paraId="792FB97F"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rPr>
      </w:pPr>
      <w:r>
        <w:rPr>
          <w:rFonts w:ascii="Arial" w:hAnsi="Arial"/>
          <w:sz w:val="20"/>
        </w:rPr>
        <w:t>Reitores, Chefes de Departamento ou Diretores de Centro Particulares</w:t>
      </w:r>
    </w:p>
    <w:p w14:paraId="36EC3E9D"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rPr>
      </w:pPr>
      <w:r>
        <w:rPr>
          <w:rFonts w:ascii="Arial" w:hAnsi="Arial"/>
          <w:sz w:val="20"/>
        </w:rPr>
        <w:t>qualquer(quaisquer) pessoa(s) que a Instituição deseje cooptar, como um professor com forte interesse ou experiência em questões de PI, um professor com formação técnica reconhecida, especialista externo ou representação de partes interessadas específicas.</w:t>
      </w:r>
    </w:p>
    <w:p w14:paraId="202AE215" w14:textId="77777777" w:rsidR="002A2271" w:rsidRPr="0024467F" w:rsidRDefault="002A2271" w:rsidP="00E73746">
      <w:pPr>
        <w:autoSpaceDE w:val="0"/>
        <w:autoSpaceDN w:val="0"/>
        <w:adjustRightInd w:val="0"/>
        <w:spacing w:after="0" w:line="240" w:lineRule="auto"/>
        <w:jc w:val="both"/>
        <w:rPr>
          <w:rFonts w:ascii="Arial" w:hAnsi="Arial" w:cs="Arial"/>
          <w:sz w:val="20"/>
        </w:rPr>
      </w:pPr>
    </w:p>
    <w:p w14:paraId="282FF953" w14:textId="7ABF8590" w:rsidR="002A2271" w:rsidRPr="00B00EEA" w:rsidRDefault="002A2271" w:rsidP="00464282">
      <w:pPr>
        <w:pStyle w:val="ListParagraph"/>
        <w:numPr>
          <w:ilvl w:val="0"/>
          <w:numId w:val="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4.1.3, </w:t>
      </w:r>
      <w:r>
        <w:rPr>
          <w:rFonts w:ascii="Arial" w:hAnsi="Arial"/>
          <w:b/>
          <w:i/>
          <w:sz w:val="20"/>
        </w:rPr>
        <w:t>responsabilidades</w:t>
      </w:r>
      <w:r>
        <w:rPr>
          <w:rFonts w:ascii="Arial" w:hAnsi="Arial"/>
          <w:b/>
          <w:sz w:val="20"/>
        </w:rPr>
        <w:t>:</w:t>
      </w:r>
      <w:r>
        <w:rPr>
          <w:rFonts w:ascii="Arial" w:hAnsi="Arial"/>
          <w:sz w:val="20"/>
        </w:rPr>
        <w:t xml:space="preserve"> Em algumas instituições, o Comitê de PI desempenha um papel de auxiliar o EGPI na tomada de certas decisões, como no depósito de patentes ou negociações de licenças. Em outras instituições, o EGPI é completamente independente em sua gestão e transações de PI, e o Comitê de PI atua apenas em uma função de consultoria estratégica, fornecendo orientação sobre a trajetória de longo prazo da estratégia e do impacto de PI da instituição, implicações políticas e iniciativas de larga escala.</w:t>
      </w:r>
    </w:p>
    <w:p w14:paraId="537CB9BF" w14:textId="77777777" w:rsidR="00AA29A6" w:rsidRPr="0024467F" w:rsidRDefault="00AA29A6" w:rsidP="00B7519E">
      <w:pPr>
        <w:tabs>
          <w:tab w:val="left" w:pos="426"/>
        </w:tabs>
        <w:autoSpaceDE w:val="0"/>
        <w:autoSpaceDN w:val="0"/>
        <w:adjustRightInd w:val="0"/>
        <w:spacing w:after="0" w:line="240" w:lineRule="auto"/>
        <w:jc w:val="both"/>
        <w:rPr>
          <w:rFonts w:ascii="Arial" w:hAnsi="Arial" w:cs="Arial"/>
          <w:sz w:val="20"/>
        </w:rPr>
      </w:pPr>
    </w:p>
    <w:p w14:paraId="4A0913F5" w14:textId="2073D914" w:rsidR="006B79B1" w:rsidRPr="00B00EEA" w:rsidRDefault="006B79B1" w:rsidP="00402E50">
      <w:pPr>
        <w:keepNext/>
        <w:keepLines/>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ascii="Arial" w:hAnsi="Arial" w:cs="Arial"/>
          <w:b/>
          <w:sz w:val="20"/>
          <w:szCs w:val="32"/>
        </w:rPr>
      </w:pPr>
      <w:r>
        <w:rPr>
          <w:rFonts w:ascii="Arial" w:hAnsi="Arial"/>
          <w:b/>
          <w:sz w:val="20"/>
        </w:rPr>
        <w:lastRenderedPageBreak/>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Exemplo - Um trecho da Política de PI da Universidade da Cidade do Cabo sobre o papel do seu Comitê Consultivo de PI</w:t>
      </w:r>
      <w:r>
        <w:rPr>
          <w:rFonts w:ascii="Arial" w:hAnsi="Arial"/>
          <w:sz w:val="20"/>
        </w:rPr>
        <w:t xml:space="preserve"> </w:t>
      </w:r>
    </w:p>
    <w:p w14:paraId="594F7871" w14:textId="77777777" w:rsidR="006B79B1" w:rsidRPr="0024467F" w:rsidRDefault="006B79B1" w:rsidP="00402E50">
      <w:pPr>
        <w:keepNext/>
        <w:keepLines/>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both"/>
        <w:rPr>
          <w:rFonts w:ascii="Arial" w:hAnsi="Arial" w:cs="Arial"/>
          <w:sz w:val="20"/>
        </w:rPr>
      </w:pPr>
    </w:p>
    <w:p w14:paraId="58CC6A1B" w14:textId="77777777"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ascii="Arial" w:hAnsi="Arial" w:cs="Arial"/>
        </w:rPr>
      </w:pPr>
      <w:r>
        <w:rPr>
          <w:rFonts w:ascii="Arial" w:hAnsi="Arial"/>
          <w:noProof/>
        </w:rPr>
        <w:drawing>
          <wp:inline distT="0" distB="0" distL="0" distR="0" wp14:anchorId="062ECE4F" wp14:editId="4CAD59CE">
            <wp:extent cx="4193519" cy="3300549"/>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8745" cy="3328274"/>
                    </a:xfrm>
                    <a:prstGeom prst="rect">
                      <a:avLst/>
                    </a:prstGeom>
                    <a:ln>
                      <a:solidFill>
                        <a:schemeClr val="tx1"/>
                      </a:solidFill>
                    </a:ln>
                  </pic:spPr>
                </pic:pic>
              </a:graphicData>
            </a:graphic>
          </wp:inline>
        </w:drawing>
      </w:r>
    </w:p>
    <w:p w14:paraId="350F6C98" w14:textId="77777777" w:rsidR="00CB7830" w:rsidRPr="00B00EEA" w:rsidRDefault="00C251E9" w:rsidP="00B7519E">
      <w:pPr>
        <w:pStyle w:val="Heading3"/>
        <w:spacing w:before="360"/>
        <w:rPr>
          <w:sz w:val="24"/>
        </w:rPr>
      </w:pPr>
      <w:bookmarkStart w:id="120" w:name="_Artigo_4.2_–"/>
      <w:bookmarkStart w:id="121" w:name="_Toc494115960"/>
      <w:bookmarkStart w:id="122" w:name="_Toc516160054"/>
      <w:bookmarkStart w:id="123" w:name="_Toc516219397"/>
      <w:bookmarkStart w:id="124" w:name="_Toc516496038"/>
      <w:bookmarkStart w:id="125" w:name="_Toc516829410"/>
      <w:bookmarkEnd w:id="120"/>
      <w:r>
        <w:rPr>
          <w:sz w:val="24"/>
        </w:rPr>
        <w:t>Artigo 4.2 – Operações de PI - O Escritório de Gestão de PI (EGPI)</w:t>
      </w:r>
      <w:bookmarkEnd w:id="121"/>
      <w:bookmarkEnd w:id="122"/>
      <w:bookmarkEnd w:id="123"/>
      <w:bookmarkEnd w:id="124"/>
      <w:bookmarkEnd w:id="125"/>
      <w:r>
        <w:rPr>
          <w:sz w:val="24"/>
        </w:rPr>
        <w:t xml:space="preserve"> </w:t>
      </w:r>
    </w:p>
    <w:p w14:paraId="2BC5D471" w14:textId="14E7DCFC" w:rsidR="003D0ECF" w:rsidRPr="000C1792" w:rsidRDefault="003D0ECF" w:rsidP="003D0ECF">
      <w:pPr>
        <w:pStyle w:val="ListParagraph"/>
        <w:numPr>
          <w:ilvl w:val="0"/>
          <w:numId w:val="3"/>
        </w:numPr>
        <w:tabs>
          <w:tab w:val="left" w:pos="426"/>
        </w:tabs>
        <w:spacing w:after="0" w:line="240" w:lineRule="auto"/>
        <w:ind w:left="426" w:hanging="426"/>
        <w:jc w:val="both"/>
        <w:rPr>
          <w:rFonts w:ascii="Arial" w:hAnsi="Arial" w:cs="Arial"/>
          <w:sz w:val="20"/>
        </w:rPr>
      </w:pPr>
      <w:r>
        <w:rPr>
          <w:rFonts w:ascii="Arial" w:hAnsi="Arial"/>
          <w:b/>
          <w:sz w:val="20"/>
        </w:rPr>
        <w:t>Terminologia.</w:t>
      </w:r>
      <w:r>
        <w:rPr>
          <w:rFonts w:ascii="Arial" w:hAnsi="Arial"/>
          <w:sz w:val="20"/>
        </w:rPr>
        <w:t xml:space="preserve"> Os nomes comuns para escritórios responsáveis pela gestão diária de PI, transferência de tecnologia e comercialização são diferentes. Ao decidir sobre o termo, é importante (1) </w:t>
      </w:r>
      <w:r>
        <w:rPr>
          <w:rFonts w:ascii="Arial" w:hAnsi="Arial"/>
          <w:sz w:val="20"/>
          <w:u w:val="single"/>
        </w:rPr>
        <w:t>usar os termos oficiais</w:t>
      </w:r>
      <w:r>
        <w:rPr>
          <w:rFonts w:ascii="Arial" w:hAnsi="Arial"/>
          <w:sz w:val="20"/>
        </w:rPr>
        <w:t xml:space="preserve"> que já foram estabelecidos em quaisquer regulamentos da Instituição existentes, práticas locais ou regulamentos nacionais; (2) na ausência destes, escolher um termo que </w:t>
      </w:r>
      <w:r>
        <w:rPr>
          <w:rFonts w:ascii="Arial" w:hAnsi="Arial"/>
          <w:sz w:val="20"/>
          <w:u w:val="single"/>
        </w:rPr>
        <w:t>reflete as principais funções</w:t>
      </w:r>
      <w:r>
        <w:rPr>
          <w:rFonts w:ascii="Arial" w:hAnsi="Arial"/>
          <w:sz w:val="20"/>
        </w:rPr>
        <w:t xml:space="preserve"> da unidade</w:t>
      </w:r>
      <w:r w:rsidR="008411EA">
        <w:rPr>
          <w:rFonts w:ascii="Arial" w:hAnsi="Arial"/>
          <w:sz w:val="20"/>
        </w:rPr>
        <w:t xml:space="preserve">. </w:t>
      </w:r>
      <w:r>
        <w:rPr>
          <w:rFonts w:ascii="Arial" w:hAnsi="Arial"/>
          <w:sz w:val="20"/>
        </w:rPr>
        <w:t>Exemplos de nomes comuns incluem Escritório de Transferência de Tecnologia (ETT)</w:t>
      </w:r>
      <w:r w:rsidRPr="000C1792">
        <w:rPr>
          <w:rStyle w:val="FootnoteReference"/>
          <w:rFonts w:ascii="Arial" w:hAnsi="Arial" w:cs="Arial"/>
          <w:sz w:val="20"/>
          <w:lang w:val="en-GB"/>
        </w:rPr>
        <w:footnoteReference w:id="69"/>
      </w:r>
      <w:r>
        <w:rPr>
          <w:rFonts w:ascii="Arial" w:hAnsi="Arial"/>
          <w:sz w:val="20"/>
        </w:rPr>
        <w:t>, Escritório de Licenciamento de Tecnologia (ELT)</w:t>
      </w:r>
      <w:r w:rsidRPr="000C1792">
        <w:rPr>
          <w:rStyle w:val="FootnoteReference"/>
          <w:rFonts w:ascii="Arial" w:hAnsi="Arial" w:cs="Arial"/>
          <w:sz w:val="20"/>
          <w:lang w:val="en-GB"/>
        </w:rPr>
        <w:footnoteReference w:id="70"/>
      </w:r>
      <w:r>
        <w:rPr>
          <w:rFonts w:ascii="Arial" w:hAnsi="Arial"/>
          <w:sz w:val="20"/>
        </w:rPr>
        <w:t>, Escritório de Gestão de Tecnologia</w:t>
      </w:r>
      <w:r w:rsidRPr="000C1792">
        <w:rPr>
          <w:rStyle w:val="FootnoteReference"/>
          <w:rFonts w:ascii="Arial" w:hAnsi="Arial" w:cs="Arial"/>
          <w:sz w:val="20"/>
          <w:lang w:val="en-GB"/>
        </w:rPr>
        <w:footnoteReference w:id="71"/>
      </w:r>
      <w:r>
        <w:rPr>
          <w:rFonts w:ascii="Arial" w:hAnsi="Arial"/>
          <w:sz w:val="20"/>
        </w:rPr>
        <w:t>, Escritório de Contratos de Pesquisa e Serviços de Propriedade Intelectual, Escritório de Transferência de Tecnologia, Escritório de Desenvolvimento Tecnológico, Interface de Transferência de Tecnologia</w:t>
      </w:r>
      <w:r w:rsidRPr="000C1792">
        <w:rPr>
          <w:rStyle w:val="FootnoteReference"/>
          <w:rFonts w:ascii="Arial" w:hAnsi="Arial" w:cs="Arial"/>
          <w:sz w:val="20"/>
          <w:lang w:val="en-GB"/>
        </w:rPr>
        <w:footnoteReference w:id="72"/>
      </w:r>
      <w:r>
        <w:rPr>
          <w:rFonts w:ascii="Arial" w:hAnsi="Arial"/>
          <w:sz w:val="20"/>
        </w:rPr>
        <w:t>, Escritório de Vinculação com a Indústria</w:t>
      </w:r>
      <w:r w:rsidRPr="000C1792">
        <w:rPr>
          <w:rStyle w:val="FootnoteReference"/>
          <w:rFonts w:ascii="Arial" w:hAnsi="Arial" w:cs="Arial"/>
          <w:i/>
          <w:sz w:val="20"/>
          <w:lang w:val="en-GB"/>
        </w:rPr>
        <w:footnoteReference w:id="73"/>
      </w:r>
      <w:r>
        <w:rPr>
          <w:rFonts w:ascii="Arial" w:hAnsi="Arial"/>
          <w:sz w:val="20"/>
        </w:rPr>
        <w:t>, Escritório de Gestão de PI e Núcleo de Inovação Tecnológica</w:t>
      </w:r>
      <w:r w:rsidRPr="000C1792">
        <w:rPr>
          <w:rStyle w:val="FootnoteReference"/>
          <w:rFonts w:ascii="Arial" w:hAnsi="Arial" w:cs="Arial"/>
          <w:sz w:val="20"/>
          <w:lang w:val="en-GB"/>
        </w:rPr>
        <w:footnoteReference w:id="74"/>
      </w:r>
      <w:r>
        <w:rPr>
          <w:rFonts w:ascii="Arial" w:hAnsi="Arial"/>
          <w:i/>
          <w:sz w:val="20"/>
        </w:rPr>
        <w:t>.</w:t>
      </w:r>
    </w:p>
    <w:p w14:paraId="5F73C8FE" w14:textId="77777777" w:rsidR="006C4A62" w:rsidRPr="0024467F" w:rsidRDefault="006C4A62" w:rsidP="00734F31">
      <w:pPr>
        <w:tabs>
          <w:tab w:val="left" w:pos="426"/>
        </w:tabs>
        <w:spacing w:after="0" w:line="240" w:lineRule="auto"/>
        <w:jc w:val="both"/>
        <w:rPr>
          <w:rFonts w:ascii="Arial" w:hAnsi="Arial" w:cs="Arial"/>
          <w:sz w:val="20"/>
        </w:rPr>
      </w:pPr>
    </w:p>
    <w:p w14:paraId="77F29F39" w14:textId="34EF3594" w:rsidR="001B356E" w:rsidRPr="00B00EEA" w:rsidRDefault="001B356E" w:rsidP="00464282">
      <w:pPr>
        <w:pStyle w:val="ListParagraph"/>
        <w:numPr>
          <w:ilvl w:val="0"/>
          <w:numId w:val="3"/>
        </w:numPr>
        <w:tabs>
          <w:tab w:val="left" w:pos="426"/>
        </w:tabs>
        <w:spacing w:after="0" w:line="240" w:lineRule="auto"/>
        <w:ind w:left="426" w:hanging="426"/>
        <w:jc w:val="both"/>
        <w:rPr>
          <w:rFonts w:ascii="Arial" w:hAnsi="Arial" w:cs="Arial"/>
          <w:sz w:val="20"/>
        </w:rPr>
      </w:pPr>
      <w:r>
        <w:rPr>
          <w:rFonts w:ascii="Arial" w:hAnsi="Arial"/>
          <w:sz w:val="20"/>
        </w:rPr>
        <w:t>Escritório de Transferência de Tecnologia (ETT) é um termo comumente usado em todo o mundo</w:t>
      </w:r>
      <w:r w:rsidR="008411EA">
        <w:rPr>
          <w:rFonts w:ascii="Arial" w:hAnsi="Arial"/>
          <w:sz w:val="20"/>
        </w:rPr>
        <w:t xml:space="preserve">. </w:t>
      </w:r>
      <w:r>
        <w:rPr>
          <w:rFonts w:ascii="Arial" w:hAnsi="Arial"/>
          <w:sz w:val="20"/>
        </w:rPr>
        <w:t>No entanto, o Escritório de Gestão de Propriedade Intelectual (EGPI) e o Escritório de Gestão do Conhecimento (EGC)</w:t>
      </w:r>
      <w:r w:rsidR="00625FEC" w:rsidRPr="00B00EEA">
        <w:rPr>
          <w:rStyle w:val="FootnoteReference"/>
          <w:rFonts w:ascii="Arial" w:hAnsi="Arial" w:cs="Arial"/>
          <w:sz w:val="20"/>
          <w:lang w:val="en-US"/>
        </w:rPr>
        <w:footnoteReference w:id="75"/>
      </w:r>
      <w:r>
        <w:rPr>
          <w:rFonts w:ascii="Arial" w:hAnsi="Arial"/>
          <w:sz w:val="20"/>
        </w:rPr>
        <w:t>, ou Escritório de Transferência do Conhecimento (ETC) pode ser preferido como um termo mais geral para reconhecer a importância de incluir obras criativas e não técnicas no processo.</w:t>
      </w:r>
    </w:p>
    <w:p w14:paraId="31D33D93" w14:textId="77777777" w:rsidR="00A139A5" w:rsidRPr="00B00EEA" w:rsidRDefault="00A139A5" w:rsidP="00734F31">
      <w:pPr>
        <w:pStyle w:val="FootnoteText"/>
        <w:jc w:val="both"/>
        <w:rPr>
          <w:rFonts w:ascii="Arial" w:hAnsi="Arial" w:cs="Arial"/>
        </w:rPr>
      </w:pPr>
      <w:r>
        <w:rPr>
          <w:rFonts w:ascii="Arial" w:hAnsi="Arial"/>
        </w:rPr>
        <w:t xml:space="preserve">  </w:t>
      </w:r>
    </w:p>
    <w:p w14:paraId="0FEE1196" w14:textId="77777777" w:rsidR="00E33C45" w:rsidRPr="00B00EEA" w:rsidRDefault="00A139A5" w:rsidP="00402E50">
      <w:pPr>
        <w:pStyle w:val="ListParagraph"/>
        <w:keepNext/>
        <w:numPr>
          <w:ilvl w:val="0"/>
          <w:numId w:val="62"/>
        </w:numPr>
        <w:autoSpaceDE w:val="0"/>
        <w:autoSpaceDN w:val="0"/>
        <w:adjustRightInd w:val="0"/>
        <w:spacing w:after="0" w:line="240" w:lineRule="auto"/>
        <w:ind w:left="426" w:hanging="426"/>
        <w:jc w:val="both"/>
        <w:rPr>
          <w:rFonts w:ascii="Arial" w:hAnsi="Arial" w:cs="Arial"/>
          <w:sz w:val="20"/>
        </w:rPr>
      </w:pPr>
      <w:r>
        <w:rPr>
          <w:rFonts w:ascii="Arial" w:hAnsi="Arial"/>
          <w:b/>
          <w:sz w:val="20"/>
        </w:rPr>
        <w:lastRenderedPageBreak/>
        <w:t>Artigo 4.2.1,</w:t>
      </w:r>
      <w:r>
        <w:rPr>
          <w:rFonts w:ascii="Arial" w:hAnsi="Arial"/>
          <w:b/>
          <w:i/>
          <w:sz w:val="20"/>
        </w:rPr>
        <w:t xml:space="preserve"> deverá estabelecer</w:t>
      </w:r>
      <w:r>
        <w:rPr>
          <w:rFonts w:ascii="Arial" w:hAnsi="Arial"/>
          <w:i/>
          <w:sz w:val="20"/>
        </w:rPr>
        <w:t>:</w:t>
      </w:r>
      <w:r>
        <w:rPr>
          <w:rFonts w:ascii="Arial" w:hAnsi="Arial"/>
          <w:sz w:val="20"/>
        </w:rPr>
        <w:t xml:space="preserve"> Existem muitas razões para criar um EGPI, entre elas:</w:t>
      </w:r>
    </w:p>
    <w:p w14:paraId="3B257186"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recompensar, reter e recrutar os melhores pesquisadores e prevenir a fuga de cérebros;</w:t>
      </w:r>
    </w:p>
    <w:p w14:paraId="2680E6D7"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manter relações mais estreitas com a indústria;</w:t>
      </w:r>
    </w:p>
    <w:p w14:paraId="3A2492AF"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promover o desenvolvimento econômico e criar empregos;</w:t>
      </w:r>
    </w:p>
    <w:p w14:paraId="281C0F7A"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comercializar a pesquisa para benefício público;</w:t>
      </w:r>
    </w:p>
    <w:p w14:paraId="578A953C" w14:textId="77777777" w:rsidR="00CA4947" w:rsidRPr="00B00EEA" w:rsidRDefault="00CA4947"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auxiliar pesquisadores com questões de gestão de PI, incluindo negociação de cláusulas de PI em Contratos de Pesquisa;</w:t>
      </w:r>
    </w:p>
    <w:p w14:paraId="7A8BF76F"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rPr>
      </w:pPr>
      <w:r>
        <w:rPr>
          <w:rFonts w:ascii="Arial" w:hAnsi="Arial"/>
          <w:sz w:val="20"/>
        </w:rPr>
        <w:t>gerar recursos adicionais para a pesquisa;</w:t>
      </w:r>
    </w:p>
    <w:p w14:paraId="66A058F4" w14:textId="0B2F726E" w:rsidR="00A437FC" w:rsidRPr="00B00EEA" w:rsidRDefault="006B79B1" w:rsidP="009D4A54">
      <w:pPr>
        <w:pStyle w:val="ListParagraph"/>
        <w:numPr>
          <w:ilvl w:val="0"/>
          <w:numId w:val="15"/>
        </w:numPr>
        <w:shd w:val="clear" w:color="auto" w:fill="FFFFFF" w:themeFill="background1"/>
        <w:spacing w:after="0" w:line="240" w:lineRule="auto"/>
        <w:ind w:left="709" w:hanging="283"/>
        <w:jc w:val="both"/>
        <w:rPr>
          <w:rFonts w:ascii="Arial" w:hAnsi="Arial" w:cs="Arial"/>
          <w:i/>
          <w:sz w:val="20"/>
        </w:rPr>
      </w:pPr>
      <w:r>
        <w:rPr>
          <w:rFonts w:ascii="Arial" w:hAnsi="Arial"/>
          <w:sz w:val="20"/>
        </w:rPr>
        <w:t>em alguns países, a legislação nacional ou o governo exigem que um EGPI (ou unidade similar) exista antes de permitir que uma Instituição tenha o direito de explorar a PI</w:t>
      </w:r>
      <w:r w:rsidR="008411EA">
        <w:rPr>
          <w:rFonts w:ascii="Arial" w:hAnsi="Arial"/>
          <w:sz w:val="20"/>
        </w:rPr>
        <w:t xml:space="preserve">. </w:t>
      </w:r>
      <w:r>
        <w:rPr>
          <w:rFonts w:ascii="Arial" w:hAnsi="Arial"/>
          <w:sz w:val="20"/>
        </w:rPr>
        <w:t>Por exemplo, as instituições sul-africanas são obrigadas a estabelecer um escritório para transferência de tecnologia ou designar essa função para uma estrutura existente dentro da instituição</w:t>
      </w:r>
      <w:r w:rsidR="008411EA">
        <w:rPr>
          <w:rFonts w:ascii="Arial" w:hAnsi="Arial"/>
          <w:sz w:val="20"/>
        </w:rPr>
        <w:t xml:space="preserve">. </w:t>
      </w:r>
      <w:r>
        <w:rPr>
          <w:rFonts w:ascii="Arial" w:hAnsi="Arial"/>
          <w:sz w:val="20"/>
        </w:rPr>
        <w:t xml:space="preserve">Veja </w:t>
      </w:r>
      <w:hyperlink w:anchor="Box15" w:history="1">
        <w:r>
          <w:rPr>
            <w:rStyle w:val="Hyperlink"/>
            <w:rFonts w:ascii="Arial" w:hAnsi="Arial"/>
            <w:sz w:val="20"/>
          </w:rPr>
          <w:t>Caixa 15</w:t>
        </w:r>
      </w:hyperlink>
      <w:r>
        <w:rPr>
          <w:rFonts w:ascii="Arial" w:hAnsi="Arial"/>
          <w:sz w:val="20"/>
        </w:rPr>
        <w:t>.</w:t>
      </w:r>
    </w:p>
    <w:p w14:paraId="30817DC1" w14:textId="77777777" w:rsidR="00074140" w:rsidRPr="00B00EEA" w:rsidRDefault="00074140" w:rsidP="00074140">
      <w:pPr>
        <w:pStyle w:val="ListParagraph"/>
        <w:shd w:val="clear" w:color="auto" w:fill="FFFFFF" w:themeFill="background1"/>
        <w:spacing w:after="0" w:line="240" w:lineRule="auto"/>
        <w:ind w:left="709"/>
        <w:jc w:val="both"/>
        <w:rPr>
          <w:rFonts w:ascii="Arial" w:hAnsi="Arial" w:cs="Arial"/>
          <w:i/>
          <w:lang w:val="en-US"/>
        </w:rPr>
      </w:pPr>
    </w:p>
    <w:p w14:paraId="72C22B47" w14:textId="77777777" w:rsidR="00972755"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rPr>
      </w:pPr>
      <w:bookmarkStart w:id="126" w:name="Box15"/>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26"/>
      <w:r>
        <w:rPr>
          <w:rFonts w:ascii="Arial" w:hAnsi="Arial"/>
          <w:b/>
          <w:sz w:val="20"/>
        </w:rPr>
        <w:t xml:space="preserve"> Lei dos Direitos de Propriedade Intelectual da África do Sul sobre Pesquisa e Desenvolvimento Financiados Publicamente (2008</w:t>
      </w:r>
      <w:r>
        <w:rPr>
          <w:rFonts w:ascii="Arial" w:hAnsi="Arial"/>
          <w:sz w:val="20"/>
        </w:rPr>
        <w:t>)</w:t>
      </w:r>
    </w:p>
    <w:p w14:paraId="1E033EA7" w14:textId="77777777" w:rsidR="00972755" w:rsidRPr="0024467F"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rPr>
      </w:pPr>
    </w:p>
    <w:p w14:paraId="7D8749E2" w14:textId="77777777" w:rsidR="00A437FC"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b/>
          <w:bCs/>
          <w:i/>
          <w:sz w:val="20"/>
        </w:rPr>
      </w:pPr>
      <w:r>
        <w:rPr>
          <w:rFonts w:ascii="Arial" w:hAnsi="Arial"/>
          <w:b/>
          <w:i/>
          <w:sz w:val="20"/>
        </w:rPr>
        <w:t>Seção 6 “Estabelecimento de escritório de transferência de tecnologia em Instituições</w:t>
      </w:r>
    </w:p>
    <w:p w14:paraId="4A2A4C4D" w14:textId="77777777" w:rsidR="00A437F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rPr>
      </w:pPr>
      <w:r>
        <w:rPr>
          <w:rFonts w:ascii="Arial" w:hAnsi="Arial"/>
          <w:i/>
          <w:sz w:val="20"/>
        </w:rPr>
        <w:t>(1) Salvo determinação em contrário do Ministro em consulta com o Ministro responsável pelo ensino superior, ou qualquer outro ministro do Gabinete a quem uma Instituição se reporte, qualquer Instituição deve, no prazo de 12 meses a contar da entrada em vigor desta Lei</w:t>
      </w:r>
    </w:p>
    <w:p w14:paraId="53BE00B6" w14:textId="77777777"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rPr>
      </w:pPr>
      <w:r>
        <w:rPr>
          <w:rFonts w:ascii="Arial" w:hAnsi="Arial"/>
          <w:i/>
          <w:sz w:val="20"/>
        </w:rPr>
        <w:t xml:space="preserve">     (a) estabelecer e manter um escritório de transferência de tecnologia; ou</w:t>
      </w:r>
    </w:p>
    <w:p w14:paraId="3B2E1EAF" w14:textId="77777777"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rPr>
      </w:pPr>
      <w:r>
        <w:rPr>
          <w:rFonts w:ascii="Arial" w:hAnsi="Arial"/>
          <w:i/>
          <w:sz w:val="20"/>
        </w:rPr>
        <w:t xml:space="preserve">     (b) designar pessoas ou uma estrutura existente dentro da Instituição para assumir as responsabilidades do escritório de transferência de tecnologia.</w:t>
      </w:r>
    </w:p>
    <w:p w14:paraId="735BEDDF" w14:textId="77777777"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rPr>
      </w:pPr>
      <w:r>
        <w:rPr>
          <w:rFonts w:ascii="Arial" w:hAnsi="Arial"/>
          <w:i/>
          <w:sz w:val="20"/>
        </w:rPr>
        <w:t>(2) O escritório de transferência de tecnologia é responsável por cumprir as obrigações da Instituição nos termos desta Lei.</w:t>
      </w:r>
    </w:p>
    <w:p w14:paraId="28C17D19" w14:textId="77777777"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rPr>
      </w:pPr>
      <w:r>
        <w:rPr>
          <w:rFonts w:ascii="Arial" w:hAnsi="Arial"/>
          <w:i/>
          <w:sz w:val="20"/>
        </w:rPr>
        <w:t>(3) Duas ou mais instituições podem, com a concordância do ENGPI, estabelecer um escritório regional de transferência de tecnologia”.</w:t>
      </w:r>
    </w:p>
    <w:p w14:paraId="21E8EFF1" w14:textId="77777777" w:rsidR="00A139A5" w:rsidRPr="00B00EEA" w:rsidRDefault="00CA4947" w:rsidP="00734F31">
      <w:pPr>
        <w:autoSpaceDE w:val="0"/>
        <w:autoSpaceDN w:val="0"/>
        <w:adjustRightInd w:val="0"/>
        <w:spacing w:after="0" w:line="240" w:lineRule="auto"/>
        <w:ind w:left="1440"/>
        <w:jc w:val="both"/>
        <w:rPr>
          <w:rFonts w:ascii="Arial" w:hAnsi="Arial" w:cs="Arial"/>
          <w:i/>
        </w:rPr>
      </w:pPr>
      <w:r>
        <w:rPr>
          <w:rFonts w:ascii="Arial" w:hAnsi="Arial"/>
          <w:i/>
        </w:rPr>
        <w:t xml:space="preserve"> </w:t>
      </w:r>
    </w:p>
    <w:p w14:paraId="0049AB73" w14:textId="443AE8A2" w:rsidR="00A139A5" w:rsidRPr="00B00EEA" w:rsidRDefault="00A139A5" w:rsidP="00464282">
      <w:pPr>
        <w:pStyle w:val="ListParagraph"/>
        <w:numPr>
          <w:ilvl w:val="0"/>
          <w:numId w:val="3"/>
        </w:numPr>
        <w:spacing w:after="0" w:line="240" w:lineRule="auto"/>
        <w:ind w:left="426" w:hanging="426"/>
        <w:jc w:val="both"/>
        <w:rPr>
          <w:rFonts w:ascii="Arial" w:hAnsi="Arial" w:cs="Arial"/>
          <w:sz w:val="20"/>
        </w:rPr>
      </w:pPr>
      <w:r>
        <w:rPr>
          <w:rFonts w:ascii="Arial" w:hAnsi="Arial"/>
          <w:b/>
          <w:sz w:val="20"/>
        </w:rPr>
        <w:t xml:space="preserve">Artigo 4.2.1, </w:t>
      </w:r>
      <w:r>
        <w:rPr>
          <w:rFonts w:ascii="Arial" w:hAnsi="Arial"/>
          <w:b/>
          <w:i/>
          <w:sz w:val="20"/>
        </w:rPr>
        <w:t>ou designar uma função</w:t>
      </w:r>
      <w:r>
        <w:rPr>
          <w:rFonts w:ascii="Arial" w:hAnsi="Arial"/>
          <w:b/>
          <w:sz w:val="20"/>
        </w:rPr>
        <w:t xml:space="preserve"> </w:t>
      </w:r>
      <w:r>
        <w:rPr>
          <w:rFonts w:ascii="Arial" w:hAnsi="Arial"/>
          <w:b/>
          <w:i/>
          <w:sz w:val="20"/>
        </w:rPr>
        <w:t>dentro da Instituição ou de outra organização para atuar como tal</w:t>
      </w:r>
      <w:r>
        <w:rPr>
          <w:rFonts w:ascii="Arial" w:hAnsi="Arial"/>
          <w:i/>
          <w:sz w:val="20"/>
        </w:rPr>
        <w:t>:</w:t>
      </w:r>
      <w:r>
        <w:rPr>
          <w:rFonts w:ascii="Arial" w:hAnsi="Arial"/>
          <w:sz w:val="20"/>
        </w:rPr>
        <w:t xml:space="preserve"> Nem todas as instituições têm um EGPI dentro de sua organização</w:t>
      </w:r>
      <w:r w:rsidR="008411EA">
        <w:rPr>
          <w:rFonts w:ascii="Arial" w:hAnsi="Arial"/>
          <w:sz w:val="20"/>
        </w:rPr>
        <w:t xml:space="preserve">. </w:t>
      </w:r>
      <w:r>
        <w:rPr>
          <w:rFonts w:ascii="Arial" w:hAnsi="Arial"/>
          <w:sz w:val="20"/>
        </w:rPr>
        <w:t xml:space="preserve">Os principais modelos de negócios para EGPIs estão resumidos na </w:t>
      </w:r>
      <w:hyperlink w:anchor="Box20" w:history="1">
        <w:r>
          <w:rPr>
            <w:rStyle w:val="Hyperlink"/>
            <w:rFonts w:ascii="Arial" w:hAnsi="Arial"/>
            <w:sz w:val="20"/>
          </w:rPr>
          <w:t>Caixa 20</w:t>
        </w:r>
      </w:hyperlink>
      <w:r>
        <w:rPr>
          <w:rFonts w:ascii="Arial" w:hAnsi="Arial"/>
          <w:sz w:val="20"/>
        </w:rPr>
        <w:t>. Os argumentos para criar um EGPI dentro da Instituição ou de uma subsidiária de titularidade integral são complicados, e questões de impostos, evasão de responsabilidade, termos e condições de pessoal e escala são todos fatores na escolha</w:t>
      </w:r>
      <w:r w:rsidR="008411EA">
        <w:rPr>
          <w:rFonts w:ascii="Arial" w:hAnsi="Arial"/>
          <w:sz w:val="20"/>
        </w:rPr>
        <w:t xml:space="preserve">. </w:t>
      </w:r>
      <w:r>
        <w:rPr>
          <w:rFonts w:ascii="Arial" w:hAnsi="Arial"/>
          <w:sz w:val="20"/>
        </w:rPr>
        <w:t xml:space="preserve">Esses fatores diferem em diferentes países e é importante que sejam cuidadosamente revisados no processo de tomada de decisão. </w:t>
      </w:r>
    </w:p>
    <w:p w14:paraId="2543056A" w14:textId="77777777" w:rsidR="006B79B1" w:rsidRPr="0024467F" w:rsidRDefault="006B79B1" w:rsidP="00B7519E">
      <w:pPr>
        <w:pStyle w:val="ListParagraph"/>
        <w:spacing w:after="0" w:line="240" w:lineRule="auto"/>
        <w:ind w:left="426"/>
        <w:jc w:val="both"/>
        <w:rPr>
          <w:rFonts w:ascii="Arial" w:hAnsi="Arial" w:cs="Arial"/>
          <w:sz w:val="20"/>
        </w:rPr>
      </w:pPr>
    </w:p>
    <w:p w14:paraId="1733748D" w14:textId="22FB647F" w:rsidR="006B79B1" w:rsidRPr="00B00EEA" w:rsidRDefault="001B4072" w:rsidP="00464282">
      <w:pPr>
        <w:pStyle w:val="ListParagraph"/>
        <w:numPr>
          <w:ilvl w:val="0"/>
          <w:numId w:val="3"/>
        </w:numPr>
        <w:spacing w:after="0" w:line="240" w:lineRule="auto"/>
        <w:ind w:left="426" w:hanging="426"/>
        <w:jc w:val="both"/>
        <w:rPr>
          <w:rFonts w:ascii="Arial" w:hAnsi="Arial" w:cs="Arial"/>
          <w:sz w:val="20"/>
        </w:rPr>
      </w:pPr>
      <w:r>
        <w:rPr>
          <w:rFonts w:ascii="Arial" w:hAnsi="Arial"/>
          <w:b/>
          <w:sz w:val="20"/>
        </w:rPr>
        <w:t xml:space="preserve">Artigo 4.2.2, </w:t>
      </w:r>
      <w:r>
        <w:rPr>
          <w:rFonts w:ascii="Arial" w:hAnsi="Arial"/>
          <w:b/>
          <w:i/>
          <w:sz w:val="20"/>
        </w:rPr>
        <w:t>responsabilidades</w:t>
      </w:r>
      <w:r w:rsidRPr="00402E50">
        <w:rPr>
          <w:rFonts w:ascii="Arial" w:hAnsi="Arial"/>
          <w:bCs/>
          <w:i/>
          <w:iCs/>
          <w:sz w:val="20"/>
        </w:rPr>
        <w:t>:</w:t>
      </w:r>
      <w:r w:rsidRPr="00402E50">
        <w:rPr>
          <w:rFonts w:ascii="Arial" w:hAnsi="Arial"/>
          <w:sz w:val="20"/>
        </w:rPr>
        <w:t xml:space="preserve"> </w:t>
      </w:r>
      <w:r>
        <w:rPr>
          <w:rFonts w:ascii="Arial" w:hAnsi="Arial"/>
          <w:sz w:val="20"/>
        </w:rPr>
        <w:t>O EGPI atua como mediador entre a Instituição e os usuários comerciais da PI da Instituição e ajuda a preencher a lacuna entre a pesquisa e a implementação da inovação. Para cumprir essa função, o EGPI realiza uma ampla gama de atividades</w:t>
      </w:r>
      <w:r w:rsidR="008411EA">
        <w:rPr>
          <w:rFonts w:ascii="Arial" w:hAnsi="Arial"/>
          <w:sz w:val="20"/>
        </w:rPr>
        <w:t xml:space="preserve">. </w:t>
      </w:r>
      <w:r>
        <w:rPr>
          <w:rFonts w:ascii="Arial" w:hAnsi="Arial"/>
          <w:sz w:val="20"/>
        </w:rPr>
        <w:t xml:space="preserve">Ao listar as responsabilidades de alto nível do EGPI na Política de PI, é recomendável manter os detalhes em um procedimento operacional padrão separado, pois os aspectos processuais podem mudar com mais frequência do que o possível para manter a Política de PI atualizada. </w:t>
      </w:r>
    </w:p>
    <w:p w14:paraId="2C0AFA33" w14:textId="77777777" w:rsidR="006B79B1" w:rsidRPr="0024467F" w:rsidRDefault="006B79B1" w:rsidP="00B7519E">
      <w:pPr>
        <w:pStyle w:val="ListParagraph"/>
        <w:spacing w:after="0" w:line="240" w:lineRule="auto"/>
        <w:ind w:left="426"/>
        <w:jc w:val="both"/>
        <w:rPr>
          <w:rFonts w:ascii="Arial" w:hAnsi="Arial" w:cs="Arial"/>
          <w:b/>
          <w:sz w:val="20"/>
        </w:rPr>
      </w:pPr>
    </w:p>
    <w:p w14:paraId="3C2D3A1D" w14:textId="77777777" w:rsidR="004A71ED" w:rsidRPr="00B00EEA" w:rsidRDefault="00D706DE" w:rsidP="00464282">
      <w:pPr>
        <w:pStyle w:val="ListParagraph"/>
        <w:numPr>
          <w:ilvl w:val="0"/>
          <w:numId w:val="3"/>
        </w:numPr>
        <w:spacing w:after="0" w:line="240" w:lineRule="auto"/>
        <w:ind w:left="426" w:hanging="426"/>
        <w:jc w:val="both"/>
        <w:rPr>
          <w:rFonts w:ascii="Arial" w:hAnsi="Arial" w:cs="Arial"/>
          <w:sz w:val="20"/>
        </w:rPr>
      </w:pPr>
      <w:r>
        <w:rPr>
          <w:rFonts w:ascii="Arial" w:hAnsi="Arial"/>
          <w:sz w:val="20"/>
        </w:rPr>
        <w:t>As principais tarefas típicas do EGPI estão listadas no Artigo 4.2.2 do Modelo:</w:t>
      </w:r>
    </w:p>
    <w:p w14:paraId="2E1B3E3B" w14:textId="77777777" w:rsidR="009368C2" w:rsidRPr="00C04211" w:rsidRDefault="009368C2"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Divulgação/conscientização para Criadores</w:t>
      </w:r>
      <w:r>
        <w:rPr>
          <w:rFonts w:ascii="Arial" w:hAnsi="Arial"/>
          <w:i/>
          <w:sz w:val="20"/>
        </w:rPr>
        <w:t>.</w:t>
      </w:r>
      <w:r w:rsidRPr="00402E50">
        <w:rPr>
          <w:rFonts w:ascii="Arial" w:hAnsi="Arial"/>
          <w:bCs/>
          <w:sz w:val="20"/>
        </w:rPr>
        <w:t xml:space="preserve"> </w:t>
      </w:r>
      <w:r>
        <w:rPr>
          <w:rFonts w:ascii="Arial" w:hAnsi="Arial"/>
          <w:sz w:val="20"/>
        </w:rPr>
        <w:t>Isso inclui a promoção de PI e a comercialização de PI;</w:t>
      </w:r>
    </w:p>
    <w:p w14:paraId="662F3326" w14:textId="77777777" w:rsidR="005A05E5" w:rsidRPr="00CC0CF0" w:rsidRDefault="009368C2"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Gestão de relacionamento com Criadores</w:t>
      </w:r>
      <w:r>
        <w:rPr>
          <w:rFonts w:ascii="Arial" w:hAnsi="Arial"/>
          <w:sz w:val="20"/>
        </w:rPr>
        <w:t xml:space="preserve">. Isso inclui auxiliar pesquisadores a identificar resultados que tenham valor comercial e documentar as descobertas por meio de um processo de divulgação. </w:t>
      </w:r>
    </w:p>
    <w:p w14:paraId="3BCA3137" w14:textId="77777777" w:rsidR="009368C2" w:rsidRPr="00C04211" w:rsidRDefault="009368C2"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Gestão de PI</w:t>
      </w:r>
      <w:r>
        <w:rPr>
          <w:rFonts w:ascii="Arial" w:hAnsi="Arial"/>
          <w:sz w:val="20"/>
        </w:rPr>
        <w:t xml:space="preserve">. Isso geralmente inclui </w:t>
      </w:r>
    </w:p>
    <w:p w14:paraId="56CEE0D9" w14:textId="77777777" w:rsidR="009368C2" w:rsidRPr="00C04211" w:rsidRDefault="009368C2"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t xml:space="preserve">explorar a PI; </w:t>
      </w:r>
    </w:p>
    <w:p w14:paraId="5994C4D0" w14:textId="77777777" w:rsidR="00421C35" w:rsidRPr="00CC0CF0" w:rsidRDefault="009368C2"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t xml:space="preserve">avaliar divulgações de invenções e decidir se deve depositar patentes ou outras formas de proteção de PI; </w:t>
      </w:r>
    </w:p>
    <w:p w14:paraId="3B4F538D" w14:textId="77777777" w:rsidR="00421C35" w:rsidRPr="00CC0CF0" w:rsidRDefault="009368C2"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t>se necessário, garantir financiamento para o depósito de pedidos de PI;</w:t>
      </w:r>
    </w:p>
    <w:p w14:paraId="6D4528F4" w14:textId="77777777" w:rsidR="00E839B7" w:rsidRPr="00B00EEA" w:rsidRDefault="009368C2"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t>gerenciar ou monitorar o processo de proteção de PI e o processo de patentes;</w:t>
      </w:r>
    </w:p>
    <w:p w14:paraId="11410597" w14:textId="77777777" w:rsidR="00BA12C3" w:rsidRPr="00B00EEA" w:rsidRDefault="00BA12C3"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t>desenvolver, com a equipe de desenvolvimento de negócios, uma estratégia de comercialização;</w:t>
      </w:r>
    </w:p>
    <w:p w14:paraId="06802988" w14:textId="77777777" w:rsidR="003C66B2" w:rsidRPr="00B00EEA" w:rsidRDefault="003C66B2" w:rsidP="009D4A54">
      <w:pPr>
        <w:pStyle w:val="ListParagraph"/>
        <w:numPr>
          <w:ilvl w:val="2"/>
          <w:numId w:val="27"/>
        </w:numPr>
        <w:spacing w:after="0" w:line="240" w:lineRule="auto"/>
        <w:ind w:left="1134" w:hanging="425"/>
        <w:jc w:val="both"/>
        <w:rPr>
          <w:rFonts w:ascii="Arial" w:hAnsi="Arial" w:cs="Arial"/>
          <w:sz w:val="20"/>
        </w:rPr>
      </w:pPr>
      <w:r>
        <w:rPr>
          <w:rFonts w:ascii="Arial" w:hAnsi="Arial"/>
          <w:sz w:val="20"/>
        </w:rPr>
        <w:lastRenderedPageBreak/>
        <w:t>se o EGPI decidir não buscar proteção de PI e transferência de tecnologia, implementar um processo para garantir que outros (geralmente o criador) tenham a oportunidade de buscar proteção e comercialização.</w:t>
      </w:r>
    </w:p>
    <w:p w14:paraId="7DC5F84E" w14:textId="0D0AAB9A" w:rsidR="004A71ED" w:rsidRPr="00B00EEA" w:rsidRDefault="00421C35"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Negociação de contratos de PI e marketing de tecnologia</w:t>
      </w:r>
      <w:r w:rsidR="008411EA">
        <w:rPr>
          <w:rFonts w:ascii="Arial" w:hAnsi="Arial"/>
          <w:sz w:val="20"/>
        </w:rPr>
        <w:t xml:space="preserve">. </w:t>
      </w:r>
      <w:r>
        <w:rPr>
          <w:rFonts w:ascii="Arial" w:hAnsi="Arial"/>
          <w:sz w:val="20"/>
        </w:rPr>
        <w:t>Isso inclui a busca por parceiros comerciais e a negociação de acordos de transferência de tecnologia com esses parceiros comerciais (especialmente para colaborações de pesquisa, solicitações de subsídios, contratação de serviços e P&amp;D, consultoria)</w:t>
      </w:r>
      <w:r w:rsidR="008411EA">
        <w:rPr>
          <w:rFonts w:ascii="Arial" w:hAnsi="Arial"/>
          <w:sz w:val="20"/>
        </w:rPr>
        <w:t xml:space="preserve">. </w:t>
      </w:r>
      <w:r>
        <w:rPr>
          <w:rFonts w:ascii="Arial" w:hAnsi="Arial"/>
          <w:sz w:val="20"/>
        </w:rPr>
        <w:t>O objetivo é negociar um acordo justo que facilite e auxilie o parceiro comercial a desenvolver e comercializar o produto com sucesso, em vez de simplesmente tentar negociar taxas/royalties mais altas;</w:t>
      </w:r>
    </w:p>
    <w:p w14:paraId="2ED3C77E" w14:textId="7C9E285D" w:rsidR="00421C35" w:rsidRPr="00B00EEA" w:rsidRDefault="00421C35"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Gestão de contratos de PI e gestão de relacionamento com licenciados</w:t>
      </w:r>
      <w:r w:rsidR="008411EA">
        <w:rPr>
          <w:rFonts w:ascii="Arial" w:hAnsi="Arial"/>
          <w:sz w:val="20"/>
        </w:rPr>
        <w:t xml:space="preserve">. </w:t>
      </w:r>
      <w:r>
        <w:rPr>
          <w:rFonts w:ascii="Arial" w:hAnsi="Arial"/>
          <w:sz w:val="20"/>
        </w:rPr>
        <w:t xml:space="preserve">Uma vez concluído um acordo, monitorar os desenvolvimentos tecnológicos e o cumprimento dos termos dos acordos. </w:t>
      </w:r>
    </w:p>
    <w:p w14:paraId="0D98E9B2" w14:textId="38A1E300" w:rsidR="004A71ED" w:rsidRPr="00B00EEA" w:rsidRDefault="003C66B2" w:rsidP="009D4A54">
      <w:pPr>
        <w:pStyle w:val="ListParagraph"/>
        <w:numPr>
          <w:ilvl w:val="1"/>
          <w:numId w:val="27"/>
        </w:numPr>
        <w:spacing w:after="0" w:line="240" w:lineRule="auto"/>
        <w:ind w:left="709" w:hanging="283"/>
        <w:jc w:val="both"/>
        <w:rPr>
          <w:rFonts w:ascii="Arial" w:hAnsi="Arial" w:cs="Arial"/>
          <w:sz w:val="20"/>
        </w:rPr>
      </w:pPr>
      <w:r>
        <w:rPr>
          <w:rFonts w:ascii="Arial" w:hAnsi="Arial"/>
          <w:color w:val="0070C0"/>
          <w:sz w:val="20"/>
        </w:rPr>
        <w:t>Custos de PI e distribuição de receitas</w:t>
      </w:r>
      <w:r w:rsidR="008411EA">
        <w:rPr>
          <w:rFonts w:ascii="Arial" w:hAnsi="Arial"/>
          <w:sz w:val="20"/>
        </w:rPr>
        <w:t xml:space="preserve">. </w:t>
      </w:r>
      <w:r>
        <w:rPr>
          <w:rFonts w:ascii="Arial" w:hAnsi="Arial"/>
          <w:sz w:val="20"/>
        </w:rPr>
        <w:t>O EGPI normalmente manterá uma série de funções administrativas em apoio às funções primárias de proteção de PI e transferência de tecnologia</w:t>
      </w:r>
      <w:r w:rsidR="008411EA">
        <w:rPr>
          <w:rFonts w:ascii="Arial" w:hAnsi="Arial"/>
          <w:sz w:val="20"/>
        </w:rPr>
        <w:t xml:space="preserve">. </w:t>
      </w:r>
      <w:r>
        <w:rPr>
          <w:rFonts w:ascii="Arial" w:hAnsi="Arial"/>
          <w:sz w:val="20"/>
        </w:rPr>
        <w:t>Essas funções podem incluir contabilidade, distribuição de royalties, gerenciamento de desempenho de licenças e gerenciamento de pedidos de patentes.</w:t>
      </w:r>
    </w:p>
    <w:p w14:paraId="3E49F8A1" w14:textId="77777777" w:rsidR="001E7E61" w:rsidRPr="0024467F" w:rsidRDefault="001E7E61" w:rsidP="00734F31">
      <w:pPr>
        <w:pStyle w:val="ListParagraph"/>
        <w:spacing w:after="0" w:line="240" w:lineRule="auto"/>
        <w:ind w:left="709"/>
        <w:jc w:val="both"/>
        <w:rPr>
          <w:rFonts w:ascii="Arial" w:hAnsi="Arial" w:cs="Arial"/>
          <w:sz w:val="20"/>
        </w:rPr>
      </w:pPr>
    </w:p>
    <w:p w14:paraId="36D3FD59" w14:textId="1644BD3D" w:rsidR="0058096F" w:rsidRPr="00664E3C" w:rsidRDefault="006A0D64" w:rsidP="009D4A54">
      <w:pPr>
        <w:pStyle w:val="ListParagraph"/>
        <w:numPr>
          <w:ilvl w:val="0"/>
          <w:numId w:val="28"/>
        </w:numPr>
        <w:spacing w:after="0" w:line="240" w:lineRule="auto"/>
        <w:ind w:left="426" w:hanging="426"/>
        <w:jc w:val="both"/>
        <w:rPr>
          <w:rFonts w:ascii="Arial" w:hAnsi="Arial" w:cs="Arial"/>
          <w:sz w:val="20"/>
        </w:rPr>
      </w:pPr>
      <w:r>
        <w:rPr>
          <w:rFonts w:ascii="Arial" w:hAnsi="Arial"/>
          <w:sz w:val="20"/>
        </w:rPr>
        <w:t>A seguir está uma lista mais detalhada das possíveis responsabilidades do EGPI</w:t>
      </w:r>
      <w:r w:rsidR="008411EA">
        <w:rPr>
          <w:rFonts w:ascii="Arial" w:hAnsi="Arial"/>
          <w:sz w:val="20"/>
        </w:rPr>
        <w:t xml:space="preserve">. </w:t>
      </w:r>
      <w:r>
        <w:rPr>
          <w:rFonts w:ascii="Arial" w:hAnsi="Arial"/>
          <w:sz w:val="20"/>
        </w:rPr>
        <w:t>A lista é meramente exemplificativa e deverá ser adaptada às necessidades da Instituição. Nem todo EGPI lida com toda a gama de mecanismos de transferência de tecnologia ou com todas as atividades de patenteamento. Este é especialmente o caso em países/instituições onde o inventor/criador detém o direito à PI ou quando o depósito é deixado para empresas colaboradoras</w:t>
      </w:r>
      <w:r w:rsidR="008411EA">
        <w:rPr>
          <w:rFonts w:ascii="Arial" w:hAnsi="Arial"/>
          <w:sz w:val="20"/>
        </w:rPr>
        <w:t xml:space="preserve">. </w:t>
      </w:r>
    </w:p>
    <w:p w14:paraId="7DAB1665" w14:textId="77777777" w:rsidR="006A0D64" w:rsidRPr="0024467F" w:rsidRDefault="006A0D64" w:rsidP="00734F31">
      <w:pPr>
        <w:pStyle w:val="ListParagraph"/>
        <w:autoSpaceDE w:val="0"/>
        <w:autoSpaceDN w:val="0"/>
        <w:adjustRightInd w:val="0"/>
        <w:spacing w:after="0" w:line="240" w:lineRule="auto"/>
        <w:ind w:left="426"/>
        <w:jc w:val="both"/>
        <w:rPr>
          <w:rFonts w:ascii="Arial" w:hAnsi="Arial" w:cs="Arial"/>
        </w:rPr>
      </w:pPr>
    </w:p>
    <w:p w14:paraId="27872371" w14:textId="77777777"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Possíveis Responsabilidades do EGPI</w:t>
      </w:r>
    </w:p>
    <w:p w14:paraId="06677E8C" w14:textId="77777777"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lang w:val="en-US"/>
        </w:rPr>
      </w:pPr>
    </w:p>
    <w:p w14:paraId="4B6E61D4" w14:textId="77777777" w:rsidR="00972755" w:rsidRPr="00B00EEA" w:rsidRDefault="009727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rPr>
      </w:pPr>
      <w:r>
        <w:rPr>
          <w:rFonts w:ascii="Arial" w:hAnsi="Arial"/>
          <w:sz w:val="20"/>
        </w:rPr>
        <w:t xml:space="preserve">Estabelecer um sistema para capturar e proteger a propriedade intelectual da instituição; </w:t>
      </w:r>
    </w:p>
    <w:p w14:paraId="64ABD8DB" w14:textId="77777777"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Estabelecer procedimentos para reportar PI em que a Instituição tenha interesse proprietário;</w:t>
      </w:r>
    </w:p>
    <w:p w14:paraId="2FAB3768" w14:textId="77777777"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Fornecer orientação aos Criadores sobre a gestão de PI no estágio mais inicial possível do processo de invenção;</w:t>
      </w:r>
    </w:p>
    <w:p w14:paraId="56794F32"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rPr>
      </w:pPr>
      <w:r>
        <w:rPr>
          <w:rFonts w:ascii="Arial" w:hAnsi="Arial"/>
          <w:sz w:val="20"/>
        </w:rPr>
        <w:t>Gerenciar a proteção econômica da PI da Instituição;</w:t>
      </w:r>
    </w:p>
    <w:p w14:paraId="06E016C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rPr>
      </w:pPr>
      <w:r>
        <w:rPr>
          <w:rFonts w:ascii="Arial" w:hAnsi="Arial"/>
          <w:sz w:val="20"/>
        </w:rPr>
        <w:t>Comercializar e promover a PI da instituição para encontrar parceiros adequados;</w:t>
      </w:r>
    </w:p>
    <w:p w14:paraId="5DD642BB"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rPr>
      </w:pPr>
      <w:r>
        <w:rPr>
          <w:rFonts w:ascii="Arial" w:hAnsi="Arial"/>
          <w:sz w:val="20"/>
        </w:rPr>
        <w:t>Identificar parceiros qualificados para transferir direitos de uso comercial para PI da Instituição;</w:t>
      </w:r>
    </w:p>
    <w:p w14:paraId="7FCADE7D"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Negociar acordos apropriados entre a Instituição e parceiros para a Comercialização da PI da Instituição;</w:t>
      </w:r>
    </w:p>
    <w:p w14:paraId="24C66A7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rPr>
      </w:pPr>
      <w:r>
        <w:rPr>
          <w:rFonts w:ascii="Arial" w:hAnsi="Arial"/>
          <w:sz w:val="20"/>
        </w:rPr>
        <w:t>Facilitar, quando apropriado, a criação de empresas spin-off;</w:t>
      </w:r>
    </w:p>
    <w:p w14:paraId="6AEEC68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rPr>
      </w:pPr>
      <w:r>
        <w:rPr>
          <w:rFonts w:ascii="Arial" w:hAnsi="Arial"/>
          <w:sz w:val="20"/>
        </w:rPr>
        <w:t>Providenciar a aquisição de participação societária em empresas spin-off pela Instituição;</w:t>
      </w:r>
    </w:p>
    <w:p w14:paraId="6542C91C"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Manter um registro de toda a PI da Instituição protegida, juntamente com registros de todos os custos e receitas gerados por PI individual;</w:t>
      </w:r>
    </w:p>
    <w:p w14:paraId="4E2A2D7C"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Auxiliar os Criadores com procedimentos para registrar atividades de PI para atender às necessidades internas e satisfazer os requisitos de organizações externas;</w:t>
      </w:r>
    </w:p>
    <w:p w14:paraId="431FC09E"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 xml:space="preserve">Orientar os criadores sobre ferramentas de gestão de PI (folhetos informativos, registro e análise de PI, formulários de confidencialidade) para garantir a gestão eficaz da PI; </w:t>
      </w:r>
    </w:p>
    <w:p w14:paraId="342D4DAF"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Procurar, o mais cedo possível, a assistência de organizações externas qualificadas (por exemplo, escritórios de advocacia de PI) para maximizar o potencial da PI que é comercialmente explorável;</w:t>
      </w:r>
    </w:p>
    <w:p w14:paraId="4909F5B6" w14:textId="77777777" w:rsidR="005C6A9D" w:rsidRPr="00B00EEA" w:rsidRDefault="00412CA8"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Auxiliar os Criadores a identificar resultados que tenham valor comercial e ajudá-los a notificar tais resultados ao EGPI, antes da divulgação a qualquer parte externa à Instituição;</w:t>
      </w:r>
    </w:p>
    <w:p w14:paraId="1E24175E"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Analisar todos os Contratos de Pesquisa e outros acordos de financiamento para referências apropriadas aos DPIs e sua conformidade com esta Política;</w:t>
      </w:r>
    </w:p>
    <w:p w14:paraId="69A1393A"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Realizar revisões iniciais das divulgações submetidas à Instituição para determinar os direitos subsequentes às mesmas;</w:t>
      </w:r>
    </w:p>
    <w:p w14:paraId="691D5C3B"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Garantir que os acordos necessários relativos à administração de PI na qual a Instituição tenha interesse proprietário e os consequentes direitos de todas as partes envolvidas, sejam devidamente executados;</w:t>
      </w:r>
    </w:p>
    <w:p w14:paraId="26682E6F"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rPr>
      </w:pPr>
      <w:r>
        <w:rPr>
          <w:rFonts w:ascii="Arial" w:hAnsi="Arial"/>
          <w:sz w:val="20"/>
        </w:rPr>
        <w:t>Determinar a titularidade e/ou cessão, se houver, dos direitos de PI;</w:t>
      </w:r>
    </w:p>
    <w:p w14:paraId="05CA1A7D"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Gerenciar a distribuição das receitas auferidas pela Comercialização de PI conforme os mecanismos de repartição definidos nesta Política;</w:t>
      </w:r>
    </w:p>
    <w:p w14:paraId="3566EFCC" w14:textId="77777777" w:rsidR="005A05E5"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lastRenderedPageBreak/>
        <w:t>Fornecer, sempre que possível, assistência aos pesquisadores no cumprimento de suas obrigações e responsabilidades sob esta Política, bem como incentivar sua participação em qualquer processo de Comercialização relacionado à PI da Instituição.</w:t>
      </w:r>
    </w:p>
    <w:p w14:paraId="490A3C67" w14:textId="77777777" w:rsidR="005A05E5" w:rsidRPr="00B00EEA" w:rsidRDefault="005A05E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rPr>
      </w:pPr>
      <w:r>
        <w:rPr>
          <w:rFonts w:ascii="Arial" w:hAnsi="Arial"/>
          <w:sz w:val="20"/>
        </w:rPr>
        <w:t>Alguns EGPIs também fornecem suporte a spin-offs e serviços de assistência empresarial que promovem o crescimento econômico local.</w:t>
      </w:r>
      <w:r w:rsidRPr="00C04211">
        <w:rPr>
          <w:rStyle w:val="FootnoteReference"/>
          <w:rFonts w:ascii="Arial" w:hAnsi="Arial" w:cs="Arial"/>
          <w:sz w:val="20"/>
          <w:lang w:val="en-US"/>
        </w:rPr>
        <w:footnoteReference w:id="76"/>
      </w:r>
    </w:p>
    <w:p w14:paraId="28BC0659" w14:textId="77777777" w:rsidR="006A0D64" w:rsidRPr="0024467F" w:rsidRDefault="006A0D64" w:rsidP="00972755">
      <w:pPr>
        <w:pStyle w:val="ListParagraph"/>
        <w:autoSpaceDE w:val="0"/>
        <w:autoSpaceDN w:val="0"/>
        <w:adjustRightInd w:val="0"/>
        <w:spacing w:after="0" w:line="240" w:lineRule="auto"/>
        <w:ind w:left="426"/>
        <w:jc w:val="both"/>
        <w:rPr>
          <w:rFonts w:ascii="Arial" w:hAnsi="Arial" w:cs="Arial"/>
          <w:sz w:val="20"/>
        </w:rPr>
      </w:pPr>
    </w:p>
    <w:p w14:paraId="504C5062" w14:textId="083100FC"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Um caso do Brasil – A Lei da Inovação e a Criação dos EGPIs</w:t>
      </w:r>
    </w:p>
    <w:p w14:paraId="1AB4A774" w14:textId="77777777" w:rsidR="005C5EA3" w:rsidRPr="0024467F"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rPr>
      </w:pPr>
    </w:p>
    <w:p w14:paraId="1F88DD8A" w14:textId="77777777"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rPr>
      </w:pPr>
      <w:r>
        <w:rPr>
          <w:rFonts w:ascii="Arial" w:hAnsi="Arial"/>
          <w:sz w:val="20"/>
        </w:rPr>
        <w:t>No Brasil, as práticas de empreendedorismo acadêmico foram estimuladas e legitimadas pela Lei Federal de Inovação (2004). A Lei estabelece as seguintes responsabilidades do EGPI:</w:t>
      </w:r>
    </w:p>
    <w:p w14:paraId="60A7CD26" w14:textId="77777777" w:rsidR="005C5EA3" w:rsidRPr="0024467F"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rPr>
      </w:pPr>
    </w:p>
    <w:p w14:paraId="207618BA"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rPr>
        <w:t>    </w:t>
      </w:r>
      <w:r>
        <w:rPr>
          <w:rFonts w:ascii="Arial" w:hAnsi="Arial"/>
          <w:i/>
          <w:sz w:val="20"/>
        </w:rPr>
        <w:t>I – zelar pela manutenção da política institucional de estímulo à proteção das criações, licenciamento, inovação e outras formas de transferência de tecnologia;</w:t>
      </w:r>
    </w:p>
    <w:p w14:paraId="6D9F5CF4"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II - avaliar e classificar os resultados decorrentes de atividades e projetos de pesquisa para o atendimento das disposições desta Lei;</w:t>
      </w:r>
    </w:p>
    <w:p w14:paraId="15BDDE20"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III - avaliar solicitação de inventor independente para adoção de invenção na forma do art. 22;</w:t>
      </w:r>
    </w:p>
    <w:p w14:paraId="2FFF313E"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IV - opinar pela conveniência e promover a proteção das criações desenvolvidas na instituição;</w:t>
      </w:r>
    </w:p>
    <w:p w14:paraId="6C10D32A"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V - opinar quanto à conveniência de divulgação das criações desenvolvidas na instituição, passíveis de proteção intelectual;</w:t>
      </w:r>
    </w:p>
    <w:p w14:paraId="5C81E293"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VI – acompanhar o processamento dos pedidos e a manutenção dos títulos de propriedade intelectual da instituição.</w:t>
      </w:r>
    </w:p>
    <w:p w14:paraId="7DDE0607"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firstLine="283"/>
        <w:jc w:val="both"/>
        <w:rPr>
          <w:rFonts w:ascii="Arial" w:hAnsi="Arial" w:cs="Arial"/>
          <w:i/>
          <w:sz w:val="20"/>
        </w:rPr>
      </w:pPr>
      <w:r>
        <w:rPr>
          <w:rFonts w:ascii="Arial" w:hAnsi="Arial"/>
          <w:i/>
          <w:sz w:val="20"/>
        </w:rPr>
        <w:t>VII – desenvolver estudos de prospecção tecnológica e de inteligência competitiva no campo da propriedade intelectual, de forma a orientar as ações de inovação</w:t>
      </w:r>
    </w:p>
    <w:p w14:paraId="499A3892" w14:textId="77777777" w:rsidR="001B6F4A" w:rsidRPr="0024467F" w:rsidRDefault="001B6F4A"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rPr>
      </w:pPr>
    </w:p>
    <w:p w14:paraId="3C7926F6" w14:textId="1254BAFA" w:rsidR="001B6F4A" w:rsidRPr="00B00EE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Um Caso da África do Sul</w:t>
      </w:r>
    </w:p>
    <w:p w14:paraId="0ED870C1" w14:textId="77777777" w:rsidR="004F6EC9" w:rsidRPr="0024467F"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p>
    <w:p w14:paraId="206A573C" w14:textId="77777777"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rPr>
      </w:pPr>
      <w:r>
        <w:rPr>
          <w:rFonts w:ascii="Arial" w:hAnsi="Arial"/>
          <w:sz w:val="20"/>
        </w:rPr>
        <w:t>A Lei de Direitos de Propriedade Intelectual de Pesquisa e Desenvolvimento Financiados Publicamente (2008) estabelece as seguintes responsabilidades do EGPI:</w:t>
      </w:r>
    </w:p>
    <w:p w14:paraId="2AA15856" w14:textId="77777777" w:rsidR="001B6F4A" w:rsidRPr="0024467F"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bCs/>
        </w:rPr>
      </w:pPr>
    </w:p>
    <w:p w14:paraId="0AC6B649" w14:textId="77777777" w:rsidR="004F6EC9"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b/>
          <w:i/>
          <w:sz w:val="20"/>
        </w:rPr>
        <w:t xml:space="preserve">7. </w:t>
      </w:r>
      <w:r>
        <w:rPr>
          <w:rFonts w:ascii="Arial" w:hAnsi="Arial"/>
          <w:i/>
          <w:sz w:val="20"/>
        </w:rPr>
        <w:t xml:space="preserve">(1) As funções de um escritório de transferência de tecnologia devem ser desempenhadas por pessoal devidamente qualificado que, quando considerado coletivamente, tenha conhecimentos, qualificações e competências interdisciplinares na identificação, proteção, gestão e comercialização da propriedade intelectual e nas transacções de propriedade intelectual. </w:t>
      </w:r>
    </w:p>
    <w:p w14:paraId="044BB63C" w14:textId="77777777"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(2) Um escritório de transferência de tecnologia deve, em relação à pesquisa e desenvolvimento financiados publicamente: (a) desenvolver e implementar, em nome da Instituição ou região, políticas para divulgação, identificação, proteção, desenvolvimento, comercialização e acordos de repartição de benefícios; (b) receber divulgações de propriedade intelectual potencial proveniente de pesquisa e desenvolvimento financiados publicamente; (c) analisar as divulgações para qualquer potencial comercial, o provável sucesso de tal comercialização, a existência e a forma dos direitos de propriedade intelectual, o estágio de desenvolvimento dos mesmos e a forma apropriada para proteger esses direitos; (d) atender a todos os aspectos da proteção estatutária da propriedade intelectual; (e) encaminhar as divulgações ao ENGPI</w:t>
      </w:r>
      <w:r w:rsidR="00953A85" w:rsidRPr="00B00EEA">
        <w:rPr>
          <w:rStyle w:val="FootnoteReference"/>
          <w:rFonts w:ascii="Arial" w:hAnsi="Arial" w:cs="Arial"/>
          <w:i/>
          <w:sz w:val="20"/>
          <w:lang w:val="en-US"/>
        </w:rPr>
        <w:footnoteReference w:id="77"/>
      </w:r>
      <w:r>
        <w:rPr>
          <w:rFonts w:ascii="Arial" w:hAnsi="Arial"/>
          <w:i/>
          <w:sz w:val="20"/>
        </w:rPr>
        <w:t xml:space="preserve"> em nome de uma Instituição; (f) atender a todos os aspectos das transações de propriedade intelectual e da comercialização da propriedade intelectual; (g) conduzir avaliações sobre o escopo da proteção estatutária da propriedade intelectual em todos os territórios geográficos sujeitos ao potencial de comercialização da propriedade intelectual; e …..</w:t>
      </w:r>
    </w:p>
    <w:p w14:paraId="679AD99C" w14:textId="77777777" w:rsidR="001B6F4A" w:rsidRPr="0024467F" w:rsidRDefault="001B6F4A" w:rsidP="00B7519E">
      <w:pPr>
        <w:shd w:val="clear" w:color="auto" w:fill="FFFFFF" w:themeFill="background1"/>
        <w:autoSpaceDE w:val="0"/>
        <w:autoSpaceDN w:val="0"/>
        <w:adjustRightInd w:val="0"/>
        <w:spacing w:after="0" w:line="240" w:lineRule="auto"/>
        <w:jc w:val="both"/>
        <w:rPr>
          <w:rFonts w:ascii="Arial" w:hAnsi="Arial" w:cs="Arial"/>
          <w:b/>
          <w:bCs/>
        </w:rPr>
      </w:pPr>
    </w:p>
    <w:p w14:paraId="3A9B3041" w14:textId="77777777" w:rsidR="00D1450A" w:rsidRPr="0024467F" w:rsidRDefault="00D1450A" w:rsidP="00734F31">
      <w:pPr>
        <w:spacing w:after="0" w:line="240" w:lineRule="auto"/>
        <w:jc w:val="both"/>
        <w:rPr>
          <w:rFonts w:ascii="Arial" w:hAnsi="Arial" w:cs="Arial"/>
          <w:color w:val="0070C0"/>
        </w:rPr>
      </w:pPr>
    </w:p>
    <w:p w14:paraId="6E970DBE" w14:textId="77777777" w:rsidR="00664E3C" w:rsidRPr="0024467F" w:rsidRDefault="00664E3C" w:rsidP="00734F31">
      <w:pPr>
        <w:spacing w:after="0" w:line="240" w:lineRule="auto"/>
        <w:jc w:val="both"/>
        <w:rPr>
          <w:rFonts w:ascii="Arial" w:hAnsi="Arial" w:cs="Arial"/>
          <w:color w:val="0070C0"/>
        </w:rPr>
      </w:pPr>
    </w:p>
    <w:p w14:paraId="33F733F3" w14:textId="77777777" w:rsidR="00664E3C" w:rsidRPr="0024467F" w:rsidRDefault="00664E3C" w:rsidP="00734F31">
      <w:pPr>
        <w:spacing w:after="0" w:line="240" w:lineRule="auto"/>
        <w:jc w:val="both"/>
        <w:rPr>
          <w:rFonts w:ascii="Arial" w:hAnsi="Arial" w:cs="Arial"/>
          <w:color w:val="0070C0"/>
        </w:rPr>
      </w:pPr>
    </w:p>
    <w:p w14:paraId="2D90C9EB" w14:textId="77777777" w:rsidR="004F6EC9" w:rsidRPr="00B00EEA" w:rsidRDefault="004F6EC9" w:rsidP="004B4C70">
      <w:pPr>
        <w:pStyle w:val="ListParagraph"/>
        <w:keepNext/>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rPr>
      </w:pPr>
      <w:r>
        <w:rPr>
          <w:rFonts w:ascii="Arial" w:hAnsi="Arial"/>
          <w:b/>
          <w:sz w:val="20"/>
        </w:rPr>
        <w:lastRenderedPageBreak/>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Dicas para Estabelecer um EGPI Eficaz </w:t>
      </w:r>
    </w:p>
    <w:p w14:paraId="269F11A4" w14:textId="77777777" w:rsidR="004F6EC9" w:rsidRPr="0024467F" w:rsidRDefault="004F6EC9" w:rsidP="004B4C70">
      <w:pPr>
        <w:pStyle w:val="ListParagraph"/>
        <w:keepNext/>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rPr>
      </w:pPr>
    </w:p>
    <w:p w14:paraId="3F748F2E" w14:textId="77777777" w:rsidR="00D1450A"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rPr>
      </w:pPr>
      <w:r>
        <w:rPr>
          <w:rFonts w:ascii="Arial" w:hAnsi="Arial"/>
          <w:sz w:val="20"/>
        </w:rPr>
        <w:t>Um EGPI que funcione bem requer</w:t>
      </w:r>
      <w:r w:rsidR="0055364C" w:rsidRPr="00B00EEA">
        <w:rPr>
          <w:rStyle w:val="FootnoteReference"/>
          <w:rFonts w:ascii="Arial" w:hAnsi="Arial" w:cs="Arial"/>
          <w:sz w:val="20"/>
          <w:lang w:val="en-US"/>
        </w:rPr>
        <w:footnoteReference w:id="78"/>
      </w:r>
      <w:r>
        <w:rPr>
          <w:rFonts w:ascii="Arial" w:hAnsi="Arial"/>
          <w:sz w:val="20"/>
        </w:rPr>
        <w:t>:</w:t>
      </w:r>
    </w:p>
    <w:p w14:paraId="75A59FF0" w14:textId="77777777" w:rsidR="00694FA7" w:rsidRPr="0024467F" w:rsidRDefault="00694FA7"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rPr>
      </w:pPr>
    </w:p>
    <w:p w14:paraId="6DF5BE49" w14:textId="77777777"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Uma missão articulada</w:t>
      </w:r>
      <w:r w:rsidRPr="00B00EEA">
        <w:rPr>
          <w:rStyle w:val="FootnoteReference"/>
          <w:rFonts w:ascii="Arial" w:hAnsi="Arial" w:cs="Arial"/>
          <w:i/>
          <w:sz w:val="20"/>
          <w:lang w:val="en-US"/>
        </w:rPr>
        <w:footnoteReference w:id="79"/>
      </w:r>
    </w:p>
    <w:p w14:paraId="0791D95B"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Políticas e procedimentos transparentes</w:t>
      </w:r>
    </w:p>
    <w:p w14:paraId="014C1BA7" w14:textId="77777777" w:rsidR="0055364C"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Equipe competente e empreendedora e ambiente empreendedor</w:t>
      </w:r>
    </w:p>
    <w:p w14:paraId="5FCD93DB" w14:textId="77777777" w:rsidR="005B21C2"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Infraestrutura administrativa suficiente</w:t>
      </w:r>
    </w:p>
    <w:p w14:paraId="6CAE2F9E"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Relacionamentos favoráveis ao cliente com constituintes internos e externos</w:t>
      </w:r>
    </w:p>
    <w:p w14:paraId="7165BDC0" w14:textId="77777777" w:rsidR="00694FA7"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Uma administração universitária e comunidade altamente solidárias</w:t>
      </w:r>
    </w:p>
    <w:p w14:paraId="672D6A9B"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Fortes vínculos com potenciais parceiros da indústria</w:t>
      </w:r>
    </w:p>
    <w:p w14:paraId="545F9FE3"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Acesso ao capital de risco ou capital empreendedor</w:t>
      </w:r>
    </w:p>
    <w:p w14:paraId="7385B0A9" w14:textId="77777777"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Expectativas econômicas realistas</w:t>
      </w:r>
    </w:p>
    <w:p w14:paraId="6AD7447E" w14:textId="77777777" w:rsidR="00AB722E" w:rsidRPr="00B00EEA" w:rsidRDefault="00AB722E"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r>
        <w:rPr>
          <w:rFonts w:ascii="Arial" w:hAnsi="Arial"/>
          <w:sz w:val="20"/>
        </w:rPr>
        <w:t>Ferramentas e infraestrutura adequadas para proteger e comercializar PI (como fundo de patentes, fundo de prova de conceito, etc.).</w:t>
      </w:r>
    </w:p>
    <w:p w14:paraId="5F6B94C6" w14:textId="77777777" w:rsidR="00D1450A" w:rsidRPr="0024467F" w:rsidRDefault="00D1450A" w:rsidP="00734F31">
      <w:pPr>
        <w:spacing w:after="0" w:line="240" w:lineRule="auto"/>
        <w:jc w:val="both"/>
        <w:rPr>
          <w:rFonts w:ascii="Arial" w:hAnsi="Arial" w:cs="Arial"/>
          <w:sz w:val="20"/>
        </w:rPr>
      </w:pPr>
    </w:p>
    <w:p w14:paraId="3D376BA3" w14:textId="512BA728" w:rsidR="003A27A7" w:rsidRPr="00B00EEA" w:rsidRDefault="00E444E9" w:rsidP="00464282">
      <w:pPr>
        <w:pStyle w:val="ListParagraph"/>
        <w:numPr>
          <w:ilvl w:val="0"/>
          <w:numId w:val="3"/>
        </w:numPr>
        <w:spacing w:after="0" w:line="240" w:lineRule="auto"/>
        <w:ind w:left="426" w:hanging="426"/>
        <w:jc w:val="both"/>
        <w:rPr>
          <w:rFonts w:ascii="Arial" w:hAnsi="Arial" w:cs="Arial"/>
          <w:sz w:val="20"/>
        </w:rPr>
      </w:pPr>
      <w:r>
        <w:rPr>
          <w:rFonts w:ascii="Arial" w:hAnsi="Arial"/>
          <w:b/>
          <w:sz w:val="20"/>
        </w:rPr>
        <w:t>Independência do EGPI</w:t>
      </w:r>
      <w:r>
        <w:rPr>
          <w:rFonts w:ascii="Arial" w:hAnsi="Arial"/>
          <w:sz w:val="20"/>
        </w:rPr>
        <w:t>: É importante que as Instituições sejam mantidas à distância das negociações diretas com parceiros de comercialização de PI, do envolvimento com transações de contratos de PI ou do processo de comercialização</w:t>
      </w:r>
      <w:r w:rsidR="008411EA">
        <w:rPr>
          <w:rFonts w:ascii="Arial" w:hAnsi="Arial"/>
          <w:sz w:val="20"/>
        </w:rPr>
        <w:t xml:space="preserve">. </w:t>
      </w:r>
      <w:r>
        <w:rPr>
          <w:rFonts w:ascii="Arial" w:hAnsi="Arial"/>
          <w:sz w:val="20"/>
        </w:rPr>
        <w:t>Nesse contexto, é essencial que a gerência executiva da Instituição ou membros do Comitê de PI não se envolvam na tomada de decisões sobre transações do EGPI.</w:t>
      </w:r>
      <w:r w:rsidR="004F6AC2" w:rsidRPr="00B3511C">
        <w:rPr>
          <w:rStyle w:val="FootnoteReference"/>
          <w:rFonts w:ascii="Arial" w:hAnsi="Arial" w:cs="Arial"/>
          <w:sz w:val="20"/>
          <w:lang w:val="en-US"/>
        </w:rPr>
        <w:footnoteReference w:id="80"/>
      </w:r>
      <w:r>
        <w:rPr>
          <w:rFonts w:ascii="Arial" w:hAnsi="Arial"/>
          <w:sz w:val="20"/>
        </w:rPr>
        <w:t xml:space="preserve">  Em certos casos, as Instituições expandem essa independência criando uma entidade jurídica autônoma que é de titularidade integral da Instituição, especificamente para fins de comercialização</w:t>
      </w:r>
      <w:r w:rsidR="008411EA">
        <w:rPr>
          <w:rFonts w:ascii="Arial" w:hAnsi="Arial"/>
          <w:sz w:val="20"/>
        </w:rPr>
        <w:t xml:space="preserve">. </w:t>
      </w:r>
      <w:r>
        <w:rPr>
          <w:rFonts w:ascii="Arial" w:hAnsi="Arial"/>
          <w:sz w:val="20"/>
        </w:rPr>
        <w:t>A PI é então licenciada ou cedida a essa entidade de modo que quaisquer riscos associados sejam protegidos da Instituição</w:t>
      </w:r>
      <w:r w:rsidR="008411EA">
        <w:rPr>
          <w:rFonts w:ascii="Arial" w:hAnsi="Arial"/>
          <w:sz w:val="20"/>
        </w:rPr>
        <w:t xml:space="preserve">. </w:t>
      </w:r>
    </w:p>
    <w:p w14:paraId="122921C9" w14:textId="77777777" w:rsidR="003A27A7" w:rsidRPr="0024467F" w:rsidRDefault="003A27A7" w:rsidP="00B7519E">
      <w:pPr>
        <w:pStyle w:val="ListParagraph"/>
        <w:spacing w:after="0" w:line="240" w:lineRule="auto"/>
        <w:ind w:left="426"/>
        <w:jc w:val="both"/>
        <w:rPr>
          <w:rFonts w:ascii="Arial" w:hAnsi="Arial" w:cs="Arial"/>
          <w:sz w:val="20"/>
        </w:rPr>
      </w:pPr>
    </w:p>
    <w:p w14:paraId="4F01E021" w14:textId="77777777" w:rsidR="00372763" w:rsidRPr="00B00EEA" w:rsidRDefault="003A27A7" w:rsidP="00464282">
      <w:pPr>
        <w:pStyle w:val="ListParagraph"/>
        <w:numPr>
          <w:ilvl w:val="0"/>
          <w:numId w:val="3"/>
        </w:numPr>
        <w:spacing w:after="0" w:line="240" w:lineRule="auto"/>
        <w:ind w:left="426" w:hanging="426"/>
        <w:jc w:val="both"/>
        <w:rPr>
          <w:rFonts w:ascii="Arial" w:hAnsi="Arial" w:cs="Arial"/>
          <w:sz w:val="20"/>
        </w:rPr>
      </w:pPr>
      <w:r>
        <w:rPr>
          <w:rFonts w:ascii="Arial" w:hAnsi="Arial"/>
          <w:sz w:val="20"/>
        </w:rPr>
        <w:t>Um exemplo de uma empresa autônoma de titularidade integral é a Innovus</w:t>
      </w:r>
      <w:r w:rsidR="00372763" w:rsidRPr="00B3511C">
        <w:rPr>
          <w:rStyle w:val="FootnoteReference"/>
          <w:rFonts w:ascii="Arial" w:hAnsi="Arial" w:cs="Arial"/>
          <w:sz w:val="20"/>
          <w:lang w:val="en-US"/>
        </w:rPr>
        <w:footnoteReference w:id="81"/>
      </w:r>
      <w:r>
        <w:rPr>
          <w:rFonts w:ascii="Arial" w:hAnsi="Arial"/>
          <w:sz w:val="20"/>
        </w:rPr>
        <w:t xml:space="preserve">, que se define como </w:t>
      </w:r>
      <w:r>
        <w:rPr>
          <w:rFonts w:ascii="Arial" w:hAnsi="Arial"/>
          <w:i/>
          <w:sz w:val="20"/>
        </w:rPr>
        <w:t>“a empresa de interação e inovação entre a indústria e a universidade da Universidade de Stellenbosch… responsável pela transferência de tecnologia, apoio e desenvolvimento empresarial e inovação na universidade. Gerenciamos a comercialização do portfólio de inovação e de propriedade intelectual da Universidade por meio de patentes, licenciamentos e formação de empresas spin-out”.</w:t>
      </w:r>
      <w:r>
        <w:rPr>
          <w:rFonts w:ascii="Arial" w:hAnsi="Arial"/>
          <w:sz w:val="20"/>
        </w:rPr>
        <w:t xml:space="preserve"> Para mais informações e exemplos de tais estruturas, veja </w:t>
      </w:r>
      <w:hyperlink w:anchor="Box22" w:history="1">
        <w:r>
          <w:rPr>
            <w:rStyle w:val="Hyperlink"/>
            <w:rFonts w:ascii="Arial" w:hAnsi="Arial"/>
            <w:sz w:val="20"/>
          </w:rPr>
          <w:t>Caixa 22</w:t>
        </w:r>
      </w:hyperlink>
      <w:r>
        <w:rPr>
          <w:rFonts w:ascii="Arial" w:hAnsi="Arial"/>
          <w:sz w:val="20"/>
        </w:rPr>
        <w:t>.</w:t>
      </w:r>
    </w:p>
    <w:p w14:paraId="1600301A" w14:textId="77777777" w:rsidR="00F56F05" w:rsidRPr="0024467F" w:rsidRDefault="00F56F05" w:rsidP="00734F31">
      <w:pPr>
        <w:pStyle w:val="ListParagraph"/>
        <w:spacing w:line="240" w:lineRule="auto"/>
        <w:ind w:left="426" w:hanging="426"/>
        <w:jc w:val="both"/>
        <w:rPr>
          <w:rFonts w:ascii="Arial" w:hAnsi="Arial" w:cs="Arial"/>
          <w:sz w:val="20"/>
        </w:rPr>
      </w:pPr>
    </w:p>
    <w:p w14:paraId="20420E51" w14:textId="6D2C98C9" w:rsidR="005629A1" w:rsidRPr="00B00EEA" w:rsidRDefault="00BD5A7D" w:rsidP="00464282">
      <w:pPr>
        <w:pStyle w:val="ListParagraph"/>
        <w:numPr>
          <w:ilvl w:val="0"/>
          <w:numId w:val="3"/>
        </w:numPr>
        <w:spacing w:after="0" w:line="240" w:lineRule="auto"/>
        <w:ind w:left="426" w:hanging="426"/>
        <w:jc w:val="both"/>
        <w:rPr>
          <w:rFonts w:ascii="Arial" w:hAnsi="Arial" w:cs="Arial"/>
          <w:sz w:val="20"/>
        </w:rPr>
      </w:pPr>
      <w:r>
        <w:rPr>
          <w:rFonts w:ascii="Arial" w:hAnsi="Arial"/>
          <w:b/>
          <w:sz w:val="20"/>
        </w:rPr>
        <w:t>Supervisão de governança</w:t>
      </w:r>
      <w:r w:rsidR="008411EA">
        <w:rPr>
          <w:rFonts w:ascii="Arial" w:hAnsi="Arial"/>
          <w:b/>
          <w:sz w:val="20"/>
        </w:rPr>
        <w:t>.</w:t>
      </w:r>
      <w:r w:rsidR="008411EA" w:rsidRPr="004B4C70">
        <w:rPr>
          <w:rFonts w:ascii="Arial" w:hAnsi="Arial"/>
          <w:bCs/>
          <w:sz w:val="20"/>
        </w:rPr>
        <w:t xml:space="preserve"> </w:t>
      </w:r>
      <w:r>
        <w:rPr>
          <w:rFonts w:ascii="Arial" w:hAnsi="Arial"/>
          <w:sz w:val="20"/>
        </w:rPr>
        <w:t>A maioria das instituições concorda que é inteiramente apropriado e necessário que o Comitê de PI tenha supervisão sobre os orçamentos, pessoal, implementação de políticas, modelo de negócios e estratégia do EGPI; mas a interferência nas decisões de gestão do EGPI ou em transações específicas de PI não é apropriada nem construtiva</w:t>
      </w:r>
      <w:r w:rsidR="008411EA">
        <w:rPr>
          <w:rFonts w:ascii="Arial" w:hAnsi="Arial"/>
          <w:sz w:val="20"/>
        </w:rPr>
        <w:t xml:space="preserve">. </w:t>
      </w:r>
      <w:r>
        <w:rPr>
          <w:rFonts w:ascii="Arial" w:hAnsi="Arial"/>
          <w:sz w:val="20"/>
        </w:rPr>
        <w:t>A manutenção dessas distinções claras entre essas esferas permite que uma Instituição conduza uma comercialização eficaz de PI sem comprometer seu caráter como uma entidade não comercial estabelecida para servir ao bem público.</w:t>
      </w:r>
    </w:p>
    <w:p w14:paraId="212C0E19" w14:textId="77777777" w:rsidR="00B52DDD" w:rsidRPr="00B00EEA" w:rsidRDefault="00625FEC" w:rsidP="00B7519E">
      <w:pPr>
        <w:pStyle w:val="Heading3"/>
        <w:spacing w:before="360"/>
        <w:rPr>
          <w:sz w:val="24"/>
        </w:rPr>
      </w:pPr>
      <w:bookmarkStart w:id="127" w:name="_Toc494115961"/>
      <w:bookmarkStart w:id="128" w:name="_Toc516160055"/>
      <w:bookmarkStart w:id="129" w:name="_Toc516219398"/>
      <w:bookmarkStart w:id="130" w:name="_Toc516496039"/>
      <w:bookmarkStart w:id="131" w:name="_Toc516829411"/>
      <w:r>
        <w:rPr>
          <w:sz w:val="24"/>
        </w:rPr>
        <w:t>EGPI – qual estrutura organizacional</w:t>
      </w:r>
      <w:bookmarkEnd w:id="127"/>
      <w:r>
        <w:rPr>
          <w:sz w:val="24"/>
        </w:rPr>
        <w:t xml:space="preserve"> escolher?</w:t>
      </w:r>
      <w:bookmarkEnd w:id="128"/>
      <w:bookmarkEnd w:id="129"/>
      <w:bookmarkEnd w:id="130"/>
      <w:bookmarkEnd w:id="131"/>
    </w:p>
    <w:p w14:paraId="3225924D" w14:textId="77777777" w:rsidR="001729EC" w:rsidRPr="00B00EEA" w:rsidRDefault="00C87702" w:rsidP="00734F31">
      <w:pPr>
        <w:spacing w:line="240" w:lineRule="auto"/>
        <w:jc w:val="both"/>
        <w:rPr>
          <w:rFonts w:ascii="Arial" w:hAnsi="Arial" w:cs="Arial"/>
          <w:sz w:val="20"/>
          <w:szCs w:val="32"/>
        </w:rPr>
      </w:pPr>
      <w:r>
        <w:rPr>
          <w:rFonts w:ascii="Arial" w:hAnsi="Arial"/>
          <w:sz w:val="20"/>
        </w:rPr>
        <w:t>A função de operações de PI pode ser abordada de diferentes maneiras e deve se adequar às necessidades e recursos locais. Não existe uma única maneira “certa” de configurar um EGPI, mas o sucesso requer a consideração de algumas questões específicas.</w:t>
      </w:r>
    </w:p>
    <w:p w14:paraId="666A56CF" w14:textId="09BFE870" w:rsidR="00543D28" w:rsidRPr="00B00EEA" w:rsidRDefault="00543D28"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Escritório Interno.</w:t>
      </w:r>
      <w:r>
        <w:rPr>
          <w:rFonts w:ascii="Arial" w:hAnsi="Arial"/>
          <w:sz w:val="20"/>
        </w:rPr>
        <w:t xml:space="preserve"> Atualmente, o formulário mais amplamente usado é o EGPI interno. Ter uma unidade organizacional ou departamento especializado incorporado </w:t>
      </w:r>
      <w:r>
        <w:rPr>
          <w:rFonts w:ascii="Arial" w:hAnsi="Arial"/>
          <w:sz w:val="20"/>
          <w:u w:val="single"/>
        </w:rPr>
        <w:t>dentro da Instituição</w:t>
      </w:r>
      <w:r>
        <w:rPr>
          <w:rFonts w:ascii="Arial" w:hAnsi="Arial"/>
          <w:sz w:val="20"/>
        </w:rPr>
        <w:t xml:space="preserve"> é muitas vezes melhor ganhar a confiança dos pesquisadores e ser capaz de reconhecer novas oportunidades</w:t>
      </w:r>
      <w:r w:rsidR="008411EA">
        <w:rPr>
          <w:rFonts w:ascii="Arial" w:hAnsi="Arial"/>
          <w:sz w:val="20"/>
        </w:rPr>
        <w:t xml:space="preserve">. </w:t>
      </w:r>
      <w:r>
        <w:rPr>
          <w:rFonts w:ascii="Arial" w:hAnsi="Arial"/>
          <w:sz w:val="20"/>
        </w:rPr>
        <w:t xml:space="preserve">Uma instituição que queira se envolver em PI de forma sistemática deve ter pelo </w:t>
      </w:r>
      <w:r>
        <w:rPr>
          <w:rFonts w:ascii="Arial" w:hAnsi="Arial"/>
          <w:sz w:val="20"/>
        </w:rPr>
        <w:lastRenderedPageBreak/>
        <w:t xml:space="preserve">menos uma </w:t>
      </w:r>
      <w:r>
        <w:rPr>
          <w:rFonts w:ascii="Arial" w:hAnsi="Arial"/>
          <w:sz w:val="20"/>
          <w:u w:val="single"/>
        </w:rPr>
        <w:t>pessoa responsável de nível gerencial</w:t>
      </w:r>
      <w:r>
        <w:rPr>
          <w:rFonts w:ascii="Arial" w:hAnsi="Arial"/>
          <w:sz w:val="20"/>
        </w:rPr>
        <w:t xml:space="preserve"> da função. Além disso, a complexidade das atividades baseadas em PI quase sempre exige que pelo menos um funcionário de nível gerencial esteja comprometido com a função em tempo integral. Assumindo algum nível básico de atividade inventiva ou criativa na Instituição, mesmo a menor Instituição deve considerar designar uma pessoa qualificada para ser responsável por essa função</w:t>
      </w:r>
      <w:r w:rsidR="008411EA">
        <w:rPr>
          <w:rFonts w:ascii="Arial" w:hAnsi="Arial"/>
          <w:sz w:val="20"/>
        </w:rPr>
        <w:t xml:space="preserve">. </w:t>
      </w:r>
      <w:r>
        <w:rPr>
          <w:rFonts w:ascii="Arial" w:hAnsi="Arial"/>
          <w:sz w:val="20"/>
        </w:rPr>
        <w:t>No entanto, os custos muitas vezes limitam esta opção para as universidades, especialmente nas fases iniciais de implementação de uma função de PI</w:t>
      </w:r>
      <w:r w:rsidR="0012633A" w:rsidRPr="00B00EEA">
        <w:rPr>
          <w:rStyle w:val="FootnoteReference"/>
          <w:rFonts w:ascii="Arial" w:hAnsi="Arial" w:cs="Arial"/>
          <w:sz w:val="20"/>
          <w:szCs w:val="32"/>
          <w:lang w:val="en-US"/>
        </w:rPr>
        <w:footnoteReference w:id="82"/>
      </w:r>
      <w:r>
        <w:rPr>
          <w:rFonts w:ascii="Arial" w:hAnsi="Arial"/>
          <w:sz w:val="20"/>
        </w:rPr>
        <w:t>. Nesse caso, os seguintes modelos alternativos, que se mostraram bem-sucedidos globalmente, podem ser usados.</w:t>
      </w:r>
    </w:p>
    <w:p w14:paraId="18911DF1" w14:textId="77777777" w:rsidR="00395745" w:rsidRPr="0024467F" w:rsidRDefault="00395745" w:rsidP="00734F31">
      <w:pPr>
        <w:pStyle w:val="ListParagraph"/>
        <w:spacing w:after="0" w:line="240" w:lineRule="auto"/>
        <w:ind w:left="284"/>
        <w:jc w:val="both"/>
        <w:rPr>
          <w:rFonts w:ascii="Arial" w:hAnsi="Arial" w:cs="Arial"/>
          <w:sz w:val="20"/>
          <w:szCs w:val="32"/>
        </w:rPr>
      </w:pPr>
    </w:p>
    <w:p w14:paraId="123658C2" w14:textId="4470E20F" w:rsidR="00597609" w:rsidRPr="00B00EEA" w:rsidRDefault="004078AC" w:rsidP="00464282">
      <w:pPr>
        <w:pStyle w:val="ListParagraph"/>
        <w:numPr>
          <w:ilvl w:val="0"/>
          <w:numId w:val="3"/>
        </w:numPr>
        <w:spacing w:after="0" w:line="240" w:lineRule="auto"/>
        <w:ind w:left="426" w:hanging="426"/>
        <w:jc w:val="both"/>
        <w:rPr>
          <w:rFonts w:ascii="Arial" w:hAnsi="Arial" w:cs="Arial"/>
          <w:b/>
          <w:sz w:val="20"/>
          <w:szCs w:val="32"/>
        </w:rPr>
      </w:pPr>
      <w:r>
        <w:rPr>
          <w:rFonts w:ascii="Arial" w:hAnsi="Arial"/>
          <w:b/>
          <w:sz w:val="20"/>
        </w:rPr>
        <w:t>Empresa subsidiária de titularidade integral</w:t>
      </w:r>
      <w:r w:rsidR="008411EA">
        <w:rPr>
          <w:rFonts w:ascii="Arial" w:hAnsi="Arial"/>
          <w:sz w:val="20"/>
        </w:rPr>
        <w:t xml:space="preserve">. </w:t>
      </w:r>
      <w:r>
        <w:rPr>
          <w:rFonts w:ascii="Arial" w:hAnsi="Arial"/>
          <w:sz w:val="20"/>
        </w:rPr>
        <w:t>Esta estrutura oferece certas vantagens:</w:t>
      </w:r>
    </w:p>
    <w:p w14:paraId="49F7B26A" w14:textId="77777777" w:rsidR="00597609" w:rsidRPr="00B00EEA" w:rsidRDefault="00597609" w:rsidP="009D4A54">
      <w:pPr>
        <w:pStyle w:val="ListParagraph"/>
        <w:numPr>
          <w:ilvl w:val="1"/>
          <w:numId w:val="158"/>
        </w:numPr>
        <w:spacing w:after="0" w:line="240" w:lineRule="auto"/>
        <w:ind w:left="993" w:hanging="426"/>
        <w:jc w:val="both"/>
        <w:rPr>
          <w:rFonts w:ascii="Arial" w:hAnsi="Arial" w:cs="Arial"/>
          <w:b/>
          <w:sz w:val="20"/>
          <w:szCs w:val="32"/>
        </w:rPr>
      </w:pPr>
      <w:r>
        <w:rPr>
          <w:rFonts w:ascii="Arial" w:hAnsi="Arial"/>
          <w:sz w:val="20"/>
        </w:rPr>
        <w:t>Ao privatizar o EGPI, a Instituição pode financiar suas próprias atividades e não é restringida pelas finanças da Instituição. Ela tem mais flexibilidade para oferecer salários competitivos aos funcionários do EGPI e funcionários seniores recrutados na indústria.</w:t>
      </w:r>
    </w:p>
    <w:p w14:paraId="3E845F3B" w14:textId="77777777" w:rsidR="00597609" w:rsidRPr="00B00EEA" w:rsidRDefault="00335F58" w:rsidP="009D4A54">
      <w:pPr>
        <w:pStyle w:val="ListParagraph"/>
        <w:numPr>
          <w:ilvl w:val="1"/>
          <w:numId w:val="158"/>
        </w:numPr>
        <w:spacing w:after="0" w:line="240" w:lineRule="auto"/>
        <w:ind w:left="993" w:hanging="426"/>
        <w:jc w:val="both"/>
        <w:rPr>
          <w:rFonts w:ascii="Arial" w:hAnsi="Arial" w:cs="Arial"/>
          <w:b/>
          <w:sz w:val="20"/>
          <w:szCs w:val="32"/>
        </w:rPr>
      </w:pPr>
      <w:r>
        <w:rPr>
          <w:rFonts w:ascii="Arial" w:hAnsi="Arial"/>
          <w:sz w:val="20"/>
        </w:rPr>
        <w:t xml:space="preserve">Uma empresa subsidiária tem a vantagem adicional de proteger a Instituição dos riscos diretos associados à comercialização de PI, pois pode ser processada e pode processar em seu próprio nome, enquanto um EGPI interno não tem personalidade jurídica autônoma. </w:t>
      </w:r>
    </w:p>
    <w:p w14:paraId="77462249" w14:textId="77777777" w:rsidR="00372763" w:rsidRPr="0024467F" w:rsidRDefault="00372763" w:rsidP="00734F31">
      <w:pPr>
        <w:pStyle w:val="ListParagraph"/>
        <w:jc w:val="both"/>
        <w:rPr>
          <w:rFonts w:ascii="Arial" w:hAnsi="Arial" w:cs="Arial"/>
          <w:sz w:val="20"/>
          <w:szCs w:val="32"/>
        </w:rPr>
      </w:pPr>
    </w:p>
    <w:p w14:paraId="589E5223" w14:textId="5CABE7BD" w:rsidR="00FB0B4B" w:rsidRPr="00B00EEA" w:rsidRDefault="00543D28"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Prestador de serviços de IP privado.</w:t>
      </w:r>
      <w:r>
        <w:rPr>
          <w:rFonts w:ascii="Arial" w:hAnsi="Arial"/>
          <w:sz w:val="20"/>
        </w:rPr>
        <w:t xml:space="preserve"> A principal alternativa à criação de um EGPI interno é </w:t>
      </w:r>
      <w:r>
        <w:rPr>
          <w:rFonts w:ascii="Arial" w:hAnsi="Arial"/>
          <w:sz w:val="20"/>
          <w:u w:val="single"/>
        </w:rPr>
        <w:t>terceirizar</w:t>
      </w:r>
      <w:r>
        <w:rPr>
          <w:rFonts w:ascii="Arial" w:hAnsi="Arial"/>
          <w:sz w:val="20"/>
        </w:rPr>
        <w:t xml:space="preserve"> algumas ou todas as funções do EGPI para especialistas do setor privado. Frequentemente, em acordos de longo prazo, há vários tipos de prestadores de serviços do setor privado que podem ser empregados no desenvolvimento ou exploração de PI</w:t>
      </w:r>
      <w:r w:rsidR="008411EA">
        <w:rPr>
          <w:rFonts w:ascii="Arial" w:hAnsi="Arial"/>
          <w:sz w:val="20"/>
        </w:rPr>
        <w:t xml:space="preserve">. </w:t>
      </w:r>
      <w:r>
        <w:rPr>
          <w:rFonts w:ascii="Arial" w:hAnsi="Arial"/>
          <w:sz w:val="20"/>
        </w:rPr>
        <w:t xml:space="preserve">Eles podem ser vagamente rotulados como consultores, gerentes e exploradores. </w:t>
      </w:r>
    </w:p>
    <w:p w14:paraId="4CC2003A" w14:textId="77777777" w:rsidR="00B52DDD" w:rsidRPr="0024467F" w:rsidRDefault="00B52DDD" w:rsidP="00734F31">
      <w:pPr>
        <w:shd w:val="clear" w:color="auto" w:fill="FFFFFF" w:themeFill="background1"/>
        <w:spacing w:after="0" w:line="240" w:lineRule="auto"/>
        <w:ind w:left="426" w:hanging="426"/>
        <w:jc w:val="both"/>
        <w:rPr>
          <w:rFonts w:ascii="Arial" w:hAnsi="Arial" w:cs="Arial"/>
          <w:sz w:val="20"/>
          <w:szCs w:val="32"/>
        </w:rPr>
      </w:pPr>
    </w:p>
    <w:p w14:paraId="498F800B" w14:textId="6927E901" w:rsidR="0012633A" w:rsidRPr="00B00EEA" w:rsidRDefault="00FB0B4B" w:rsidP="00734F31">
      <w:pPr>
        <w:shd w:val="clear" w:color="auto" w:fill="FFFFFF" w:themeFill="background1"/>
        <w:spacing w:after="0" w:line="240" w:lineRule="auto"/>
        <w:ind w:left="426"/>
        <w:jc w:val="both"/>
        <w:rPr>
          <w:rFonts w:ascii="Arial" w:hAnsi="Arial" w:cs="Arial"/>
          <w:sz w:val="20"/>
          <w:szCs w:val="32"/>
        </w:rPr>
      </w:pPr>
      <w:r>
        <w:rPr>
          <w:rFonts w:ascii="Arial" w:hAnsi="Arial"/>
          <w:sz w:val="20"/>
        </w:rPr>
        <w:t>A terceirização para prestadores de serviços de PI privados pode ter algumas vantagens de custo, mas a Instituição pode acabar sofrendo com sua incapacidade de desenvolver sua capacidade inerente de gestão de PI</w:t>
      </w:r>
      <w:r w:rsidR="008411EA">
        <w:rPr>
          <w:rFonts w:ascii="Arial" w:hAnsi="Arial"/>
          <w:sz w:val="20"/>
        </w:rPr>
        <w:t xml:space="preserve">. </w:t>
      </w:r>
      <w:r>
        <w:rPr>
          <w:rFonts w:ascii="Arial" w:hAnsi="Arial"/>
          <w:sz w:val="20"/>
        </w:rPr>
        <w:t>Ademais, essas empresas de terceirização certamente tentarão “escolher a dedo” apenas as melhores invenções para investir seu tempo. Como muitas invenções divulgadas pela Instituição não são adequadas para comercialização, muitos inventores podem ser mal atendidos</w:t>
      </w:r>
      <w:r w:rsidR="008411EA">
        <w:rPr>
          <w:rFonts w:ascii="Arial" w:hAnsi="Arial"/>
          <w:sz w:val="20"/>
        </w:rPr>
        <w:t xml:space="preserve">. </w:t>
      </w:r>
      <w:r>
        <w:rPr>
          <w:rFonts w:ascii="Arial" w:hAnsi="Arial"/>
          <w:sz w:val="20"/>
        </w:rPr>
        <w:t>Além disso, há muitos aspectos na conexão de marketing e licenciamento de tecnologia entre a Instituição, seus inventores e licenciados; e um prestador de serviços terceirizado nem sempre consegue apreciar todas essas conexões.</w:t>
      </w:r>
    </w:p>
    <w:p w14:paraId="21301112" w14:textId="77777777" w:rsidR="00F749FA" w:rsidRPr="0024467F" w:rsidRDefault="00F749FA" w:rsidP="00734F31">
      <w:pPr>
        <w:shd w:val="clear" w:color="auto" w:fill="FFFFFF" w:themeFill="background1"/>
        <w:spacing w:after="0" w:line="240" w:lineRule="auto"/>
        <w:ind w:left="426"/>
        <w:jc w:val="both"/>
        <w:rPr>
          <w:rFonts w:ascii="Arial" w:hAnsi="Arial" w:cs="Arial"/>
          <w:sz w:val="20"/>
          <w:szCs w:val="32"/>
        </w:rPr>
      </w:pPr>
    </w:p>
    <w:p w14:paraId="4C0BA8AB" w14:textId="1A73F2E9" w:rsidR="005F2C01" w:rsidRPr="00B00EEA" w:rsidRDefault="00560FAF"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 xml:space="preserve">Um consórcio de gestão de PI </w:t>
      </w:r>
      <w:r>
        <w:rPr>
          <w:rFonts w:ascii="Arial" w:hAnsi="Arial"/>
          <w:sz w:val="20"/>
        </w:rPr>
        <w:t>é um grupo de instituições que cooperam para estabelecer e operar um EGPI comunitário.</w:t>
      </w:r>
      <w:r>
        <w:rPr>
          <w:rFonts w:ascii="Arial" w:hAnsi="Arial"/>
          <w:b/>
          <w:sz w:val="20"/>
        </w:rPr>
        <w:t xml:space="preserve"> </w:t>
      </w:r>
      <w:r>
        <w:rPr>
          <w:rFonts w:ascii="Arial" w:hAnsi="Arial"/>
          <w:sz w:val="20"/>
        </w:rPr>
        <w:t>Essa</w:t>
      </w:r>
      <w:r>
        <w:rPr>
          <w:rFonts w:ascii="Arial" w:hAnsi="Arial"/>
          <w:b/>
          <w:sz w:val="20"/>
        </w:rPr>
        <w:t xml:space="preserve"> </w:t>
      </w:r>
      <w:r>
        <w:rPr>
          <w:rFonts w:ascii="Arial" w:hAnsi="Arial"/>
          <w:sz w:val="20"/>
        </w:rPr>
        <w:t>pode ser uma opção viável para algumas Instituições que possam encontrar outras instituições, em situação semelhante, dispostas a unir recursos. No entanto, esses modelos podem ser difíceis de implementar</w:t>
      </w:r>
      <w:r w:rsidR="008411EA">
        <w:rPr>
          <w:rFonts w:ascii="Arial" w:hAnsi="Arial"/>
          <w:sz w:val="20"/>
        </w:rPr>
        <w:t xml:space="preserve">. </w:t>
      </w:r>
      <w:r>
        <w:rPr>
          <w:rFonts w:ascii="Arial" w:hAnsi="Arial"/>
          <w:sz w:val="20"/>
        </w:rPr>
        <w:t>A gestão de PI descentralizada dentro de uma instituição envolve permitir que vários departamentos, faculdades ou centros administrem sua própria PI. Portanto, os consórcios de gestão de PI muitas vezes sofrem com a falta de implementação abrangente e coerente de Políticas de PI, mas têm sido usados por Instituições nos estágios iniciais da implementação da função de PI</w:t>
      </w:r>
      <w:r w:rsidR="008411EA">
        <w:rPr>
          <w:rFonts w:ascii="Arial" w:hAnsi="Arial"/>
          <w:sz w:val="20"/>
        </w:rPr>
        <w:t xml:space="preserve">. </w:t>
      </w:r>
    </w:p>
    <w:p w14:paraId="76528CBF" w14:textId="77777777" w:rsidR="005F2C01" w:rsidRPr="0024467F" w:rsidRDefault="005F2C01" w:rsidP="00B7519E">
      <w:pPr>
        <w:pStyle w:val="ListParagraph"/>
        <w:spacing w:after="0" w:line="240" w:lineRule="auto"/>
        <w:ind w:left="426"/>
        <w:jc w:val="both"/>
        <w:rPr>
          <w:rFonts w:ascii="Arial" w:hAnsi="Arial" w:cs="Arial"/>
          <w:sz w:val="20"/>
          <w:szCs w:val="32"/>
        </w:rPr>
      </w:pPr>
    </w:p>
    <w:p w14:paraId="57EE796A" w14:textId="7A67F4B7" w:rsidR="000E0A05" w:rsidRPr="00B00EEA" w:rsidRDefault="00543D28"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 xml:space="preserve">Escritórios governamentais como prestadores de serviços de PI </w:t>
      </w:r>
      <w:r>
        <w:rPr>
          <w:rFonts w:ascii="Arial" w:hAnsi="Arial"/>
          <w:sz w:val="20"/>
        </w:rPr>
        <w:t>- Os governos ou instituições filantrópicas assumem, em alguns casos, o papel de gerir a transferência de tecnologia das universidades e instituições de pesquisa para as indústrias através de (1) criação de unidades de transferência de tecnologia em departamentos governamentais, como os escritórios nacionais de PI; ou através de (2) criação de Escritórios de Transferência de Tecnologia regionais</w:t>
      </w:r>
      <w:r w:rsidR="00602A7F" w:rsidRPr="00B00EEA">
        <w:rPr>
          <w:rFonts w:ascii="Arial" w:hAnsi="Arial" w:cs="Arial"/>
          <w:sz w:val="20"/>
          <w:vertAlign w:val="superscript"/>
          <w:lang w:val="en-US"/>
        </w:rPr>
        <w:footnoteReference w:id="83"/>
      </w:r>
      <w:r>
        <w:rPr>
          <w:rFonts w:ascii="Arial" w:hAnsi="Arial"/>
          <w:sz w:val="20"/>
        </w:rPr>
        <w:t>. Eles devem funcionar de forma semelhante ao</w:t>
      </w:r>
      <w:r>
        <w:rPr>
          <w:rFonts w:ascii="Arial" w:hAnsi="Arial"/>
          <w:b/>
          <w:sz w:val="20"/>
        </w:rPr>
        <w:t xml:space="preserve"> </w:t>
      </w:r>
      <w:r>
        <w:rPr>
          <w:rFonts w:ascii="Arial" w:hAnsi="Arial"/>
          <w:sz w:val="20"/>
        </w:rPr>
        <w:t>modelo interno/subsidiário de EGPIs</w:t>
      </w:r>
      <w:r w:rsidR="008411EA">
        <w:rPr>
          <w:rFonts w:ascii="Arial" w:hAnsi="Arial"/>
          <w:sz w:val="20"/>
        </w:rPr>
        <w:t xml:space="preserve">. </w:t>
      </w:r>
      <w:r>
        <w:rPr>
          <w:rFonts w:ascii="Arial" w:hAnsi="Arial"/>
          <w:sz w:val="20"/>
        </w:rPr>
        <w:t>Entretanto, (a) é importante evitar burocracia excessiva ou regras muito extensas; e (b) a titularidade local é crítica, portanto deve haver uma pessoa designada em cada instituição que seja treinada e responsável por responder a quaisquer perguntas sobre questões de PI; revisar e aconselhar sobre possíveis divulgações de invenções; e estar em comunicação ativa com a unidade central.</w:t>
      </w:r>
    </w:p>
    <w:p w14:paraId="72B4C56D" w14:textId="77777777" w:rsidR="00D11E07" w:rsidRPr="0024467F" w:rsidRDefault="00D11E07" w:rsidP="00B7519E">
      <w:pPr>
        <w:pStyle w:val="ListParagraph"/>
        <w:spacing w:after="0" w:line="240" w:lineRule="auto"/>
        <w:ind w:left="426"/>
        <w:jc w:val="both"/>
        <w:rPr>
          <w:rFonts w:ascii="Arial" w:hAnsi="Arial" w:cs="Arial"/>
          <w:sz w:val="20"/>
          <w:szCs w:val="32"/>
        </w:rPr>
      </w:pPr>
    </w:p>
    <w:p w14:paraId="1C06D259" w14:textId="77777777" w:rsidR="00D11E07" w:rsidRPr="00B00EEA" w:rsidRDefault="00D11E07"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sz w:val="20"/>
        </w:rPr>
        <w:t xml:space="preserve">Exemplos das diferentes estruturas do EGPI são fornecidos abaixo, </w:t>
      </w:r>
      <w:hyperlink w:anchor="Box21" w:history="1">
        <w:r>
          <w:rPr>
            <w:rStyle w:val="Hyperlink"/>
            <w:rFonts w:ascii="Arial" w:hAnsi="Arial"/>
            <w:sz w:val="20"/>
          </w:rPr>
          <w:t>Caixas 21 a 25</w:t>
        </w:r>
      </w:hyperlink>
      <w:r>
        <w:rPr>
          <w:rFonts w:ascii="Arial" w:hAnsi="Arial"/>
          <w:sz w:val="20"/>
        </w:rPr>
        <w:t>.</w:t>
      </w:r>
    </w:p>
    <w:p w14:paraId="36062BBB" w14:textId="77777777" w:rsidR="00664E3C" w:rsidRPr="0024467F" w:rsidRDefault="00664E3C" w:rsidP="00B7519E">
      <w:pPr>
        <w:spacing w:after="0" w:line="240" w:lineRule="auto"/>
        <w:jc w:val="both"/>
        <w:rPr>
          <w:rFonts w:ascii="Arial" w:hAnsi="Arial" w:cs="Arial"/>
          <w:szCs w:val="32"/>
        </w:rPr>
      </w:pPr>
    </w:p>
    <w:p w14:paraId="25C88212" w14:textId="77777777" w:rsidR="00664E3C" w:rsidRPr="0024467F" w:rsidRDefault="00664E3C" w:rsidP="00B7519E">
      <w:pPr>
        <w:spacing w:after="0" w:line="240" w:lineRule="auto"/>
        <w:jc w:val="both"/>
        <w:rPr>
          <w:rFonts w:ascii="Arial" w:hAnsi="Arial" w:cs="Arial"/>
          <w:szCs w:val="32"/>
        </w:rPr>
      </w:pPr>
    </w:p>
    <w:tbl>
      <w:tblPr>
        <w:tblW w:w="0" w:type="auto"/>
        <w:tblLook w:val="04A0" w:firstRow="1" w:lastRow="0" w:firstColumn="1" w:lastColumn="0" w:noHBand="0" w:noVBand="1"/>
      </w:tblPr>
      <w:tblGrid>
        <w:gridCol w:w="1437"/>
        <w:gridCol w:w="1922"/>
        <w:gridCol w:w="1899"/>
        <w:gridCol w:w="1842"/>
        <w:gridCol w:w="1926"/>
      </w:tblGrid>
      <w:tr w:rsidR="00A45002" w:rsidRPr="00B00EEA" w14:paraId="6DAC7785" w14:textId="77777777" w:rsidTr="00B7519E">
        <w:tc>
          <w:tcPr>
            <w:tcW w:w="9242" w:type="dxa"/>
            <w:gridSpan w:val="5"/>
            <w:shd w:val="clear" w:color="auto" w:fill="D9D9D9" w:themeFill="background1" w:themeFillShade="D9"/>
          </w:tcPr>
          <w:p w14:paraId="1832BDEA" w14:textId="4548CD12" w:rsidR="00A45002" w:rsidRPr="00B00EEA" w:rsidRDefault="00A45002" w:rsidP="000C1792">
            <w:pPr>
              <w:spacing w:after="0" w:line="240" w:lineRule="auto"/>
              <w:jc w:val="both"/>
              <w:rPr>
                <w:rFonts w:ascii="Arial" w:hAnsi="Arial" w:cs="Arial"/>
                <w:b/>
                <w:szCs w:val="32"/>
              </w:rPr>
            </w:pPr>
            <w:bookmarkStart w:id="132" w:name="Box20"/>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32"/>
            <w:r>
              <w:rPr>
                <w:rFonts w:ascii="Arial" w:hAnsi="Arial"/>
                <w:b/>
                <w:sz w:val="20"/>
              </w:rPr>
              <w:t xml:space="preserve"> Os quatro principais Modelos de Negócios do EGPI</w:t>
            </w:r>
            <w:r>
              <w:rPr>
                <w:rFonts w:ascii="Arial" w:hAnsi="Arial"/>
                <w:sz w:val="20"/>
              </w:rPr>
              <w:t xml:space="preserve"> </w:t>
            </w:r>
          </w:p>
        </w:tc>
      </w:tr>
      <w:tr w:rsidR="008C7862" w:rsidRPr="00B00EEA" w14:paraId="18E9EDED" w14:textId="77777777" w:rsidTr="00AA1A8A">
        <w:tc>
          <w:tcPr>
            <w:tcW w:w="1117" w:type="dxa"/>
            <w:tcBorders>
              <w:bottom w:val="single" w:sz="4" w:space="0" w:color="auto"/>
            </w:tcBorders>
            <w:shd w:val="clear" w:color="auto" w:fill="17365D" w:themeFill="text2" w:themeFillShade="BF"/>
          </w:tcPr>
          <w:p w14:paraId="0C722E64" w14:textId="77777777" w:rsidR="004078AC" w:rsidRPr="0024467F" w:rsidRDefault="004078AC" w:rsidP="00B7519E">
            <w:pPr>
              <w:jc w:val="center"/>
              <w:rPr>
                <w:rFonts w:ascii="Arial" w:hAnsi="Arial" w:cs="Arial"/>
                <w:b/>
                <w:szCs w:val="32"/>
              </w:rPr>
            </w:pPr>
          </w:p>
        </w:tc>
        <w:tc>
          <w:tcPr>
            <w:tcW w:w="2109" w:type="dxa"/>
            <w:tcBorders>
              <w:bottom w:val="single" w:sz="4" w:space="0" w:color="auto"/>
            </w:tcBorders>
            <w:shd w:val="clear" w:color="auto" w:fill="17365D" w:themeFill="text2" w:themeFillShade="BF"/>
          </w:tcPr>
          <w:p w14:paraId="136A7C96" w14:textId="77777777" w:rsidR="004078AC" w:rsidRPr="00B00EEA" w:rsidRDefault="004078AC" w:rsidP="00B7519E">
            <w:pPr>
              <w:jc w:val="center"/>
              <w:rPr>
                <w:rFonts w:ascii="Arial" w:hAnsi="Arial" w:cs="Arial"/>
                <w:b/>
                <w:szCs w:val="32"/>
              </w:rPr>
            </w:pPr>
            <w:r>
              <w:rPr>
                <w:rFonts w:ascii="Arial" w:hAnsi="Arial"/>
                <w:b/>
              </w:rPr>
              <w:t>EGPI interno</w:t>
            </w:r>
          </w:p>
        </w:tc>
        <w:tc>
          <w:tcPr>
            <w:tcW w:w="2095" w:type="dxa"/>
            <w:tcBorders>
              <w:bottom w:val="single" w:sz="4" w:space="0" w:color="auto"/>
            </w:tcBorders>
            <w:shd w:val="clear" w:color="auto" w:fill="17365D" w:themeFill="text2" w:themeFillShade="BF"/>
          </w:tcPr>
          <w:p w14:paraId="773A3A31" w14:textId="77777777" w:rsidR="004078AC" w:rsidRPr="00B00EEA" w:rsidRDefault="004078AC" w:rsidP="00B7519E">
            <w:pPr>
              <w:jc w:val="center"/>
              <w:rPr>
                <w:rFonts w:ascii="Arial" w:hAnsi="Arial" w:cs="Arial"/>
                <w:b/>
                <w:szCs w:val="32"/>
              </w:rPr>
            </w:pPr>
            <w:r>
              <w:rPr>
                <w:rFonts w:ascii="Arial" w:hAnsi="Arial"/>
                <w:b/>
              </w:rPr>
              <w:t>Subsidiária</w:t>
            </w:r>
          </w:p>
        </w:tc>
        <w:tc>
          <w:tcPr>
            <w:tcW w:w="1960" w:type="dxa"/>
            <w:tcBorders>
              <w:bottom w:val="single" w:sz="4" w:space="0" w:color="auto"/>
            </w:tcBorders>
            <w:shd w:val="clear" w:color="auto" w:fill="17365D" w:themeFill="text2" w:themeFillShade="BF"/>
          </w:tcPr>
          <w:p w14:paraId="0FD75062" w14:textId="77777777" w:rsidR="004078AC" w:rsidRPr="00B00EEA" w:rsidRDefault="004078AC" w:rsidP="00B7519E">
            <w:pPr>
              <w:jc w:val="center"/>
              <w:rPr>
                <w:rFonts w:ascii="Arial" w:hAnsi="Arial" w:cs="Arial"/>
                <w:b/>
                <w:szCs w:val="32"/>
              </w:rPr>
            </w:pPr>
            <w:r>
              <w:rPr>
                <w:rFonts w:ascii="Arial" w:hAnsi="Arial"/>
                <w:b/>
              </w:rPr>
              <w:t>Terceirização</w:t>
            </w:r>
          </w:p>
        </w:tc>
        <w:tc>
          <w:tcPr>
            <w:tcW w:w="1961" w:type="dxa"/>
            <w:tcBorders>
              <w:bottom w:val="single" w:sz="4" w:space="0" w:color="auto"/>
            </w:tcBorders>
            <w:shd w:val="clear" w:color="auto" w:fill="17365D" w:themeFill="text2" w:themeFillShade="BF"/>
          </w:tcPr>
          <w:p w14:paraId="52336657" w14:textId="77777777" w:rsidR="004078AC" w:rsidRPr="00B00EEA" w:rsidRDefault="004078AC" w:rsidP="00B7519E">
            <w:pPr>
              <w:jc w:val="center"/>
              <w:rPr>
                <w:rFonts w:ascii="Arial" w:hAnsi="Arial" w:cs="Arial"/>
                <w:b/>
                <w:szCs w:val="32"/>
              </w:rPr>
            </w:pPr>
            <w:r>
              <w:rPr>
                <w:rFonts w:ascii="Arial" w:hAnsi="Arial"/>
                <w:b/>
              </w:rPr>
              <w:t>Consórcio</w:t>
            </w:r>
          </w:p>
        </w:tc>
      </w:tr>
      <w:tr w:rsidR="008C7862" w:rsidRPr="00B00EEA" w14:paraId="5E42F531"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595A2A" w14:textId="77777777" w:rsidR="004078AC" w:rsidRPr="00AA1A8A" w:rsidRDefault="004078AC" w:rsidP="004078AC">
            <w:pPr>
              <w:jc w:val="both"/>
              <w:rPr>
                <w:rFonts w:ascii="Arial" w:hAnsi="Arial" w:cs="Arial"/>
                <w:b/>
                <w:sz w:val="18"/>
                <w:szCs w:val="32"/>
              </w:rPr>
            </w:pPr>
            <w:r>
              <w:rPr>
                <w:rFonts w:ascii="Arial" w:hAnsi="Arial"/>
                <w:b/>
                <w:sz w:val="18"/>
              </w:rPr>
              <w:t>Quando?</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BE4D885" w14:textId="77777777" w:rsidR="004078AC" w:rsidRPr="00AA1A8A" w:rsidRDefault="004078AC" w:rsidP="00B7519E">
            <w:pPr>
              <w:rPr>
                <w:rFonts w:ascii="Arial" w:hAnsi="Arial" w:cs="Arial"/>
                <w:sz w:val="18"/>
                <w:szCs w:val="32"/>
              </w:rPr>
            </w:pPr>
            <w:r>
              <w:rPr>
                <w:rFonts w:ascii="Arial" w:hAnsi="Arial"/>
                <w:sz w:val="18"/>
              </w:rPr>
              <w:t>Quando as perspectivas de transferência e comercialização de conhecimento são altas dentro da Instituição e recursos suficientes permitem o estabelecimento.</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53494C" w14:textId="77777777" w:rsidR="004078AC" w:rsidRPr="00AA1A8A" w:rsidRDefault="004078AC" w:rsidP="00B7519E">
            <w:pPr>
              <w:rPr>
                <w:rFonts w:ascii="Arial" w:hAnsi="Arial" w:cs="Arial"/>
                <w:sz w:val="18"/>
                <w:szCs w:val="32"/>
              </w:rPr>
            </w:pPr>
            <w:r>
              <w:rPr>
                <w:rFonts w:ascii="Arial" w:hAnsi="Arial"/>
                <w:sz w:val="18"/>
              </w:rPr>
              <w:t>Quando a pesquisa e os recursos são suficientes, mas a cultura institucional não é propícia à atividade empreendedora.</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2FC06C" w14:textId="77777777" w:rsidR="004078AC" w:rsidRPr="00AA1A8A" w:rsidRDefault="004078AC" w:rsidP="00B7519E">
            <w:pPr>
              <w:rPr>
                <w:rFonts w:ascii="Arial" w:hAnsi="Arial" w:cs="Arial"/>
                <w:sz w:val="18"/>
                <w:szCs w:val="32"/>
              </w:rPr>
            </w:pPr>
            <w:r>
              <w:rPr>
                <w:rFonts w:ascii="Arial" w:hAnsi="Arial"/>
                <w:sz w:val="18"/>
              </w:rPr>
              <w:t>Adequado particularmente quando a Instituição gera tecnologia adequada para oportunidades de alto valor e de geração de renda.</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DF5EAF0" w14:textId="77777777" w:rsidR="004078AC" w:rsidRPr="00AA1A8A" w:rsidRDefault="008C7862" w:rsidP="00B7519E">
            <w:pPr>
              <w:rPr>
                <w:rFonts w:ascii="Arial" w:hAnsi="Arial" w:cs="Arial"/>
                <w:sz w:val="18"/>
                <w:szCs w:val="32"/>
              </w:rPr>
            </w:pPr>
            <w:r>
              <w:rPr>
                <w:rFonts w:ascii="Arial" w:hAnsi="Arial"/>
                <w:sz w:val="18"/>
              </w:rPr>
              <w:t>Quando a Instituição carece de recursos e massa crítica (base de pesquisa), mas a cultura institucional é propícia à atividade empreendedora.</w:t>
            </w:r>
          </w:p>
        </w:tc>
      </w:tr>
      <w:tr w:rsidR="008C7862" w:rsidRPr="00B00EEA" w14:paraId="1660DB34"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C54A51" w14:textId="77777777" w:rsidR="004078AC" w:rsidRPr="00AA1A8A" w:rsidRDefault="008C7862" w:rsidP="004078AC">
            <w:pPr>
              <w:jc w:val="both"/>
              <w:rPr>
                <w:rFonts w:ascii="Arial" w:hAnsi="Arial" w:cs="Arial"/>
                <w:b/>
                <w:sz w:val="18"/>
                <w:szCs w:val="32"/>
              </w:rPr>
            </w:pPr>
            <w:r>
              <w:rPr>
                <w:rFonts w:ascii="Arial" w:hAnsi="Arial"/>
                <w:b/>
                <w:sz w:val="18"/>
              </w:rPr>
              <w:t>Principais benefícios</w:t>
            </w:r>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C0E662" w14:textId="77777777" w:rsidR="004078AC"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Alinhamento com os objetivos institucionais.</w:t>
            </w:r>
          </w:p>
          <w:p w14:paraId="73531916"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Receita para a Instituição.</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658E0"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Pode incentivar uma percepção positiva da transferência de tecnologia e demonstrar seriedade.</w:t>
            </w:r>
          </w:p>
          <w:p w14:paraId="66BC7B30"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 xml:space="preserve">Mais flexibilidade operacional. </w:t>
            </w:r>
          </w:p>
          <w:p w14:paraId="67CEDD44" w14:textId="77777777" w:rsidR="004078AC"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 xml:space="preserve">Capacidade de estruturar pacotes de remuneração de funcionários.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B6B13"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Minimiza investimentos e riscos para a Instituição.</w:t>
            </w:r>
          </w:p>
          <w:p w14:paraId="7F17648E"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Mais flexibilidade operacional.</w:t>
            </w:r>
          </w:p>
          <w:p w14:paraId="3F79A5AE" w14:textId="77777777" w:rsidR="004078AC" w:rsidRPr="00AA1A8A" w:rsidRDefault="008C7862" w:rsidP="00AA1A8A">
            <w:pPr>
              <w:pStyle w:val="ListParagraph"/>
              <w:numPr>
                <w:ilvl w:val="0"/>
                <w:numId w:val="96"/>
              </w:numPr>
              <w:ind w:left="175" w:hanging="175"/>
              <w:rPr>
                <w:rFonts w:ascii="Arial" w:hAnsi="Arial" w:cs="Arial"/>
                <w:sz w:val="18"/>
                <w:szCs w:val="32"/>
              </w:rPr>
            </w:pPr>
            <w:r>
              <w:rPr>
                <w:rFonts w:ascii="Arial" w:hAnsi="Arial"/>
                <w:sz w:val="18"/>
              </w:rPr>
              <w:t>Capacidade de estruturar pacotes de remuneração de funcionários.</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5D50F"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Compartilhamento de custos e expertise.</w:t>
            </w:r>
          </w:p>
          <w:p w14:paraId="7E5B79E9" w14:textId="77777777" w:rsidR="004078AC" w:rsidRPr="0024467F" w:rsidRDefault="004078AC" w:rsidP="004078AC">
            <w:pPr>
              <w:jc w:val="both"/>
              <w:rPr>
                <w:rFonts w:ascii="Arial" w:hAnsi="Arial" w:cs="Arial"/>
                <w:sz w:val="18"/>
                <w:szCs w:val="32"/>
              </w:rPr>
            </w:pPr>
          </w:p>
        </w:tc>
      </w:tr>
      <w:tr w:rsidR="008C7862" w:rsidRPr="00B00EEA" w14:paraId="123586C1"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C62199" w14:textId="77777777" w:rsidR="008C7862" w:rsidRPr="00AA1A8A" w:rsidRDefault="008C7862" w:rsidP="004078AC">
            <w:pPr>
              <w:jc w:val="both"/>
              <w:rPr>
                <w:rFonts w:ascii="Arial" w:hAnsi="Arial" w:cs="Arial"/>
                <w:b/>
                <w:sz w:val="18"/>
                <w:szCs w:val="32"/>
              </w:rPr>
            </w:pPr>
            <w:r>
              <w:rPr>
                <w:rFonts w:ascii="Arial" w:hAnsi="Arial"/>
                <w:b/>
                <w:sz w:val="18"/>
              </w:rPr>
              <w:t>Desvantagens</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03BDE6"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Altos requisitos de investimento.</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992028" w14:textId="365E1AE6"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Falta de alinhamento com os objetivos institucionais</w:t>
            </w:r>
            <w:r w:rsidR="00F35DD2">
              <w:rPr>
                <w:rFonts w:ascii="Arial" w:hAnsi="Arial"/>
                <w:sz w:val="18"/>
              </w:rPr>
              <w:t>.</w:t>
            </w:r>
          </w:p>
          <w:p w14:paraId="07738543" w14:textId="77777777" w:rsidR="008C7862" w:rsidRPr="00AA1A8A" w:rsidRDefault="008C7862" w:rsidP="009D4A54">
            <w:pPr>
              <w:pStyle w:val="ListParagraph"/>
              <w:numPr>
                <w:ilvl w:val="0"/>
                <w:numId w:val="96"/>
              </w:numPr>
              <w:ind w:left="176" w:hanging="141"/>
              <w:jc w:val="both"/>
              <w:rPr>
                <w:rFonts w:ascii="Arial" w:hAnsi="Arial" w:cs="Arial"/>
                <w:sz w:val="18"/>
                <w:szCs w:val="32"/>
              </w:rPr>
            </w:pPr>
            <w:r>
              <w:rPr>
                <w:rFonts w:ascii="Arial" w:hAnsi="Arial"/>
                <w:sz w:val="18"/>
              </w:rPr>
              <w:t>Não responde às restrições políticas da Instituição, como publicação ou conflito de interesses.</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CC0FF0" w14:textId="77777777" w:rsidR="008C7862" w:rsidRPr="00AA1A8A" w:rsidRDefault="008C7862" w:rsidP="009D4A54">
            <w:pPr>
              <w:pStyle w:val="ListParagraph"/>
              <w:numPr>
                <w:ilvl w:val="0"/>
                <w:numId w:val="96"/>
              </w:numPr>
              <w:ind w:left="175" w:hanging="175"/>
              <w:rPr>
                <w:rFonts w:ascii="Arial" w:hAnsi="Arial" w:cs="Arial"/>
                <w:sz w:val="18"/>
                <w:szCs w:val="32"/>
              </w:rPr>
            </w:pPr>
            <w:r>
              <w:rPr>
                <w:rFonts w:ascii="Arial" w:hAnsi="Arial"/>
                <w:sz w:val="18"/>
              </w:rPr>
              <w:t>Os custos indiretos (taxas) reduzem a receita da Instituição.</w:t>
            </w:r>
          </w:p>
          <w:p w14:paraId="308C57A9" w14:textId="77777777" w:rsidR="008C7862" w:rsidRPr="00AA1A8A" w:rsidRDefault="008C7862" w:rsidP="00AA1A8A">
            <w:pPr>
              <w:pStyle w:val="ListParagraph"/>
              <w:numPr>
                <w:ilvl w:val="0"/>
                <w:numId w:val="96"/>
              </w:numPr>
              <w:ind w:left="175" w:hanging="175"/>
              <w:rPr>
                <w:rFonts w:ascii="Arial" w:hAnsi="Arial" w:cs="Arial"/>
                <w:sz w:val="18"/>
                <w:szCs w:val="32"/>
              </w:rPr>
            </w:pPr>
            <w:r>
              <w:rPr>
                <w:rFonts w:ascii="Arial" w:hAnsi="Arial"/>
                <w:sz w:val="18"/>
              </w:rPr>
              <w:t>Menos voltado para a transferência de conhecimento para o bem público mais amplo.</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0BB069" w14:textId="77777777" w:rsidR="00BC777F" w:rsidRPr="00AA1A8A" w:rsidRDefault="00BC777F" w:rsidP="009D4A54">
            <w:pPr>
              <w:pStyle w:val="ListParagraph"/>
              <w:numPr>
                <w:ilvl w:val="0"/>
                <w:numId w:val="96"/>
              </w:numPr>
              <w:ind w:left="175" w:hanging="175"/>
              <w:rPr>
                <w:rFonts w:ascii="Arial" w:hAnsi="Arial" w:cs="Arial"/>
                <w:sz w:val="18"/>
                <w:szCs w:val="32"/>
              </w:rPr>
            </w:pPr>
            <w:r>
              <w:rPr>
                <w:rFonts w:ascii="Arial" w:hAnsi="Arial"/>
                <w:sz w:val="18"/>
              </w:rPr>
              <w:t>A exigência de procedimentos compartilhados e acordos sobre repartição de receitas é muitas vezes desafiadora.</w:t>
            </w:r>
          </w:p>
          <w:p w14:paraId="427B6098" w14:textId="77777777" w:rsidR="008C7862" w:rsidRPr="0024467F" w:rsidRDefault="008C7862" w:rsidP="004078AC">
            <w:pPr>
              <w:jc w:val="both"/>
              <w:rPr>
                <w:rFonts w:ascii="Arial" w:hAnsi="Arial" w:cs="Arial"/>
                <w:sz w:val="18"/>
                <w:szCs w:val="32"/>
              </w:rPr>
            </w:pPr>
          </w:p>
        </w:tc>
      </w:tr>
      <w:tr w:rsidR="00BC777F" w:rsidRPr="00F265CB" w14:paraId="74376457" w14:textId="77777777" w:rsidTr="00AA1A8A">
        <w:tc>
          <w:tcPr>
            <w:tcW w:w="9242" w:type="dxa"/>
            <w:gridSpan w:val="5"/>
            <w:tcBorders>
              <w:top w:val="single" w:sz="4" w:space="0" w:color="auto"/>
            </w:tcBorders>
          </w:tcPr>
          <w:p w14:paraId="2A7F644B" w14:textId="77777777" w:rsidR="00BC777F" w:rsidRPr="0024467F" w:rsidRDefault="00BC777F" w:rsidP="00B7519E">
            <w:pPr>
              <w:autoSpaceDE w:val="0"/>
              <w:autoSpaceDN w:val="0"/>
              <w:adjustRightInd w:val="0"/>
              <w:rPr>
                <w:rFonts w:ascii="Arial" w:hAnsi="Arial" w:cs="Arial"/>
                <w:i/>
                <w:szCs w:val="32"/>
                <w:lang w:val="en-US"/>
              </w:rPr>
            </w:pPr>
            <w:r w:rsidRPr="0024467F">
              <w:rPr>
                <w:rFonts w:ascii="Arial" w:hAnsi="Arial"/>
                <w:i/>
                <w:sz w:val="18"/>
                <w:lang w:val="en-US"/>
              </w:rPr>
              <w:t xml:space="preserve">Fonte: Bennett, Rajalahti and Pape-Christiansen, </w:t>
            </w:r>
            <w:hyperlink r:id="rId59" w:history="1">
              <w:r w:rsidRPr="0024467F">
                <w:rPr>
                  <w:rStyle w:val="Hyperlink"/>
                  <w:rFonts w:ascii="Arial" w:hAnsi="Arial"/>
                  <w:i/>
                  <w:sz w:val="18"/>
                  <w:lang w:val="en-US"/>
                </w:rPr>
                <w:t>Technology Transfer Offices:</w:t>
              </w:r>
            </w:hyperlink>
            <w:hyperlink r:id="rId60" w:history="1">
              <w:r w:rsidRPr="0024467F">
                <w:rPr>
                  <w:rStyle w:val="Hyperlink"/>
                  <w:rFonts w:ascii="Arial" w:hAnsi="Arial"/>
                  <w:i/>
                  <w:sz w:val="18"/>
                  <w:lang w:val="en-US"/>
                </w:rPr>
                <w:t xml:space="preserve"> Facilitating Intellectual Property Protection for Agricultural Innovation</w:t>
              </w:r>
              <w:r w:rsidR="00A45002" w:rsidRPr="00B00EEA">
                <w:rPr>
                  <w:rStyle w:val="FootnoteReference"/>
                  <w:rFonts w:ascii="Arial" w:hAnsi="Arial" w:cs="Arial"/>
                  <w:i/>
                  <w:sz w:val="18"/>
                  <w:szCs w:val="32"/>
                  <w:lang w:val="en-US"/>
                </w:rPr>
                <w:footnoteReference w:id="84"/>
              </w:r>
            </w:hyperlink>
          </w:p>
        </w:tc>
      </w:tr>
    </w:tbl>
    <w:p w14:paraId="0C11484F" w14:textId="77777777" w:rsidR="00042A41" w:rsidRPr="00B00EEA" w:rsidRDefault="00042A41" w:rsidP="00B7519E">
      <w:pPr>
        <w:pStyle w:val="Heading3"/>
        <w:spacing w:before="360"/>
        <w:rPr>
          <w:sz w:val="24"/>
        </w:rPr>
      </w:pPr>
      <w:bookmarkStart w:id="133" w:name="_Toc516160056"/>
      <w:bookmarkStart w:id="134" w:name="_Toc516219399"/>
      <w:bookmarkStart w:id="135" w:name="_Toc516496040"/>
      <w:bookmarkStart w:id="136" w:name="_Toc516829412"/>
      <w:r>
        <w:rPr>
          <w:sz w:val="24"/>
        </w:rPr>
        <w:t>EGPI – como atrair uma equipe talentosa?</w:t>
      </w:r>
      <w:bookmarkEnd w:id="133"/>
      <w:bookmarkEnd w:id="134"/>
      <w:bookmarkEnd w:id="135"/>
      <w:bookmarkEnd w:id="136"/>
    </w:p>
    <w:p w14:paraId="0E0FA4FE" w14:textId="77777777" w:rsidR="001729EC" w:rsidRPr="00B00EEA" w:rsidRDefault="001729EC"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sz w:val="20"/>
        </w:rPr>
        <w:t>O elemento essencial para o sucesso da gestão de PI e inovação são as pessoas. Nem sempre é fácil encontrar pessoas talentosas que entendam as duas linguagens da academia e da indústria e sejam capazes de estabelecer acordos que atendam às necessidades da Instituição, dos pesquisadores e da indústria. O EGPI deve ser liderado e composto por pessoas que tenham experiência de trabalho em ambos os setores, saibam como administrar um negócio e sejam capazes de ganhar a confiança de pesquisadores acadêmicos.</w:t>
      </w:r>
    </w:p>
    <w:p w14:paraId="093950C9" w14:textId="77777777" w:rsidR="004A5841" w:rsidRPr="0024467F" w:rsidRDefault="004A5841" w:rsidP="00734F31">
      <w:pPr>
        <w:pStyle w:val="ListParagraph"/>
        <w:spacing w:after="0" w:line="240" w:lineRule="auto"/>
        <w:ind w:left="426" w:hanging="426"/>
        <w:jc w:val="both"/>
        <w:rPr>
          <w:rFonts w:ascii="Arial" w:hAnsi="Arial" w:cs="Arial"/>
          <w:sz w:val="20"/>
          <w:szCs w:val="32"/>
        </w:rPr>
      </w:pPr>
    </w:p>
    <w:p w14:paraId="76DCDE72" w14:textId="77777777" w:rsidR="004A5841" w:rsidRPr="00B00EEA" w:rsidRDefault="00042A41"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Competências essenciais da equipe do EGPI</w:t>
      </w:r>
      <w:r>
        <w:rPr>
          <w:rFonts w:ascii="Arial" w:hAnsi="Arial"/>
          <w:sz w:val="20"/>
        </w:rPr>
        <w:t>. A transferência de tecnologia é um desafio que depende de talentos. Requer pessoas que sejam:</w:t>
      </w:r>
    </w:p>
    <w:p w14:paraId="124EBACC"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lastRenderedPageBreak/>
        <w:t>tecnicamente treinadas e com experiência empresarial;</w:t>
      </w:r>
      <w:r w:rsidR="00FF4194" w:rsidRPr="00B00EEA">
        <w:rPr>
          <w:rStyle w:val="FootnoteReference"/>
          <w:rFonts w:ascii="Arial" w:hAnsi="Arial" w:cs="Arial"/>
          <w:szCs w:val="32"/>
          <w:lang w:val="en-US" w:eastAsia="en-ZA"/>
        </w:rPr>
        <w:footnoteReference w:id="85"/>
      </w:r>
      <w:r>
        <w:rPr>
          <w:rFonts w:ascii="Arial" w:hAnsi="Arial"/>
        </w:rPr>
        <w:t xml:space="preserve"> </w:t>
      </w:r>
    </w:p>
    <w:p w14:paraId="7160CF7D"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t>capazes de obter o respeito de pesquisadores e parceiros industriais;</w:t>
      </w:r>
    </w:p>
    <w:p w14:paraId="2A04F522"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t>capazes de lidar com a complexidade;</w:t>
      </w:r>
    </w:p>
    <w:p w14:paraId="1B3CE39C"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t>bons comunicadores;</w:t>
      </w:r>
    </w:p>
    <w:p w14:paraId="09F48B60"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t>bons negociadores; e</w:t>
      </w:r>
    </w:p>
    <w:p w14:paraId="0593A218" w14:textId="77777777" w:rsidR="004A5841" w:rsidRPr="00B00EEA" w:rsidRDefault="004A5841" w:rsidP="009D4A54">
      <w:pPr>
        <w:pStyle w:val="CommentText"/>
        <w:numPr>
          <w:ilvl w:val="0"/>
          <w:numId w:val="63"/>
        </w:numPr>
        <w:spacing w:after="0"/>
        <w:ind w:left="0" w:firstLine="425"/>
        <w:jc w:val="both"/>
        <w:rPr>
          <w:rFonts w:ascii="Arial" w:hAnsi="Arial" w:cs="Arial"/>
          <w:szCs w:val="32"/>
        </w:rPr>
      </w:pPr>
      <w:r>
        <w:rPr>
          <w:rFonts w:ascii="Arial" w:hAnsi="Arial"/>
        </w:rPr>
        <w:t>dedicados à missão.</w:t>
      </w:r>
      <w:r w:rsidRPr="00B00EEA">
        <w:rPr>
          <w:rStyle w:val="FootnoteReference"/>
          <w:rFonts w:ascii="Arial" w:hAnsi="Arial" w:cs="Arial"/>
          <w:szCs w:val="32"/>
          <w:lang w:val="en-US" w:eastAsia="en-ZA"/>
        </w:rPr>
        <w:footnoteReference w:id="86"/>
      </w:r>
    </w:p>
    <w:p w14:paraId="0BBE1963" w14:textId="77777777" w:rsidR="00C83736" w:rsidRPr="00B00EEA" w:rsidRDefault="00042A41"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Rede</w:t>
      </w:r>
      <w:r>
        <w:rPr>
          <w:rFonts w:ascii="Arial" w:hAnsi="Arial"/>
          <w:sz w:val="20"/>
        </w:rPr>
        <w:t>. Pode levar muitos anos para que a experiência necessária seja adquirida e, portanto, as instituições devem incentivar a filiação a associações profissionais de redes de EGPI para trocar boas práticas e fornecer treinamento.</w:t>
      </w:r>
    </w:p>
    <w:p w14:paraId="16E093F4" w14:textId="77777777" w:rsidR="00C83736" w:rsidRPr="0024467F" w:rsidRDefault="00C83736" w:rsidP="00B7519E">
      <w:pPr>
        <w:pStyle w:val="CommentText"/>
        <w:spacing w:after="0"/>
        <w:ind w:left="425"/>
        <w:jc w:val="both"/>
        <w:rPr>
          <w:rFonts w:ascii="Arial" w:hAnsi="Arial" w:cs="Arial"/>
          <w:szCs w:val="32"/>
          <w:lang w:eastAsia="en-ZA"/>
        </w:rPr>
      </w:pPr>
    </w:p>
    <w:p w14:paraId="4098B8D4" w14:textId="77777777" w:rsidR="002E2A56" w:rsidRPr="00B00EEA" w:rsidRDefault="00042A41"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Incentivos para Equipe do EGPI</w:t>
      </w:r>
      <w:r>
        <w:rPr>
          <w:rFonts w:ascii="Arial" w:hAnsi="Arial"/>
          <w:sz w:val="20"/>
        </w:rPr>
        <w:t>. Para atrair funcionários altamente qualificados, o EGPI precisa ser capaz de oferecer salários e pacotes de benefícios adequados. No entanto, os EGPIs, assim como as próprias instituições, diferem em suas capacidades de remuneração (as universidades públicas são limitadas por níveis de remuneração e procedimentos de contratação que muitas universidades privadas não enfrentam). Algumas instituições públicas resolveram a questão da remuneração da equipe criando uma empresa privada que gerencia suas tecnologias e faz a ligação com a indústria (veja também acima, “empresa subsidiária de titularidade integral”).</w:t>
      </w:r>
      <w:r w:rsidR="002E2A56" w:rsidRPr="00B00EEA">
        <w:rPr>
          <w:rStyle w:val="FootnoteReference"/>
          <w:rFonts w:ascii="Arial" w:hAnsi="Arial" w:cs="Arial"/>
          <w:sz w:val="20"/>
          <w:szCs w:val="32"/>
          <w:lang w:val="en-US"/>
        </w:rPr>
        <w:footnoteReference w:id="87"/>
      </w:r>
      <w:r>
        <w:rPr>
          <w:rFonts w:ascii="Arial" w:hAnsi="Arial"/>
          <w:sz w:val="20"/>
        </w:rPr>
        <w:t xml:space="preserve">   </w:t>
      </w:r>
    </w:p>
    <w:p w14:paraId="3DF777E7" w14:textId="77777777" w:rsidR="00042A41" w:rsidRPr="0024467F" w:rsidRDefault="00042A41" w:rsidP="00B7519E">
      <w:pPr>
        <w:pStyle w:val="ListParagraph"/>
        <w:spacing w:after="0" w:line="240" w:lineRule="auto"/>
        <w:ind w:left="426"/>
        <w:jc w:val="both"/>
        <w:rPr>
          <w:rFonts w:ascii="Arial" w:hAnsi="Arial" w:cs="Arial"/>
          <w:sz w:val="20"/>
          <w:szCs w:val="32"/>
        </w:rPr>
      </w:pPr>
    </w:p>
    <w:p w14:paraId="59BFBF6B" w14:textId="5CC6BC2B" w:rsidR="00042A41" w:rsidRPr="00B00EEA" w:rsidRDefault="00042A41" w:rsidP="00464282">
      <w:pPr>
        <w:pStyle w:val="ListParagraph"/>
        <w:numPr>
          <w:ilvl w:val="0"/>
          <w:numId w:val="3"/>
        </w:numPr>
        <w:spacing w:after="0" w:line="240" w:lineRule="auto"/>
        <w:ind w:left="426" w:hanging="426"/>
        <w:jc w:val="both"/>
        <w:rPr>
          <w:rFonts w:ascii="Arial" w:hAnsi="Arial" w:cs="Arial"/>
          <w:sz w:val="20"/>
          <w:szCs w:val="32"/>
        </w:rPr>
      </w:pPr>
      <w:r>
        <w:rPr>
          <w:rFonts w:ascii="Arial" w:hAnsi="Arial"/>
          <w:b/>
          <w:sz w:val="20"/>
        </w:rPr>
        <w:t>Educação da equipe do EGPI</w:t>
      </w:r>
      <w:r w:rsidR="008411EA">
        <w:rPr>
          <w:rFonts w:ascii="Arial" w:hAnsi="Arial"/>
          <w:b/>
          <w:sz w:val="20"/>
        </w:rPr>
        <w:t>.</w:t>
      </w:r>
      <w:r w:rsidR="008411EA" w:rsidRPr="004E2A5F">
        <w:rPr>
          <w:rFonts w:ascii="Arial" w:hAnsi="Arial"/>
          <w:bCs/>
          <w:sz w:val="20"/>
        </w:rPr>
        <w:t xml:space="preserve"> </w:t>
      </w:r>
      <w:r>
        <w:rPr>
          <w:rFonts w:ascii="Arial" w:hAnsi="Arial"/>
          <w:sz w:val="20"/>
        </w:rPr>
        <w:t xml:space="preserve">Quando se trata de manter os melhores talentos, pacotes de treinamento atraentes (incluindo estágios e oportunidades de treinamento internacional) e desenvolvimento de carreira são frequentemente relatados como estando entre as principais considerações. Veja também </w:t>
      </w:r>
      <w:hyperlink w:anchor="Box5" w:history="1">
        <w:r>
          <w:rPr>
            <w:rStyle w:val="Hyperlink"/>
            <w:rFonts w:ascii="Arial" w:hAnsi="Arial"/>
            <w:sz w:val="20"/>
          </w:rPr>
          <w:t>Caixa 5</w:t>
        </w:r>
      </w:hyperlink>
      <w:r>
        <w:rPr>
          <w:rFonts w:ascii="Arial" w:hAnsi="Arial"/>
          <w:sz w:val="20"/>
        </w:rPr>
        <w:t>.</w:t>
      </w:r>
    </w:p>
    <w:p w14:paraId="2C1F584B" w14:textId="77777777" w:rsidR="0058096F" w:rsidRPr="00B00EEA" w:rsidRDefault="0058096F" w:rsidP="00B7519E">
      <w:pPr>
        <w:pStyle w:val="Heading3"/>
        <w:spacing w:before="360"/>
        <w:rPr>
          <w:sz w:val="24"/>
        </w:rPr>
      </w:pPr>
      <w:bookmarkStart w:id="137" w:name="_Toc494115963"/>
      <w:bookmarkStart w:id="138" w:name="_Toc516160057"/>
      <w:bookmarkStart w:id="139" w:name="_Toc516219400"/>
      <w:bookmarkStart w:id="140" w:name="_Toc516496041"/>
      <w:bookmarkStart w:id="141" w:name="_Toc516829413"/>
      <w:r>
        <w:rPr>
          <w:sz w:val="24"/>
        </w:rPr>
        <w:t>Exemplos</w:t>
      </w:r>
      <w:bookmarkEnd w:id="137"/>
      <w:r>
        <w:rPr>
          <w:sz w:val="24"/>
        </w:rPr>
        <w:t xml:space="preserve"> de Estruturas de EGPI</w:t>
      </w:r>
      <w:bookmarkEnd w:id="138"/>
      <w:bookmarkEnd w:id="139"/>
      <w:bookmarkEnd w:id="140"/>
      <w:bookmarkEnd w:id="141"/>
    </w:p>
    <w:p w14:paraId="498B08B7" w14:textId="77777777" w:rsidR="004942A7"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rPr>
      </w:pPr>
      <w:bookmarkStart w:id="142" w:name="Box21"/>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42"/>
      <w:r>
        <w:rPr>
          <w:rFonts w:ascii="Arial" w:hAnsi="Arial"/>
          <w:b/>
          <w:sz w:val="20"/>
        </w:rPr>
        <w:t xml:space="preserve"> Exemplos de Escritórios Internos </w:t>
      </w:r>
    </w:p>
    <w:p w14:paraId="75DA3BA7" w14:textId="77777777" w:rsidR="000337FA" w:rsidRPr="00B00EEA"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502F7A71" w14:textId="77777777" w:rsidR="004942A7" w:rsidRPr="00B00EEA" w:rsidRDefault="002660BE" w:rsidP="009D4A54">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rPr>
      </w:pPr>
      <w:r>
        <w:rPr>
          <w:rFonts w:ascii="Arial" w:hAnsi="Arial"/>
          <w:sz w:val="20"/>
        </w:rPr>
        <w:t xml:space="preserve">O </w:t>
      </w:r>
      <w:r>
        <w:rPr>
          <w:rFonts w:ascii="Arial" w:hAnsi="Arial"/>
          <w:sz w:val="20"/>
          <w:u w:val="single"/>
        </w:rPr>
        <w:t>Escritório de Desenvolvimento de Tecnologia</w:t>
      </w:r>
      <w:r w:rsidRPr="00B00EEA">
        <w:rPr>
          <w:rStyle w:val="FootnoteReference"/>
          <w:rFonts w:ascii="Arial" w:hAnsi="Arial" w:cs="Arial"/>
          <w:sz w:val="20"/>
          <w:szCs w:val="32"/>
          <w:lang w:val="en-US"/>
        </w:rPr>
        <w:footnoteReference w:id="88"/>
      </w:r>
      <w:r>
        <w:rPr>
          <w:rFonts w:ascii="Arial" w:hAnsi="Arial"/>
          <w:sz w:val="20"/>
        </w:rPr>
        <w:t xml:space="preserve"> de Harvard é um exemplo disso.</w:t>
      </w:r>
    </w:p>
    <w:p w14:paraId="487915CB" w14:textId="77777777" w:rsidR="000337FA" w:rsidRPr="0024467F"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noProof/>
          <w:lang w:eastAsia="en-US"/>
        </w:rPr>
      </w:pPr>
    </w:p>
    <w:p w14:paraId="6845F74B" w14:textId="77777777" w:rsidR="004942A7"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noProof/>
        </w:rPr>
        <w:drawing>
          <wp:inline distT="0" distB="0" distL="0" distR="0" wp14:anchorId="315B1B03" wp14:editId="0F282081">
            <wp:extent cx="1446028" cy="120394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6028" cy="1203943"/>
                    </a:xfrm>
                    <a:prstGeom prst="rect">
                      <a:avLst/>
                    </a:prstGeom>
                  </pic:spPr>
                </pic:pic>
              </a:graphicData>
            </a:graphic>
          </wp:inline>
        </w:drawing>
      </w:r>
    </w:p>
    <w:p w14:paraId="5F2CDD53" w14:textId="77777777" w:rsidR="002660BE"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14:paraId="57339444" w14:textId="77777777" w:rsidR="002660BE" w:rsidRPr="00B00EEA" w:rsidRDefault="00C27F5E"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rPr>
      </w:pPr>
      <w:r>
        <w:rPr>
          <w:rFonts w:ascii="Arial" w:hAnsi="Arial"/>
          <w:sz w:val="20"/>
        </w:rPr>
        <w:t xml:space="preserve">O escritório da Universidade da Cidade do Cabo – o </w:t>
      </w:r>
      <w:r>
        <w:rPr>
          <w:rFonts w:ascii="Arial" w:hAnsi="Arial"/>
          <w:sz w:val="20"/>
          <w:u w:val="single"/>
        </w:rPr>
        <w:t>Escritório de Contratos de Pesquisa e Inovação</w:t>
      </w:r>
      <w:r w:rsidR="002660BE" w:rsidRPr="00B00EEA">
        <w:rPr>
          <w:rStyle w:val="FootnoteReference"/>
          <w:rFonts w:ascii="Arial" w:hAnsi="Arial" w:cs="Arial"/>
          <w:sz w:val="20"/>
          <w:szCs w:val="32"/>
          <w:lang w:val="en-US"/>
        </w:rPr>
        <w:footnoteReference w:id="89"/>
      </w:r>
      <w:r>
        <w:rPr>
          <w:rFonts w:ascii="Arial" w:hAnsi="Arial"/>
          <w:sz w:val="20"/>
        </w:rPr>
        <w:t xml:space="preserve"> </w:t>
      </w:r>
    </w:p>
    <w:p w14:paraId="70CBC9BE" w14:textId="77777777" w:rsidR="002660BE" w:rsidRPr="0024467F"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p>
    <w:p w14:paraId="55078472" w14:textId="77777777" w:rsidR="002660BE"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rFonts w:ascii="Arial" w:hAnsi="Arial"/>
          <w:b/>
          <w:noProof/>
        </w:rPr>
        <w:lastRenderedPageBreak/>
        <w:drawing>
          <wp:inline distT="0" distB="0" distL="0" distR="0" wp14:anchorId="1173A33F" wp14:editId="2558C4D2">
            <wp:extent cx="919416" cy="16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8005" cy="1736309"/>
                    </a:xfrm>
                    <a:prstGeom prst="rect">
                      <a:avLst/>
                    </a:prstGeom>
                    <a:noFill/>
                    <a:ln>
                      <a:noFill/>
                    </a:ln>
                  </pic:spPr>
                </pic:pic>
              </a:graphicData>
            </a:graphic>
          </wp:inline>
        </w:drawing>
      </w:r>
      <w:r>
        <w:rPr>
          <w:rFonts w:ascii="Arial" w:hAnsi="Arial"/>
          <w:b/>
          <w:noProof/>
        </w:rPr>
        <w:drawing>
          <wp:inline distT="0" distB="0" distL="0" distR="0" wp14:anchorId="6E20D39D" wp14:editId="7C632F82">
            <wp:extent cx="2249256" cy="1658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676" cy="1699047"/>
                    </a:xfrm>
                    <a:prstGeom prst="rect">
                      <a:avLst/>
                    </a:prstGeom>
                    <a:noFill/>
                    <a:ln>
                      <a:noFill/>
                    </a:ln>
                  </pic:spPr>
                </pic:pic>
              </a:graphicData>
            </a:graphic>
          </wp:inline>
        </w:drawing>
      </w:r>
    </w:p>
    <w:p w14:paraId="1C70DE29" w14:textId="77777777" w:rsidR="004942A7" w:rsidRPr="00B00EEA" w:rsidRDefault="004942A7">
      <w:pPr>
        <w:spacing w:after="0" w:line="240" w:lineRule="auto"/>
        <w:rPr>
          <w:rFonts w:ascii="Arial" w:hAnsi="Arial" w:cs="Arial"/>
          <w:szCs w:val="32"/>
          <w:highlight w:val="yellow"/>
          <w:lang w:val="en-US"/>
        </w:rPr>
      </w:pPr>
    </w:p>
    <w:p w14:paraId="0A08D759" w14:textId="77777777" w:rsidR="00AA0518"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bookmarkStart w:id="143" w:name="Box22"/>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43"/>
      <w:r>
        <w:rPr>
          <w:rFonts w:ascii="Arial" w:hAnsi="Arial"/>
          <w:b/>
          <w:sz w:val="20"/>
        </w:rPr>
        <w:t xml:space="preserve"> Exemplos de Entidades Jurídicas Autônomas (empresas de titularidade integral)</w:t>
      </w:r>
    </w:p>
    <w:p w14:paraId="103A2616" w14:textId="77777777" w:rsidR="00AA0518" w:rsidRPr="0024467F"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rPr>
      </w:pPr>
    </w:p>
    <w:p w14:paraId="21D3C8AD" w14:textId="6B732A8D" w:rsidR="00656B88" w:rsidRPr="00B00EEA" w:rsidRDefault="00AA0518"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32"/>
          <w:u w:val="single"/>
        </w:rPr>
      </w:pPr>
      <w:r>
        <w:rPr>
          <w:rFonts w:ascii="Arial" w:hAnsi="Arial"/>
          <w:sz w:val="20"/>
          <w:u w:val="single"/>
        </w:rPr>
        <w:t>INOVA</w:t>
      </w:r>
      <w:r>
        <w:rPr>
          <w:rFonts w:ascii="Arial" w:hAnsi="Arial"/>
          <w:sz w:val="20"/>
        </w:rPr>
        <w:t xml:space="preserve"> - o escritório de transferência de tecnologia da UNICAMP</w:t>
      </w:r>
      <w:r w:rsidRPr="00B00EEA">
        <w:rPr>
          <w:rStyle w:val="FootnoteReference"/>
          <w:rFonts w:ascii="Arial" w:hAnsi="Arial" w:cs="Arial"/>
          <w:sz w:val="20"/>
          <w:lang w:val="en-US"/>
        </w:rPr>
        <w:footnoteReference w:id="90"/>
      </w:r>
      <w:r>
        <w:rPr>
          <w:rFonts w:ascii="Arial" w:hAnsi="Arial"/>
          <w:sz w:val="20"/>
        </w:rPr>
        <w:t xml:space="preserve"> - é uma empresa de titularidade integralmente autônoma </w:t>
      </w:r>
    </w:p>
    <w:p w14:paraId="54C64E8B" w14:textId="77777777" w:rsidR="00656B88" w:rsidRPr="0024467F"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rPr>
      </w:pPr>
    </w:p>
    <w:p w14:paraId="56BFFF17" w14:textId="77777777" w:rsidR="00656B88" w:rsidRPr="00B00EEA"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rPr>
      </w:pPr>
      <w:r>
        <w:rPr>
          <w:rFonts w:ascii="Arial" w:hAnsi="Arial"/>
          <w:i/>
          <w:sz w:val="20"/>
        </w:rPr>
        <w:t>A Agência de Inovação da Unicamp (ou INOVA) promove a interação entre a Universidade e as empresas, com as seguintes atribuições:</w:t>
      </w:r>
      <w:r w:rsidR="001B2246" w:rsidRPr="00B00EEA">
        <w:rPr>
          <w:rStyle w:val="FootnoteReference"/>
          <w:rFonts w:ascii="Arial" w:hAnsi="Arial" w:cs="Arial"/>
          <w:i/>
          <w:sz w:val="20"/>
          <w:lang w:val="en-US"/>
        </w:rPr>
        <w:footnoteReference w:id="91"/>
      </w:r>
      <w:r>
        <w:rPr>
          <w:rFonts w:ascii="Arial" w:hAnsi="Arial"/>
          <w:i/>
          <w:sz w:val="20"/>
        </w:rPr>
        <w:t xml:space="preserve"> </w:t>
      </w:r>
    </w:p>
    <w:p w14:paraId="1EA9F1F8"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rPr>
      </w:pPr>
      <w:r>
        <w:rPr>
          <w:rFonts w:ascii="Arial" w:hAnsi="Arial"/>
          <w:i/>
          <w:sz w:val="20"/>
        </w:rPr>
        <w:t xml:space="preserve">Assessorar os interessados da comunidade universitária em questões relacionadas à PI; </w:t>
      </w:r>
    </w:p>
    <w:p w14:paraId="78B47E0C"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rPr>
      </w:pPr>
      <w:r>
        <w:rPr>
          <w:rFonts w:ascii="Arial" w:hAnsi="Arial"/>
          <w:i/>
          <w:sz w:val="20"/>
        </w:rPr>
        <w:t xml:space="preserve">A Inova é responsável pela disseminação da cultura de PI, pela proteção jurídica da PI e pelo licenciamento de acordo com a legislação vigente, ressalvados os direitos autorais contidos na Lei Federal 9.610/1998, sem prejuízo da competência dos demais órgãos e entidades da universidade. </w:t>
      </w:r>
    </w:p>
    <w:p w14:paraId="3F549316"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rPr>
      </w:pPr>
      <w:r>
        <w:rPr>
          <w:rFonts w:ascii="Arial" w:hAnsi="Arial"/>
          <w:i/>
          <w:sz w:val="20"/>
        </w:rPr>
        <w:t xml:space="preserve">Promover e manter em seu site informações sobre políticas, padrões e procedimentos de PI da Universidade e a legislação nacional pertinente para consulta à comunidade da UNICAMP. </w:t>
      </w:r>
    </w:p>
    <w:p w14:paraId="2A9B8F3B" w14:textId="77777777" w:rsidR="00656B8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rPr>
      </w:pPr>
      <w:r>
        <w:rPr>
          <w:rFonts w:ascii="Arial" w:hAnsi="Arial"/>
          <w:i/>
          <w:sz w:val="20"/>
        </w:rPr>
        <w:t xml:space="preserve">Apoiar as unidades de ensino e pesquisa e demais departamentos da UNICAMP nos procedimentos e instrumentos de proteção à implementação e uso da PI. </w:t>
      </w:r>
    </w:p>
    <w:p w14:paraId="2CD294EA" w14:textId="77777777" w:rsidR="00656B88" w:rsidRPr="0024467F"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b/>
          <w:szCs w:val="32"/>
        </w:rPr>
      </w:pPr>
    </w:p>
    <w:p w14:paraId="25A79D9E"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rFonts w:ascii="Arial" w:hAnsi="Arial"/>
          <w:b/>
          <w:noProof/>
        </w:rPr>
        <w:drawing>
          <wp:inline distT="0" distB="0" distL="0" distR="0" wp14:anchorId="042289A3" wp14:editId="3C06EBFC">
            <wp:extent cx="3168502" cy="1905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92838" cy="1920505"/>
                    </a:xfrm>
                    <a:prstGeom prst="rect">
                      <a:avLst/>
                    </a:prstGeom>
                  </pic:spPr>
                </pic:pic>
              </a:graphicData>
            </a:graphic>
          </wp:inline>
        </w:drawing>
      </w:r>
    </w:p>
    <w:p w14:paraId="2A566A40" w14:textId="77777777" w:rsidR="00656B88" w:rsidRPr="004E2A5F"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14"/>
          <w:szCs w:val="20"/>
          <w:lang w:val="en-US"/>
        </w:rPr>
      </w:pPr>
    </w:p>
    <w:p w14:paraId="5036E766" w14:textId="77777777" w:rsidR="00656B88"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rPr>
      </w:pPr>
      <w:r>
        <w:rPr>
          <w:rFonts w:ascii="Arial" w:hAnsi="Arial"/>
          <w:sz w:val="20"/>
        </w:rPr>
        <w:t xml:space="preserve">Outro exemplo é a </w:t>
      </w:r>
      <w:r>
        <w:rPr>
          <w:rFonts w:ascii="Arial" w:hAnsi="Arial"/>
          <w:sz w:val="20"/>
          <w:u w:val="single"/>
        </w:rPr>
        <w:t>WITS Enterprise</w:t>
      </w:r>
      <w:r>
        <w:rPr>
          <w:rFonts w:ascii="Arial" w:hAnsi="Arial"/>
          <w:sz w:val="20"/>
        </w:rPr>
        <w:t xml:space="preserve"> - o escritório de transferência de tecnologia da Universidade de Witwatersrand, Joanesburgo</w:t>
      </w:r>
      <w:r>
        <w:rPr>
          <w:rFonts w:ascii="Arial" w:hAnsi="Arial"/>
          <w:b/>
          <w:sz w:val="20"/>
        </w:rPr>
        <w:t>.</w:t>
      </w:r>
      <w:r w:rsidR="00656B88" w:rsidRPr="00B00EEA">
        <w:rPr>
          <w:rStyle w:val="FootnoteReference"/>
          <w:rFonts w:ascii="Arial" w:hAnsi="Arial" w:cs="Arial"/>
          <w:b/>
          <w:sz w:val="20"/>
          <w:szCs w:val="32"/>
          <w:lang w:val="en-US"/>
        </w:rPr>
        <w:footnoteReference w:id="92"/>
      </w:r>
      <w:r>
        <w:rPr>
          <w:rFonts w:ascii="Arial" w:hAnsi="Arial"/>
          <w:b/>
          <w:sz w:val="20"/>
        </w:rPr>
        <w:t xml:space="preserve"> </w:t>
      </w:r>
      <w:r>
        <w:rPr>
          <w:rFonts w:ascii="Arial" w:hAnsi="Arial"/>
          <w:sz w:val="20"/>
        </w:rPr>
        <w:t>O que é exclusivo sobre este exemplo é que seu mandato vai além da gestão de PI e transferência de tecnologia e inclui cursos de curta duração, bem como suporte à pesquisa.</w:t>
      </w:r>
      <w:r>
        <w:rPr>
          <w:rFonts w:ascii="Arial" w:hAnsi="Arial"/>
          <w:b/>
          <w:sz w:val="20"/>
        </w:rPr>
        <w:t xml:space="preserve"> </w:t>
      </w:r>
    </w:p>
    <w:p w14:paraId="65581F33" w14:textId="77777777" w:rsidR="001B2246" w:rsidRPr="004E2A5F" w:rsidRDefault="001B224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ascii="Arial" w:hAnsi="Arial" w:cs="Arial"/>
          <w:b/>
          <w:sz w:val="12"/>
          <w:szCs w:val="20"/>
        </w:rPr>
      </w:pPr>
    </w:p>
    <w:p w14:paraId="00B1DDFE" w14:textId="77777777" w:rsidR="001B2246"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u w:val="single"/>
        </w:rPr>
      </w:pPr>
      <w:r>
        <w:rPr>
          <w:rFonts w:ascii="Arial" w:hAnsi="Arial"/>
          <w:sz w:val="20"/>
          <w:u w:val="single"/>
        </w:rPr>
        <w:t>Mais exemplos de empresas de titularidade integral</w:t>
      </w:r>
    </w:p>
    <w:p w14:paraId="429E136B"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rPr>
      </w:pPr>
      <w:r>
        <w:rPr>
          <w:rFonts w:ascii="Arial" w:hAnsi="Arial"/>
          <w:sz w:val="20"/>
        </w:rPr>
        <w:t>Innovus</w:t>
      </w:r>
      <w:r w:rsidRPr="00B00EEA">
        <w:rPr>
          <w:rStyle w:val="FootnoteReference"/>
          <w:rFonts w:ascii="Arial" w:hAnsi="Arial" w:cs="Arial"/>
          <w:sz w:val="20"/>
          <w:lang w:val="en-US"/>
        </w:rPr>
        <w:footnoteReference w:id="93"/>
      </w:r>
      <w:r>
        <w:rPr>
          <w:rFonts w:ascii="Arial" w:hAnsi="Arial"/>
          <w:sz w:val="20"/>
        </w:rPr>
        <w:t xml:space="preserve"> (Universidade Stellenbosch, África do Sul)</w:t>
      </w:r>
    </w:p>
    <w:p w14:paraId="455BC7EA"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r>
        <w:rPr>
          <w:rFonts w:ascii="Arial" w:hAnsi="Arial"/>
          <w:sz w:val="20"/>
        </w:rPr>
        <w:t xml:space="preserve">Fundação de Pesquisa de Ex-Alunos de Wisconsin (Universidade de Wisconsin) </w:t>
      </w:r>
    </w:p>
    <w:p w14:paraId="6D112B5B"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r>
        <w:rPr>
          <w:rFonts w:ascii="Arial" w:hAnsi="Arial"/>
          <w:sz w:val="20"/>
        </w:rPr>
        <w:t xml:space="preserve">Yissum (Universidade Hebraica de Jerusalém) </w:t>
      </w:r>
    </w:p>
    <w:p w14:paraId="46B9299C"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r>
        <w:rPr>
          <w:rFonts w:ascii="Arial" w:hAnsi="Arial"/>
          <w:sz w:val="20"/>
        </w:rPr>
        <w:t>Inovação da Universidade de Oxford (Universidade de Oxford)</w:t>
      </w:r>
    </w:p>
    <w:p w14:paraId="487E20B6" w14:textId="77777777" w:rsidR="00B8209E" w:rsidRPr="00B00EEA" w:rsidRDefault="00B8209E"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r>
        <w:rPr>
          <w:rFonts w:ascii="Arial" w:hAnsi="Arial"/>
          <w:sz w:val="20"/>
        </w:rPr>
        <w:t>Muitas universidades no Reino Unido criaram empresas privadas integrais para gerenciar as receitas de licenciamento e patentes.</w:t>
      </w:r>
    </w:p>
    <w:p w14:paraId="54429FFB" w14:textId="77777777" w:rsidR="003E0A16" w:rsidRPr="0024467F" w:rsidRDefault="003E0A16">
      <w:pPr>
        <w:spacing w:after="0" w:line="240" w:lineRule="auto"/>
        <w:rPr>
          <w:rFonts w:ascii="Arial" w:hAnsi="Arial" w:cs="Arial"/>
          <w:szCs w:val="32"/>
          <w:highlight w:val="yellow"/>
        </w:rPr>
      </w:pPr>
    </w:p>
    <w:p w14:paraId="1B003468"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Exemplo de um Prestador de Serviços de PI privado </w:t>
      </w:r>
    </w:p>
    <w:p w14:paraId="71E7338C" w14:textId="77777777" w:rsidR="006E5B9E" w:rsidRPr="0024467F"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rPr>
      </w:pPr>
    </w:p>
    <w:p w14:paraId="4DB183C9" w14:textId="77777777" w:rsidR="00C27F5E" w:rsidRDefault="006E5B9E"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rPr>
      </w:pPr>
      <w:r>
        <w:rPr>
          <w:rFonts w:ascii="Arial" w:hAnsi="Arial"/>
          <w:sz w:val="20"/>
          <w:u w:val="single"/>
        </w:rPr>
        <w:t>Iperative</w:t>
      </w:r>
      <w:r w:rsidRPr="00B00EEA">
        <w:rPr>
          <w:rStyle w:val="FootnoteReference"/>
          <w:rFonts w:ascii="Arial" w:hAnsi="Arial" w:cs="Arial"/>
          <w:b/>
          <w:sz w:val="20"/>
          <w:szCs w:val="32"/>
          <w:lang w:val="en-US"/>
        </w:rPr>
        <w:footnoteReference w:id="94"/>
      </w:r>
      <w:r>
        <w:rPr>
          <w:rFonts w:ascii="Arial" w:hAnsi="Arial"/>
          <w:sz w:val="20"/>
        </w:rPr>
        <w:t>,</w:t>
      </w:r>
      <w:r>
        <w:rPr>
          <w:rFonts w:ascii="Arial" w:hAnsi="Arial"/>
          <w:b/>
          <w:sz w:val="20"/>
        </w:rPr>
        <w:t xml:space="preserve"> </w:t>
      </w:r>
      <w:r>
        <w:rPr>
          <w:rFonts w:ascii="Arial" w:hAnsi="Arial"/>
          <w:sz w:val="20"/>
        </w:rPr>
        <w:t xml:space="preserve">uma empresa sediada na Austrália. </w:t>
      </w:r>
    </w:p>
    <w:p w14:paraId="2E198EA9" w14:textId="77777777" w:rsidR="00B35E86" w:rsidRPr="0024467F" w:rsidRDefault="00B35E8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rPr>
      </w:pPr>
    </w:p>
    <w:p w14:paraId="2582BEAA" w14:textId="77777777" w:rsidR="00B35E86"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rPr>
      </w:pPr>
      <w:r>
        <w:rPr>
          <w:noProof/>
        </w:rPr>
        <w:drawing>
          <wp:inline distT="0" distB="0" distL="0" distR="0" wp14:anchorId="7097FE1B" wp14:editId="11FC50AA">
            <wp:extent cx="1865426" cy="1022796"/>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65426" cy="1022796"/>
                    </a:xfrm>
                    <a:prstGeom prst="rect">
                      <a:avLst/>
                    </a:prstGeom>
                  </pic:spPr>
                </pic:pic>
              </a:graphicData>
            </a:graphic>
          </wp:inline>
        </w:drawing>
      </w:r>
    </w:p>
    <w:p w14:paraId="23D94E5C" w14:textId="77777777" w:rsidR="00F749FA" w:rsidRPr="00B00EEA" w:rsidRDefault="00F749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p>
    <w:p w14:paraId="629FE7A7" w14:textId="77777777" w:rsidR="0058096F" w:rsidRPr="00B00EEA" w:rsidRDefault="0058096F">
      <w:pPr>
        <w:autoSpaceDE w:val="0"/>
        <w:autoSpaceDN w:val="0"/>
        <w:adjustRightInd w:val="0"/>
        <w:spacing w:after="0" w:line="240" w:lineRule="auto"/>
        <w:jc w:val="both"/>
        <w:rPr>
          <w:rFonts w:ascii="Arial" w:hAnsi="Arial" w:cs="Arial"/>
          <w:szCs w:val="32"/>
          <w:lang w:val="en-US"/>
        </w:rPr>
      </w:pPr>
    </w:p>
    <w:p w14:paraId="2B86CF68"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Exemplos de Consórcios  </w:t>
      </w:r>
    </w:p>
    <w:p w14:paraId="6DCF852C"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p>
    <w:p w14:paraId="4D34D242" w14:textId="77777777" w:rsidR="006E5B9E" w:rsidRPr="00B00EEA" w:rsidRDefault="00ED0AED"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r>
        <w:rPr>
          <w:rFonts w:ascii="Arial" w:hAnsi="Arial"/>
          <w:b/>
          <w:sz w:val="20"/>
        </w:rPr>
        <w:t>Mercado de Troca de Tecnologia do Norte, China</w:t>
      </w:r>
    </w:p>
    <w:p w14:paraId="7E730FC1" w14:textId="77777777" w:rsidR="00E40C02" w:rsidRPr="00B00EEA" w:rsidRDefault="00E40C0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rPr>
      </w:pPr>
      <w:r>
        <w:rPr>
          <w:rFonts w:ascii="Arial" w:hAnsi="Arial"/>
          <w:sz w:val="20"/>
        </w:rPr>
        <w:t xml:space="preserve">O Mercado de Intercâmbio de Tecnologia do Norte (NTEM) da China, como um mercado de tecnologia de nível estadual construído em conjunto pelo Ministério da Ciência e Tecnologia e o Governo Municipal de Tianjin em março de 1995, é uma das mais importantes instituições regionais de transferência de tecnologia, o centro de distribuição de conquistas e informações tecnológicas e o centro de comércio de tecnologia. Veja: </w:t>
      </w:r>
      <w:hyperlink r:id="rId66" w:history="1">
        <w:r>
          <w:rPr>
            <w:rFonts w:ascii="Arial" w:hAnsi="Arial"/>
            <w:sz w:val="20"/>
          </w:rPr>
          <w:t>http://www.ntem.com.cn/english1/</w:t>
        </w:r>
      </w:hyperlink>
    </w:p>
    <w:p w14:paraId="1F3060E4" w14:textId="77777777" w:rsidR="004942A7"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1E01D562" w14:textId="77777777" w:rsidR="006E5B9E"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r>
        <w:rPr>
          <w:rFonts w:ascii="Arial" w:hAnsi="Arial"/>
          <w:noProof/>
          <w:sz w:val="16"/>
        </w:rPr>
        <w:drawing>
          <wp:inline distT="0" distB="0" distL="0" distR="0" wp14:anchorId="17AF512B" wp14:editId="3BC99612">
            <wp:extent cx="1095375" cy="618888"/>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datpc.org/picmemberlogo/439/20104289522497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7093" cy="619859"/>
                    </a:xfrm>
                    <a:prstGeom prst="rect">
                      <a:avLst/>
                    </a:prstGeom>
                    <a:noFill/>
                    <a:ln>
                      <a:noFill/>
                    </a:ln>
                  </pic:spPr>
                </pic:pic>
              </a:graphicData>
            </a:graphic>
          </wp:inline>
        </w:drawing>
      </w:r>
    </w:p>
    <w:p w14:paraId="4763E02D"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5D9BF470"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42FD6193" w14:textId="77777777" w:rsidR="006E5B9E"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r>
        <w:rPr>
          <w:rFonts w:ascii="Arial" w:hAnsi="Arial"/>
          <w:b/>
          <w:sz w:val="20"/>
        </w:rPr>
        <w:t>Consórcios no Brasil</w:t>
      </w:r>
    </w:p>
    <w:p w14:paraId="0D952C08" w14:textId="77777777"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rPr>
      </w:pPr>
      <w:r>
        <w:rPr>
          <w:rFonts w:ascii="Arial" w:hAnsi="Arial"/>
          <w:sz w:val="20"/>
        </w:rPr>
        <w:t xml:space="preserve">O Brasil tem muitos exemplos bem-sucedidos de consórcios de EGPIs, no escopo de institutos de pesquisa mantidos pelo Ministério da Ciência, Tecnologia, Inovações e Telecomunicações: </w:t>
      </w:r>
    </w:p>
    <w:p w14:paraId="2EC6EA67" w14:textId="6A19B2B3"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rPr>
      </w:pPr>
      <w:r>
        <w:rPr>
          <w:rFonts w:ascii="Arial" w:hAnsi="Arial"/>
          <w:sz w:val="20"/>
        </w:rPr>
        <w:t xml:space="preserve">1 - </w:t>
      </w:r>
      <w:hyperlink r:id="rId68" w:history="1">
        <w:r>
          <w:rPr>
            <w:rStyle w:val="Hyperlink"/>
            <w:rFonts w:ascii="Arial" w:hAnsi="Arial"/>
            <w:color w:val="auto"/>
            <w:sz w:val="20"/>
          </w:rPr>
          <w:t>Consórcio NIT-Rio</w:t>
        </w:r>
      </w:hyperlink>
      <w:r>
        <w:rPr>
          <w:rFonts w:ascii="Arial" w:hAnsi="Arial"/>
          <w:sz w:val="20"/>
        </w:rPr>
        <w:t xml:space="preserve"> é composto por oito institutos de pesquisa, a saber: Instituto Nacional de Tecnologia (INT); Centro Brasileiro de Pesquisas Físicas (CBPF); Centro de Tecnologia Mineral (CETEM); Instituto Brasileiro de Informação em Ciência e Tecnologia (IBICT); o Instituto Nacional de Matemática Pura e Aplicada (IMPA); Laboratório Nacional de Computação Científica (LNCC); Museu de Astronomia e Ciências Afins (MAST) e Observatório Nacional (ON). </w:t>
      </w:r>
    </w:p>
    <w:p w14:paraId="201B2D70" w14:textId="77777777"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rPr>
      </w:pPr>
      <w:r>
        <w:rPr>
          <w:rFonts w:ascii="Arial" w:hAnsi="Arial"/>
          <w:sz w:val="20"/>
        </w:rPr>
        <w:t xml:space="preserve">2 - </w:t>
      </w:r>
      <w:hyperlink r:id="rId69" w:history="1">
        <w:r>
          <w:rPr>
            <w:rStyle w:val="Hyperlink"/>
            <w:rFonts w:ascii="Arial" w:hAnsi="Arial"/>
            <w:color w:val="auto"/>
            <w:sz w:val="20"/>
          </w:rPr>
          <w:t>Consórcio NIT-Mantiqueira</w:t>
        </w:r>
      </w:hyperlink>
      <w:r>
        <w:rPr>
          <w:rFonts w:ascii="Arial" w:hAnsi="Arial"/>
          <w:sz w:val="20"/>
        </w:rPr>
        <w:t xml:space="preserve"> reúne os EGPIs do Centro Nacional de Pesquisa em Energia e Materiais – CNPEM; Centro de Pesquisas Avançadas Wernher von Braun – von Braun; Centro de Tecnologia da Informação Renato Archer – CTI; Fundação Valeparaibana de Educação – FVE/UNIVAP; Instituto Nacional de Pesquisas Espaciais – INPE; e Laboratório Nacional de Astrofísica – LNA.</w:t>
      </w:r>
    </w:p>
    <w:p w14:paraId="4DAAE81F" w14:textId="77777777" w:rsidR="004F6AC2" w:rsidRPr="0024467F" w:rsidRDefault="004F6AC2">
      <w:pPr>
        <w:autoSpaceDE w:val="0"/>
        <w:autoSpaceDN w:val="0"/>
        <w:adjustRightInd w:val="0"/>
        <w:spacing w:after="0" w:line="240" w:lineRule="auto"/>
        <w:jc w:val="both"/>
        <w:rPr>
          <w:rFonts w:ascii="Arial" w:hAnsi="Arial" w:cs="Arial"/>
          <w:szCs w:val="32"/>
        </w:rPr>
      </w:pPr>
    </w:p>
    <w:p w14:paraId="3097BD36"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Exemplo de um Escritório Governamental </w:t>
      </w:r>
    </w:p>
    <w:p w14:paraId="48429330" w14:textId="77777777" w:rsidR="006E5B9E" w:rsidRPr="0024467F"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p>
    <w:p w14:paraId="3D1578B9" w14:textId="7592FC52" w:rsidR="0084079B"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r>
        <w:rPr>
          <w:rFonts w:ascii="Arial" w:hAnsi="Arial"/>
          <w:sz w:val="20"/>
          <w:u w:val="single"/>
        </w:rPr>
        <w:t>O Escritório Nacional de Gestão da Propriedade Intelectual (ENGPI</w:t>
      </w:r>
      <w:r>
        <w:rPr>
          <w:rFonts w:ascii="Arial" w:hAnsi="Arial"/>
          <w:sz w:val="20"/>
        </w:rPr>
        <w:t>), África do Sul</w:t>
      </w:r>
    </w:p>
    <w:p w14:paraId="7BC51457" w14:textId="77777777" w:rsidR="002E57D0" w:rsidRPr="00B00EEA" w:rsidRDefault="00C93885" w:rsidP="000810C3">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b/>
          <w:sz w:val="20"/>
          <w:szCs w:val="32"/>
        </w:rPr>
      </w:pPr>
      <w:r>
        <w:rPr>
          <w:rFonts w:ascii="Arial" w:hAnsi="Arial"/>
          <w:sz w:val="20"/>
        </w:rPr>
        <w:t>Embora não atue estritamente como um EGPI, é um facilitador para EGPIs, fornecendo capacitação e também um financiamento de PI.</w:t>
      </w:r>
      <w:r w:rsidRPr="00A31EA9">
        <w:rPr>
          <w:rFonts w:ascii="Arial" w:hAnsi="Arial"/>
          <w:bCs/>
          <w:sz w:val="20"/>
        </w:rPr>
        <w:t xml:space="preserve"> </w:t>
      </w:r>
    </w:p>
    <w:p w14:paraId="52AA4437" w14:textId="77777777" w:rsidR="002E57D0" w:rsidRPr="00B00EEA" w:rsidRDefault="002E57D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rPr>
      </w:pPr>
      <w:r>
        <w:rPr>
          <w:noProof/>
          <w:sz w:val="20"/>
        </w:rPr>
        <w:drawing>
          <wp:inline distT="0" distB="0" distL="0" distR="0" wp14:anchorId="3F8EF3E6" wp14:editId="6A2FA3B5">
            <wp:extent cx="1710099" cy="9576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2840" cy="959190"/>
                    </a:xfrm>
                    <a:prstGeom prst="rect">
                      <a:avLst/>
                    </a:prstGeom>
                  </pic:spPr>
                </pic:pic>
              </a:graphicData>
            </a:graphic>
          </wp:inline>
        </w:drawing>
      </w:r>
    </w:p>
    <w:p w14:paraId="6907E07F" w14:textId="77777777" w:rsidR="007025A9" w:rsidRPr="00B00EEA" w:rsidRDefault="007025A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lang w:val="en-US" w:eastAsia="en-GB"/>
        </w:rPr>
      </w:pPr>
    </w:p>
    <w:p w14:paraId="6E3C6544" w14:textId="621A8C1E" w:rsidR="007025A9"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rPr>
      </w:pPr>
      <w:r>
        <w:rPr>
          <w:rFonts w:ascii="Arial" w:hAnsi="Arial"/>
          <w:sz w:val="20"/>
        </w:rPr>
        <w:lastRenderedPageBreak/>
        <w:t>O ENGPI foi estabelecido nos termos da Seção 8 da Lei de Direitos de Propriedade Intelectual de Pesquisa e Desenvolvimento Financiados Publicamente (2008). O ENGPI foi estabelecido como uma Unidade de Entrega de Serviços Especializados (SSDU) com efeito a partir de 13 de dezembro de 2013. O Chefe do ENGPI tem poderes conferidos pela legislação. O ENGPI conta com o Departamento de Ciência e Tecnologia para todos os serviços de suporte.</w:t>
      </w:r>
    </w:p>
    <w:p w14:paraId="1E05C895" w14:textId="77777777" w:rsidR="0084079B" w:rsidRPr="0024467F" w:rsidRDefault="0084079B"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rPr>
      </w:pPr>
    </w:p>
    <w:p w14:paraId="5EECBEBD" w14:textId="77777777" w:rsidR="0084079B"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rPr>
      </w:pPr>
      <w:r>
        <w:rPr>
          <w:rFonts w:ascii="Arial" w:hAnsi="Arial"/>
          <w:sz w:val="20"/>
        </w:rPr>
        <w:t xml:space="preserve">As funções do ENGPI são: </w:t>
      </w:r>
    </w:p>
    <w:p w14:paraId="3B5E44DB"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rPr>
      </w:pPr>
      <w:r>
        <w:rPr>
          <w:rFonts w:ascii="Arial" w:hAnsi="Arial"/>
          <w:sz w:val="20"/>
        </w:rPr>
        <w:t xml:space="preserve">promover os objetivos da Lei de IPR-PFRD; </w:t>
      </w:r>
    </w:p>
    <w:p w14:paraId="2A846A7D"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rPr>
      </w:pPr>
      <w:r>
        <w:rPr>
          <w:rFonts w:ascii="Arial" w:hAnsi="Arial"/>
          <w:sz w:val="20"/>
        </w:rPr>
        <w:t xml:space="preserve">garantir sua capacidade de considerar PI referida por um Destinatário; </w:t>
      </w:r>
    </w:p>
    <w:p w14:paraId="34F60A96"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rPr>
      </w:pPr>
      <w:r>
        <w:rPr>
          <w:rFonts w:ascii="Arial" w:hAnsi="Arial"/>
          <w:sz w:val="20"/>
        </w:rPr>
        <w:t xml:space="preserve">manter contato com os Destinatários para determinar a viabilidade de obter proteção legal de PI, </w:t>
      </w:r>
    </w:p>
    <w:p w14:paraId="5E00F9C7"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rPr>
      </w:pPr>
      <w:r>
        <w:rPr>
          <w:rFonts w:ascii="Arial" w:hAnsi="Arial"/>
          <w:sz w:val="20"/>
        </w:rPr>
        <w:t xml:space="preserve">concluir quaisquer transações de PI; e </w:t>
      </w:r>
    </w:p>
    <w:p w14:paraId="667B269A" w14:textId="77777777" w:rsidR="0087789E"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rPr>
      </w:pPr>
      <w:r>
        <w:rPr>
          <w:rFonts w:ascii="Arial" w:hAnsi="Arial"/>
          <w:sz w:val="20"/>
        </w:rPr>
        <w:t xml:space="preserve">comercialização de tal PI. </w:t>
      </w:r>
      <w:r>
        <w:rPr>
          <w:rFonts w:ascii="Arial" w:hAnsi="Arial"/>
          <w:b/>
          <w:vanish/>
          <w:color w:val="000000" w:themeColor="text1"/>
          <w:sz w:val="20"/>
          <w:lang w:val="en-US"/>
        </w:rPr>
        <w:br w:type="page"/>
      </w:r>
    </w:p>
    <w:p w14:paraId="1D84BD96" w14:textId="77777777" w:rsidR="007025A9" w:rsidRPr="00B00EEA" w:rsidRDefault="007025A9" w:rsidP="00C40775">
      <w:pPr>
        <w:pStyle w:val="Heading3"/>
        <w:spacing w:before="360"/>
        <w:rPr>
          <w:sz w:val="24"/>
        </w:rPr>
      </w:pPr>
      <w:bookmarkStart w:id="144" w:name="_Useful_Resources_Related_1"/>
      <w:bookmarkStart w:id="145" w:name="_Toc516496042"/>
      <w:bookmarkStart w:id="146" w:name="_Toc516829414"/>
      <w:bookmarkEnd w:id="144"/>
      <w:r>
        <w:rPr>
          <w:sz w:val="24"/>
        </w:rPr>
        <w:lastRenderedPageBreak/>
        <w:t>Recursos Úteis Relacionados ao Artigo 4</w:t>
      </w:r>
      <w:bookmarkEnd w:id="145"/>
      <w:bookmarkEnd w:id="146"/>
    </w:p>
    <w:p w14:paraId="0869DC97" w14:textId="77777777" w:rsidR="007025A9" w:rsidRPr="00B00EEA" w:rsidRDefault="007025A9" w:rsidP="009D4A54">
      <w:pPr>
        <w:pStyle w:val="FootnoteText"/>
        <w:numPr>
          <w:ilvl w:val="0"/>
          <w:numId w:val="19"/>
        </w:numPr>
        <w:ind w:left="426" w:hanging="426"/>
        <w:jc w:val="both"/>
        <w:rPr>
          <w:rFonts w:ascii="Arial" w:hAnsi="Arial" w:cs="Arial"/>
        </w:rPr>
      </w:pPr>
      <w:r>
        <w:rPr>
          <w:rFonts w:ascii="Arial" w:hAnsi="Arial"/>
          <w:b/>
        </w:rPr>
        <w:t>Papel dos Escritórios de Gestão de PI</w:t>
      </w:r>
      <w:r>
        <w:rPr>
          <w:rFonts w:ascii="Arial" w:hAnsi="Arial"/>
        </w:rPr>
        <w:t>.</w:t>
      </w:r>
    </w:p>
    <w:p w14:paraId="60405011" w14:textId="77777777" w:rsidR="007025A9" w:rsidRPr="00B00EEA" w:rsidRDefault="007025A9" w:rsidP="009D4A54">
      <w:pPr>
        <w:pStyle w:val="FootnoteText"/>
        <w:numPr>
          <w:ilvl w:val="1"/>
          <w:numId w:val="58"/>
        </w:numPr>
        <w:ind w:left="709" w:hanging="283"/>
        <w:jc w:val="both"/>
        <w:rPr>
          <w:rFonts w:ascii="Arial" w:hAnsi="Arial" w:cs="Arial"/>
        </w:rPr>
      </w:pPr>
      <w:r>
        <w:rPr>
          <w:rFonts w:ascii="Arial" w:hAnsi="Arial"/>
        </w:rPr>
        <w:t xml:space="preserve">Para mais informações sobre as funções, motivações e interesses dos Escritórios de Gestão de PI, veja: OECD, The Innovation Policy Platform, </w:t>
      </w:r>
      <w:hyperlink r:id="rId71" w:history="1">
        <w:r>
          <w:rPr>
            <w:rStyle w:val="Hyperlink"/>
            <w:rFonts w:ascii="Arial" w:hAnsi="Arial"/>
            <w:i/>
          </w:rPr>
          <w:t>Technology Transfer Offices</w:t>
        </w:r>
      </w:hyperlink>
      <w:r>
        <w:rPr>
          <w:rFonts w:ascii="Arial" w:hAnsi="Arial"/>
          <w:i/>
        </w:rPr>
        <w:t>.</w:t>
      </w:r>
      <w:r>
        <w:rPr>
          <w:rFonts w:ascii="Arial" w:hAnsi="Arial"/>
        </w:rPr>
        <w:t xml:space="preserve"> </w:t>
      </w:r>
    </w:p>
    <w:p w14:paraId="1E4C7365" w14:textId="77777777" w:rsidR="007025A9" w:rsidRPr="0024467F" w:rsidRDefault="00F265CB" w:rsidP="009D4A54">
      <w:pPr>
        <w:pStyle w:val="FootnoteText"/>
        <w:numPr>
          <w:ilvl w:val="1"/>
          <w:numId w:val="58"/>
        </w:numPr>
        <w:ind w:left="709" w:hanging="283"/>
        <w:jc w:val="both"/>
        <w:rPr>
          <w:rFonts w:ascii="Arial" w:hAnsi="Arial" w:cs="Arial"/>
          <w:lang w:val="en-US"/>
        </w:rPr>
      </w:pPr>
      <w:hyperlink r:id="rId72" w:history="1">
        <w:r w:rsidR="00372C70" w:rsidRPr="0024467F">
          <w:rPr>
            <w:rStyle w:val="Hyperlink"/>
            <w:rFonts w:ascii="Arial" w:hAnsi="Arial"/>
            <w:i/>
            <w:lang w:val="en-US"/>
          </w:rPr>
          <w:t>Establishing and Operating Technology Transfer Offices</w:t>
        </w:r>
      </w:hyperlink>
      <w:r w:rsidR="00372C70" w:rsidRPr="0024467F">
        <w:rPr>
          <w:rFonts w:ascii="Arial" w:hAnsi="Arial"/>
          <w:i/>
          <w:lang w:val="en-US"/>
        </w:rPr>
        <w:t xml:space="preserve">, </w:t>
      </w:r>
      <w:r w:rsidR="00372C70" w:rsidRPr="0024467F">
        <w:rPr>
          <w:rFonts w:ascii="Arial" w:hAnsi="Arial"/>
          <w:lang w:val="en-US"/>
        </w:rPr>
        <w:t xml:space="preserve">MIHR, PIPRA, FIOCRUZ e bioDevelopments-International Institute (2007). Intellectual Property Management in Health and Agricultural Innovation: A Handbook of Best Practices. </w:t>
      </w:r>
    </w:p>
    <w:p w14:paraId="75F3ADA6" w14:textId="4731A96C" w:rsidR="007025A9" w:rsidRPr="00B00EEA" w:rsidRDefault="007025A9" w:rsidP="009D4A54">
      <w:pPr>
        <w:pStyle w:val="ListParagraph"/>
        <w:numPr>
          <w:ilvl w:val="0"/>
          <w:numId w:val="89"/>
        </w:numPr>
        <w:tabs>
          <w:tab w:val="right" w:leader="dot" w:pos="10080"/>
        </w:tabs>
        <w:jc w:val="both"/>
        <w:rPr>
          <w:rFonts w:ascii="Arial" w:hAnsi="Arial" w:cs="Arial"/>
          <w:sz w:val="20"/>
        </w:rPr>
      </w:pPr>
      <w:r w:rsidRPr="0024467F">
        <w:rPr>
          <w:rFonts w:ascii="Arial" w:hAnsi="Arial"/>
          <w:sz w:val="20"/>
          <w:lang w:val="en-US"/>
        </w:rPr>
        <w:t xml:space="preserve">WIPO/ITC, </w:t>
      </w:r>
      <w:r w:rsidRPr="0024467F">
        <w:rPr>
          <w:rFonts w:ascii="Arial" w:hAnsi="Arial"/>
          <w:i/>
          <w:sz w:val="20"/>
          <w:lang w:val="en-US"/>
        </w:rPr>
        <w:t>Exchanging Value: Negotiating Technology Licensing Agreements</w:t>
      </w:r>
      <w:r w:rsidR="008411EA">
        <w:rPr>
          <w:rFonts w:ascii="Arial" w:hAnsi="Arial"/>
          <w:i/>
          <w:sz w:val="20"/>
          <w:lang w:val="en-US"/>
        </w:rPr>
        <w:t xml:space="preserve">. </w:t>
      </w:r>
      <w:r>
        <w:rPr>
          <w:rFonts w:ascii="Arial" w:hAnsi="Arial"/>
          <w:i/>
          <w:sz w:val="20"/>
        </w:rPr>
        <w:t>A Training Manual</w:t>
      </w:r>
      <w:r>
        <w:rPr>
          <w:rFonts w:ascii="Arial" w:hAnsi="Arial"/>
          <w:sz w:val="20"/>
        </w:rPr>
        <w:t>, 2005</w:t>
      </w:r>
      <w:r w:rsidR="008411EA">
        <w:rPr>
          <w:rFonts w:ascii="Arial" w:hAnsi="Arial"/>
          <w:sz w:val="20"/>
        </w:rPr>
        <w:t xml:space="preserve">. </w:t>
      </w:r>
      <w:r>
        <w:rPr>
          <w:rFonts w:ascii="Arial" w:hAnsi="Arial"/>
          <w:sz w:val="20"/>
        </w:rPr>
        <w:t xml:space="preserve">Disponível na livraria eletrônica da OMPI em: </w:t>
      </w:r>
      <w:hyperlink r:id="rId73" w:history="1">
        <w:r>
          <w:rPr>
            <w:rStyle w:val="Hyperlink"/>
            <w:rFonts w:ascii="Arial" w:hAnsi="Arial"/>
            <w:sz w:val="20"/>
          </w:rPr>
          <w:t>http://www.wipo.int/ebookshop</w:t>
        </w:r>
      </w:hyperlink>
    </w:p>
    <w:p w14:paraId="2059AFD8" w14:textId="77777777" w:rsidR="007025A9" w:rsidRPr="0024467F" w:rsidRDefault="007025A9" w:rsidP="009D4A54">
      <w:pPr>
        <w:pStyle w:val="ListParagraph"/>
        <w:numPr>
          <w:ilvl w:val="0"/>
          <w:numId w:val="89"/>
        </w:numPr>
        <w:tabs>
          <w:tab w:val="right" w:leader="dot" w:pos="10080"/>
        </w:tabs>
        <w:jc w:val="both"/>
        <w:rPr>
          <w:rFonts w:ascii="Arial" w:hAnsi="Arial" w:cs="Arial"/>
          <w:sz w:val="20"/>
          <w:lang w:val="en-US"/>
        </w:rPr>
      </w:pPr>
      <w:r w:rsidRPr="0024467F">
        <w:rPr>
          <w:rFonts w:ascii="Arial" w:hAnsi="Arial"/>
          <w:sz w:val="20"/>
          <w:lang w:val="en-US"/>
        </w:rPr>
        <w:t xml:space="preserve">Goldscheider, R. (ed.), </w:t>
      </w:r>
      <w:r w:rsidRPr="0024467F">
        <w:rPr>
          <w:rFonts w:ascii="Arial" w:hAnsi="Arial"/>
          <w:i/>
          <w:sz w:val="20"/>
          <w:lang w:val="en-US"/>
        </w:rPr>
        <w:t xml:space="preserve">The LESI Guide to Licensing Best Practices: Strategic, </w:t>
      </w:r>
      <w:r w:rsidRPr="0024467F">
        <w:rPr>
          <w:rFonts w:ascii="Arial" w:hAnsi="Arial"/>
          <w:sz w:val="20"/>
          <w:lang w:val="en-US"/>
        </w:rPr>
        <w:t>2002.</w:t>
      </w:r>
    </w:p>
    <w:p w14:paraId="2BBBB2BC" w14:textId="77777777" w:rsidR="007025A9" w:rsidRPr="0024467F" w:rsidRDefault="007025A9" w:rsidP="009D4A54">
      <w:pPr>
        <w:pStyle w:val="ListParagraph"/>
        <w:numPr>
          <w:ilvl w:val="0"/>
          <w:numId w:val="89"/>
        </w:numPr>
        <w:tabs>
          <w:tab w:val="right" w:leader="dot" w:pos="10080"/>
        </w:tabs>
        <w:jc w:val="both"/>
        <w:rPr>
          <w:rFonts w:ascii="Arial" w:hAnsi="Arial" w:cs="Arial"/>
          <w:sz w:val="20"/>
          <w:lang w:val="en-US"/>
        </w:rPr>
      </w:pPr>
      <w:r w:rsidRPr="0024467F">
        <w:rPr>
          <w:rFonts w:ascii="Arial" w:hAnsi="Arial"/>
          <w:sz w:val="20"/>
          <w:lang w:val="en-US"/>
        </w:rPr>
        <w:t xml:space="preserve">R. Maloney, R., </w:t>
      </w:r>
      <w:hyperlink r:id="rId74" w:history="1">
        <w:r w:rsidRPr="0024467F">
          <w:rPr>
            <w:rStyle w:val="Hyperlink"/>
            <w:rFonts w:ascii="Arial" w:hAnsi="Arial"/>
            <w:i/>
            <w:sz w:val="20"/>
            <w:lang w:val="en-US"/>
          </w:rPr>
          <w:t>Handbook of Best Practices for Management of Intellectual Property in Health Research and Development</w:t>
        </w:r>
      </w:hyperlink>
      <w:r w:rsidRPr="0024467F">
        <w:rPr>
          <w:rFonts w:ascii="Arial" w:hAnsi="Arial"/>
          <w:sz w:val="20"/>
          <w:lang w:val="en-US"/>
        </w:rPr>
        <w:t>, 2004.</w:t>
      </w:r>
    </w:p>
    <w:p w14:paraId="5AC491CA" w14:textId="77777777" w:rsidR="007025A9" w:rsidRPr="00B00EEA" w:rsidRDefault="007025A9" w:rsidP="009D4A54">
      <w:pPr>
        <w:pStyle w:val="ListParagraph"/>
        <w:numPr>
          <w:ilvl w:val="0"/>
          <w:numId w:val="89"/>
        </w:numPr>
        <w:tabs>
          <w:tab w:val="right" w:leader="dot" w:pos="10080"/>
        </w:tabs>
        <w:jc w:val="both"/>
        <w:rPr>
          <w:rFonts w:ascii="Arial" w:hAnsi="Arial" w:cs="Arial"/>
          <w:sz w:val="20"/>
        </w:rPr>
      </w:pPr>
      <w:r w:rsidRPr="0024467F">
        <w:rPr>
          <w:rFonts w:ascii="Arial" w:hAnsi="Arial"/>
          <w:i/>
          <w:sz w:val="20"/>
          <w:lang w:val="es-ES"/>
        </w:rPr>
        <w:t>Guía páctica para la creación y la gestión de oficinas de transferencia de tecnología en universidades y centros de investigación</w:t>
      </w:r>
      <w:r w:rsidRPr="0024467F">
        <w:rPr>
          <w:rFonts w:ascii="Arial" w:hAnsi="Arial"/>
          <w:sz w:val="20"/>
          <w:lang w:val="es-ES"/>
        </w:rPr>
        <w:t xml:space="preserve">. </w:t>
      </w:r>
      <w:r>
        <w:rPr>
          <w:rFonts w:ascii="Arial" w:hAnsi="Arial"/>
          <w:i/>
          <w:sz w:val="20"/>
        </w:rPr>
        <w:t>El rol de propiedad intelectual</w:t>
      </w:r>
      <w:r>
        <w:rPr>
          <w:rFonts w:ascii="Arial" w:hAnsi="Arial"/>
          <w:sz w:val="20"/>
        </w:rPr>
        <w:t>, WIPO Publication No 1026S (apenas em Espanhol).</w:t>
      </w:r>
    </w:p>
    <w:p w14:paraId="4219D4C4" w14:textId="5516A7D5" w:rsidR="007025A9" w:rsidRPr="00B00EEA" w:rsidRDefault="007025A9" w:rsidP="009D4A54">
      <w:pPr>
        <w:pStyle w:val="FootnoteText"/>
        <w:numPr>
          <w:ilvl w:val="0"/>
          <w:numId w:val="19"/>
        </w:numPr>
        <w:ind w:left="426" w:hanging="426"/>
        <w:jc w:val="both"/>
        <w:rPr>
          <w:rFonts w:ascii="Arial" w:hAnsi="Arial" w:cs="Arial"/>
        </w:rPr>
      </w:pPr>
      <w:r>
        <w:rPr>
          <w:rFonts w:ascii="Arial" w:hAnsi="Arial"/>
          <w:b/>
        </w:rPr>
        <w:t>Habilidades essenciais para a equipe do EGPI</w:t>
      </w:r>
      <w:r w:rsidR="0034635B">
        <w:rPr>
          <w:rFonts w:ascii="Arial" w:hAnsi="Arial"/>
          <w:b/>
        </w:rPr>
        <w:t>.</w:t>
      </w:r>
      <w:r w:rsidRPr="0034635B">
        <w:rPr>
          <w:rFonts w:ascii="Arial" w:hAnsi="Arial"/>
          <w:bCs/>
        </w:rPr>
        <w:t xml:space="preserve"> </w:t>
      </w:r>
      <w:r>
        <w:rPr>
          <w:rFonts w:ascii="Arial" w:hAnsi="Arial"/>
        </w:rPr>
        <w:t>Os agentes de transferência de tecnologia precisam de uma combinação usual de qualificações</w:t>
      </w:r>
      <w:r w:rsidR="008411EA">
        <w:rPr>
          <w:rFonts w:ascii="Arial" w:hAnsi="Arial"/>
        </w:rPr>
        <w:t xml:space="preserve">. </w:t>
      </w:r>
      <w:r>
        <w:rPr>
          <w:rFonts w:ascii="Arial" w:hAnsi="Arial"/>
        </w:rPr>
        <w:t>Para mais informações, veja:</w:t>
      </w:r>
    </w:p>
    <w:p w14:paraId="740429A2" w14:textId="77777777" w:rsidR="007025A9" w:rsidRPr="0024467F" w:rsidRDefault="007025A9" w:rsidP="007025A9">
      <w:pPr>
        <w:pStyle w:val="FootnoteText"/>
        <w:ind w:left="720" w:hanging="294"/>
        <w:jc w:val="both"/>
        <w:rPr>
          <w:rFonts w:ascii="Arial" w:hAnsi="Arial" w:cs="Arial"/>
          <w:lang w:val="en-US"/>
        </w:rPr>
      </w:pPr>
      <w:r w:rsidRPr="0024467F">
        <w:rPr>
          <w:rFonts w:ascii="Arial" w:hAnsi="Arial"/>
          <w:lang w:val="en-US"/>
        </w:rPr>
        <w:t xml:space="preserve">- </w:t>
      </w:r>
      <w:r w:rsidRPr="0024467F">
        <w:rPr>
          <w:rFonts w:ascii="Arial" w:hAnsi="Arial"/>
          <w:lang w:val="en-US"/>
        </w:rPr>
        <w:tab/>
        <w:t xml:space="preserve">Nelsen, L (2007). </w:t>
      </w:r>
      <w:hyperlink r:id="rId75" w:history="1">
        <w:r w:rsidRPr="0024467F">
          <w:rPr>
            <w:rStyle w:val="Hyperlink"/>
            <w:rFonts w:ascii="Arial" w:hAnsi="Arial"/>
            <w:lang w:val="en-US"/>
          </w:rPr>
          <w:t>Ten Things Heads of Universities Should Know about Setting Up a Technology Transfer Office</w:t>
        </w:r>
      </w:hyperlink>
      <w:r w:rsidRPr="0024467F">
        <w:rPr>
          <w:rFonts w:ascii="Arial" w:hAnsi="Arial"/>
          <w:lang w:val="en-US"/>
        </w:rPr>
        <w:t>. Em IP Management in Health and Agricultural Innovation: A Handbook of Best Practices.</w:t>
      </w:r>
    </w:p>
    <w:p w14:paraId="5EBE2229" w14:textId="77777777" w:rsidR="007025A9" w:rsidRPr="00B00EEA" w:rsidRDefault="007025A9" w:rsidP="007025A9">
      <w:pPr>
        <w:pStyle w:val="FootnoteText"/>
        <w:ind w:left="426"/>
        <w:jc w:val="both"/>
        <w:rPr>
          <w:rFonts w:ascii="Arial" w:hAnsi="Arial" w:cs="Arial"/>
          <w:lang w:val="en-US"/>
        </w:rPr>
      </w:pPr>
    </w:p>
    <w:p w14:paraId="3F3177E7" w14:textId="77777777" w:rsidR="007025A9" w:rsidRPr="00B00EEA" w:rsidRDefault="007025A9" w:rsidP="009D4A54">
      <w:pPr>
        <w:pStyle w:val="FootnoteText"/>
        <w:numPr>
          <w:ilvl w:val="0"/>
          <w:numId w:val="19"/>
        </w:numPr>
        <w:ind w:left="426" w:hanging="426"/>
        <w:jc w:val="both"/>
        <w:rPr>
          <w:rFonts w:ascii="Arial" w:hAnsi="Arial" w:cs="Arial"/>
        </w:rPr>
      </w:pPr>
      <w:r>
        <w:rPr>
          <w:rFonts w:ascii="Arial" w:hAnsi="Arial"/>
          <w:b/>
        </w:rPr>
        <w:t>Estrutura dos Escritórios de Gestão de PI</w:t>
      </w:r>
      <w:r>
        <w:rPr>
          <w:rFonts w:ascii="Arial" w:hAnsi="Arial"/>
        </w:rPr>
        <w:t>.</w:t>
      </w:r>
    </w:p>
    <w:p w14:paraId="67D1C02B" w14:textId="77777777" w:rsidR="007025A9" w:rsidRPr="00B00EEA" w:rsidRDefault="007025A9" w:rsidP="009D4A54">
      <w:pPr>
        <w:pStyle w:val="FootnoteText"/>
        <w:numPr>
          <w:ilvl w:val="1"/>
          <w:numId w:val="60"/>
        </w:numPr>
        <w:ind w:left="709" w:hanging="283"/>
        <w:jc w:val="both"/>
        <w:rPr>
          <w:rFonts w:ascii="Arial" w:hAnsi="Arial" w:cs="Arial"/>
          <w:i/>
        </w:rPr>
      </w:pPr>
      <w:r>
        <w:rPr>
          <w:rFonts w:ascii="Arial" w:hAnsi="Arial"/>
        </w:rPr>
        <w:t xml:space="preserve">Para mais informações sobre as vantagens e desvantagens de um escritório autônomo: Oxford University Innovation (2009), </w:t>
      </w:r>
      <w:hyperlink r:id="rId76" w:history="1">
        <w:r>
          <w:rPr>
            <w:rStyle w:val="Hyperlink"/>
            <w:rFonts w:ascii="Arial" w:hAnsi="Arial"/>
            <w:i/>
          </w:rPr>
          <w:t>What is the Best Structure for a University Technology Transfer Office?</w:t>
        </w:r>
      </w:hyperlink>
      <w:r>
        <w:rPr>
          <w:rFonts w:ascii="Arial" w:hAnsi="Arial"/>
          <w:i/>
        </w:rPr>
        <w:t xml:space="preserve"> </w:t>
      </w:r>
    </w:p>
    <w:p w14:paraId="74C616FF" w14:textId="77777777" w:rsidR="007025A9" w:rsidRPr="0024467F" w:rsidRDefault="007025A9" w:rsidP="007025A9">
      <w:pPr>
        <w:pStyle w:val="FootnoteText"/>
        <w:ind w:left="426"/>
        <w:jc w:val="both"/>
        <w:rPr>
          <w:rFonts w:ascii="Arial" w:hAnsi="Arial" w:cs="Arial"/>
        </w:rPr>
      </w:pPr>
    </w:p>
    <w:p w14:paraId="6E6D2B9F" w14:textId="77777777" w:rsidR="00C40775" w:rsidRPr="00B00EEA" w:rsidRDefault="007025A9" w:rsidP="009D4A54">
      <w:pPr>
        <w:pStyle w:val="ListParagraph"/>
        <w:numPr>
          <w:ilvl w:val="0"/>
          <w:numId w:val="133"/>
        </w:numPr>
        <w:tabs>
          <w:tab w:val="left" w:pos="851"/>
        </w:tabs>
        <w:spacing w:after="0" w:line="240" w:lineRule="auto"/>
        <w:ind w:left="426" w:hanging="426"/>
        <w:jc w:val="both"/>
        <w:rPr>
          <w:rFonts w:ascii="Arial" w:hAnsi="Arial" w:cs="Arial"/>
          <w:b/>
          <w:sz w:val="20"/>
        </w:rPr>
      </w:pPr>
      <w:r>
        <w:rPr>
          <w:rFonts w:ascii="Arial" w:hAnsi="Arial"/>
          <w:b/>
          <w:sz w:val="20"/>
        </w:rPr>
        <w:t>Gestão de PI, comercialização de PI e transferência de conhecimento em Universidades e instituições de pesquisa.</w:t>
      </w:r>
      <w:r w:rsidRPr="0034635B">
        <w:rPr>
          <w:rFonts w:ascii="Arial" w:hAnsi="Arial"/>
          <w:bCs/>
          <w:sz w:val="20"/>
        </w:rPr>
        <w:t xml:space="preserve"> </w:t>
      </w:r>
      <w:r>
        <w:rPr>
          <w:rFonts w:ascii="Arial" w:hAnsi="Arial"/>
          <w:sz w:val="20"/>
        </w:rPr>
        <w:t>Uma seleção de recursos gerais com informações e estratégias para utilizar o poder da PI gerada nas Instituições:</w:t>
      </w:r>
    </w:p>
    <w:p w14:paraId="6D2F5DAF" w14:textId="6C163ECC" w:rsidR="00BF5184" w:rsidRPr="00B00EEA" w:rsidRDefault="00F265CB" w:rsidP="009D4A54">
      <w:pPr>
        <w:pStyle w:val="FootnoteText"/>
        <w:numPr>
          <w:ilvl w:val="1"/>
          <w:numId w:val="58"/>
        </w:numPr>
        <w:ind w:left="709" w:hanging="283"/>
        <w:jc w:val="both"/>
        <w:rPr>
          <w:rFonts w:ascii="Arial" w:hAnsi="Arial" w:cs="Arial"/>
        </w:rPr>
      </w:pPr>
      <w:hyperlink r:id="rId77" w:history="1">
        <w:r w:rsidR="00AC2CB2">
          <w:rPr>
            <w:rStyle w:val="Hyperlink"/>
            <w:rFonts w:ascii="Arial" w:hAnsi="Arial"/>
          </w:rPr>
          <w:t>Curso Avançado de Ensino à Distância em Gestão de PI (DL-450)</w:t>
        </w:r>
      </w:hyperlink>
      <w:r w:rsidR="00AC2CB2">
        <w:rPr>
          <w:rFonts w:ascii="Arial" w:hAnsi="Arial"/>
        </w:rPr>
        <w:t xml:space="preserve"> da OMPI aborda os principais conceitos de gestão de PI, comercialização, licenciamento e melhores práticas, destacando o papel da PI no ciclo de inovação para benefícios econômicos e sociais</w:t>
      </w:r>
      <w:r w:rsidR="008411EA">
        <w:rPr>
          <w:rFonts w:ascii="Arial" w:hAnsi="Arial"/>
        </w:rPr>
        <w:t xml:space="preserve">. </w:t>
      </w:r>
      <w:r w:rsidR="00AC2CB2">
        <w:rPr>
          <w:rFonts w:ascii="Arial" w:hAnsi="Arial"/>
        </w:rPr>
        <w:t xml:space="preserve">Um especialista em gestão de PI auxilia cada participante durante o curso. </w:t>
      </w:r>
    </w:p>
    <w:p w14:paraId="4D29E435" w14:textId="77777777" w:rsidR="007025A9" w:rsidRPr="0024467F" w:rsidRDefault="007025A9" w:rsidP="009D4A54">
      <w:pPr>
        <w:pStyle w:val="FootnoteText"/>
        <w:numPr>
          <w:ilvl w:val="1"/>
          <w:numId w:val="58"/>
        </w:numPr>
        <w:ind w:left="709" w:hanging="283"/>
        <w:rPr>
          <w:rFonts w:ascii="Arial" w:hAnsi="Arial" w:cs="Arial"/>
          <w:lang w:val="en-US"/>
        </w:rPr>
      </w:pPr>
      <w:r w:rsidRPr="0024467F">
        <w:rPr>
          <w:rFonts w:ascii="Arial" w:hAnsi="Arial"/>
          <w:lang w:val="en-US"/>
        </w:rPr>
        <w:t xml:space="preserve">AURIL/UUK/The Patent Office, </w:t>
      </w:r>
      <w:hyperlink r:id="rId78" w:history="1">
        <w:r w:rsidRPr="0024467F">
          <w:rPr>
            <w:rStyle w:val="Hyperlink"/>
            <w:rFonts w:ascii="Arial" w:hAnsi="Arial"/>
            <w:lang w:val="en-US"/>
          </w:rPr>
          <w:t>Managing Intellectual Property - A guide to strategic decision-making in universities</w:t>
        </w:r>
      </w:hyperlink>
      <w:r w:rsidRPr="0024467F">
        <w:rPr>
          <w:rFonts w:ascii="Arial" w:hAnsi="Arial"/>
          <w:lang w:val="en-US"/>
        </w:rPr>
        <w:t xml:space="preserve">. </w:t>
      </w:r>
    </w:p>
    <w:p w14:paraId="5B2492CE" w14:textId="77777777" w:rsidR="007025A9" w:rsidRPr="00B00EEA" w:rsidRDefault="007025A9" w:rsidP="009D4A54">
      <w:pPr>
        <w:pStyle w:val="FootnoteText"/>
        <w:numPr>
          <w:ilvl w:val="1"/>
          <w:numId w:val="58"/>
        </w:numPr>
        <w:ind w:left="709" w:hanging="283"/>
        <w:jc w:val="both"/>
        <w:rPr>
          <w:rStyle w:val="Hyperlink"/>
          <w:rFonts w:ascii="Arial" w:hAnsi="Arial" w:cs="Arial"/>
          <w:color w:val="auto"/>
          <w:u w:val="none"/>
        </w:rPr>
      </w:pPr>
      <w:r>
        <w:rPr>
          <w:rFonts w:ascii="Arial" w:hAnsi="Arial"/>
        </w:rPr>
        <w:t xml:space="preserve">AUTM, Technology Transfer Practice Manual, disponível em </w:t>
      </w:r>
      <w:hyperlink r:id="rId79" w:history="1">
        <w:r>
          <w:rPr>
            <w:rStyle w:val="Hyperlink"/>
            <w:rFonts w:ascii="Arial" w:hAnsi="Arial"/>
          </w:rPr>
          <w:t>www.autm.net</w:t>
        </w:r>
      </w:hyperlink>
    </w:p>
    <w:p w14:paraId="2520C29A" w14:textId="77777777" w:rsidR="00C40775" w:rsidRPr="0024467F" w:rsidRDefault="0028017B" w:rsidP="009D4A54">
      <w:pPr>
        <w:pStyle w:val="FootnoteText"/>
        <w:numPr>
          <w:ilvl w:val="1"/>
          <w:numId w:val="58"/>
        </w:numPr>
        <w:ind w:left="709" w:hanging="283"/>
        <w:jc w:val="both"/>
        <w:rPr>
          <w:rFonts w:ascii="Arial" w:hAnsi="Arial" w:cs="Arial"/>
          <w:lang w:val="en-US"/>
        </w:rPr>
      </w:pPr>
      <w:r w:rsidRPr="0024467F">
        <w:rPr>
          <w:rFonts w:ascii="Arial" w:hAnsi="Arial"/>
          <w:lang w:val="en-US"/>
        </w:rPr>
        <w:t>Intellectual Property Management in Health and Agricultural Innovation: A Handbook of Best Practices (</w:t>
      </w:r>
      <w:hyperlink r:id="rId80" w:history="1">
        <w:r w:rsidRPr="0024467F">
          <w:rPr>
            <w:rStyle w:val="Hyperlink"/>
            <w:rFonts w:ascii="Arial" w:hAnsi="Arial"/>
            <w:lang w:val="en-US"/>
          </w:rPr>
          <w:t>IP Handbook</w:t>
        </w:r>
      </w:hyperlink>
      <w:r w:rsidRPr="0024467F">
        <w:rPr>
          <w:rFonts w:ascii="Arial" w:hAnsi="Arial"/>
          <w:lang w:val="en-US"/>
        </w:rPr>
        <w:t>), MIHR, PIPRA, FIOCRUZ, bioDevelopments-International Institute</w:t>
      </w:r>
    </w:p>
    <w:p w14:paraId="74D658A5" w14:textId="77777777" w:rsidR="0028017B" w:rsidRPr="00B00EEA" w:rsidRDefault="0028017B" w:rsidP="009D4A54">
      <w:pPr>
        <w:pStyle w:val="FootnoteText"/>
        <w:numPr>
          <w:ilvl w:val="1"/>
          <w:numId w:val="58"/>
        </w:numPr>
        <w:ind w:left="709" w:hanging="283"/>
        <w:jc w:val="both"/>
        <w:rPr>
          <w:rFonts w:ascii="Arial" w:hAnsi="Arial" w:cs="Arial"/>
        </w:rPr>
      </w:pPr>
      <w:r>
        <w:rPr>
          <w:rFonts w:ascii="Arial" w:hAnsi="Arial"/>
        </w:rPr>
        <w:t xml:space="preserve">Para mais informações: consulte a lista de recursos fornecidos no </w:t>
      </w:r>
      <w:hyperlink r:id="rId81" w:history="1">
        <w:r>
          <w:rPr>
            <w:rStyle w:val="Hyperlink"/>
            <w:rFonts w:ascii="Arial" w:hAnsi="Arial"/>
          </w:rPr>
          <w:t>Site da OMPI</w:t>
        </w:r>
      </w:hyperlink>
      <w:r>
        <w:rPr>
          <w:rFonts w:ascii="Arial" w:hAnsi="Arial"/>
        </w:rPr>
        <w:t>, sob o tema “Gestão de PI e Transferência de Tecnologia”</w:t>
      </w:r>
    </w:p>
    <w:p w14:paraId="5E13B5D0" w14:textId="77777777" w:rsidR="00007B07" w:rsidRPr="0024467F" w:rsidRDefault="00007B07" w:rsidP="00B7519E">
      <w:pPr>
        <w:rPr>
          <w:rFonts w:ascii="Arial" w:hAnsi="Arial" w:cs="Arial"/>
          <w:color w:val="000000" w:themeColor="text1"/>
        </w:rPr>
      </w:pPr>
    </w:p>
    <w:p w14:paraId="3532E0C7" w14:textId="77777777" w:rsidR="00E22076" w:rsidRPr="00B00EEA" w:rsidRDefault="00E22076" w:rsidP="002F3C51">
      <w:pPr>
        <w:pStyle w:val="Heading2"/>
      </w:pPr>
      <w:bookmarkStart w:id="147" w:name="_Toc482103093"/>
    </w:p>
    <w:p w14:paraId="7BE60190" w14:textId="77777777" w:rsidR="004942A7" w:rsidRPr="00B00EEA" w:rsidRDefault="00060558" w:rsidP="002F3C51">
      <w:pPr>
        <w:pStyle w:val="Heading2"/>
      </w:pPr>
      <w:bookmarkStart w:id="148" w:name="_Toc516160058"/>
      <w:bookmarkStart w:id="149" w:name="_Toc516219401"/>
      <w:bookmarkStart w:id="150" w:name="_Toc516496043"/>
      <w:bookmarkStart w:id="151" w:name="_Toc516829415"/>
      <w:bookmarkStart w:id="152" w:name="_Toc185241083"/>
      <w:r>
        <w:t>ARTIGO 5 – TITULARIDADE DE PI E DIREITOS DE USO</w:t>
      </w:r>
      <w:bookmarkEnd w:id="148"/>
      <w:bookmarkEnd w:id="149"/>
      <w:bookmarkEnd w:id="150"/>
      <w:bookmarkEnd w:id="151"/>
      <w:bookmarkEnd w:id="152"/>
      <w:r>
        <w:t xml:space="preserve"> </w:t>
      </w:r>
    </w:p>
    <w:p w14:paraId="41D6F842" w14:textId="77777777" w:rsidR="00E22076" w:rsidRPr="0024467F" w:rsidRDefault="00E22076" w:rsidP="002F3C51">
      <w:pPr>
        <w:pStyle w:val="Heading2"/>
      </w:pPr>
    </w:p>
    <w:p w14:paraId="6EFEDB0F" w14:textId="77777777" w:rsidR="00194209" w:rsidRPr="00B00EEA" w:rsidRDefault="00C251E9" w:rsidP="00B7519E">
      <w:pPr>
        <w:pStyle w:val="Heading3"/>
        <w:spacing w:before="360"/>
        <w:rPr>
          <w:sz w:val="24"/>
        </w:rPr>
      </w:pPr>
      <w:bookmarkStart w:id="153" w:name="_Toc494115966"/>
      <w:bookmarkStart w:id="154" w:name="_Toc516160059"/>
      <w:bookmarkStart w:id="155" w:name="_Toc516219402"/>
      <w:bookmarkStart w:id="156" w:name="_Toc516496044"/>
      <w:bookmarkStart w:id="157" w:name="_Toc516829416"/>
      <w:bookmarkEnd w:id="147"/>
      <w:r>
        <w:rPr>
          <w:sz w:val="24"/>
        </w:rPr>
        <w:t>Diretrizes gerais para determinar a titularidade de PI</w:t>
      </w:r>
      <w:bookmarkEnd w:id="153"/>
      <w:bookmarkEnd w:id="154"/>
      <w:bookmarkEnd w:id="155"/>
      <w:bookmarkEnd w:id="156"/>
      <w:bookmarkEnd w:id="157"/>
      <w:r>
        <w:rPr>
          <w:sz w:val="24"/>
        </w:rPr>
        <w:t xml:space="preserve"> </w:t>
      </w:r>
    </w:p>
    <w:p w14:paraId="4226BB8C" w14:textId="77777777" w:rsidR="007D0C94" w:rsidRPr="00B00EEA" w:rsidRDefault="007D0C94" w:rsidP="007D0C94">
      <w:pPr>
        <w:spacing w:after="0" w:line="240" w:lineRule="auto"/>
        <w:jc w:val="both"/>
        <w:rPr>
          <w:rFonts w:ascii="Arial" w:hAnsi="Arial" w:cs="Arial"/>
          <w:sz w:val="20"/>
        </w:rPr>
      </w:pPr>
      <w:r>
        <w:rPr>
          <w:rFonts w:ascii="Arial" w:hAnsi="Arial"/>
          <w:sz w:val="20"/>
        </w:rPr>
        <w:t>Três regras gerais são definidas abaixo para as etapas a serem seguidas na determinação da titularidade de PI criada em universidades e instituições de pesquisa:</w:t>
      </w:r>
    </w:p>
    <w:p w14:paraId="62F5AF51" w14:textId="77777777" w:rsidR="007D0C94" w:rsidRPr="0024467F" w:rsidRDefault="007D0C94">
      <w:pPr>
        <w:spacing w:after="0" w:line="240" w:lineRule="auto"/>
        <w:ind w:left="567" w:hanging="567"/>
        <w:jc w:val="both"/>
        <w:rPr>
          <w:rFonts w:ascii="Arial" w:eastAsia="Times New Roman" w:hAnsi="Arial" w:cs="Arial"/>
          <w:b/>
          <w:color w:val="0070C0"/>
        </w:rPr>
      </w:pPr>
    </w:p>
    <w:p w14:paraId="06539EE1" w14:textId="77777777" w:rsidR="00E27A4C" w:rsidRPr="00B00EEA" w:rsidRDefault="00C1731A" w:rsidP="0034635B">
      <w:pPr>
        <w:keepNext/>
        <w:spacing w:after="0" w:line="240" w:lineRule="auto"/>
        <w:ind w:left="567" w:hanging="567"/>
        <w:jc w:val="both"/>
        <w:rPr>
          <w:rFonts w:ascii="Arial" w:eastAsia="Times New Roman" w:hAnsi="Arial" w:cs="Arial"/>
          <w:b/>
          <w:color w:val="0070C0"/>
        </w:rPr>
      </w:pPr>
      <w:r>
        <w:rPr>
          <w:rFonts w:ascii="Arial" w:hAnsi="Arial"/>
          <w:b/>
          <w:color w:val="0070C0"/>
        </w:rPr>
        <w:lastRenderedPageBreak/>
        <w:t>Primeira regra - Verifique a Legislação Nacional</w:t>
      </w:r>
    </w:p>
    <w:p w14:paraId="5102D928" w14:textId="77777777" w:rsidR="00E27A4C" w:rsidRPr="0024467F" w:rsidRDefault="00E27A4C" w:rsidP="0034635B">
      <w:pPr>
        <w:keepNext/>
        <w:tabs>
          <w:tab w:val="left" w:pos="426"/>
        </w:tabs>
        <w:spacing w:after="0" w:line="240" w:lineRule="auto"/>
        <w:ind w:left="426" w:hanging="426"/>
        <w:jc w:val="both"/>
        <w:rPr>
          <w:rFonts w:ascii="Arial" w:eastAsia="Times New Roman" w:hAnsi="Arial" w:cs="Arial"/>
          <w:b/>
          <w:sz w:val="20"/>
        </w:rPr>
      </w:pPr>
    </w:p>
    <w:p w14:paraId="7551AEF1" w14:textId="77777777" w:rsidR="00C251E9" w:rsidRPr="0034635B" w:rsidRDefault="00C278C2" w:rsidP="009D4A54">
      <w:pPr>
        <w:pStyle w:val="ListParagraph"/>
        <w:numPr>
          <w:ilvl w:val="0"/>
          <w:numId w:val="19"/>
        </w:numPr>
        <w:tabs>
          <w:tab w:val="left" w:pos="426"/>
        </w:tabs>
        <w:spacing w:after="0" w:line="240" w:lineRule="auto"/>
        <w:ind w:left="426" w:hanging="426"/>
        <w:jc w:val="both"/>
        <w:rPr>
          <w:rFonts w:ascii="Arial" w:hAnsi="Arial" w:cs="Arial"/>
          <w:color w:val="000000"/>
          <w:sz w:val="20"/>
        </w:rPr>
      </w:pPr>
      <w:r>
        <w:rPr>
          <w:rFonts w:ascii="Arial" w:hAnsi="Arial"/>
          <w:sz w:val="20"/>
        </w:rPr>
        <w:t>As Instituições devem realizar uma análise completa das disposições legislativas nacionais, se houver, sobre titularidade de PI, pois uma Política de PI institucional deve estar em conformidade com quaisquer disposições legislativas nacionais</w:t>
      </w:r>
      <w:r w:rsidR="007D0C94" w:rsidRPr="00B00EEA">
        <w:rPr>
          <w:rStyle w:val="FootnoteReference"/>
          <w:rFonts w:ascii="Arial" w:eastAsia="Times New Roman" w:hAnsi="Arial" w:cs="Arial"/>
          <w:sz w:val="20"/>
          <w:lang w:val="en-US"/>
        </w:rPr>
        <w:footnoteReference w:id="95"/>
      </w:r>
      <w:r>
        <w:rPr>
          <w:rFonts w:ascii="Arial" w:hAnsi="Arial"/>
          <w:sz w:val="20"/>
        </w:rPr>
        <w:t xml:space="preserve"> - não se pode contratar em desacordo com a legislação. Quando a legislação nacional for omissa ou sujeita a interpretação, a política institucional de PI pode ser adaptada à visão e missão institucional para comercialização de PI.</w:t>
      </w:r>
    </w:p>
    <w:p w14:paraId="5FCE193D" w14:textId="77777777" w:rsidR="0034635B" w:rsidRPr="00B00EEA" w:rsidRDefault="0034635B" w:rsidP="0034635B">
      <w:pPr>
        <w:pStyle w:val="ListParagraph"/>
        <w:tabs>
          <w:tab w:val="left" w:pos="426"/>
        </w:tabs>
        <w:spacing w:after="0" w:line="240" w:lineRule="auto"/>
        <w:ind w:left="426"/>
        <w:jc w:val="both"/>
        <w:rPr>
          <w:rFonts w:ascii="Arial" w:hAnsi="Arial" w:cs="Arial"/>
          <w:color w:val="000000"/>
          <w:sz w:val="20"/>
        </w:rPr>
      </w:pPr>
    </w:p>
    <w:p w14:paraId="59B14477" w14:textId="77777777" w:rsidR="007D0C94"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rPr>
      </w:pPr>
      <w:r>
        <w:rPr>
          <w:rFonts w:ascii="Arial" w:hAnsi="Arial"/>
          <w:sz w:val="20"/>
        </w:rPr>
        <w:t>Em alguns países, as disposições sobre titularidade de PI encontram-se na legislação de PI; enquanto em outros elas são o resultado da lei trabalhista,</w:t>
      </w:r>
      <w:r w:rsidR="000C3E6E" w:rsidRPr="00B00EEA">
        <w:rPr>
          <w:rStyle w:val="FootnoteReference"/>
          <w:rFonts w:ascii="Arial" w:eastAsia="Times New Roman" w:hAnsi="Arial" w:cs="Arial"/>
          <w:sz w:val="20"/>
          <w:lang w:val="en-US"/>
        </w:rPr>
        <w:footnoteReference w:id="96"/>
      </w:r>
      <w:r>
        <w:rPr>
          <w:rFonts w:ascii="Arial" w:hAnsi="Arial"/>
          <w:sz w:val="20"/>
        </w:rPr>
        <w:t xml:space="preserve"> regulamentos de financiamento de pesquisa, leis contratuais e/ou leis específicas</w:t>
      </w:r>
      <w:r w:rsidR="000C3E6E" w:rsidRPr="00B00EEA">
        <w:rPr>
          <w:rStyle w:val="FootnoteReference"/>
          <w:rFonts w:ascii="Arial" w:hAnsi="Arial" w:cs="Arial"/>
          <w:sz w:val="20"/>
          <w:lang w:val="en-US"/>
        </w:rPr>
        <w:footnoteReference w:id="97"/>
      </w:r>
      <w:r w:rsidR="000C3E6E" w:rsidRPr="0024467F">
        <w:rPr>
          <w:rStyle w:val="FootnoteReference"/>
          <w:rFonts w:ascii="Arial" w:hAnsi="Arial" w:cs="Arial"/>
          <w:sz w:val="20"/>
        </w:rPr>
        <w:t xml:space="preserve"> </w:t>
      </w:r>
      <w:r>
        <w:rPr>
          <w:rStyle w:val="FootnoteReference"/>
          <w:rFonts w:ascii="Arial" w:hAnsi="Arial"/>
          <w:sz w:val="20"/>
        </w:rPr>
        <w:t xml:space="preserve"> </w:t>
      </w:r>
      <w:r>
        <w:rPr>
          <w:rFonts w:ascii="Arial" w:hAnsi="Arial"/>
          <w:sz w:val="20"/>
        </w:rPr>
        <w:t xml:space="preserve">lidando com PI institucional e transferência de tecnologia. </w:t>
      </w:r>
    </w:p>
    <w:p w14:paraId="009C7F3F" w14:textId="77777777" w:rsidR="007D0C94" w:rsidRPr="0024467F" w:rsidRDefault="007D0C94" w:rsidP="00B7519E">
      <w:pPr>
        <w:pStyle w:val="ListParagraph"/>
        <w:spacing w:line="240" w:lineRule="auto"/>
        <w:ind w:left="426"/>
        <w:jc w:val="both"/>
        <w:rPr>
          <w:rFonts w:ascii="Arial" w:eastAsia="Times New Roman" w:hAnsi="Arial" w:cs="Arial"/>
          <w:sz w:val="20"/>
        </w:rPr>
      </w:pPr>
    </w:p>
    <w:p w14:paraId="0ECA4A96" w14:textId="77777777" w:rsidR="009832CD"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rPr>
      </w:pPr>
      <w:r>
        <w:rPr>
          <w:rFonts w:ascii="Arial" w:hAnsi="Arial"/>
          <w:sz w:val="20"/>
        </w:rPr>
        <w:t>Além disso, muitos instrumentos não legislativos podem conter disposições relativas à titularidade e transferência de PI, como políticas, iniciativas governamentais, regras fiscais, regras sobre agências governamentais de financiamento, regulamentações sobre financiamento de pesquisa, decisões judiciais e códigos de prática.</w:t>
      </w:r>
      <w:r w:rsidRPr="00B00EEA">
        <w:rPr>
          <w:rStyle w:val="FootnoteReference"/>
          <w:rFonts w:ascii="Arial" w:hAnsi="Arial" w:cs="Arial"/>
          <w:sz w:val="20"/>
          <w:lang w:val="en-US"/>
        </w:rPr>
        <w:footnoteReference w:id="98"/>
      </w:r>
      <w:r w:rsidRPr="0024467F">
        <w:rPr>
          <w:rStyle w:val="FootnoteReference"/>
          <w:rFonts w:ascii="Arial" w:hAnsi="Arial" w:cs="Arial"/>
          <w:sz w:val="20"/>
        </w:rPr>
        <w:t xml:space="preserve"> </w:t>
      </w:r>
      <w:r>
        <w:rPr>
          <w:rStyle w:val="FootnoteReference"/>
          <w:rFonts w:ascii="Arial" w:hAnsi="Arial"/>
          <w:sz w:val="20"/>
        </w:rPr>
        <w:t xml:space="preserve"> </w:t>
      </w:r>
      <w:r>
        <w:rPr>
          <w:rFonts w:ascii="Arial" w:hAnsi="Arial"/>
          <w:sz w:val="20"/>
        </w:rPr>
        <w:t xml:space="preserve"> </w:t>
      </w:r>
    </w:p>
    <w:p w14:paraId="019C26E7" w14:textId="77777777" w:rsidR="00DD0FAD" w:rsidRPr="00B00EEA" w:rsidRDefault="00DD0FAD" w:rsidP="00B7519E">
      <w:pPr>
        <w:spacing w:after="0" w:line="240" w:lineRule="auto"/>
        <w:ind w:left="426"/>
        <w:jc w:val="both"/>
        <w:rPr>
          <w:rFonts w:ascii="Arial" w:eastAsia="Times New Roman" w:hAnsi="Arial" w:cs="Arial"/>
          <w:sz w:val="20"/>
        </w:rPr>
      </w:pPr>
      <w:r>
        <w:rPr>
          <w:rFonts w:ascii="Arial" w:hAnsi="Arial"/>
          <w:sz w:val="20"/>
        </w:rPr>
        <w:t xml:space="preserve">Em vários países, a titularidade de PI difere entre instituições de pesquisa públicas não institucionais e universidades. Também pode haver regras diferentes de titularidade que se aplicam quando uma obra foi criada por meio de financiamento público ou externo; e a titularidade às vezes varia de acordo com o status de emprego (professor, assistente, pessoal técnico, etc.). Além disso, algumas disposições na legislação nacional podem ser vinculativas; outras criam uma posição padrão que pode ser modificada pelas Instituições por meio de contratos de trabalho e políticas de PI e/ou por meio de contratos individuais com parceiros industriais. </w:t>
      </w:r>
    </w:p>
    <w:p w14:paraId="5E8D12B1" w14:textId="77777777" w:rsidR="00DD0FAD" w:rsidRPr="0024467F" w:rsidRDefault="00DD0FAD" w:rsidP="00DD0FAD">
      <w:pPr>
        <w:pStyle w:val="ListParagraph"/>
        <w:spacing w:after="0" w:line="240" w:lineRule="auto"/>
        <w:jc w:val="both"/>
        <w:rPr>
          <w:rFonts w:ascii="Arial" w:eastAsia="Times New Roman" w:hAnsi="Arial" w:cs="Arial"/>
          <w:sz w:val="20"/>
        </w:rPr>
      </w:pPr>
    </w:p>
    <w:p w14:paraId="6512FD49" w14:textId="77777777" w:rsidR="00DD0FAD" w:rsidRPr="00B00EEA" w:rsidRDefault="007D0C94" w:rsidP="009D4A54">
      <w:pPr>
        <w:pStyle w:val="ListParagraph"/>
        <w:numPr>
          <w:ilvl w:val="0"/>
          <w:numId w:val="19"/>
        </w:numPr>
        <w:spacing w:line="240" w:lineRule="auto"/>
        <w:ind w:left="426" w:hanging="426"/>
        <w:jc w:val="both"/>
        <w:rPr>
          <w:rFonts w:ascii="Arial" w:eastAsia="Times New Roman" w:hAnsi="Arial" w:cs="Arial"/>
          <w:sz w:val="20"/>
        </w:rPr>
      </w:pPr>
      <w:r>
        <w:rPr>
          <w:rFonts w:ascii="Arial" w:hAnsi="Arial"/>
          <w:sz w:val="20"/>
        </w:rPr>
        <w:t>Independentemente de haver legislação nacional em vigor ou não, as Instituições normalmente adotam um de dois regimes para titularidade de PI gerada nas Instituições: modelo de titularidade da instituição ou de titularidade do inventor.</w:t>
      </w:r>
    </w:p>
    <w:p w14:paraId="248BB336" w14:textId="77777777" w:rsidR="00D02C14" w:rsidRPr="0024467F" w:rsidRDefault="00D02C14" w:rsidP="00B7519E">
      <w:pPr>
        <w:pStyle w:val="ListParagraph"/>
        <w:spacing w:line="240" w:lineRule="auto"/>
        <w:ind w:left="426"/>
        <w:jc w:val="both"/>
        <w:rPr>
          <w:rFonts w:ascii="Arial" w:eastAsia="Times New Roman" w:hAnsi="Arial" w:cs="Arial"/>
          <w:sz w:val="20"/>
        </w:rPr>
      </w:pPr>
    </w:p>
    <w:p w14:paraId="1E66E25B" w14:textId="77777777" w:rsidR="00570582" w:rsidRPr="00B00EEA" w:rsidRDefault="00E3707D"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rPr>
      </w:pPr>
      <w:r>
        <w:rPr>
          <w:rFonts w:ascii="Arial" w:hAnsi="Arial"/>
          <w:i/>
          <w:color w:val="0070C0"/>
          <w:sz w:val="20"/>
        </w:rPr>
        <w:t>O modelo de titularidade da Instituição</w:t>
      </w:r>
    </w:p>
    <w:p w14:paraId="6C067853" w14:textId="77777777" w:rsidR="00570582" w:rsidRPr="0024467F" w:rsidRDefault="00570582" w:rsidP="00441927">
      <w:pPr>
        <w:pStyle w:val="ListParagraph"/>
        <w:autoSpaceDE w:val="0"/>
        <w:autoSpaceDN w:val="0"/>
        <w:adjustRightInd w:val="0"/>
        <w:spacing w:after="0" w:line="240" w:lineRule="auto"/>
        <w:ind w:left="426" w:hanging="426"/>
        <w:jc w:val="both"/>
        <w:rPr>
          <w:rFonts w:ascii="Arial" w:eastAsia="Times New Roman" w:hAnsi="Arial" w:cs="Arial"/>
          <w:sz w:val="20"/>
        </w:rPr>
      </w:pPr>
    </w:p>
    <w:p w14:paraId="4F42FBFE" w14:textId="7C798AF2" w:rsidR="007D0C94" w:rsidRPr="00B00EEA" w:rsidRDefault="007D0C94" w:rsidP="007D0C94">
      <w:pPr>
        <w:pStyle w:val="NormalWeb"/>
        <w:spacing w:before="0" w:beforeAutospacing="0" w:after="0"/>
        <w:ind w:left="426"/>
        <w:jc w:val="both"/>
        <w:rPr>
          <w:rFonts w:ascii="Arial" w:hAnsi="Arial" w:cs="Arial"/>
          <w:sz w:val="20"/>
        </w:rPr>
      </w:pPr>
      <w:r>
        <w:rPr>
          <w:rFonts w:ascii="Arial" w:hAnsi="Arial"/>
          <w:sz w:val="20"/>
        </w:rPr>
        <w:t>O modelo de titularidade da Instituição permite, como posição padrão, que as Instituições acadêmicas ou de pesquisa, como empregadoras, sejam titulares de toda a PI criada por seus funcionários (Membros da equipe, Alunos e/ou Visitantes), sob o argumento de que empregam os Criadores e/ou fornecem recursos para as invenções/obras criativas (a posição padrão pode mudar dentro do contexto das disposições de “decurso e escopo” e “uso substancial” estabelecidas na página 42 abaixo)</w:t>
      </w:r>
      <w:r w:rsidR="008411EA">
        <w:rPr>
          <w:rFonts w:ascii="Arial" w:hAnsi="Arial"/>
          <w:sz w:val="20"/>
        </w:rPr>
        <w:t xml:space="preserve">. </w:t>
      </w:r>
    </w:p>
    <w:p w14:paraId="57CA1238" w14:textId="77777777" w:rsidR="007D0C94" w:rsidRPr="00B00EEA" w:rsidRDefault="007D0C94" w:rsidP="007D0C94">
      <w:pPr>
        <w:pStyle w:val="NormalWeb"/>
        <w:spacing w:before="0" w:beforeAutospacing="0" w:after="0"/>
        <w:ind w:left="426"/>
        <w:jc w:val="both"/>
        <w:rPr>
          <w:rFonts w:ascii="Arial" w:hAnsi="Arial" w:cs="Arial"/>
          <w:sz w:val="20"/>
        </w:rPr>
      </w:pPr>
      <w:r>
        <w:rPr>
          <w:rFonts w:ascii="Arial" w:hAnsi="Arial"/>
          <w:sz w:val="20"/>
        </w:rPr>
        <w:t xml:space="preserve">A Instituição geralmente recebe a responsabilidade pela proteção e desenvolvimento posterior das invenções. Nos últimos anos, tem havido uma tendência clara em direção à titularidade Institucional. Os países que atualmente aplicam esse princípio incluem Brasil, China, Dinamarca, </w:t>
      </w:r>
      <w:r>
        <w:rPr>
          <w:rFonts w:ascii="Arial" w:hAnsi="Arial"/>
          <w:sz w:val="20"/>
        </w:rPr>
        <w:lastRenderedPageBreak/>
        <w:t>Alemanha, Japão, Quênia, Noruega, Cingapura, África do Sul, Espanha, Tailândia, Reino Unido e Estados Unidos da América, entre outros.</w:t>
      </w:r>
      <w:r w:rsidRPr="00B00EEA">
        <w:rPr>
          <w:rStyle w:val="FootnoteReference"/>
          <w:rFonts w:ascii="Arial" w:hAnsi="Arial" w:cs="Arial"/>
          <w:sz w:val="20"/>
          <w:lang w:val="en-US"/>
        </w:rPr>
        <w:footnoteReference w:id="99"/>
      </w:r>
      <w:r>
        <w:rPr>
          <w:rFonts w:ascii="Arial" w:hAnsi="Arial"/>
          <w:sz w:val="20"/>
        </w:rPr>
        <w:t xml:space="preserve"> </w:t>
      </w:r>
    </w:p>
    <w:p w14:paraId="7E29CB1A" w14:textId="77777777" w:rsidR="007D0C94" w:rsidRPr="00B00EEA" w:rsidRDefault="007D0C94" w:rsidP="007D0C94">
      <w:pPr>
        <w:pStyle w:val="NormalWeb"/>
        <w:spacing w:before="0" w:beforeAutospacing="0" w:after="0"/>
        <w:ind w:left="426"/>
        <w:jc w:val="both"/>
        <w:rPr>
          <w:rFonts w:ascii="Arial" w:hAnsi="Arial" w:cs="Arial"/>
          <w:sz w:val="20"/>
        </w:rPr>
      </w:pPr>
      <w:r>
        <w:rPr>
          <w:rFonts w:ascii="Arial" w:hAnsi="Arial"/>
          <w:sz w:val="20"/>
        </w:rPr>
        <w:t>Existem dois sistemas principais de titularidade institucional:</w:t>
      </w:r>
    </w:p>
    <w:p w14:paraId="24619FB4" w14:textId="00AB2B35" w:rsidR="007D0C94" w:rsidRPr="00B00EEA" w:rsidRDefault="007D0C94" w:rsidP="007D0C94">
      <w:pPr>
        <w:pStyle w:val="NormalWeb"/>
        <w:spacing w:before="0" w:beforeAutospacing="0" w:after="0"/>
        <w:ind w:left="426"/>
        <w:jc w:val="both"/>
        <w:rPr>
          <w:rFonts w:ascii="Arial" w:hAnsi="Arial" w:cs="Arial"/>
          <w:sz w:val="20"/>
        </w:rPr>
      </w:pPr>
      <w:r>
        <w:rPr>
          <w:rFonts w:ascii="Arial" w:hAnsi="Arial"/>
          <w:b/>
          <w:bCs/>
          <w:sz w:val="20"/>
        </w:rPr>
        <w:t>Titularidade automática</w:t>
      </w:r>
      <w:r w:rsidR="0034635B" w:rsidRPr="0034635B">
        <w:rPr>
          <w:rFonts w:ascii="Arial" w:hAnsi="Arial"/>
          <w:sz w:val="20"/>
        </w:rPr>
        <w:t>:</w:t>
      </w:r>
      <w:r>
        <w:rPr>
          <w:rFonts w:ascii="Arial" w:hAnsi="Arial"/>
          <w:sz w:val="20"/>
        </w:rPr>
        <w:t xml:space="preserve"> A Instituição é a titular dos direitos de PI, geralmente por meio de uma disposição legislativa nacional. Essa abordagem geralmente está sujeita a certas obrigações para a instituição e direitos dos Criadores, por exemplo, o direito à repartição de benefícios. Exemplos: Dinamarca, Finlândia, Alemanha, África do Sul e Estados Unidos da América.</w:t>
      </w:r>
    </w:p>
    <w:p w14:paraId="50388E96"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rPr>
      </w:pPr>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r>
        <w:rPr>
          <w:rFonts w:ascii="Arial" w:hAnsi="Arial"/>
          <w:b/>
          <w:sz w:val="20"/>
        </w:rPr>
        <w:t xml:space="preserve"> Titularidade da Instituição – Lei Bayh-Dole (EUA)</w:t>
      </w:r>
    </w:p>
    <w:p w14:paraId="24C2F44C" w14:textId="77777777" w:rsidR="002A190F" w:rsidRPr="0024467F" w:rsidRDefault="002A190F"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p>
    <w:p w14:paraId="6622DF59" w14:textId="361C98B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color w:val="943634" w:themeColor="accent2" w:themeShade="BF"/>
          <w:sz w:val="20"/>
        </w:rPr>
      </w:pPr>
      <w:r>
        <w:rPr>
          <w:rFonts w:ascii="Arial" w:hAnsi="Arial"/>
          <w:sz w:val="20"/>
        </w:rPr>
        <w:t>O modelo de titularidade da Instituição foi estimulado pela promulgação da Lei Bayh-Dole nos EUA. A Lei proporciona às universidades o direito de possuir invenções de funcionários resultantes de financiamento de pesquisa patrocinado pelo governo federal e o direito de comercializar tais invenções de funcionários</w:t>
      </w:r>
      <w:r w:rsidR="008411EA">
        <w:rPr>
          <w:rFonts w:ascii="Arial" w:hAnsi="Arial"/>
          <w:sz w:val="20"/>
        </w:rPr>
        <w:t xml:space="preserve">. </w:t>
      </w:r>
      <w:r>
        <w:rPr>
          <w:rFonts w:ascii="Arial" w:hAnsi="Arial"/>
          <w:sz w:val="20"/>
        </w:rPr>
        <w:t>O principal objetivo da Lei é impedir o não uso de invenções e obras criativas resultantes de pesquisas financiadas com dinheiro do contribuinte.</w:t>
      </w:r>
      <w:r w:rsidR="002A190F" w:rsidRPr="00B00EEA">
        <w:rPr>
          <w:rStyle w:val="FootnoteReference"/>
          <w:rFonts w:ascii="Arial" w:hAnsi="Arial" w:cs="Arial"/>
          <w:sz w:val="20"/>
          <w:lang w:val="en-US"/>
        </w:rPr>
        <w:footnoteReference w:id="100"/>
      </w:r>
      <w:r>
        <w:rPr>
          <w:rFonts w:ascii="Arial" w:hAnsi="Arial"/>
          <w:sz w:val="20"/>
        </w:rPr>
        <w:t xml:space="preserve"> </w:t>
      </w:r>
    </w:p>
    <w:p w14:paraId="62DF4E12" w14:textId="77777777" w:rsidR="007D0C94" w:rsidRPr="0024467F" w:rsidRDefault="007D0C94" w:rsidP="00C60DE4">
      <w:pPr>
        <w:pStyle w:val="NormalWeb"/>
        <w:spacing w:before="0" w:beforeAutospacing="0" w:after="0" w:afterAutospacing="0"/>
        <w:ind w:left="425"/>
        <w:jc w:val="both"/>
        <w:rPr>
          <w:rFonts w:ascii="Arial" w:hAnsi="Arial" w:cs="Arial"/>
          <w:sz w:val="20"/>
        </w:rPr>
      </w:pPr>
    </w:p>
    <w:p w14:paraId="2BC2E23B" w14:textId="41A52EE6"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00AC7ADD" w:rsidRPr="00B00EEA">
        <w:rPr>
          <w:rFonts w:ascii="Arial" w:hAnsi="Arial" w:cs="Arial"/>
          <w:b/>
          <w:sz w:val="20"/>
        </w:rPr>
        <w:fldChar w:fldCharType="begin"/>
      </w:r>
      <w:r w:rsidR="00AC7ADD" w:rsidRPr="00181339">
        <w:rPr>
          <w:rFonts w:ascii="Arial" w:hAnsi="Arial" w:cs="Arial"/>
          <w:b/>
          <w:sz w:val="20"/>
        </w:rPr>
        <w:instrText xml:space="preserve"> AUTONUM  \* Arabic </w:instrText>
      </w:r>
      <w:r w:rsidR="00AC7ADD" w:rsidRPr="00B00EEA">
        <w:rPr>
          <w:rFonts w:ascii="Arial" w:hAnsi="Arial" w:cs="Arial"/>
          <w:b/>
          <w:sz w:val="20"/>
        </w:rPr>
        <w:fldChar w:fldCharType="end"/>
      </w:r>
      <w:r>
        <w:rPr>
          <w:rFonts w:ascii="Arial" w:hAnsi="Arial"/>
          <w:b/>
          <w:sz w:val="20"/>
        </w:rPr>
        <w:t xml:space="preserve"> Titularidade da instituição – </w:t>
      </w:r>
      <w:r>
        <w:rPr>
          <w:rFonts w:ascii="Arial" w:hAnsi="Arial"/>
          <w:b/>
          <w:color w:val="000000" w:themeColor="text1"/>
          <w:sz w:val="20"/>
        </w:rPr>
        <w:t>Lei da República Popular da China sobre o Progresso da Ciência e Tecnologia</w:t>
      </w:r>
      <w:r w:rsidR="00CC3D49" w:rsidRPr="00B00EEA">
        <w:rPr>
          <w:rStyle w:val="FootnoteReference"/>
          <w:rFonts w:ascii="Arial" w:hAnsi="Arial" w:cs="Arial"/>
          <w:color w:val="000000" w:themeColor="text1"/>
          <w:sz w:val="20"/>
          <w:lang w:val="en-US"/>
        </w:rPr>
        <w:footnoteReference w:id="101"/>
      </w:r>
    </w:p>
    <w:p w14:paraId="6E6DB52B" w14:textId="77777777" w:rsidR="007D0C94" w:rsidRPr="0024467F"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rPr>
      </w:pPr>
    </w:p>
    <w:p w14:paraId="01CC1442" w14:textId="77777777" w:rsidR="007D0C94" w:rsidRPr="00B00EEA" w:rsidRDefault="00CC3D4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color w:val="000000" w:themeColor="text1"/>
          <w:sz w:val="20"/>
        </w:rPr>
        <w:t>Artigo 20. “</w:t>
      </w:r>
      <w:r>
        <w:rPr>
          <w:rFonts w:ascii="Arial" w:hAnsi="Arial"/>
          <w:i/>
          <w:color w:val="000000" w:themeColor="text1"/>
          <w:sz w:val="20"/>
        </w:rPr>
        <w:t xml:space="preserve">As patentes de invenção obtidas em projetos cobertos pelo financiamento científico e tecnológico estabelecidos com financiamentos governamentais ou por planos científicos e tecnológicos, os direitos autorais de programas de computador, os direitos de patente de projeto de fiação de circuitos integrados e os direitos de novas linhagens de plantas serão, exceto quando estiverem envolvidos interesses de segurança nacional e interesses públicos vitais, são concedidos aos </w:t>
      </w:r>
      <w:r>
        <w:rPr>
          <w:rFonts w:ascii="Arial" w:hAnsi="Arial"/>
          <w:b/>
          <w:bCs/>
          <w:i/>
          <w:color w:val="000000" w:themeColor="text1"/>
          <w:sz w:val="20"/>
          <w:u w:val="single"/>
        </w:rPr>
        <w:t>empreendedores de projetos autorizados</w:t>
      </w:r>
      <w:r>
        <w:rPr>
          <w:rFonts w:ascii="Arial" w:hAnsi="Arial"/>
          <w:i/>
          <w:color w:val="000000" w:themeColor="text1"/>
          <w:sz w:val="20"/>
        </w:rPr>
        <w:t xml:space="preserve"> de acordo com a lei</w:t>
      </w:r>
      <w:r>
        <w:rPr>
          <w:rFonts w:ascii="Arial" w:hAnsi="Arial"/>
          <w:color w:val="000000" w:themeColor="text1"/>
          <w:sz w:val="20"/>
        </w:rPr>
        <w:t>”.</w:t>
      </w:r>
    </w:p>
    <w:p w14:paraId="0D31CF2B" w14:textId="77777777" w:rsidR="00C60DE4" w:rsidRPr="0024467F" w:rsidRDefault="00C60DE4" w:rsidP="00C60DE4">
      <w:pPr>
        <w:pStyle w:val="NormalWeb"/>
        <w:spacing w:before="0" w:beforeAutospacing="0" w:after="0" w:afterAutospacing="0"/>
        <w:ind w:left="425"/>
        <w:jc w:val="both"/>
        <w:rPr>
          <w:rFonts w:ascii="Arial" w:hAnsi="Arial" w:cs="Arial"/>
          <w:sz w:val="20"/>
        </w:rPr>
      </w:pPr>
    </w:p>
    <w:p w14:paraId="4AE55806" w14:textId="7905128E"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rPr>
      </w:pPr>
      <w:r>
        <w:rPr>
          <w:rFonts w:ascii="Arial" w:hAnsi="Arial"/>
          <w:b/>
          <w:sz w:val="20"/>
        </w:rPr>
        <w:t xml:space="preserve">Caixa </w:t>
      </w:r>
      <w:r w:rsidR="00AC7ADD" w:rsidRPr="00B00EEA">
        <w:rPr>
          <w:rFonts w:ascii="Arial" w:hAnsi="Arial" w:cs="Arial"/>
          <w:b/>
          <w:sz w:val="20"/>
        </w:rPr>
        <w:fldChar w:fldCharType="begin"/>
      </w:r>
      <w:r w:rsidR="00AC7ADD" w:rsidRPr="00181339">
        <w:rPr>
          <w:rFonts w:ascii="Arial" w:hAnsi="Arial" w:cs="Arial"/>
          <w:b/>
          <w:sz w:val="20"/>
        </w:rPr>
        <w:instrText xml:space="preserve"> AUTONUM  \* Arabic </w:instrText>
      </w:r>
      <w:r w:rsidR="00AC7ADD" w:rsidRPr="00B00EEA">
        <w:rPr>
          <w:rFonts w:ascii="Arial" w:hAnsi="Arial" w:cs="Arial"/>
          <w:b/>
          <w:sz w:val="20"/>
        </w:rPr>
        <w:fldChar w:fldCharType="end"/>
      </w:r>
      <w:r>
        <w:rPr>
          <w:rFonts w:ascii="Arial" w:hAnsi="Arial"/>
          <w:b/>
          <w:sz w:val="20"/>
        </w:rPr>
        <w:t xml:space="preserve"> Tituaridade institucional – Lei dos Direitos de Propriedade Intelectual da África do Sul sobre Pesquisa e Desenvolvimento Financiados Publicamente</w:t>
      </w:r>
    </w:p>
    <w:p w14:paraId="5B6EBFE0" w14:textId="77777777" w:rsidR="007D0C94" w:rsidRPr="0024467F"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rPr>
      </w:pPr>
    </w:p>
    <w:p w14:paraId="42C3DFE6" w14:textId="77777777" w:rsidR="007D0C94" w:rsidRPr="00B00EEA" w:rsidRDefault="007D0C94" w:rsidP="000810C3">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i/>
          <w:color w:val="000000" w:themeColor="text1"/>
          <w:sz w:val="20"/>
        </w:rPr>
        <w:t>“Sujeita à seção 15(2</w:t>
      </w:r>
      <w:r w:rsidRPr="00B00EEA">
        <w:rPr>
          <w:rStyle w:val="FootnoteReference"/>
          <w:rFonts w:ascii="Arial" w:hAnsi="Arial" w:cs="Arial"/>
          <w:i/>
          <w:color w:val="000000" w:themeColor="text1"/>
          <w:sz w:val="20"/>
          <w:lang w:val="en-US"/>
        </w:rPr>
        <w:footnoteReference w:id="102"/>
      </w:r>
      <w:r>
        <w:rPr>
          <w:rFonts w:ascii="Arial" w:hAnsi="Arial"/>
          <w:i/>
          <w:color w:val="000000" w:themeColor="text1"/>
          <w:sz w:val="20"/>
        </w:rPr>
        <w:t>), a propriedade intelectual proveniente de pesquisa e desenvolvimento financiados publicamente será de propriedade do destinatário".</w:t>
      </w:r>
    </w:p>
    <w:p w14:paraId="6F714721" w14:textId="77777777" w:rsidR="00C60DE4" w:rsidRPr="0024467F" w:rsidRDefault="00C60DE4" w:rsidP="00C60DE4">
      <w:pPr>
        <w:pStyle w:val="NormalWeb"/>
        <w:spacing w:before="0" w:beforeAutospacing="0" w:after="0" w:afterAutospacing="0"/>
        <w:ind w:left="425"/>
        <w:jc w:val="both"/>
        <w:rPr>
          <w:rFonts w:ascii="Arial" w:hAnsi="Arial" w:cs="Arial"/>
          <w:sz w:val="20"/>
        </w:rPr>
      </w:pPr>
    </w:p>
    <w:p w14:paraId="67C2AF40" w14:textId="77777777" w:rsidR="00570582" w:rsidRPr="00B00EEA" w:rsidRDefault="007D0C94" w:rsidP="00441927">
      <w:pPr>
        <w:pStyle w:val="NormalWeb"/>
        <w:spacing w:before="0" w:beforeAutospacing="0" w:after="0"/>
        <w:ind w:left="426"/>
        <w:jc w:val="both"/>
        <w:rPr>
          <w:rFonts w:ascii="Arial" w:hAnsi="Arial" w:cs="Arial"/>
          <w:sz w:val="20"/>
        </w:rPr>
      </w:pPr>
      <w:r>
        <w:rPr>
          <w:rFonts w:ascii="Arial" w:hAnsi="Arial"/>
          <w:b/>
          <w:sz w:val="20"/>
        </w:rPr>
        <w:t>Direitos de preempção</w:t>
      </w:r>
      <w:r>
        <w:rPr>
          <w:rFonts w:ascii="Arial" w:hAnsi="Arial"/>
          <w:sz w:val="20"/>
        </w:rPr>
        <w:t>: O funcionário/pesquisador é o titular da PI, mas a Instituição tem o direito de reivindicar a invenção, geralmente dentro de um período de tempo especificado. Esse é o sistema, por exemplo, na Áustria e na República Tcheca. Na maioria desses sistemas de direitos de preempção, a Instituição deve pagar alguma forma de remuneração ao funcionário inventor como compensação pela transferência do direito de patentear a invenção para a Instituição. Exemplos: Hungria e Lituânia.</w:t>
      </w:r>
    </w:p>
    <w:p w14:paraId="32CA2A9A" w14:textId="77777777" w:rsidR="003B0981" w:rsidRPr="00B00EEA" w:rsidRDefault="00442434"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b/>
          <w:sz w:val="20"/>
          <w:szCs w:val="32"/>
        </w:rPr>
      </w:pPr>
      <w:r>
        <w:rPr>
          <w:rFonts w:ascii="Arial" w:hAnsi="Arial"/>
          <w:b/>
          <w:sz w:val="20"/>
        </w:rPr>
        <w:t xml:space="preserve">Caixa </w:t>
      </w:r>
      <w:r w:rsidR="00AC7ADD" w:rsidRPr="00B00EEA">
        <w:rPr>
          <w:rFonts w:ascii="Arial" w:hAnsi="Arial" w:cs="Arial"/>
          <w:b/>
          <w:sz w:val="20"/>
        </w:rPr>
        <w:fldChar w:fldCharType="begin"/>
      </w:r>
      <w:r w:rsidR="00AC7ADD" w:rsidRPr="00181339">
        <w:rPr>
          <w:rFonts w:ascii="Arial" w:hAnsi="Arial" w:cs="Arial"/>
          <w:b/>
          <w:sz w:val="20"/>
        </w:rPr>
        <w:instrText xml:space="preserve"> AUTONUM  \* Arabic </w:instrText>
      </w:r>
      <w:r w:rsidR="00AC7ADD" w:rsidRPr="00B00EEA">
        <w:rPr>
          <w:rFonts w:ascii="Arial" w:hAnsi="Arial" w:cs="Arial"/>
          <w:b/>
          <w:sz w:val="20"/>
        </w:rPr>
        <w:fldChar w:fldCharType="end"/>
      </w:r>
      <w:r>
        <w:rPr>
          <w:rFonts w:ascii="Arial" w:hAnsi="Arial"/>
          <w:b/>
          <w:sz w:val="20"/>
        </w:rPr>
        <w:t xml:space="preserve"> Principais Razões para a Titularidade da Instituição </w:t>
      </w:r>
    </w:p>
    <w:p w14:paraId="10D1358F" w14:textId="77777777" w:rsidR="003B0981" w:rsidRPr="0024467F"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p>
    <w:p w14:paraId="450059BC" w14:textId="77777777" w:rsidR="002439B9" w:rsidRPr="00B00EEA" w:rsidRDefault="002439B9"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r>
        <w:rPr>
          <w:rFonts w:ascii="Arial" w:hAnsi="Arial"/>
          <w:sz w:val="20"/>
        </w:rPr>
        <w:t>A titularidade não é necessária para garantir esses direitos, mas pode ser a solução mais eficaz na prática. Algumas das principais razões para a titularidade da Instituição incluem:</w:t>
      </w:r>
    </w:p>
    <w:p w14:paraId="397F5046" w14:textId="77777777" w:rsidR="003B0981" w:rsidRPr="0024467F"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p>
    <w:p w14:paraId="64375223"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Pr>
          <w:rFonts w:ascii="Arial" w:hAnsi="Arial"/>
          <w:sz w:val="20"/>
        </w:rPr>
        <w:t xml:space="preserve">A titularidade pela Instituição e a gestão dos DPIs pela Instituição facilitam a profissionalização das atividades de transferência de conhecimento e permitem que os </w:t>
      </w:r>
      <w:r>
        <w:rPr>
          <w:rFonts w:ascii="Arial" w:hAnsi="Arial"/>
          <w:sz w:val="20"/>
        </w:rPr>
        <w:lastRenderedPageBreak/>
        <w:t>pesquisadores se concentrem em suas principais habilidades de pesquisa;</w:t>
      </w:r>
    </w:p>
    <w:p w14:paraId="3956F835"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Pr>
          <w:rFonts w:ascii="Arial" w:hAnsi="Arial"/>
          <w:sz w:val="20"/>
        </w:rPr>
        <w:t>Cria o incentivo necessário para que a instituição apoie e promova a transferência de conhecimento;</w:t>
      </w:r>
    </w:p>
    <w:p w14:paraId="587CEDE2"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Pr>
          <w:rFonts w:ascii="Arial" w:hAnsi="Arial"/>
          <w:sz w:val="20"/>
        </w:rPr>
        <w:t>Os custos de patenteamento são muito altos para o pesquisador individual financiar (principalmente se o patenteamento for feito no exterior);</w:t>
      </w:r>
    </w:p>
    <w:p w14:paraId="4BBECEC4" w14:textId="77777777"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Pr>
          <w:rFonts w:ascii="Arial" w:hAnsi="Arial"/>
          <w:sz w:val="20"/>
        </w:rPr>
        <w:t xml:space="preserve">Geralmente, há muitos pesquisadores envolvidos em um projeto de pesquisa, o que levaria à fragmentação da titularidade e a possíveis problemas de transferência e comercialização se a tecnologia fosse de titularidade dos pesquisadores; e </w:t>
      </w:r>
    </w:p>
    <w:p w14:paraId="720F22F8" w14:textId="77777777"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Pr>
          <w:rFonts w:ascii="Arial" w:hAnsi="Arial"/>
          <w:sz w:val="20"/>
        </w:rPr>
        <w:t>Isso pode gerar renda adicional para a Instituição.</w:t>
      </w:r>
    </w:p>
    <w:p w14:paraId="49BD8844" w14:textId="77777777" w:rsidR="003B0981" w:rsidRPr="00B00EEA"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sz w:val="22"/>
        </w:rPr>
      </w:pPr>
    </w:p>
    <w:p w14:paraId="0721826E" w14:textId="77777777" w:rsidR="00FE0EC7" w:rsidRPr="0024467F"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i/>
          <w:sz w:val="18"/>
          <w:lang w:val="en-US"/>
        </w:rPr>
      </w:pPr>
      <w:r w:rsidRPr="0024467F">
        <w:rPr>
          <w:rFonts w:ascii="Arial" w:hAnsi="Arial"/>
          <w:i/>
          <w:sz w:val="18"/>
          <w:lang w:val="en-US"/>
        </w:rPr>
        <w:t xml:space="preserve">Fonte: </w:t>
      </w:r>
      <w:hyperlink r:id="rId82" w:history="1">
        <w:r w:rsidRPr="0024467F">
          <w:rPr>
            <w:rStyle w:val="Hyperlink"/>
            <w:rFonts w:ascii="Arial" w:hAnsi="Arial"/>
            <w:i/>
            <w:sz w:val="18"/>
            <w:lang w:val="en-US"/>
          </w:rPr>
          <w:t>Developing IP Frameworks to Facilitate University-Industry Technology Transfer, A Checklist of Possible Actions</w:t>
        </w:r>
      </w:hyperlink>
    </w:p>
    <w:p w14:paraId="2B9574C1" w14:textId="77777777" w:rsidR="00FE0EC7" w:rsidRPr="00B00EEA" w:rsidRDefault="00FE0EC7">
      <w:pPr>
        <w:pStyle w:val="ListParagraph"/>
        <w:tabs>
          <w:tab w:val="left" w:pos="993"/>
        </w:tabs>
        <w:autoSpaceDE w:val="0"/>
        <w:autoSpaceDN w:val="0"/>
        <w:adjustRightInd w:val="0"/>
        <w:spacing w:after="0" w:line="240" w:lineRule="auto"/>
        <w:ind w:left="851"/>
        <w:jc w:val="both"/>
        <w:rPr>
          <w:rFonts w:ascii="Arial" w:eastAsia="Times New Roman" w:hAnsi="Arial" w:cs="Arial"/>
          <w:i/>
          <w:color w:val="0070C0"/>
          <w:sz w:val="20"/>
          <w:lang w:val="en-US"/>
        </w:rPr>
      </w:pPr>
    </w:p>
    <w:p w14:paraId="1FACCBD5" w14:textId="77777777" w:rsidR="00EC79C0" w:rsidRPr="00B00EEA" w:rsidRDefault="00D02C14"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rPr>
      </w:pPr>
      <w:r>
        <w:rPr>
          <w:rFonts w:ascii="Arial" w:hAnsi="Arial"/>
          <w:i/>
          <w:color w:val="0070C0"/>
          <w:sz w:val="20"/>
        </w:rPr>
        <w:t>O modelo de titularidade do inventor</w:t>
      </w:r>
    </w:p>
    <w:p w14:paraId="43147B4D" w14:textId="77777777" w:rsidR="00EC79C0" w:rsidRPr="0024467F" w:rsidRDefault="00EC79C0" w:rsidP="00441927">
      <w:pPr>
        <w:pStyle w:val="ListParagraph"/>
        <w:autoSpaceDE w:val="0"/>
        <w:autoSpaceDN w:val="0"/>
        <w:adjustRightInd w:val="0"/>
        <w:spacing w:after="0" w:line="240" w:lineRule="auto"/>
        <w:ind w:left="426" w:hanging="426"/>
        <w:jc w:val="both"/>
        <w:rPr>
          <w:rFonts w:ascii="Arial" w:eastAsia="Times New Roman" w:hAnsi="Arial" w:cs="Arial"/>
          <w:sz w:val="20"/>
        </w:rPr>
      </w:pPr>
    </w:p>
    <w:p w14:paraId="03CB1969" w14:textId="77777777" w:rsidR="00E3707D" w:rsidRPr="00B00EEA" w:rsidRDefault="00E3707D" w:rsidP="00E3707D">
      <w:pPr>
        <w:pStyle w:val="NormalWeb"/>
        <w:spacing w:before="0" w:beforeAutospacing="0" w:after="0"/>
        <w:ind w:left="426"/>
        <w:jc w:val="both"/>
        <w:rPr>
          <w:rFonts w:ascii="Arial" w:hAnsi="Arial" w:cs="Arial"/>
          <w:sz w:val="20"/>
        </w:rPr>
      </w:pPr>
      <w:r>
        <w:rPr>
          <w:rFonts w:ascii="Arial" w:hAnsi="Arial"/>
          <w:sz w:val="20"/>
        </w:rPr>
        <w:t>O modelo de titularidade do inventor (também chamado de “</w:t>
      </w:r>
      <w:r>
        <w:rPr>
          <w:rFonts w:ascii="Arial" w:hAnsi="Arial"/>
          <w:color w:val="0070C0"/>
          <w:sz w:val="20"/>
        </w:rPr>
        <w:t>privilégio do professor</w:t>
      </w:r>
      <w:r>
        <w:rPr>
          <w:rFonts w:ascii="Arial" w:hAnsi="Arial"/>
          <w:sz w:val="20"/>
        </w:rPr>
        <w:t>”) permite que os Membros da Equipe da Instituição (os funcionários) que são os Criadores originais tenham direitos totais sobre a PI que criaram. Isso permite que eles, e não a Instituição, decidam se devem ou não patentear e como desenvolver ainda mais suas criações, mesmo que a pesquisa subjacente tenha sido apoiada por financiamentos públicos. Normalmente a Instituição possui alguma forma de licença para usar a PI. Em alguns casos, se a Instituição fornecer suporte substancial ao inventor para transferência de tecnologia, os benefícios poderão ser compartilhados com a Instituição. Este conceito visa motivar acadêmicos a se envolverem mais ativamente na comercialização de resultados de pesquisa. Para que esse modelo funcione, porém, é necessário que os inventores da Instituição sejam automotivados para inventar e tenham habilidades empreendedoras. Exemplos de países com titularidade de inventor incluem Canadá, Itália e Suécia</w:t>
      </w:r>
      <w:r w:rsidRPr="00B00EEA">
        <w:rPr>
          <w:rStyle w:val="FootnoteReference"/>
          <w:rFonts w:ascii="Arial" w:hAnsi="Arial" w:cs="Arial"/>
          <w:sz w:val="20"/>
          <w:lang w:val="en-US"/>
        </w:rPr>
        <w:footnoteReference w:id="103"/>
      </w:r>
      <w:r>
        <w:rPr>
          <w:rFonts w:ascii="Arial" w:hAnsi="Arial"/>
          <w:sz w:val="20"/>
        </w:rPr>
        <w:t xml:space="preserve">. </w:t>
      </w:r>
    </w:p>
    <w:p w14:paraId="219A7BDB" w14:textId="77777777" w:rsidR="00FE0EC7"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bookmarkStart w:id="158" w:name="Box30"/>
      <w:r>
        <w:rPr>
          <w:rFonts w:ascii="Arial" w:hAnsi="Arial"/>
          <w:b/>
          <w:sz w:val="20"/>
        </w:rPr>
        <w:t xml:space="preserve">Caixa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58"/>
      <w:r>
        <w:rPr>
          <w:rFonts w:ascii="Arial" w:hAnsi="Arial"/>
          <w:b/>
          <w:sz w:val="20"/>
        </w:rPr>
        <w:t xml:space="preserve"> Titularidade do Inventor – Universidade de Waterloo (Canadá)</w:t>
      </w:r>
    </w:p>
    <w:p w14:paraId="3E8E4891" w14:textId="77777777" w:rsidR="00B35E86" w:rsidRPr="0024467F"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p>
    <w:p w14:paraId="7382AB81" w14:textId="73768535" w:rsidR="004A5F27" w:rsidRPr="00B00EEA" w:rsidRDefault="00C0103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r>
        <w:rPr>
          <w:rFonts w:ascii="Arial" w:hAnsi="Arial"/>
          <w:sz w:val="20"/>
        </w:rPr>
        <w:t>No Canadá, as regras sobre titularidade de PI por universidades variam entre as Províncias</w:t>
      </w:r>
      <w:r w:rsidR="008411EA">
        <w:rPr>
          <w:rFonts w:ascii="Arial" w:hAnsi="Arial"/>
          <w:sz w:val="20"/>
        </w:rPr>
        <w:t xml:space="preserve">. </w:t>
      </w:r>
      <w:r>
        <w:rPr>
          <w:rFonts w:ascii="Arial" w:hAnsi="Arial"/>
          <w:sz w:val="20"/>
        </w:rPr>
        <w:t xml:space="preserve">As políticas da Universidade podem ser divididas em três grupos principais de modelos: (i) titularidade universitária, que exige a cessão obrigatória da titularidade da PI à universidade e a universidade gerirá o processo de comercialização; (ii) titularidade do inventor, que permite a decisão de ceder a invenção à universidade ou manter a titularidade; e (iii) titularidade conjunta da PI entre a universidade e o inventor. </w:t>
      </w:r>
    </w:p>
    <w:p w14:paraId="76FA62FB" w14:textId="77777777" w:rsidR="004A5F27" w:rsidRPr="0024467F" w:rsidRDefault="004A5F2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szCs w:val="23"/>
        </w:rPr>
      </w:pPr>
    </w:p>
    <w:p w14:paraId="7EB41F68" w14:textId="2871F11C" w:rsidR="00FE0EC7" w:rsidRPr="00AC7ADD" w:rsidRDefault="00FE0EC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r>
        <w:rPr>
          <w:rFonts w:ascii="Arial" w:hAnsi="Arial"/>
          <w:sz w:val="20"/>
        </w:rPr>
        <w:t>A Universidade de Waterloo é uma das universidades empreendedoras mais bem-sucedidas do Canadá, aplicando o modelo de titularidade do inventor</w:t>
      </w:r>
      <w:r w:rsidR="008411EA">
        <w:rPr>
          <w:rFonts w:ascii="Arial" w:hAnsi="Arial"/>
          <w:sz w:val="20"/>
        </w:rPr>
        <w:t xml:space="preserve">. </w:t>
      </w:r>
      <w:r>
        <w:rPr>
          <w:rFonts w:ascii="Arial" w:hAnsi="Arial"/>
          <w:sz w:val="20"/>
        </w:rPr>
        <w:t>O lema desta universidade é que “</w:t>
      </w:r>
      <w:r>
        <w:rPr>
          <w:rFonts w:ascii="Arial" w:hAnsi="Arial"/>
          <w:i/>
          <w:sz w:val="20"/>
        </w:rPr>
        <w:t>tudo o que você descobre em Waterloo pertence a você</w:t>
      </w:r>
      <w:r>
        <w:rPr>
          <w:rFonts w:ascii="Arial" w:hAnsi="Arial"/>
          <w:sz w:val="20"/>
        </w:rPr>
        <w:t>”</w:t>
      </w:r>
      <w:r w:rsidR="008411EA">
        <w:rPr>
          <w:rFonts w:ascii="Arial" w:hAnsi="Arial"/>
          <w:sz w:val="20"/>
        </w:rPr>
        <w:t xml:space="preserve">. </w:t>
      </w:r>
      <w:r>
        <w:rPr>
          <w:rFonts w:ascii="Arial" w:hAnsi="Arial"/>
          <w:sz w:val="20"/>
        </w:rPr>
        <w:t>Os princípios fundamentais da Política Universitária</w:t>
      </w:r>
      <w:r w:rsidR="000F5B08" w:rsidRPr="00AC7ADD">
        <w:rPr>
          <w:rStyle w:val="FootnoteReference"/>
          <w:rFonts w:ascii="Arial" w:hAnsi="Arial" w:cs="Arial"/>
          <w:sz w:val="20"/>
          <w:lang w:val="en-US"/>
        </w:rPr>
        <w:footnoteReference w:id="104"/>
      </w:r>
      <w:r>
        <w:rPr>
          <w:rFonts w:ascii="Arial" w:hAnsi="Arial"/>
          <w:sz w:val="20"/>
        </w:rPr>
        <w:t xml:space="preserve"> são:</w:t>
      </w:r>
    </w:p>
    <w:p w14:paraId="5F25CC18" w14:textId="77777777" w:rsidR="000F5B08" w:rsidRPr="00AC7ADD" w:rsidRDefault="000F5B08"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A PI criada no decurso de ensino e pesquisa pertence ao criador.</w:t>
      </w:r>
    </w:p>
    <w:p w14:paraId="4813A38A"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 xml:space="preserve">No entanto, a universidade mantém a titularidade dos direitos de PI sobre obras criadas especificamente </w:t>
      </w:r>
      <w:r>
        <w:rPr>
          <w:rFonts w:ascii="Arial" w:hAnsi="Arial"/>
          <w:i/>
          <w:iCs/>
          <w:sz w:val="20"/>
        </w:rPr>
        <w:t>tarefas cedidas</w:t>
      </w:r>
      <w:r>
        <w:rPr>
          <w:rFonts w:ascii="Arial" w:hAnsi="Arial"/>
          <w:sz w:val="20"/>
        </w:rPr>
        <w:t xml:space="preserve"> no decurso de atividades administrativas.</w:t>
      </w:r>
    </w:p>
    <w:p w14:paraId="3475B169"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Embora o criador seja o titular dos Trabalhos Acadêmicos, a universidade tem uma licença não exclusiva, gratuita e irrevogável para copiar e/ou usar tais trabalhos em outras atividades de ensino e pesquisa.</w:t>
      </w:r>
    </w:p>
    <w:p w14:paraId="2223DF8A"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Espera-se que o criador reconheça a universidade por suas contribuições.</w:t>
      </w:r>
    </w:p>
    <w:p w14:paraId="5543752B" w14:textId="77777777" w:rsidR="00FF01E3" w:rsidRPr="00AC7ADD" w:rsidRDefault="00FF01E3"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Se um inventor optar por usar a assistência da universidade para explorar seus direitos de patente, ele ou ela precisará ceder todos os direitos da patente à universidade.</w:t>
      </w:r>
    </w:p>
    <w:p w14:paraId="17F2C9C4" w14:textId="77777777" w:rsidR="000F5B08" w:rsidRPr="0024467F" w:rsidRDefault="000F5B08"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sz w:val="20"/>
        </w:rPr>
      </w:pPr>
    </w:p>
    <w:p w14:paraId="58332132" w14:textId="77777777" w:rsidR="00BB56BE" w:rsidRPr="0024467F" w:rsidRDefault="00BB56BE" w:rsidP="00B7519E">
      <w:pPr>
        <w:rPr>
          <w:rFonts w:ascii="Arial" w:hAnsi="Arial" w:cs="Arial"/>
          <w:sz w:val="20"/>
        </w:rPr>
      </w:pPr>
    </w:p>
    <w:p w14:paraId="3C8D4F75" w14:textId="77777777" w:rsidR="00441927" w:rsidRPr="00AC7ADD" w:rsidRDefault="00AA1427"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r>
        <w:rPr>
          <w:rFonts w:ascii="Arial" w:hAnsi="Arial"/>
          <w:b/>
          <w:sz w:val="20"/>
        </w:rPr>
        <w:lastRenderedPageBreak/>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Dicas para Examinar a Posição Jurídica em Relação à Titularidade da PI </w:t>
      </w:r>
    </w:p>
    <w:p w14:paraId="142E229C" w14:textId="77777777" w:rsidR="000444D5" w:rsidRPr="0024467F" w:rsidRDefault="000444D5"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p>
    <w:p w14:paraId="48F26BC0" w14:textId="77777777" w:rsidR="00441927" w:rsidRPr="00AC7ADD" w:rsidRDefault="00EC79C0"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Esteja ciente de que a posição de titularidade padrão para patentes pode ser diferente da posição padrão para direitos autorais.</w:t>
      </w:r>
    </w:p>
    <w:p w14:paraId="171C7D9E" w14:textId="77777777" w:rsidR="00441927" w:rsidRPr="0024467F" w:rsidRDefault="00441927"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rPr>
      </w:pPr>
    </w:p>
    <w:p w14:paraId="3B0BDA36" w14:textId="227632CC" w:rsidR="00441927" w:rsidRPr="00AC7ADD" w:rsidRDefault="0044192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Procure ajuda de um advogado local experiente para fazer uma análise adequada das leis e políticas do país</w:t>
      </w:r>
      <w:r>
        <w:rPr>
          <w:rFonts w:ascii="Arial" w:hAnsi="Arial"/>
          <w:b/>
          <w:sz w:val="20"/>
        </w:rPr>
        <w:t xml:space="preserve"> </w:t>
      </w:r>
      <w:r>
        <w:rPr>
          <w:rFonts w:ascii="Arial" w:hAnsi="Arial"/>
          <w:sz w:val="20"/>
        </w:rPr>
        <w:t>sobre questões de titularidade em PI geradas em Instituições</w:t>
      </w:r>
      <w:r w:rsidR="008411EA">
        <w:rPr>
          <w:rFonts w:ascii="Arial" w:hAnsi="Arial"/>
          <w:sz w:val="20"/>
        </w:rPr>
        <w:t xml:space="preserve">. </w:t>
      </w:r>
      <w:r>
        <w:rPr>
          <w:rFonts w:ascii="Arial" w:hAnsi="Arial"/>
          <w:sz w:val="20"/>
        </w:rPr>
        <w:t xml:space="preserve">Um ponto de partida útil para este exercício é a </w:t>
      </w:r>
      <w:hyperlink r:id="rId83" w:history="1">
        <w:r>
          <w:rPr>
            <w:rStyle w:val="Hyperlink"/>
            <w:rFonts w:ascii="Arial" w:hAnsi="Arial"/>
            <w:i/>
            <w:sz w:val="20"/>
          </w:rPr>
          <w:t>Checklist de Escritores de Políticas da OMPI</w:t>
        </w:r>
      </w:hyperlink>
      <w:r>
        <w:rPr>
          <w:rFonts w:ascii="Arial" w:hAnsi="Arial"/>
          <w:sz w:val="20"/>
        </w:rPr>
        <w:t xml:space="preserve">. Para obter mais informações sobre as leis de PI em diferentes países, visite a </w:t>
      </w:r>
      <w:hyperlink r:id="rId84" w:history="1">
        <w:r>
          <w:rPr>
            <w:rStyle w:val="Hyperlink"/>
            <w:rFonts w:ascii="Arial" w:hAnsi="Arial"/>
            <w:sz w:val="20"/>
          </w:rPr>
          <w:t>base de dados WIPO Lex</w:t>
        </w:r>
      </w:hyperlink>
      <w:r>
        <w:rPr>
          <w:rFonts w:ascii="Arial" w:hAnsi="Arial"/>
          <w:sz w:val="20"/>
        </w:rPr>
        <w:t xml:space="preserve"> e o </w:t>
      </w:r>
      <w:hyperlink r:id="rId85" w:history="1">
        <w:r>
          <w:rPr>
            <w:rStyle w:val="Hyperlink"/>
            <w:rFonts w:ascii="Arial" w:hAnsi="Arial"/>
            <w:sz w:val="20"/>
          </w:rPr>
          <w:t>Conjunto de Ferramentas</w:t>
        </w:r>
      </w:hyperlink>
      <w:r>
        <w:rPr>
          <w:rFonts w:ascii="Arial" w:hAnsi="Arial"/>
          <w:sz w:val="20"/>
        </w:rPr>
        <w:t xml:space="preserve"> fornecido pela cooperação com HEIP-link. </w:t>
      </w:r>
    </w:p>
    <w:p w14:paraId="50BF0BDA" w14:textId="77777777" w:rsidR="000444D5" w:rsidRPr="0024467F" w:rsidRDefault="000444D5"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rPr>
      </w:pPr>
    </w:p>
    <w:p w14:paraId="4C3699EA" w14:textId="77777777" w:rsidR="000444D5" w:rsidRPr="00AC7ADD" w:rsidRDefault="000444D5"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rPr>
      </w:pPr>
      <w:r>
        <w:rPr>
          <w:rFonts w:ascii="Arial" w:hAnsi="Arial"/>
          <w:sz w:val="20"/>
        </w:rPr>
        <w:t>A Política de PI deve fornecer um instrumento (por exemplo, acordo de participação) que obrigue todos os Membros da Equipe, Alunos e Visitantes a ceder os direitos de qualquer invenção criada como resultado de sua pesquisa à entidade, se a lei nacional e a política institucional permitirem.</w:t>
      </w:r>
    </w:p>
    <w:p w14:paraId="65BB792D" w14:textId="77777777" w:rsidR="00441927" w:rsidRPr="0024467F" w:rsidRDefault="00441927" w:rsidP="009743BC">
      <w:pPr>
        <w:spacing w:after="0" w:line="240" w:lineRule="auto"/>
        <w:jc w:val="both"/>
        <w:rPr>
          <w:rFonts w:ascii="Arial" w:hAnsi="Arial" w:cs="Arial"/>
          <w:sz w:val="20"/>
          <w:szCs w:val="20"/>
        </w:rPr>
      </w:pPr>
    </w:p>
    <w:p w14:paraId="6424A503" w14:textId="77777777" w:rsidR="008A32B2" w:rsidRPr="0024467F" w:rsidRDefault="008A32B2">
      <w:pPr>
        <w:pStyle w:val="ListParagraph"/>
        <w:spacing w:after="0" w:line="240" w:lineRule="auto"/>
        <w:ind w:left="426" w:hanging="426"/>
        <w:jc w:val="both"/>
        <w:rPr>
          <w:rFonts w:ascii="Arial" w:eastAsia="Times New Roman" w:hAnsi="Arial" w:cs="Arial"/>
        </w:rPr>
      </w:pPr>
    </w:p>
    <w:p w14:paraId="6CDB52FB" w14:textId="52A5D78F" w:rsidR="00E27A4C" w:rsidRPr="00AC7ADD" w:rsidRDefault="00C1731A">
      <w:pPr>
        <w:spacing w:after="0" w:line="240" w:lineRule="auto"/>
        <w:ind w:left="567" w:hanging="567"/>
        <w:jc w:val="both"/>
        <w:rPr>
          <w:rFonts w:ascii="Arial" w:eastAsia="Times New Roman" w:hAnsi="Arial" w:cs="Arial"/>
          <w:b/>
          <w:color w:val="0070C0"/>
          <w:sz w:val="24"/>
        </w:rPr>
      </w:pPr>
      <w:r>
        <w:rPr>
          <w:rFonts w:ascii="Arial" w:hAnsi="Arial"/>
          <w:b/>
          <w:color w:val="0070C0"/>
          <w:sz w:val="24"/>
        </w:rPr>
        <w:t xml:space="preserve">Segunda regra: Considere melhores práticas e/ou práticas estabelecidas </w:t>
      </w:r>
    </w:p>
    <w:p w14:paraId="350B60CB" w14:textId="77777777" w:rsidR="006D4C88" w:rsidRPr="0024467F" w:rsidRDefault="006D4C88">
      <w:pPr>
        <w:spacing w:after="0" w:line="240" w:lineRule="auto"/>
        <w:jc w:val="both"/>
        <w:rPr>
          <w:rFonts w:ascii="Arial" w:eastAsia="Times New Roman" w:hAnsi="Arial" w:cs="Arial"/>
        </w:rPr>
      </w:pPr>
    </w:p>
    <w:p w14:paraId="108D1E18" w14:textId="07E4673E"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rPr>
      </w:pPr>
      <w:r>
        <w:rPr>
          <w:rFonts w:ascii="Arial" w:hAnsi="Arial"/>
          <w:sz w:val="20"/>
        </w:rPr>
        <w:t>Uma política de PI pode levar em consideração as práticas históricas/estabelecidas da Instituição e os padrões e tradições em diversas disciplinas acadêmicas, bem como as melhores práticas internacionais</w:t>
      </w:r>
      <w:r w:rsidR="008411EA">
        <w:rPr>
          <w:rFonts w:ascii="Arial" w:hAnsi="Arial"/>
          <w:sz w:val="20"/>
        </w:rPr>
        <w:t xml:space="preserve">. </w:t>
      </w:r>
    </w:p>
    <w:p w14:paraId="10C84A1A" w14:textId="77777777" w:rsidR="00320668" w:rsidRPr="0024467F" w:rsidRDefault="00320668" w:rsidP="00320668">
      <w:pPr>
        <w:autoSpaceDE w:val="0"/>
        <w:autoSpaceDN w:val="0"/>
        <w:adjustRightInd w:val="0"/>
        <w:spacing w:after="0" w:line="240" w:lineRule="auto"/>
        <w:ind w:left="426" w:hanging="426"/>
        <w:jc w:val="both"/>
        <w:rPr>
          <w:rFonts w:ascii="Arial" w:eastAsia="Times New Roman" w:hAnsi="Arial" w:cs="Arial"/>
          <w:sz w:val="20"/>
        </w:rPr>
      </w:pPr>
    </w:p>
    <w:p w14:paraId="6ECF7094" w14:textId="61C78F0A"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rPr>
      </w:pPr>
      <w:r>
        <w:rPr>
          <w:rFonts w:ascii="Arial" w:hAnsi="Arial"/>
          <w:sz w:val="20"/>
        </w:rPr>
        <w:t>Alguns governos ou agências estabeleceram “melhores práticas” para titularidade e gestão de PI institucional, como a Associação de Gestores de Tecnologia da Universidade.(</w:t>
      </w:r>
      <w:hyperlink r:id="rId86" w:history="1">
        <w:r>
          <w:rPr>
            <w:rStyle w:val="Hyperlink"/>
            <w:rFonts w:ascii="Arial" w:hAnsi="Arial"/>
            <w:sz w:val="20"/>
          </w:rPr>
          <w:t>AUTM</w:t>
        </w:r>
      </w:hyperlink>
      <w:r>
        <w:rPr>
          <w:rFonts w:ascii="Arial" w:hAnsi="Arial"/>
          <w:sz w:val="20"/>
        </w:rPr>
        <w:t>);</w:t>
      </w:r>
      <w:r w:rsidRPr="00AC7ADD">
        <w:rPr>
          <w:rStyle w:val="FootnoteReference"/>
          <w:rFonts w:ascii="Arial" w:eastAsia="Times New Roman" w:hAnsi="Arial" w:cs="Arial"/>
          <w:sz w:val="20"/>
          <w:lang w:val="en-US"/>
        </w:rPr>
        <w:footnoteReference w:id="105"/>
      </w:r>
      <w:r>
        <w:rPr>
          <w:rFonts w:ascii="Arial" w:hAnsi="Arial"/>
          <w:sz w:val="20"/>
        </w:rPr>
        <w:t xml:space="preserve"> Centro Internacional para Transferência de Tecnologia Ambiental (</w:t>
      </w:r>
      <w:hyperlink r:id="rId87" w:history="1">
        <w:r>
          <w:rPr>
            <w:rStyle w:val="Hyperlink"/>
            <w:rFonts w:ascii="Arial" w:hAnsi="Arial"/>
            <w:sz w:val="20"/>
          </w:rPr>
          <w:t>ICETT</w:t>
        </w:r>
      </w:hyperlink>
      <w:r>
        <w:rPr>
          <w:rFonts w:ascii="Arial" w:hAnsi="Arial"/>
          <w:sz w:val="20"/>
        </w:rPr>
        <w:t>);</w:t>
      </w:r>
      <w:r w:rsidRPr="00AC7ADD">
        <w:rPr>
          <w:rStyle w:val="FootnoteReference"/>
          <w:rFonts w:ascii="Arial" w:eastAsia="Times New Roman" w:hAnsi="Arial" w:cs="Arial"/>
          <w:sz w:val="20"/>
          <w:lang w:val="en-US"/>
        </w:rPr>
        <w:footnoteReference w:id="106"/>
      </w:r>
      <w:r>
        <w:rPr>
          <w:rFonts w:ascii="Arial" w:hAnsi="Arial"/>
          <w:sz w:val="20"/>
        </w:rPr>
        <w:t xml:space="preserve"> Comercialização do Conhecimento na Australásia (</w:t>
      </w:r>
      <w:hyperlink r:id="rId88" w:history="1">
        <w:r>
          <w:rPr>
            <w:rStyle w:val="Hyperlink"/>
            <w:rFonts w:ascii="Arial" w:hAnsi="Arial"/>
            <w:sz w:val="20"/>
          </w:rPr>
          <w:t>KCA</w:t>
        </w:r>
      </w:hyperlink>
      <w:r>
        <w:rPr>
          <w:rFonts w:ascii="Arial" w:hAnsi="Arial"/>
          <w:sz w:val="20"/>
        </w:rPr>
        <w:t>);</w:t>
      </w:r>
      <w:r w:rsidRPr="00AC7ADD">
        <w:rPr>
          <w:rStyle w:val="FootnoteReference"/>
          <w:rFonts w:ascii="Arial" w:eastAsia="Times New Roman" w:hAnsi="Arial" w:cs="Arial"/>
          <w:sz w:val="20"/>
          <w:lang w:val="en-US"/>
        </w:rPr>
        <w:footnoteReference w:id="107"/>
      </w:r>
      <w:r>
        <w:rPr>
          <w:rFonts w:ascii="Arial" w:hAnsi="Arial"/>
          <w:sz w:val="20"/>
        </w:rPr>
        <w:t xml:space="preserve"> </w:t>
      </w:r>
      <w:hyperlink r:id="rId89" w:history="1">
        <w:r>
          <w:rPr>
            <w:rStyle w:val="Hyperlink"/>
            <w:rFonts w:ascii="Arial" w:hAnsi="Arial"/>
            <w:sz w:val="20"/>
          </w:rPr>
          <w:t>ACCT Canada</w:t>
        </w:r>
      </w:hyperlink>
      <w:r>
        <w:rPr>
          <w:rFonts w:ascii="Arial" w:hAnsi="Arial"/>
          <w:sz w:val="20"/>
        </w:rPr>
        <w:t>;</w:t>
      </w:r>
      <w:r w:rsidRPr="00AC7ADD">
        <w:rPr>
          <w:rStyle w:val="FootnoteReference"/>
          <w:rFonts w:ascii="Arial" w:eastAsia="Times New Roman" w:hAnsi="Arial" w:cs="Arial"/>
          <w:sz w:val="20"/>
          <w:lang w:val="en-US"/>
        </w:rPr>
        <w:footnoteReference w:id="108"/>
      </w:r>
      <w:r>
        <w:rPr>
          <w:rFonts w:ascii="Arial" w:hAnsi="Arial"/>
          <w:sz w:val="20"/>
        </w:rPr>
        <w:t xml:space="preserve"> e a Associação para Pesquisa Universitária e Vínculos Industriais (</w:t>
      </w:r>
      <w:hyperlink r:id="rId90" w:history="1">
        <w:r>
          <w:rPr>
            <w:rStyle w:val="Hyperlink"/>
            <w:rFonts w:ascii="Arial" w:hAnsi="Arial"/>
            <w:sz w:val="20"/>
          </w:rPr>
          <w:t>AURIL</w:t>
        </w:r>
      </w:hyperlink>
      <w:r>
        <w:rPr>
          <w:rFonts w:ascii="Arial" w:hAnsi="Arial"/>
          <w:sz w:val="20"/>
        </w:rPr>
        <w:t>).</w:t>
      </w:r>
      <w:r w:rsidRPr="00AC7ADD">
        <w:rPr>
          <w:rStyle w:val="FootnoteReference"/>
          <w:rFonts w:ascii="Arial" w:eastAsia="Times New Roman" w:hAnsi="Arial" w:cs="Arial"/>
          <w:sz w:val="20"/>
          <w:lang w:val="en-US"/>
        </w:rPr>
        <w:footnoteReference w:id="109"/>
      </w:r>
      <w:r>
        <w:rPr>
          <w:rFonts w:ascii="Arial" w:hAnsi="Arial"/>
          <w:sz w:val="20"/>
        </w:rPr>
        <w:t xml:space="preserve">  Embora essas práticas recomendadas geralmente não sejam vinculativas, pode ser benéfico levá-las em consideração</w:t>
      </w:r>
      <w:r w:rsidR="008411EA">
        <w:rPr>
          <w:rFonts w:ascii="Arial" w:hAnsi="Arial"/>
          <w:sz w:val="20"/>
        </w:rPr>
        <w:t xml:space="preserve">. </w:t>
      </w:r>
    </w:p>
    <w:p w14:paraId="271ED341" w14:textId="77777777" w:rsidR="00A7087B" w:rsidRPr="0024467F" w:rsidRDefault="00A7087B" w:rsidP="00C37C98">
      <w:pPr>
        <w:autoSpaceDE w:val="0"/>
        <w:autoSpaceDN w:val="0"/>
        <w:adjustRightInd w:val="0"/>
        <w:spacing w:after="0" w:line="240" w:lineRule="auto"/>
        <w:jc w:val="both"/>
        <w:rPr>
          <w:rFonts w:ascii="Arial" w:eastAsia="Times New Roman" w:hAnsi="Arial" w:cs="Arial"/>
        </w:rPr>
      </w:pPr>
    </w:p>
    <w:p w14:paraId="649B3742" w14:textId="37EEA989" w:rsidR="000D7090" w:rsidRPr="00AC7ADD" w:rsidRDefault="00C1731A">
      <w:pPr>
        <w:spacing w:after="0" w:line="240" w:lineRule="auto"/>
        <w:ind w:left="567" w:hanging="567"/>
        <w:jc w:val="both"/>
        <w:rPr>
          <w:rFonts w:ascii="Arial" w:eastAsia="Times New Roman" w:hAnsi="Arial" w:cs="Arial"/>
          <w:b/>
          <w:color w:val="0070C0"/>
          <w:sz w:val="24"/>
        </w:rPr>
      </w:pPr>
      <w:r>
        <w:rPr>
          <w:rFonts w:ascii="Arial" w:hAnsi="Arial"/>
          <w:b/>
          <w:color w:val="0070C0"/>
          <w:sz w:val="24"/>
        </w:rPr>
        <w:t>Terceira regra: Em que circunstâncias a PI deve ser de titularidade da Instituição?</w:t>
      </w:r>
    </w:p>
    <w:p w14:paraId="31A3C63B" w14:textId="77777777" w:rsidR="006D4C88" w:rsidRPr="0024467F" w:rsidRDefault="006D4C88">
      <w:pPr>
        <w:pStyle w:val="ListParagraph"/>
        <w:spacing w:after="0" w:line="240" w:lineRule="auto"/>
        <w:rPr>
          <w:rFonts w:ascii="Arial" w:eastAsia="Times New Roman" w:hAnsi="Arial" w:cs="Arial"/>
          <w:b/>
        </w:rPr>
      </w:pPr>
    </w:p>
    <w:p w14:paraId="72F88472" w14:textId="77777777" w:rsidR="00320668" w:rsidRPr="00AC7ADD" w:rsidRDefault="00A73241" w:rsidP="009D4A54">
      <w:pPr>
        <w:pStyle w:val="ListParagraph"/>
        <w:numPr>
          <w:ilvl w:val="0"/>
          <w:numId w:val="19"/>
        </w:numPr>
        <w:spacing w:after="0" w:line="240" w:lineRule="auto"/>
        <w:ind w:left="426" w:hanging="426"/>
        <w:jc w:val="both"/>
        <w:rPr>
          <w:rFonts w:ascii="Arial" w:hAnsi="Arial" w:cs="Arial"/>
          <w:sz w:val="20"/>
          <w:szCs w:val="20"/>
        </w:rPr>
      </w:pPr>
      <w:r>
        <w:rPr>
          <w:rFonts w:ascii="Arial" w:hAnsi="Arial"/>
          <w:sz w:val="20"/>
        </w:rPr>
        <w:t>A principal consideração é que a intenção é promover o maior acesso possível à PI e à pesquisa da Instituição e maximizar os benefícios econômicos e sociais.</w:t>
      </w:r>
    </w:p>
    <w:p w14:paraId="42FE0066" w14:textId="77777777" w:rsidR="00320668" w:rsidRPr="0024467F" w:rsidRDefault="00320668" w:rsidP="00B7519E">
      <w:pPr>
        <w:spacing w:after="0" w:line="240" w:lineRule="auto"/>
        <w:jc w:val="both"/>
        <w:rPr>
          <w:rFonts w:ascii="Arial" w:hAnsi="Arial" w:cs="Arial"/>
          <w:sz w:val="20"/>
          <w:szCs w:val="20"/>
        </w:rPr>
      </w:pPr>
    </w:p>
    <w:p w14:paraId="256233FB" w14:textId="6B0B4A1A" w:rsidR="00320668" w:rsidRPr="00AC7ADD" w:rsidRDefault="00320668" w:rsidP="009D4A54">
      <w:pPr>
        <w:pStyle w:val="ListParagraph"/>
        <w:numPr>
          <w:ilvl w:val="0"/>
          <w:numId w:val="19"/>
        </w:numPr>
        <w:spacing w:after="0" w:line="240" w:lineRule="auto"/>
        <w:ind w:left="426" w:hanging="426"/>
        <w:jc w:val="both"/>
        <w:rPr>
          <w:rFonts w:ascii="Arial" w:hAnsi="Arial" w:cs="Arial"/>
          <w:sz w:val="20"/>
          <w:szCs w:val="20"/>
        </w:rPr>
      </w:pPr>
      <w:r>
        <w:rPr>
          <w:rFonts w:ascii="Arial" w:hAnsi="Arial"/>
          <w:sz w:val="20"/>
        </w:rPr>
        <w:t>No escopo de qualquer legislação nacional aplicável, a Instituição deve fornecer clareza, pelo menos nas opções listadas abaixo, sobre qual PI criada por seus Membros da Equipe, Alunos ou Visitantes, será de titularidade da Instituição:</w:t>
      </w:r>
    </w:p>
    <w:p w14:paraId="4370DF61" w14:textId="77777777" w:rsidR="00320668" w:rsidRPr="0024467F" w:rsidRDefault="00320668" w:rsidP="00B7519E">
      <w:pPr>
        <w:pStyle w:val="ListParagraph"/>
        <w:spacing w:after="0" w:line="240" w:lineRule="auto"/>
        <w:ind w:left="426"/>
        <w:jc w:val="both"/>
        <w:rPr>
          <w:rFonts w:ascii="Arial" w:hAnsi="Arial" w:cs="Arial"/>
          <w:sz w:val="20"/>
          <w:szCs w:val="20"/>
        </w:rPr>
      </w:pPr>
    </w:p>
    <w:p w14:paraId="5C3652BF" w14:textId="77777777" w:rsidR="002439B9" w:rsidRPr="00AC7ADD" w:rsidRDefault="00320668" w:rsidP="009D4A54">
      <w:pPr>
        <w:pStyle w:val="StyleJustified"/>
        <w:numPr>
          <w:ilvl w:val="0"/>
          <w:numId w:val="46"/>
        </w:numPr>
        <w:spacing w:line="240" w:lineRule="auto"/>
        <w:ind w:hanging="294"/>
        <w:rPr>
          <w:rFonts w:ascii="Arial" w:hAnsi="Arial" w:cs="Arial"/>
          <w:sz w:val="22"/>
        </w:rPr>
      </w:pPr>
      <w:r>
        <w:rPr>
          <w:rFonts w:ascii="Arial" w:hAnsi="Arial"/>
          <w:sz w:val="20"/>
        </w:rPr>
        <w:t>pesquisa financiada publicamente;</w:t>
      </w:r>
    </w:p>
    <w:p w14:paraId="2B11404E" w14:textId="77777777" w:rsidR="009712A9" w:rsidRPr="00AC7ADD" w:rsidRDefault="009712A9" w:rsidP="009D4A54">
      <w:pPr>
        <w:pStyle w:val="StyleJustified"/>
        <w:numPr>
          <w:ilvl w:val="0"/>
          <w:numId w:val="46"/>
        </w:numPr>
        <w:spacing w:line="240" w:lineRule="auto"/>
        <w:ind w:hanging="294"/>
        <w:rPr>
          <w:rFonts w:ascii="Arial" w:hAnsi="Arial" w:cs="Arial"/>
          <w:sz w:val="20"/>
        </w:rPr>
      </w:pPr>
      <w:r>
        <w:rPr>
          <w:rFonts w:ascii="Arial" w:hAnsi="Arial"/>
          <w:sz w:val="20"/>
        </w:rPr>
        <w:t>PI gerada por meio do uso substancial dos recursos da Instituição;</w:t>
      </w:r>
    </w:p>
    <w:p w14:paraId="4FDCBEC9"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Pr>
          <w:rFonts w:ascii="Arial" w:hAnsi="Arial"/>
          <w:sz w:val="20"/>
        </w:rPr>
        <w:t>trabalho encomendado financiado privadamente;</w:t>
      </w:r>
    </w:p>
    <w:p w14:paraId="629005AD"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Pr>
          <w:rFonts w:ascii="Arial" w:hAnsi="Arial"/>
          <w:sz w:val="20"/>
        </w:rPr>
        <w:t>trabalho privado dos Empregados;</w:t>
      </w:r>
    </w:p>
    <w:p w14:paraId="4A36A3D3"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Pr>
          <w:rFonts w:ascii="Arial" w:hAnsi="Arial"/>
          <w:sz w:val="20"/>
        </w:rPr>
        <w:t>trabalhos acadêmicos;</w:t>
      </w:r>
    </w:p>
    <w:p w14:paraId="2D37B7A9"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Pr>
          <w:rFonts w:ascii="Arial" w:hAnsi="Arial"/>
          <w:sz w:val="20"/>
        </w:rPr>
        <w:t>teses de alunos;</w:t>
      </w:r>
    </w:p>
    <w:p w14:paraId="4D8D9859" w14:textId="77777777" w:rsidR="009712A9" w:rsidRPr="00AC7ADD" w:rsidRDefault="00320668" w:rsidP="009D4A54">
      <w:pPr>
        <w:pStyle w:val="StyleJustified"/>
        <w:numPr>
          <w:ilvl w:val="0"/>
          <w:numId w:val="46"/>
        </w:numPr>
        <w:spacing w:line="240" w:lineRule="auto"/>
        <w:ind w:hanging="294"/>
        <w:rPr>
          <w:rFonts w:ascii="Arial" w:hAnsi="Arial" w:cs="Arial"/>
          <w:sz w:val="20"/>
        </w:rPr>
      </w:pPr>
      <w:r>
        <w:rPr>
          <w:rFonts w:ascii="Arial" w:hAnsi="Arial"/>
          <w:sz w:val="20"/>
        </w:rPr>
        <w:t>PI gerada por Alunos e Visitantes;</w:t>
      </w:r>
    </w:p>
    <w:p w14:paraId="4C1A72E3" w14:textId="77777777" w:rsidR="009712A9" w:rsidRPr="00AC7ADD" w:rsidRDefault="00320668" w:rsidP="009D4A54">
      <w:pPr>
        <w:pStyle w:val="StyleJustified"/>
        <w:numPr>
          <w:ilvl w:val="0"/>
          <w:numId w:val="46"/>
        </w:numPr>
        <w:spacing w:line="240" w:lineRule="auto"/>
        <w:ind w:hanging="294"/>
        <w:rPr>
          <w:rFonts w:ascii="Arial" w:hAnsi="Arial" w:cs="Arial"/>
          <w:sz w:val="20"/>
        </w:rPr>
      </w:pPr>
      <w:r>
        <w:rPr>
          <w:rFonts w:ascii="Arial" w:hAnsi="Arial"/>
          <w:sz w:val="20"/>
        </w:rPr>
        <w:lastRenderedPageBreak/>
        <w:t>PI gerada no contexto de projetos de pesquisa colaborativa ou conjunta.</w:t>
      </w:r>
    </w:p>
    <w:p w14:paraId="2DB63F2A" w14:textId="77777777" w:rsidR="00320668" w:rsidRPr="00AC7ADD" w:rsidRDefault="00320668" w:rsidP="00B7519E">
      <w:pPr>
        <w:pStyle w:val="StyleJustified"/>
        <w:spacing w:line="240" w:lineRule="auto"/>
        <w:rPr>
          <w:rFonts w:ascii="Arial" w:hAnsi="Arial" w:cs="Arial"/>
          <w:sz w:val="20"/>
        </w:rPr>
      </w:pPr>
    </w:p>
    <w:p w14:paraId="43A1F9C9" w14:textId="77777777" w:rsidR="00320668" w:rsidRPr="00AC7ADD" w:rsidRDefault="00320668" w:rsidP="009D4A54">
      <w:pPr>
        <w:pStyle w:val="ListParagraph"/>
        <w:numPr>
          <w:ilvl w:val="0"/>
          <w:numId w:val="127"/>
        </w:numPr>
        <w:ind w:left="426" w:hanging="426"/>
        <w:jc w:val="both"/>
        <w:rPr>
          <w:rFonts w:ascii="Arial" w:eastAsia="Times New Roman" w:hAnsi="Arial" w:cs="Arial"/>
          <w:sz w:val="20"/>
        </w:rPr>
      </w:pPr>
      <w:r>
        <w:rPr>
          <w:rFonts w:ascii="Arial" w:hAnsi="Arial"/>
          <w:sz w:val="20"/>
        </w:rPr>
        <w:t>Alguns exemplos de como as instituições podem diferenciar essa abordagem de titularidade são apresentados abaixo:</w:t>
      </w:r>
    </w:p>
    <w:p w14:paraId="37F87175" w14:textId="77777777" w:rsidR="008D5210" w:rsidRPr="0024467F" w:rsidRDefault="008D5210" w:rsidP="00734F31">
      <w:pPr>
        <w:pStyle w:val="ListParagraph"/>
        <w:spacing w:after="0" w:line="240" w:lineRule="auto"/>
        <w:ind w:left="426"/>
        <w:jc w:val="both"/>
        <w:rPr>
          <w:rFonts w:ascii="Arial" w:eastAsia="Times New Roman" w:hAnsi="Arial" w:cs="Arial"/>
          <w:sz w:val="20"/>
        </w:rPr>
      </w:pPr>
    </w:p>
    <w:p w14:paraId="51255C63" w14:textId="77777777"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de titularidade da Instituição: Universidade de Joanesburgo (África do Sul)</w:t>
      </w:r>
    </w:p>
    <w:p w14:paraId="2156155D" w14:textId="77777777" w:rsidR="00320668" w:rsidRPr="0024467F"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20"/>
        </w:rPr>
      </w:pPr>
    </w:p>
    <w:p w14:paraId="7E7E4AA0" w14:textId="77777777" w:rsidR="00194209" w:rsidRPr="00AC7ADD" w:rsidRDefault="0019420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sz w:val="20"/>
        </w:rPr>
        <w:t>“</w:t>
      </w:r>
      <w:r>
        <w:rPr>
          <w:rFonts w:ascii="Arial" w:hAnsi="Arial"/>
          <w:i/>
          <w:sz w:val="20"/>
        </w:rPr>
        <w:t>Toda propriedade intelectual decorrente de serviços prestados por funcionários no decurso e escopo normal de seu emprego na Universidade pertence à Universidade, sujeita às exceções previstas em 4.2.3.4 abaixo.</w:t>
      </w:r>
      <w:r>
        <w:rPr>
          <w:rFonts w:ascii="Arial" w:hAnsi="Arial"/>
          <w:sz w:val="20"/>
        </w:rPr>
        <w:t xml:space="preserve">” </w:t>
      </w:r>
    </w:p>
    <w:p w14:paraId="4E01E505" w14:textId="77777777" w:rsidR="0086360F" w:rsidRPr="0024467F" w:rsidRDefault="0086360F" w:rsidP="00734F31">
      <w:pPr>
        <w:pStyle w:val="ListParagraph"/>
        <w:spacing w:after="0" w:line="240" w:lineRule="auto"/>
        <w:ind w:left="426"/>
        <w:jc w:val="both"/>
        <w:rPr>
          <w:rFonts w:ascii="Arial" w:eastAsia="Times New Roman" w:hAnsi="Arial" w:cs="Arial"/>
        </w:rPr>
      </w:pPr>
    </w:p>
    <w:p w14:paraId="39BBC543" w14:textId="77777777" w:rsidR="001C6398"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de titularidade da Instituição: Instituição Tecnológica da Costa Rica </w:t>
      </w:r>
    </w:p>
    <w:p w14:paraId="738B6A03" w14:textId="77777777" w:rsidR="00320668" w:rsidRPr="0024467F"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p>
    <w:p w14:paraId="466EEAA7" w14:textId="77777777" w:rsidR="001C639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sz w:val="20"/>
        </w:rPr>
        <w:t>Art.6 – “</w:t>
      </w:r>
      <w:r>
        <w:rPr>
          <w:rFonts w:ascii="Arial" w:hAnsi="Arial"/>
          <w:i/>
          <w:sz w:val="20"/>
        </w:rPr>
        <w:t>O Instituto Tecnológico da Costa Rica será o titular dos direitos de propriedade industrial relacionados aos resultados da atividade acadêmica. No entanto, os inventores mantêm seu direito de serem reconhecidos como tal e de receber uma compensação pela sua exploração econômica.</w:t>
      </w:r>
      <w:r>
        <w:rPr>
          <w:rFonts w:ascii="Arial" w:hAnsi="Arial"/>
          <w:sz w:val="20"/>
        </w:rPr>
        <w:t>”</w:t>
      </w:r>
    </w:p>
    <w:p w14:paraId="282CE25C" w14:textId="77777777" w:rsidR="0043542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sz w:val="20"/>
        </w:rPr>
        <w:t>Art.13</w:t>
      </w:r>
      <w:r>
        <w:rPr>
          <w:rFonts w:ascii="Arial" w:hAnsi="Arial"/>
          <w:b/>
          <w:sz w:val="20"/>
        </w:rPr>
        <w:t xml:space="preserve"> </w:t>
      </w:r>
      <w:r>
        <w:rPr>
          <w:rFonts w:ascii="Arial" w:hAnsi="Arial"/>
          <w:sz w:val="20"/>
        </w:rPr>
        <w:t>– “</w:t>
      </w:r>
      <w:r>
        <w:rPr>
          <w:rFonts w:ascii="Arial" w:hAnsi="Arial"/>
          <w:i/>
          <w:sz w:val="20"/>
        </w:rPr>
        <w:t>A titularidade dos direitos que possam ser gerados pelas invenções e inovações ou obras realizadas por funcionários ou alunos do Instituto Tecnológico da Costa Rica, conforme estabelecido neste regulamento, fora do escopo do instituto e sem a uso de equipamentos ou instrumentos do instituto, pertencerá ao inventor, inovador ou autor, se não estiverem direta ou indiretamente relacionados com a pesquisa que realizam no instituto. Em caso de dúvida, o ônus da prova caberá ao funcionário ou ao aluno”.</w:t>
      </w:r>
    </w:p>
    <w:p w14:paraId="5CF4A728" w14:textId="77777777" w:rsidR="00CE53E4" w:rsidRPr="0024467F" w:rsidRDefault="00CE53E4" w:rsidP="00734F31">
      <w:pPr>
        <w:pStyle w:val="ListParagraph"/>
        <w:spacing w:after="0" w:line="240" w:lineRule="auto"/>
        <w:ind w:left="426"/>
        <w:jc w:val="both"/>
        <w:rPr>
          <w:rFonts w:ascii="Arial" w:eastAsia="Times New Roman" w:hAnsi="Arial" w:cs="Arial"/>
        </w:rPr>
      </w:pPr>
    </w:p>
    <w:p w14:paraId="40855C92" w14:textId="77777777"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de titularidade do inventor/criador: Universidade de Calgary (Canadá)</w:t>
      </w:r>
    </w:p>
    <w:p w14:paraId="573D290D" w14:textId="77777777" w:rsidR="00320668" w:rsidRPr="0024467F"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18"/>
        </w:rPr>
      </w:pPr>
    </w:p>
    <w:p w14:paraId="605CB3A8" w14:textId="77777777" w:rsidR="008D5210" w:rsidRPr="00AC7ADD" w:rsidRDefault="008D521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r>
        <w:rPr>
          <w:rFonts w:ascii="Arial" w:hAnsi="Arial"/>
          <w:sz w:val="20"/>
        </w:rPr>
        <w:t>“</w:t>
      </w:r>
      <w:r>
        <w:rPr>
          <w:rFonts w:ascii="Arial" w:hAnsi="Arial"/>
          <w:i/>
          <w:sz w:val="20"/>
        </w:rPr>
        <w:t>A titularidade da Propriedade Intelectual e todos os direitos relativos à titularidade são investidos em seu Criador, a menos que qualificados por lei ou acordos escritos em contrário.</w:t>
      </w:r>
      <w:r w:rsidR="00B452C5" w:rsidRPr="00AC7ADD">
        <w:rPr>
          <w:rStyle w:val="FootnoteReference"/>
          <w:rFonts w:ascii="Arial" w:eastAsia="Times New Roman" w:hAnsi="Arial" w:cs="Arial"/>
          <w:i/>
          <w:sz w:val="20"/>
          <w:lang w:val="en-US"/>
        </w:rPr>
        <w:footnoteReference w:id="110"/>
      </w:r>
    </w:p>
    <w:p w14:paraId="5F652F5D" w14:textId="77777777" w:rsidR="0086360F" w:rsidRPr="0024467F" w:rsidRDefault="0086360F" w:rsidP="00734F31">
      <w:pPr>
        <w:pStyle w:val="ListParagraph"/>
        <w:spacing w:after="0" w:line="240" w:lineRule="auto"/>
        <w:ind w:left="426"/>
        <w:jc w:val="both"/>
        <w:rPr>
          <w:rFonts w:ascii="Arial" w:eastAsia="Times New Roman" w:hAnsi="Arial" w:cs="Arial"/>
        </w:rPr>
      </w:pPr>
    </w:p>
    <w:p w14:paraId="47D6DBE0" w14:textId="77777777" w:rsidR="00407101"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 Regras baseadas na categoria de PI: Universidade Americana de Beirute (Líbano)</w:t>
      </w:r>
    </w:p>
    <w:p w14:paraId="18BDF918" w14:textId="77777777" w:rsidR="00320668" w:rsidRPr="0024467F"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p>
    <w:p w14:paraId="4B09C398" w14:textId="77777777" w:rsidR="00407101" w:rsidRPr="00AC7ADD" w:rsidRDefault="001A07C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 xml:space="preserve">“Propriedade Intelectual: divide-se em dois grupos: </w:t>
      </w:r>
    </w:p>
    <w:p w14:paraId="50A168B2"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 xml:space="preserve">a. Os resultados tradicionais de estudos acadêmicos, ou seja, livros didáticos, obras literárias, criações artísticas e artefatos. </w:t>
      </w:r>
    </w:p>
    <w:p w14:paraId="5B3A63A2"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b. Os novos resultados de pesquisas, como produtos, processos, máquinas, software, tecnologia biológica, etc.</w:t>
      </w:r>
    </w:p>
    <w:p w14:paraId="6A0D1810" w14:textId="77777777" w:rsidR="00407101" w:rsidRPr="0024467F"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p>
    <w:p w14:paraId="13611254"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A propriedade intelectual do primeiro grupo (tradicional) é de titularidade exclusiva do autor. Considera-se que tais PIs contribuem integralmente para o benefício da Universidade por meio de sua criação e de seu uso no ensino, no desenvolvimento posterior e na melhoria do status acadêmico da Universidade Assim, a menos que haja evidência explícita de que o trabalho foi especificamente encomendado pela Universidade, os direitos de PI permanecem com o(s) autor(es) e os direitos da Universidade são limitados ao uso gratuito (sem custo) em ensino e pesquisa.</w:t>
      </w:r>
    </w:p>
    <w:p w14:paraId="0E08E54E" w14:textId="77777777" w:rsidR="00407101" w:rsidRPr="0024467F"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rPr>
      </w:pPr>
    </w:p>
    <w:p w14:paraId="06518B13"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No segundo grupo, a forte presunção de titularidade é da Universidade (com o originador tendo o direito de repartir os benefícios derivados dela). A menos que haja evidências convincentes e explícitas de que a PI foi desenvolvida sem o uso de recursos e/ou instalações da universidade, a titularidade da PI é da Universidade e os criadores são obrigados a assinar os documentos de cessão legal apropriados mediante solicitação.</w:t>
      </w:r>
    </w:p>
    <w:p w14:paraId="0151120D" w14:textId="77777777" w:rsidR="001A07C5" w:rsidRPr="0024467F" w:rsidRDefault="001A07C5" w:rsidP="00734F31">
      <w:pPr>
        <w:pStyle w:val="ListParagraph"/>
        <w:spacing w:after="0" w:line="240" w:lineRule="auto"/>
        <w:jc w:val="both"/>
        <w:rPr>
          <w:rFonts w:ascii="Arial" w:eastAsia="Times New Roman" w:hAnsi="Arial" w:cs="Arial"/>
        </w:rPr>
      </w:pPr>
    </w:p>
    <w:p w14:paraId="1E2E2E67" w14:textId="77777777" w:rsidR="00785EFF"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lastRenderedPageBreak/>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 Regras baseadas no tipo de Criador: Universidade Victoria de Wellington (Nova Zelândia)</w:t>
      </w:r>
    </w:p>
    <w:p w14:paraId="6CB6E94D" w14:textId="77777777" w:rsidR="00320668" w:rsidRPr="0024467F"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p>
    <w:p w14:paraId="40212A0B" w14:textId="77777777" w:rsidR="00785EFF" w:rsidRPr="00AC7ADD" w:rsidRDefault="00785EFF"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rPr>
      </w:pPr>
      <w:r>
        <w:rPr>
          <w:rFonts w:ascii="Arial" w:hAnsi="Arial"/>
          <w:sz w:val="20"/>
        </w:rPr>
        <w:t>5.1 -</w:t>
      </w:r>
      <w:r>
        <w:rPr>
          <w:rFonts w:ascii="Arial" w:hAnsi="Arial"/>
          <w:i/>
          <w:sz w:val="20"/>
        </w:rPr>
        <w:t xml:space="preserve"> “Titularidade da Propriedade Intelectual. De acordo com esta política, a PI pode ser de titularidade de membros da equipe, alunos de graduação, alunos de pesquisa, da Universidade, de terceiros, dos Maori e de acadêmicos visitantes”.</w:t>
      </w:r>
      <w:r w:rsidRPr="00AC7ADD">
        <w:rPr>
          <w:rStyle w:val="FootnoteReference"/>
          <w:rFonts w:ascii="Arial" w:hAnsi="Arial" w:cs="Arial"/>
          <w:i/>
          <w:sz w:val="20"/>
          <w:lang w:val="en-US"/>
        </w:rPr>
        <w:footnoteReference w:id="111"/>
      </w:r>
    </w:p>
    <w:p w14:paraId="5356BBFD" w14:textId="77777777" w:rsidR="00422745" w:rsidRPr="0024467F" w:rsidRDefault="00422745" w:rsidP="00DD3615">
      <w:pPr>
        <w:pStyle w:val="ListParagraph"/>
        <w:spacing w:after="0" w:line="240" w:lineRule="auto"/>
        <w:ind w:left="0"/>
        <w:jc w:val="both"/>
        <w:rPr>
          <w:rFonts w:ascii="Arial" w:eastAsia="Times New Roman" w:hAnsi="Arial" w:cs="Arial"/>
        </w:rPr>
      </w:pPr>
    </w:p>
    <w:p w14:paraId="4176CA80" w14:textId="77777777"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Dicas para Decidir Regras de Titularidade de PI</w:t>
      </w:r>
    </w:p>
    <w:p w14:paraId="0543786E" w14:textId="77777777" w:rsidR="001640A7" w:rsidRPr="0024467F"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p>
    <w:p w14:paraId="086FC4F8"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 xml:space="preserve">Siga o </w:t>
      </w:r>
      <w:r>
        <w:rPr>
          <w:rFonts w:ascii="Arial" w:hAnsi="Arial"/>
          <w:sz w:val="20"/>
          <w:u w:val="single"/>
        </w:rPr>
        <w:t>método de três etapas</w:t>
      </w:r>
      <w:r>
        <w:rPr>
          <w:rFonts w:ascii="Arial" w:hAnsi="Arial"/>
          <w:sz w:val="20"/>
        </w:rPr>
        <w:t xml:space="preserve">: O que a lei prevê? </w:t>
      </w:r>
      <w:r>
        <w:rPr>
          <w:rFonts w:ascii="Arial" w:hAnsi="Arial"/>
          <w:sz w:val="20"/>
        </w:rPr>
        <w:sym w:font="Symbol" w:char="F0AE"/>
      </w:r>
      <w:r>
        <w:rPr>
          <w:rFonts w:ascii="Arial" w:hAnsi="Arial"/>
          <w:sz w:val="20"/>
        </w:rPr>
        <w:t xml:space="preserve"> Quais são as práticas estabelecidas ou as melhores práticas? </w:t>
      </w:r>
      <w:r>
        <w:rPr>
          <w:rFonts w:ascii="Arial" w:hAnsi="Arial"/>
          <w:sz w:val="20"/>
        </w:rPr>
        <w:sym w:font="Symbol" w:char="F0AE"/>
      </w:r>
      <w:r>
        <w:rPr>
          <w:rFonts w:ascii="Arial" w:hAnsi="Arial"/>
          <w:sz w:val="20"/>
        </w:rPr>
        <w:t xml:space="preserve"> Quando a PI deve ser de titularidade da Instituição? </w:t>
      </w:r>
    </w:p>
    <w:p w14:paraId="42E409A1" w14:textId="77777777" w:rsidR="001640A7" w:rsidRPr="00AC7ADD" w:rsidRDefault="001640A7" w:rsidP="001640A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14:paraId="41522D6B" w14:textId="77777777" w:rsidR="00A73241" w:rsidRPr="00AC7ADD" w:rsidRDefault="00A73241"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 xml:space="preserve">Na medida do possível, </w:t>
      </w:r>
      <w:r>
        <w:rPr>
          <w:rFonts w:ascii="Arial" w:hAnsi="Arial"/>
          <w:sz w:val="20"/>
          <w:u w:val="single"/>
        </w:rPr>
        <w:t>evitar a fragmentação dos direitos de titularidade</w:t>
      </w:r>
      <w:r>
        <w:rPr>
          <w:rFonts w:ascii="Arial" w:hAnsi="Arial"/>
          <w:sz w:val="20"/>
        </w:rPr>
        <w:t>, o que é um impedimento à comercialização efetiva.</w:t>
      </w:r>
    </w:p>
    <w:p w14:paraId="08A54A1A" w14:textId="77777777" w:rsidR="00A73241" w:rsidRPr="0024467F" w:rsidRDefault="00A73241"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rPr>
      </w:pPr>
    </w:p>
    <w:p w14:paraId="48186DF5"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 xml:space="preserve">É uma característica marcante da tradição acadêmica que os pesquisadores precisam de </w:t>
      </w:r>
      <w:r>
        <w:rPr>
          <w:rFonts w:ascii="Arial" w:hAnsi="Arial"/>
          <w:sz w:val="20"/>
          <w:u w:val="single"/>
        </w:rPr>
        <w:t>direitos irrestritos para publicar</w:t>
      </w:r>
      <w:r>
        <w:rPr>
          <w:rFonts w:ascii="Arial" w:hAnsi="Arial"/>
          <w:sz w:val="20"/>
        </w:rPr>
        <w:t xml:space="preserve"> suas obras. É possível acomodar isso separadamente dos direitos de titularidade/acesso. </w:t>
      </w:r>
    </w:p>
    <w:p w14:paraId="6C3F37C7" w14:textId="77777777" w:rsidR="001640A7" w:rsidRPr="0024467F" w:rsidRDefault="001640A7"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rPr>
      </w:pPr>
    </w:p>
    <w:p w14:paraId="504BBD16"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color w:val="000000"/>
          <w:sz w:val="20"/>
        </w:rPr>
        <w:t xml:space="preserve">É importante ter regras e políticas claras sobre a titularidade da PI e, ao mesmo tempo, dispor de políticas adequadas </w:t>
      </w:r>
      <w:r>
        <w:rPr>
          <w:rFonts w:ascii="Arial" w:hAnsi="Arial"/>
          <w:color w:val="000000"/>
          <w:sz w:val="20"/>
          <w:u w:val="single"/>
        </w:rPr>
        <w:t>reconhecendo a contribuição</w:t>
      </w:r>
      <w:r>
        <w:rPr>
          <w:rFonts w:ascii="Arial" w:hAnsi="Arial"/>
          <w:color w:val="000000"/>
          <w:sz w:val="20"/>
        </w:rPr>
        <w:t xml:space="preserve"> dos Criadores e determinar quem deveria </w:t>
      </w:r>
      <w:r>
        <w:rPr>
          <w:rFonts w:ascii="Arial" w:hAnsi="Arial"/>
          <w:color w:val="000000"/>
          <w:sz w:val="20"/>
          <w:u w:val="single"/>
        </w:rPr>
        <w:t>repartir quaisquer benefícios</w:t>
      </w:r>
      <w:r>
        <w:rPr>
          <w:rFonts w:ascii="Arial" w:hAnsi="Arial"/>
          <w:color w:val="000000"/>
          <w:sz w:val="20"/>
        </w:rPr>
        <w:t xml:space="preserve"> resultantes da PI desenvolvida.</w:t>
      </w:r>
    </w:p>
    <w:p w14:paraId="04A1CF23" w14:textId="77777777" w:rsidR="00422745" w:rsidRPr="0024467F" w:rsidRDefault="00422745" w:rsidP="00DD3615">
      <w:pPr>
        <w:pStyle w:val="ListParagraph"/>
        <w:spacing w:after="0" w:line="240" w:lineRule="auto"/>
        <w:ind w:left="0"/>
        <w:jc w:val="both"/>
        <w:rPr>
          <w:rFonts w:ascii="Arial" w:eastAsia="Times New Roman" w:hAnsi="Arial" w:cs="Arial"/>
          <w:sz w:val="20"/>
        </w:rPr>
      </w:pPr>
    </w:p>
    <w:p w14:paraId="4E941288" w14:textId="77777777" w:rsidR="002466A5" w:rsidRPr="00AC7ADD" w:rsidRDefault="00C1731A" w:rsidP="002F3C51">
      <w:pPr>
        <w:pStyle w:val="Heading3"/>
        <w:rPr>
          <w:sz w:val="24"/>
        </w:rPr>
      </w:pPr>
      <w:bookmarkStart w:id="159" w:name="_Article_5.1_–"/>
      <w:bookmarkStart w:id="160" w:name="_Toc516160060"/>
      <w:bookmarkStart w:id="161" w:name="_Toc516219403"/>
      <w:bookmarkStart w:id="162" w:name="_Toc516496045"/>
      <w:bookmarkStart w:id="163" w:name="_Toc516829417"/>
      <w:bookmarkStart w:id="164" w:name="_Toc494115967"/>
      <w:bookmarkEnd w:id="159"/>
      <w:r>
        <w:rPr>
          <w:sz w:val="24"/>
        </w:rPr>
        <w:t>Artigo 5.1 – PI criada por Membros da Equipe</w:t>
      </w:r>
      <w:bookmarkEnd w:id="160"/>
      <w:bookmarkEnd w:id="161"/>
      <w:bookmarkEnd w:id="162"/>
      <w:bookmarkEnd w:id="163"/>
      <w:r>
        <w:rPr>
          <w:sz w:val="24"/>
        </w:rPr>
        <w:t xml:space="preserve"> </w:t>
      </w:r>
      <w:bookmarkEnd w:id="164"/>
    </w:p>
    <w:p w14:paraId="2197DAAD" w14:textId="5F8AC490" w:rsidR="00457084" w:rsidRPr="00AC7ADD" w:rsidRDefault="00457084" w:rsidP="00457084">
      <w:pPr>
        <w:pStyle w:val="ListParagraph"/>
        <w:spacing w:after="0" w:line="240" w:lineRule="auto"/>
        <w:ind w:left="0"/>
        <w:jc w:val="both"/>
        <w:rPr>
          <w:rFonts w:ascii="Arial" w:eastAsia="Times New Roman" w:hAnsi="Arial" w:cs="Arial"/>
          <w:sz w:val="20"/>
        </w:rPr>
      </w:pPr>
      <w:r>
        <w:rPr>
          <w:rFonts w:ascii="Arial" w:hAnsi="Arial"/>
          <w:sz w:val="20"/>
        </w:rPr>
        <w:t>Conforme a Regra 1 acima, as Instituições devem primeiro analisar o regime legal nacional padrão para invenções e produtos criativos dos funcionários</w:t>
      </w:r>
      <w:r w:rsidR="008411EA">
        <w:rPr>
          <w:rFonts w:ascii="Arial" w:hAnsi="Arial"/>
          <w:sz w:val="20"/>
        </w:rPr>
        <w:t xml:space="preserve">. </w:t>
      </w:r>
      <w:r>
        <w:rPr>
          <w:rFonts w:ascii="Arial" w:hAnsi="Arial"/>
          <w:sz w:val="20"/>
        </w:rPr>
        <w:t xml:space="preserve">Quando a legislação estiver ausente ou for omissa, disposições apropriadas podem ser elaboradas na Política de PI institucional. </w:t>
      </w:r>
    </w:p>
    <w:p w14:paraId="59ACEE92" w14:textId="77777777" w:rsidR="003A4C0F" w:rsidRPr="0024467F" w:rsidRDefault="003A4C0F">
      <w:pPr>
        <w:pStyle w:val="ListParagraph"/>
        <w:spacing w:after="0" w:line="240" w:lineRule="auto"/>
        <w:ind w:left="426" w:hanging="426"/>
        <w:jc w:val="both"/>
        <w:rPr>
          <w:rFonts w:ascii="Arial" w:eastAsia="Times New Roman" w:hAnsi="Arial" w:cs="Arial"/>
        </w:rPr>
      </w:pPr>
    </w:p>
    <w:p w14:paraId="5A493B11" w14:textId="77777777" w:rsidR="00C3375C" w:rsidRPr="00AC7ADD" w:rsidRDefault="00C60DE4" w:rsidP="009743BC">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5.1.1 - Titularidade da instituição</w:t>
      </w:r>
    </w:p>
    <w:p w14:paraId="466BE7D2" w14:textId="77777777" w:rsidR="00C3375C" w:rsidRPr="0024467F" w:rsidRDefault="00C3375C" w:rsidP="009743BC">
      <w:pPr>
        <w:pStyle w:val="ListParagraph"/>
        <w:spacing w:after="0" w:line="240" w:lineRule="auto"/>
        <w:ind w:left="0"/>
        <w:jc w:val="both"/>
        <w:rPr>
          <w:rFonts w:ascii="Arial" w:eastAsia="Times New Roman" w:hAnsi="Arial" w:cs="Arial"/>
        </w:rPr>
      </w:pPr>
    </w:p>
    <w:p w14:paraId="34A94BAA" w14:textId="77777777" w:rsidR="00457084" w:rsidRPr="00AC7ADD" w:rsidRDefault="00457084" w:rsidP="009743BC">
      <w:pPr>
        <w:pStyle w:val="ListParagraph"/>
        <w:spacing w:after="0" w:line="240" w:lineRule="auto"/>
        <w:ind w:left="0"/>
        <w:jc w:val="both"/>
        <w:rPr>
          <w:rFonts w:ascii="Arial" w:eastAsia="Times New Roman" w:hAnsi="Arial" w:cs="Arial"/>
          <w:sz w:val="20"/>
        </w:rPr>
      </w:pPr>
      <w:r>
        <w:rPr>
          <w:rFonts w:ascii="Arial" w:hAnsi="Arial"/>
          <w:sz w:val="20"/>
        </w:rPr>
        <w:t xml:space="preserve">O Artigo 5.1.1 atribui a titularidade da PI à Instituição, onde a PI foi gerada pelos Membros da Equipe </w:t>
      </w:r>
      <w:r>
        <w:rPr>
          <w:rFonts w:ascii="Arial" w:hAnsi="Arial"/>
          <w:i/>
          <w:sz w:val="20"/>
        </w:rPr>
        <w:t xml:space="preserve">no decurso do emprego </w:t>
      </w:r>
      <w:r>
        <w:rPr>
          <w:rFonts w:ascii="Arial" w:hAnsi="Arial"/>
          <w:i/>
          <w:sz w:val="20"/>
          <w:u w:val="single"/>
        </w:rPr>
        <w:t>OU</w:t>
      </w:r>
      <w:r>
        <w:rPr>
          <w:rFonts w:ascii="Arial" w:hAnsi="Arial"/>
          <w:i/>
          <w:sz w:val="20"/>
        </w:rPr>
        <w:t xml:space="preserve"> fazendo Uso Substancial:  </w:t>
      </w:r>
    </w:p>
    <w:p w14:paraId="5DC89392" w14:textId="77777777" w:rsidR="00457084" w:rsidRPr="0024467F" w:rsidRDefault="00457084" w:rsidP="009743BC">
      <w:pPr>
        <w:pStyle w:val="ListParagraph"/>
        <w:spacing w:after="0" w:line="240" w:lineRule="auto"/>
        <w:ind w:left="0"/>
        <w:jc w:val="both"/>
        <w:rPr>
          <w:rFonts w:ascii="Arial" w:eastAsia="Times New Roman" w:hAnsi="Arial" w:cs="Arial"/>
          <w:sz w:val="20"/>
        </w:rPr>
      </w:pPr>
    </w:p>
    <w:p w14:paraId="72D22792" w14:textId="59EAD0DF" w:rsidR="00457084" w:rsidRPr="00AC7ADD" w:rsidRDefault="00457084" w:rsidP="00464282">
      <w:pPr>
        <w:pStyle w:val="ListParagraph"/>
        <w:numPr>
          <w:ilvl w:val="0"/>
          <w:numId w:val="3"/>
        </w:numPr>
        <w:spacing w:after="0" w:line="240" w:lineRule="auto"/>
        <w:ind w:left="426" w:hanging="426"/>
        <w:jc w:val="both"/>
        <w:rPr>
          <w:rFonts w:ascii="Arial" w:eastAsia="Times New Roman" w:hAnsi="Arial" w:cs="Arial"/>
          <w:sz w:val="20"/>
        </w:rPr>
      </w:pPr>
      <w:r>
        <w:rPr>
          <w:rFonts w:ascii="Arial" w:hAnsi="Arial"/>
          <w:b/>
          <w:sz w:val="20"/>
        </w:rPr>
        <w:t xml:space="preserve">Artigo 5.1.1 (a), </w:t>
      </w:r>
      <w:r>
        <w:rPr>
          <w:rFonts w:ascii="Arial" w:hAnsi="Arial"/>
          <w:b/>
          <w:i/>
          <w:sz w:val="20"/>
        </w:rPr>
        <w:t>no decurso e escopo de seu emprego</w:t>
      </w:r>
      <w:r>
        <w:rPr>
          <w:rFonts w:ascii="Arial" w:hAnsi="Arial"/>
          <w:i/>
          <w:sz w:val="20"/>
        </w:rPr>
        <w:t>:</w:t>
      </w:r>
      <w:r>
        <w:rPr>
          <w:rFonts w:ascii="Arial" w:hAnsi="Arial"/>
          <w:sz w:val="20"/>
        </w:rPr>
        <w:t xml:space="preserve"> Se um Membro da Equipe criar “</w:t>
      </w:r>
      <w:r>
        <w:rPr>
          <w:rFonts w:ascii="Arial" w:hAnsi="Arial"/>
          <w:i/>
          <w:sz w:val="20"/>
        </w:rPr>
        <w:t>no decurso e escopo de seu emprego</w:t>
      </w:r>
      <w:r>
        <w:rPr>
          <w:rFonts w:ascii="Arial" w:hAnsi="Arial"/>
          <w:sz w:val="20"/>
        </w:rPr>
        <w:t>” é justo e razoável que a Instituição seja titular da PI resultante</w:t>
      </w:r>
      <w:r w:rsidR="008411EA">
        <w:rPr>
          <w:rFonts w:ascii="Arial" w:hAnsi="Arial"/>
          <w:sz w:val="20"/>
        </w:rPr>
        <w:t xml:space="preserve">. </w:t>
      </w:r>
      <w:r>
        <w:rPr>
          <w:rFonts w:ascii="Arial" w:hAnsi="Arial"/>
          <w:sz w:val="20"/>
        </w:rPr>
        <w:t>Entretanto, se a PI for criada ou desenvolvida fora do decurso e escopo do emprego, a Instituição não terá automaticamente direito à titularidade dessa PI. Isso reflete o regime geral padrão adotado pela maioria dos países para invenções criadas por funcionários.</w:t>
      </w:r>
    </w:p>
    <w:p w14:paraId="0344FC96" w14:textId="77777777" w:rsidR="00457084" w:rsidRPr="0024467F" w:rsidRDefault="00457084" w:rsidP="00457084">
      <w:pPr>
        <w:spacing w:after="0" w:line="240" w:lineRule="auto"/>
        <w:jc w:val="both"/>
        <w:rPr>
          <w:rFonts w:ascii="Arial" w:eastAsia="Times New Roman" w:hAnsi="Arial" w:cs="Arial"/>
          <w:sz w:val="20"/>
        </w:rPr>
      </w:pPr>
    </w:p>
    <w:p w14:paraId="089AB361" w14:textId="77777777" w:rsidR="00457084" w:rsidRPr="00AC7ADD" w:rsidRDefault="00457084" w:rsidP="00457084">
      <w:pPr>
        <w:pStyle w:val="ListParagraph"/>
        <w:spacing w:line="240" w:lineRule="auto"/>
        <w:ind w:left="426"/>
        <w:jc w:val="both"/>
        <w:rPr>
          <w:rFonts w:ascii="Arial" w:hAnsi="Arial" w:cs="Arial"/>
          <w:sz w:val="20"/>
        </w:rPr>
      </w:pPr>
      <w:r>
        <w:rPr>
          <w:rFonts w:ascii="Arial" w:hAnsi="Arial"/>
          <w:sz w:val="20"/>
        </w:rPr>
        <w:t>Determinar se a PI é criada durante o decurso e escopo do emprego é uma questão de fato e, portanto, vários testes foram desenvolvidos para auxiliar nessa determinação.</w:t>
      </w:r>
      <w:r w:rsidRPr="00AC7ADD">
        <w:rPr>
          <w:rStyle w:val="FootnoteReference"/>
          <w:rFonts w:ascii="Arial" w:eastAsia="Times New Roman" w:hAnsi="Arial" w:cs="Arial"/>
          <w:sz w:val="20"/>
          <w:lang w:val="en-US"/>
        </w:rPr>
        <w:footnoteReference w:id="112"/>
      </w:r>
      <w:r>
        <w:rPr>
          <w:rFonts w:ascii="Arial" w:hAnsi="Arial"/>
          <w:sz w:val="20"/>
        </w:rPr>
        <w:t xml:space="preserve"> Em algumas jurisdições, foi considerado que o “decurso” do emprego/deveres é simplesmente o que o funcionário foi contratado para fazer.</w:t>
      </w:r>
      <w:r w:rsidRPr="00AC7ADD">
        <w:rPr>
          <w:rStyle w:val="FootnoteReference"/>
          <w:rFonts w:ascii="Arial" w:eastAsia="Times New Roman" w:hAnsi="Arial" w:cs="Arial"/>
          <w:sz w:val="20"/>
          <w:lang w:val="en-US"/>
        </w:rPr>
        <w:footnoteReference w:id="113"/>
      </w:r>
      <w:r>
        <w:rPr>
          <w:rFonts w:ascii="Arial" w:hAnsi="Arial"/>
          <w:sz w:val="20"/>
        </w:rPr>
        <w:t xml:space="preserve"> Em  </w:t>
      </w:r>
      <w:r>
        <w:rPr>
          <w:rFonts w:ascii="Arial" w:hAnsi="Arial"/>
          <w:i/>
          <w:sz w:val="20"/>
        </w:rPr>
        <w:t>King versus Serviço Meteorológico da África do Sul</w:t>
      </w:r>
      <w:r w:rsidRPr="00AC7ADD">
        <w:rPr>
          <w:rStyle w:val="FootnoteReference"/>
          <w:rFonts w:ascii="Arial" w:eastAsia="Times New Roman" w:hAnsi="Arial" w:cs="Arial"/>
          <w:i/>
          <w:sz w:val="20"/>
          <w:lang w:val="en-US"/>
        </w:rPr>
        <w:footnoteReference w:id="114"/>
      </w:r>
      <w:r>
        <w:rPr>
          <w:rFonts w:ascii="Arial" w:hAnsi="Arial"/>
          <w:sz w:val="20"/>
        </w:rPr>
        <w:t xml:space="preserve"> a titularidade dos direitos autorais de um programa de computador estava em questão. O tribunal observou que a frase “no decurso do emprego” é um conceito comum na lei trabalhista (anteriormente conhecida como lei do patrão e do empregado). O tribunal observou que se uma obra foi ou não criada no decurso do emprego do empregado continua sendo, em grande parte, </w:t>
      </w:r>
      <w:r>
        <w:rPr>
          <w:rFonts w:ascii="Arial" w:hAnsi="Arial"/>
          <w:sz w:val="20"/>
        </w:rPr>
        <w:lastRenderedPageBreak/>
        <w:t xml:space="preserve">uma questão factual que depende não apenas dos termos do contrato de trabalho, mas também das circunstâncias específicas nas quais a obra em questão foi criada. </w:t>
      </w:r>
    </w:p>
    <w:p w14:paraId="31E03C26" w14:textId="77777777" w:rsidR="00457084" w:rsidRPr="00AC7ADD" w:rsidRDefault="00457084" w:rsidP="00457084">
      <w:pPr>
        <w:spacing w:after="0" w:line="240" w:lineRule="auto"/>
        <w:ind w:left="426"/>
        <w:jc w:val="both"/>
        <w:rPr>
          <w:rFonts w:ascii="Arial" w:eastAsia="Times New Roman" w:hAnsi="Arial" w:cs="Arial"/>
          <w:sz w:val="20"/>
        </w:rPr>
      </w:pPr>
      <w:r>
        <w:rPr>
          <w:rFonts w:ascii="Arial" w:hAnsi="Arial"/>
          <w:sz w:val="20"/>
        </w:rPr>
        <w:t>Observe também que algumas instituições usam “decurso e escopo” em vez de “decurso”.</w:t>
      </w:r>
      <w:r w:rsidRPr="00AC7ADD">
        <w:rPr>
          <w:rStyle w:val="FootnoteReference"/>
          <w:rFonts w:ascii="Arial" w:eastAsia="Times New Roman" w:hAnsi="Arial" w:cs="Arial"/>
          <w:sz w:val="20"/>
          <w:lang w:val="en-US"/>
        </w:rPr>
        <w:footnoteReference w:id="115"/>
      </w:r>
      <w:r>
        <w:rPr>
          <w:rFonts w:ascii="Arial" w:hAnsi="Arial"/>
          <w:sz w:val="20"/>
        </w:rPr>
        <w:t xml:space="preserve"> A lei nacional determinará o termo a ser usado. </w:t>
      </w:r>
    </w:p>
    <w:p w14:paraId="02705936" w14:textId="77777777" w:rsidR="00653E56" w:rsidRPr="00AC7ADD" w:rsidRDefault="00653E56" w:rsidP="00734F31">
      <w:pPr>
        <w:pStyle w:val="ListParagraph"/>
        <w:spacing w:after="0" w:line="240" w:lineRule="auto"/>
        <w:ind w:left="851"/>
        <w:jc w:val="both"/>
        <w:rPr>
          <w:rFonts w:ascii="Arial" w:eastAsia="Times New Roman" w:hAnsi="Arial" w:cs="Arial"/>
          <w:sz w:val="20"/>
          <w:lang w:val="en-US"/>
        </w:rPr>
      </w:pPr>
    </w:p>
    <w:p w14:paraId="2B1B27ED" w14:textId="205BEEA1" w:rsidR="00457084" w:rsidRPr="00AC7ADD" w:rsidRDefault="00457084" w:rsidP="00464282">
      <w:pPr>
        <w:pStyle w:val="ListParagraph"/>
        <w:numPr>
          <w:ilvl w:val="1"/>
          <w:numId w:val="3"/>
        </w:numPr>
        <w:spacing w:after="0" w:line="240" w:lineRule="auto"/>
        <w:ind w:left="426" w:hanging="426"/>
        <w:jc w:val="both"/>
        <w:rPr>
          <w:rFonts w:ascii="Arial" w:hAnsi="Arial" w:cs="Arial"/>
          <w:b/>
          <w:sz w:val="20"/>
          <w:szCs w:val="32"/>
        </w:rPr>
      </w:pPr>
      <w:r>
        <w:rPr>
          <w:rFonts w:ascii="Arial" w:hAnsi="Arial"/>
          <w:b/>
          <w:sz w:val="20"/>
        </w:rPr>
        <w:t xml:space="preserve">Artigo 5.1.1 (b), </w:t>
      </w:r>
      <w:r>
        <w:rPr>
          <w:rFonts w:ascii="Arial" w:hAnsi="Arial"/>
          <w:b/>
          <w:i/>
          <w:sz w:val="20"/>
        </w:rPr>
        <w:t>Uso Substancial</w:t>
      </w:r>
      <w:r>
        <w:rPr>
          <w:rFonts w:ascii="Arial" w:hAnsi="Arial"/>
          <w:i/>
          <w:sz w:val="20"/>
        </w:rPr>
        <w:t>:</w:t>
      </w:r>
      <w:r>
        <w:rPr>
          <w:rFonts w:ascii="Arial" w:hAnsi="Arial"/>
          <w:sz w:val="20"/>
        </w:rPr>
        <w:t xml:space="preserve"> O raciocínio subjacente é que o produto do trabalho realizado por indivíduos empregados pela Instituição com uso substancial dos recursos da Instituição (salário, instalações, conhecimento e outros recursos) constitui PI que deve ser de titularidade, protegida e usada pela Instituição. </w:t>
      </w:r>
    </w:p>
    <w:p w14:paraId="4BD76CE1" w14:textId="77777777" w:rsidR="00457084" w:rsidRPr="0024467F" w:rsidRDefault="00457084" w:rsidP="00457084">
      <w:pPr>
        <w:spacing w:after="0" w:line="240" w:lineRule="auto"/>
        <w:jc w:val="both"/>
        <w:rPr>
          <w:rFonts w:ascii="Arial" w:hAnsi="Arial" w:cs="Arial"/>
          <w:b/>
          <w:sz w:val="20"/>
          <w:szCs w:val="32"/>
        </w:rPr>
      </w:pPr>
    </w:p>
    <w:p w14:paraId="2278C84C" w14:textId="77777777"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rPr>
      </w:pPr>
      <w:r>
        <w:rPr>
          <w:rFonts w:ascii="Arial" w:hAnsi="Arial"/>
          <w:sz w:val="20"/>
        </w:rPr>
        <w:t>É necessária clareza na compreensão do termo “recursos” e “uso substancial”.</w:t>
      </w:r>
    </w:p>
    <w:p w14:paraId="0EA8D199" w14:textId="77777777" w:rsidR="00457084" w:rsidRPr="0024467F"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rPr>
      </w:pPr>
    </w:p>
    <w:p w14:paraId="7D7D80B8"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w:t>
      </w:r>
      <w:r>
        <w:rPr>
          <w:rFonts w:ascii="Arial" w:hAnsi="Arial"/>
          <w:b/>
          <w:sz w:val="20"/>
        </w:rPr>
        <w:t>Recursos</w:t>
      </w:r>
      <w:r>
        <w:rPr>
          <w:rFonts w:ascii="Arial" w:hAnsi="Arial"/>
          <w:sz w:val="20"/>
        </w:rPr>
        <w:t xml:space="preserve">” geralmente se referem às (i) instalações da Instituição (prédios, laboratórios de pesquisa, equipamentos, centros de informática do campus); tais instalações normalmente não incluem bibliotecas da Instituição; (ii) recursos humanos (pessoal); ou (iii) finaciamentos (subsídios, contratos ou outro suporte fornecido pela Instituição ou patrocinadores externos). </w:t>
      </w:r>
    </w:p>
    <w:p w14:paraId="52BFFE24"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w:t>
      </w:r>
      <w:r>
        <w:rPr>
          <w:rFonts w:ascii="Arial" w:hAnsi="Arial"/>
          <w:b/>
          <w:sz w:val="20"/>
        </w:rPr>
        <w:t>Uso substancial</w:t>
      </w:r>
      <w:r>
        <w:rPr>
          <w:rFonts w:ascii="Arial" w:hAnsi="Arial"/>
          <w:sz w:val="20"/>
        </w:rPr>
        <w:t xml:space="preserve">”  (também chamado de “Uso Significativo”) significa que o uso desses Recursos deve ser importante para a criação da PI. </w:t>
      </w:r>
    </w:p>
    <w:p w14:paraId="2A85891D" w14:textId="77777777" w:rsidR="00457084" w:rsidRPr="0024467F" w:rsidRDefault="00457084" w:rsidP="00457084">
      <w:pPr>
        <w:tabs>
          <w:tab w:val="left" w:pos="993"/>
        </w:tabs>
        <w:spacing w:after="0" w:line="240" w:lineRule="auto"/>
        <w:ind w:left="426"/>
        <w:jc w:val="both"/>
        <w:rPr>
          <w:rFonts w:ascii="Arial" w:eastAsia="Times New Roman" w:hAnsi="Arial" w:cs="Arial"/>
          <w:sz w:val="20"/>
          <w:szCs w:val="20"/>
        </w:rPr>
      </w:pPr>
    </w:p>
    <w:p w14:paraId="5FE9F5CD"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Algumas políticas incluem medidas específicas, definindo um piso de custo – por exemplo “</w:t>
      </w:r>
      <w:r>
        <w:rPr>
          <w:rFonts w:ascii="Arial" w:hAnsi="Arial"/>
          <w:i/>
          <w:sz w:val="20"/>
        </w:rPr>
        <w:t>o uso é considerado substancial se os recursos empregados custassem ao professor [X dólares] se fossem pagos do próprio bolso</w:t>
      </w:r>
      <w:r>
        <w:rPr>
          <w:rFonts w:ascii="Arial" w:hAnsi="Arial"/>
          <w:sz w:val="20"/>
        </w:rPr>
        <w:t>”.</w:t>
      </w:r>
    </w:p>
    <w:p w14:paraId="2D879244" w14:textId="77777777" w:rsidR="00457084" w:rsidRPr="0024467F" w:rsidRDefault="00457084" w:rsidP="00457084">
      <w:pPr>
        <w:tabs>
          <w:tab w:val="left" w:pos="993"/>
        </w:tabs>
        <w:spacing w:after="0" w:line="240" w:lineRule="auto"/>
        <w:ind w:left="426"/>
        <w:jc w:val="both"/>
        <w:rPr>
          <w:rFonts w:ascii="Arial" w:eastAsia="Times New Roman" w:hAnsi="Arial" w:cs="Arial"/>
          <w:sz w:val="20"/>
          <w:szCs w:val="20"/>
        </w:rPr>
      </w:pPr>
    </w:p>
    <w:p w14:paraId="4502F78B"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Em alguns países, a supervisão também pode constituir Uso Substancial.</w:t>
      </w:r>
    </w:p>
    <w:p w14:paraId="1DDF7C38" w14:textId="77777777" w:rsidR="00457084" w:rsidRPr="0024467F" w:rsidRDefault="00457084" w:rsidP="00457084">
      <w:pPr>
        <w:tabs>
          <w:tab w:val="left" w:pos="993"/>
        </w:tabs>
        <w:spacing w:after="0" w:line="240" w:lineRule="auto"/>
        <w:ind w:left="426"/>
        <w:jc w:val="both"/>
        <w:rPr>
          <w:rFonts w:ascii="Arial" w:eastAsia="Times New Roman" w:hAnsi="Arial" w:cs="Arial"/>
          <w:sz w:val="20"/>
          <w:szCs w:val="20"/>
        </w:rPr>
      </w:pPr>
    </w:p>
    <w:p w14:paraId="21AD3953"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 xml:space="preserve">Recomenda-se também definir o que </w:t>
      </w:r>
      <w:r>
        <w:rPr>
          <w:rFonts w:ascii="Arial" w:hAnsi="Arial"/>
          <w:i/>
          <w:iCs/>
          <w:sz w:val="20"/>
        </w:rPr>
        <w:t>não</w:t>
      </w:r>
      <w:r>
        <w:rPr>
          <w:rFonts w:ascii="Arial" w:hAnsi="Arial"/>
          <w:sz w:val="20"/>
        </w:rPr>
        <w:t xml:space="preserve"> é considerado Uso Substancial. Por exemplo, (i) uso incidental das instalações ou recursos da Instituição (por exemplo, uso ocasional de equipamentos de escritório e funcionários de escritório); (ii) uso extensivo de uma instalação comumente disponível a todos os Membros da Equipe, Alunos ou Visitantes (por exemplo, instalações de biblioteca, instalações disponíveis ao público em geral e funcionários administrativos); (iv) se o criador da PI compensa a Instituição pelo valor justo de mercado das instalações e equipamentos (conforme realmente cobrado pela Instituição a usuários externos)</w:t>
      </w:r>
      <w:r w:rsidRPr="00AC7ADD">
        <w:rPr>
          <w:rStyle w:val="FootnoteReference"/>
          <w:rFonts w:ascii="Arial" w:eastAsia="Times New Roman" w:hAnsi="Arial" w:cs="Arial"/>
          <w:sz w:val="20"/>
          <w:szCs w:val="20"/>
          <w:lang w:val="en-US"/>
        </w:rPr>
        <w:footnoteReference w:id="116"/>
      </w:r>
      <w:r>
        <w:rPr>
          <w:rFonts w:ascii="Arial" w:hAnsi="Arial"/>
          <w:sz w:val="20"/>
        </w:rPr>
        <w:t xml:space="preserve"> antes que o uso de tais instalações e equipamentos se torne substancial; e/ou (v) o Criador não está usando o tempo comprometido da Instituição porque as atividades são permitidas em termos de “Consultoria Individual e Atividades Externas” (as Instituições são aconselhadas a ter uma política sobre Consultoria Individual e Atividades Externas).</w:t>
      </w:r>
    </w:p>
    <w:p w14:paraId="0D7CFBD9" w14:textId="77777777" w:rsidR="00913537" w:rsidRPr="0024467F" w:rsidRDefault="00913537" w:rsidP="00734F31">
      <w:pPr>
        <w:spacing w:after="0" w:line="240" w:lineRule="auto"/>
        <w:jc w:val="both"/>
        <w:rPr>
          <w:rFonts w:ascii="Arial" w:hAnsi="Arial" w:cs="Arial"/>
          <w:b/>
          <w:szCs w:val="32"/>
        </w:rPr>
      </w:pPr>
    </w:p>
    <w:p w14:paraId="0ED66D61" w14:textId="01DE5462"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32"/>
        </w:rPr>
      </w:pPr>
      <w:r>
        <w:rPr>
          <w:rFonts w:ascii="Arial" w:hAnsi="Arial"/>
          <w:b/>
          <w:sz w:val="20"/>
        </w:rPr>
        <w:t xml:space="preserve">Caixa </w:t>
      </w:r>
      <w:r w:rsidRPr="00AC7ADD">
        <w:rPr>
          <w:rFonts w:ascii="Arial" w:hAnsi="Arial" w:cs="Arial"/>
          <w:sz w:val="20"/>
        </w:rPr>
        <w:fldChar w:fldCharType="begin"/>
      </w:r>
      <w:r w:rsidRPr="00AC7ADD">
        <w:rPr>
          <w:rFonts w:ascii="Arial" w:hAnsi="Arial" w:cs="Arial"/>
          <w:b/>
          <w:sz w:val="20"/>
        </w:rPr>
        <w:instrText xml:space="preserve"> AUTONUM  \* Arabic </w:instrText>
      </w:r>
      <w:r w:rsidRPr="00AC7ADD">
        <w:rPr>
          <w:rFonts w:ascii="Arial" w:hAnsi="Arial" w:cs="Arial"/>
          <w:sz w:val="20"/>
        </w:rPr>
        <w:fldChar w:fldCharType="end"/>
      </w:r>
      <w:r>
        <w:rPr>
          <w:rFonts w:ascii="Arial" w:hAnsi="Arial"/>
          <w:b/>
          <w:sz w:val="20"/>
        </w:rPr>
        <w:t xml:space="preserve"> Definição de Uso Substancial - Bowdoin College (Estados Unidos)</w:t>
      </w:r>
      <w:r w:rsidRPr="00AC7ADD">
        <w:rPr>
          <w:rStyle w:val="FootnoteReference"/>
          <w:rFonts w:ascii="Arial" w:hAnsi="Arial" w:cs="Arial"/>
          <w:b/>
          <w:sz w:val="20"/>
          <w:szCs w:val="32"/>
          <w:lang w:val="en-US"/>
        </w:rPr>
        <w:footnoteReference w:id="117"/>
      </w:r>
    </w:p>
    <w:p w14:paraId="532EE8E5" w14:textId="77777777" w:rsidR="0034402A" w:rsidRPr="0024467F"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Cs w:val="32"/>
        </w:rPr>
      </w:pPr>
    </w:p>
    <w:p w14:paraId="49A97E0B" w14:textId="61B27E11"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32"/>
        </w:rPr>
      </w:pPr>
      <w:r>
        <w:rPr>
          <w:rFonts w:ascii="Arial" w:hAnsi="Arial"/>
          <w:i/>
          <w:sz w:val="20"/>
        </w:rPr>
        <w:t>(iii) “Uso substancial dos recursos da Faculdade” significa que a Faculdade forneceu suporte com recursos de um grau ou natureza não rotineiramente disponibilizados a todos os professores e inclui suporte especial, seja na forma de financiamento, ou no uso de instalações ou pessoal</w:t>
      </w:r>
      <w:r w:rsidR="008411EA">
        <w:rPr>
          <w:rFonts w:ascii="Arial" w:hAnsi="Arial"/>
          <w:i/>
          <w:sz w:val="20"/>
        </w:rPr>
        <w:t xml:space="preserve">. </w:t>
      </w:r>
      <w:r>
        <w:rPr>
          <w:rFonts w:ascii="Arial" w:hAnsi="Arial"/>
          <w:i/>
          <w:sz w:val="20"/>
        </w:rPr>
        <w:t>Por exemplo, o fornecimento de um espaço de laboratório, estúdio, amplo equipamento dedicado ao uso de um membro da faculdade ou suporte de TI estendido de um membro da equipe envolve o uso substancial de recursos da Faculdade</w:t>
      </w:r>
      <w:r w:rsidR="008411EA">
        <w:rPr>
          <w:rFonts w:ascii="Arial" w:hAnsi="Arial"/>
          <w:i/>
          <w:sz w:val="20"/>
        </w:rPr>
        <w:t xml:space="preserve">. </w:t>
      </w:r>
      <w:r>
        <w:rPr>
          <w:rFonts w:ascii="Arial" w:hAnsi="Arial"/>
          <w:i/>
          <w:sz w:val="20"/>
        </w:rPr>
        <w:t>Entretanto, o uso comum de computadores de mesa, bibliotecas da Faculdade e recursos administrativos ou de secretaria limitados, incluindo suporte de rotina do departamento de TI da Faculdade e fornecimento de escritórios, não constitui uso substancial dos recursos da faculdade</w:t>
      </w:r>
      <w:r w:rsidR="008411EA">
        <w:rPr>
          <w:rFonts w:ascii="Arial" w:hAnsi="Arial"/>
          <w:i/>
          <w:sz w:val="20"/>
        </w:rPr>
        <w:t xml:space="preserve">. </w:t>
      </w:r>
      <w:r>
        <w:rPr>
          <w:rFonts w:ascii="Arial" w:hAnsi="Arial"/>
          <w:i/>
          <w:sz w:val="20"/>
        </w:rPr>
        <w:t>Além disso, o financiamento da Faculdade para licenças sabáticas e o financiamento fornecido pelo Comitê de Recursos da Faculdade não são considerados uso substancial dos recursos da Faculdade.</w:t>
      </w:r>
    </w:p>
    <w:p w14:paraId="06555892" w14:textId="77777777" w:rsidR="0034402A" w:rsidRPr="0024467F" w:rsidRDefault="0034402A" w:rsidP="0034402A">
      <w:pPr>
        <w:pStyle w:val="ListParagraph"/>
        <w:spacing w:line="240" w:lineRule="auto"/>
        <w:ind w:left="0"/>
        <w:jc w:val="both"/>
        <w:rPr>
          <w:rFonts w:ascii="Arial" w:hAnsi="Arial" w:cs="Arial"/>
          <w:szCs w:val="32"/>
        </w:rPr>
      </w:pPr>
    </w:p>
    <w:p w14:paraId="13339416" w14:textId="4957E86D" w:rsidR="008648D5" w:rsidRPr="00AC7ADD" w:rsidRDefault="008648D5" w:rsidP="00464282">
      <w:pPr>
        <w:pStyle w:val="ListParagraph"/>
        <w:numPr>
          <w:ilvl w:val="0"/>
          <w:numId w:val="3"/>
        </w:numPr>
        <w:spacing w:after="0" w:line="240" w:lineRule="auto"/>
        <w:ind w:left="426" w:hanging="426"/>
        <w:jc w:val="both"/>
        <w:rPr>
          <w:rFonts w:ascii="Arial" w:hAnsi="Arial" w:cs="Arial"/>
          <w:sz w:val="20"/>
          <w:szCs w:val="20"/>
        </w:rPr>
      </w:pPr>
      <w:r>
        <w:rPr>
          <w:rFonts w:ascii="Arial" w:hAnsi="Arial"/>
          <w:b/>
          <w:sz w:val="20"/>
        </w:rPr>
        <w:lastRenderedPageBreak/>
        <w:t xml:space="preserve">Artigo 5.1.1, </w:t>
      </w:r>
      <w:r>
        <w:rPr>
          <w:rFonts w:ascii="Arial" w:hAnsi="Arial"/>
          <w:b/>
          <w:i/>
          <w:sz w:val="20"/>
        </w:rPr>
        <w:t xml:space="preserve">no decurso do emprego </w:t>
      </w:r>
      <w:r>
        <w:rPr>
          <w:rFonts w:ascii="Arial" w:hAnsi="Arial"/>
          <w:b/>
          <w:i/>
          <w:sz w:val="20"/>
          <w:u w:val="single"/>
        </w:rPr>
        <w:t>ou</w:t>
      </w:r>
      <w:r>
        <w:rPr>
          <w:rFonts w:ascii="Arial" w:hAnsi="Arial"/>
          <w:b/>
          <w:i/>
          <w:sz w:val="20"/>
        </w:rPr>
        <w:t xml:space="preserve"> fazendo Uso Substancial</w:t>
      </w:r>
      <w:r w:rsidRPr="0034635B">
        <w:rPr>
          <w:rFonts w:ascii="Arial" w:hAnsi="Arial"/>
          <w:bCs/>
          <w:iCs/>
          <w:sz w:val="20"/>
        </w:rPr>
        <w:t xml:space="preserve">: </w:t>
      </w:r>
      <w:r>
        <w:rPr>
          <w:rFonts w:ascii="Arial" w:hAnsi="Arial"/>
          <w:sz w:val="20"/>
        </w:rPr>
        <w:t>Isso significa que a titularidade é transferida para a Instituição assim que houver Uso Substancial de recursos, mesmo que a PI tenha sido feita fora das funções. Muitas instituições aceitaram este “envelope de direitos de titularidade” circunscrito pelo “Uso Substancial de recursos ou instalações”. Esteja ciente de que algumas disposições da legislação nacional tratam de obras criadas fora do contexto laboral</w:t>
      </w:r>
      <w:r w:rsidR="008411EA">
        <w:rPr>
          <w:rFonts w:ascii="Arial" w:hAnsi="Arial"/>
          <w:sz w:val="20"/>
        </w:rPr>
        <w:t xml:space="preserve">. </w:t>
      </w:r>
      <w:r>
        <w:rPr>
          <w:rFonts w:ascii="Arial" w:hAnsi="Arial"/>
          <w:sz w:val="20"/>
        </w:rPr>
        <w:t>Uma disposição em uma Política de PI que seja contrária a tal lei será nula e sem efeito.</w:t>
      </w:r>
      <w:r w:rsidRPr="00AC7ADD">
        <w:rPr>
          <w:rFonts w:ascii="Arial" w:hAnsi="Arial" w:cs="Arial"/>
          <w:sz w:val="20"/>
          <w:szCs w:val="20"/>
          <w:vertAlign w:val="superscript"/>
          <w:lang w:val="en-US"/>
        </w:rPr>
        <w:footnoteReference w:id="118"/>
      </w:r>
      <w:r>
        <w:rPr>
          <w:rFonts w:ascii="Arial" w:hAnsi="Arial"/>
          <w:sz w:val="20"/>
        </w:rPr>
        <w:t xml:space="preserve"> Outras criam uma posição padrão que pode ser modificada pelas Instituições por meio de sua Política de PI e/ou por meio de contratos individuais.</w:t>
      </w:r>
    </w:p>
    <w:p w14:paraId="3CC4C890" w14:textId="77777777" w:rsidR="008648D5" w:rsidRPr="0024467F" w:rsidRDefault="008648D5" w:rsidP="008648D5">
      <w:pPr>
        <w:pStyle w:val="ListParagraph"/>
        <w:spacing w:after="0" w:line="240" w:lineRule="auto"/>
        <w:ind w:left="851"/>
        <w:jc w:val="both"/>
        <w:rPr>
          <w:rFonts w:ascii="Arial" w:eastAsia="Times New Roman" w:hAnsi="Arial" w:cs="Arial"/>
          <w:color w:val="000000"/>
          <w:szCs w:val="20"/>
        </w:rPr>
      </w:pPr>
    </w:p>
    <w:p w14:paraId="644F1B78" w14:textId="77777777" w:rsidR="00C3375C"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5.1.2 - Titularidade dos Membros da Equipe</w:t>
      </w:r>
    </w:p>
    <w:p w14:paraId="49DDBEA8" w14:textId="77777777" w:rsidR="003A76D9" w:rsidRPr="0024467F" w:rsidRDefault="003A76D9" w:rsidP="00B7519E">
      <w:pPr>
        <w:pStyle w:val="ListParagraph"/>
        <w:spacing w:after="0" w:line="240" w:lineRule="auto"/>
        <w:ind w:left="0"/>
        <w:jc w:val="both"/>
        <w:rPr>
          <w:rFonts w:ascii="Arial" w:eastAsia="Times New Roman" w:hAnsi="Arial" w:cs="Arial"/>
          <w:b/>
          <w:color w:val="0070C0"/>
        </w:rPr>
      </w:pPr>
    </w:p>
    <w:p w14:paraId="5AE81ABB" w14:textId="4C7C799D"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sz w:val="20"/>
        </w:rPr>
      </w:pPr>
      <w:r>
        <w:rPr>
          <w:rFonts w:ascii="Arial" w:hAnsi="Arial"/>
          <w:b/>
          <w:sz w:val="20"/>
        </w:rPr>
        <w:t>Artigo 5.1.2, fora do decurso</w:t>
      </w:r>
      <w:r>
        <w:rPr>
          <w:rFonts w:ascii="Arial" w:hAnsi="Arial"/>
          <w:b/>
          <w:i/>
          <w:sz w:val="20"/>
        </w:rPr>
        <w:t xml:space="preserve"> do emprego </w:t>
      </w:r>
      <w:r>
        <w:rPr>
          <w:rFonts w:ascii="Arial" w:hAnsi="Arial"/>
          <w:b/>
          <w:i/>
          <w:sz w:val="20"/>
          <w:u w:val="single"/>
        </w:rPr>
        <w:t>ou</w:t>
      </w:r>
      <w:r>
        <w:rPr>
          <w:rFonts w:ascii="Arial" w:hAnsi="Arial"/>
          <w:b/>
          <w:i/>
          <w:sz w:val="20"/>
        </w:rPr>
        <w:t xml:space="preserve"> sem Uso Substancial</w:t>
      </w:r>
      <w:r w:rsidRPr="0034635B">
        <w:rPr>
          <w:rFonts w:ascii="Arial" w:hAnsi="Arial"/>
          <w:bCs/>
          <w:iCs/>
          <w:sz w:val="20"/>
        </w:rPr>
        <w:t xml:space="preserve">: </w:t>
      </w:r>
      <w:r>
        <w:rPr>
          <w:rFonts w:ascii="Arial" w:hAnsi="Arial"/>
          <w:sz w:val="20"/>
        </w:rPr>
        <w:t>A titularidade da PI criada por um funcionário que ocorra fora do decurso do emprego e sem Uso Substancial de recursos ou instalações da Instituição é atribuída ao funcionário</w:t>
      </w:r>
      <w:r w:rsidR="008411EA">
        <w:rPr>
          <w:rFonts w:ascii="Arial" w:hAnsi="Arial"/>
          <w:sz w:val="20"/>
        </w:rPr>
        <w:t xml:space="preserve">. </w:t>
      </w:r>
      <w:r>
        <w:rPr>
          <w:rFonts w:ascii="Arial" w:hAnsi="Arial"/>
          <w:sz w:val="20"/>
        </w:rPr>
        <w:t xml:space="preserve">Note-se mais uma vez que algumas disposições da legislação nacional tratam de obras criadas fora do contexto laboral. </w:t>
      </w:r>
    </w:p>
    <w:p w14:paraId="155660C3" w14:textId="77777777" w:rsidR="008648D5" w:rsidRPr="00AC7ADD" w:rsidRDefault="008648D5" w:rsidP="009479F6">
      <w:pPr>
        <w:pStyle w:val="ListParagraph"/>
        <w:tabs>
          <w:tab w:val="left" w:pos="426"/>
        </w:tabs>
        <w:spacing w:after="0" w:line="240" w:lineRule="auto"/>
        <w:ind w:left="426" w:hanging="426"/>
        <w:jc w:val="both"/>
        <w:rPr>
          <w:rFonts w:ascii="Arial" w:eastAsia="Times New Roman" w:hAnsi="Arial" w:cs="Arial"/>
          <w:sz w:val="20"/>
        </w:rPr>
      </w:pPr>
      <w:r>
        <w:rPr>
          <w:rFonts w:ascii="Arial" w:hAnsi="Arial"/>
          <w:sz w:val="20"/>
        </w:rPr>
        <w:t xml:space="preserve"> </w:t>
      </w:r>
    </w:p>
    <w:p w14:paraId="2DCAD0BD" w14:textId="77777777"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rPr>
      </w:pPr>
      <w:r>
        <w:rPr>
          <w:rFonts w:ascii="Arial" w:hAnsi="Arial"/>
          <w:b/>
          <w:sz w:val="20"/>
        </w:rPr>
        <w:t>Artigo 5.1.2,</w:t>
      </w:r>
      <w:r>
        <w:rPr>
          <w:rFonts w:ascii="Arial" w:hAnsi="Arial"/>
          <w:b/>
          <w:i/>
          <w:sz w:val="20"/>
        </w:rPr>
        <w:t xml:space="preserve"> Trabalhos Acadêmicos</w:t>
      </w:r>
      <w:r>
        <w:rPr>
          <w:rFonts w:ascii="Arial" w:hAnsi="Arial"/>
          <w:b/>
          <w:sz w:val="20"/>
        </w:rPr>
        <w:t xml:space="preserve">: </w:t>
      </w:r>
      <w:r>
        <w:rPr>
          <w:rFonts w:ascii="Arial" w:hAnsi="Arial"/>
          <w:sz w:val="20"/>
        </w:rPr>
        <w:t>Isso é discutido integralmente no Artigo 5.5.</w:t>
      </w:r>
    </w:p>
    <w:p w14:paraId="58B6A977" w14:textId="77777777" w:rsidR="0034402A" w:rsidRPr="0024467F" w:rsidRDefault="0034402A" w:rsidP="00B7519E">
      <w:pPr>
        <w:tabs>
          <w:tab w:val="left" w:pos="426"/>
        </w:tabs>
        <w:spacing w:after="0" w:line="240" w:lineRule="auto"/>
        <w:jc w:val="both"/>
        <w:rPr>
          <w:rFonts w:ascii="Arial" w:eastAsia="Times New Roman" w:hAnsi="Arial" w:cs="Arial"/>
          <w:b/>
          <w:sz w:val="20"/>
        </w:rPr>
      </w:pPr>
    </w:p>
    <w:p w14:paraId="72902D05" w14:textId="15B87AF1" w:rsidR="0034402A" w:rsidRPr="00AC7ADD" w:rsidRDefault="0034402A"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rPr>
      </w:pPr>
      <w:r>
        <w:rPr>
          <w:rFonts w:ascii="Arial" w:hAnsi="Arial"/>
          <w:b/>
          <w:color w:val="000000" w:themeColor="text1"/>
          <w:sz w:val="20"/>
          <w:shd w:val="clear" w:color="auto" w:fill="FFFFFF" w:themeFill="background1"/>
        </w:rPr>
        <w:t>[Opção]</w:t>
      </w:r>
      <w:r>
        <w:rPr>
          <w:rFonts w:ascii="Arial" w:hAnsi="Arial"/>
          <w:b/>
          <w:i/>
          <w:color w:val="000000" w:themeColor="text1"/>
          <w:sz w:val="20"/>
          <w:shd w:val="clear" w:color="auto" w:fill="FFFFFF" w:themeFill="background1"/>
        </w:rPr>
        <w:t>, Outros DPIs, conforme exigido pela legislação nacional, ou para os quais a Instituição não pode ou não deseja reivindicar a titularidade e a Instituição os comunicou por escrito</w:t>
      </w:r>
      <w:r>
        <w:rPr>
          <w:rFonts w:ascii="Arial" w:hAnsi="Arial"/>
          <w:b/>
          <w:i/>
          <w:sz w:val="20"/>
          <w:shd w:val="clear" w:color="auto" w:fill="FFFFFF" w:themeFill="background1"/>
        </w:rPr>
        <w:t>]</w:t>
      </w:r>
      <w:r w:rsidRPr="0034635B">
        <w:rPr>
          <w:rFonts w:ascii="Arial" w:hAnsi="Arial"/>
          <w:bCs/>
          <w:sz w:val="20"/>
          <w:shd w:val="clear" w:color="auto" w:fill="FFFFFF" w:themeFill="background1"/>
        </w:rPr>
        <w:t>:</w:t>
      </w:r>
      <w:r>
        <w:rPr>
          <w:rFonts w:ascii="Arial" w:hAnsi="Arial"/>
          <w:sz w:val="20"/>
          <w:shd w:val="clear" w:color="auto" w:fill="FFFFFF" w:themeFill="background1"/>
        </w:rPr>
        <w:t xml:space="preserve"> </w:t>
      </w:r>
      <w:r>
        <w:rPr>
          <w:rFonts w:ascii="Arial" w:hAnsi="Arial"/>
          <w:sz w:val="20"/>
        </w:rPr>
        <w:t>Pode haver casos em que uma instituição opte por não reter a titularidade da PI desenvolvida na instituição e tal PI seja oferecida ao Membro da Equipe caso ele deseje assumir a titularidade da PI</w:t>
      </w:r>
      <w:r w:rsidR="008411EA">
        <w:rPr>
          <w:rFonts w:ascii="Arial" w:hAnsi="Arial"/>
          <w:sz w:val="20"/>
        </w:rPr>
        <w:t xml:space="preserve">. </w:t>
      </w:r>
      <w:r>
        <w:rPr>
          <w:rFonts w:ascii="Arial" w:hAnsi="Arial"/>
          <w:sz w:val="20"/>
        </w:rPr>
        <w:t>Isso pode ocorrer em vários estágios ao longo da “cadeia de valor da inovação”, desde a análise pelo EGPI, que decide que não há valor a ser buscado para a proteção legal de PI, ou quando um relatório de busca que destrói a novidade é emitido, ou quando um relatório de análise de viabilidade técnico-econômica ruim é produzido</w:t>
      </w:r>
      <w:r w:rsidR="008411EA">
        <w:rPr>
          <w:rFonts w:ascii="Arial" w:hAnsi="Arial"/>
          <w:sz w:val="20"/>
        </w:rPr>
        <w:t xml:space="preserve">. </w:t>
      </w:r>
    </w:p>
    <w:p w14:paraId="201BFD26" w14:textId="77777777" w:rsidR="005D5986" w:rsidRPr="0024467F" w:rsidRDefault="005D5986" w:rsidP="005D5986">
      <w:pPr>
        <w:tabs>
          <w:tab w:val="left" w:pos="426"/>
        </w:tabs>
        <w:spacing w:after="0" w:line="240" w:lineRule="auto"/>
        <w:jc w:val="both"/>
        <w:rPr>
          <w:rFonts w:ascii="Arial" w:hAnsi="Arial" w:cs="Arial"/>
          <w:b/>
          <w:sz w:val="20"/>
          <w:szCs w:val="32"/>
        </w:rPr>
      </w:pPr>
    </w:p>
    <w:p w14:paraId="6CCB56AC" w14:textId="77777777" w:rsidR="00B30378" w:rsidRPr="0024467F" w:rsidRDefault="00B30378" w:rsidP="00BE34FB">
      <w:pPr>
        <w:pStyle w:val="ListParagraph"/>
        <w:spacing w:after="0" w:line="240" w:lineRule="auto"/>
        <w:ind w:left="0"/>
        <w:jc w:val="both"/>
        <w:rPr>
          <w:rFonts w:ascii="Arial" w:eastAsia="Times New Roman" w:hAnsi="Arial" w:cs="Arial"/>
          <w:b/>
          <w:color w:val="0070C0"/>
          <w:sz w:val="24"/>
        </w:rPr>
      </w:pPr>
    </w:p>
    <w:p w14:paraId="4FC8E358" w14:textId="77777777" w:rsidR="00496448" w:rsidRPr="00AC7ADD" w:rsidRDefault="00C60DE4" w:rsidP="00BE34FB">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5.1.3 - PI criada por Membros da Equipe sob Contratos de Pesquisa</w:t>
      </w:r>
    </w:p>
    <w:p w14:paraId="68C67F4F" w14:textId="77777777" w:rsidR="00496448" w:rsidRPr="0024467F" w:rsidRDefault="00496448" w:rsidP="00BE34FB">
      <w:pPr>
        <w:pStyle w:val="ListParagraph"/>
        <w:spacing w:after="0" w:line="240" w:lineRule="auto"/>
        <w:ind w:left="0"/>
        <w:jc w:val="both"/>
        <w:rPr>
          <w:rFonts w:ascii="Arial" w:eastAsia="Times New Roman" w:hAnsi="Arial" w:cs="Arial"/>
          <w:b/>
        </w:rPr>
      </w:pPr>
    </w:p>
    <w:p w14:paraId="220ED976" w14:textId="6151231A" w:rsidR="0034402A" w:rsidRPr="00AC7ADD" w:rsidRDefault="0034402A" w:rsidP="00464282">
      <w:pPr>
        <w:pStyle w:val="ListParagraph"/>
        <w:numPr>
          <w:ilvl w:val="0"/>
          <w:numId w:val="12"/>
        </w:numPr>
        <w:spacing w:line="240" w:lineRule="auto"/>
        <w:ind w:left="360"/>
        <w:jc w:val="both"/>
        <w:rPr>
          <w:rFonts w:ascii="Arial" w:hAnsi="Arial" w:cs="Arial"/>
          <w:sz w:val="20"/>
          <w:szCs w:val="20"/>
        </w:rPr>
      </w:pPr>
      <w:r>
        <w:rPr>
          <w:rFonts w:ascii="Arial" w:hAnsi="Arial"/>
          <w:b/>
          <w:sz w:val="20"/>
        </w:rPr>
        <w:t xml:space="preserve">Artigo 5.1.3, </w:t>
      </w:r>
      <w:r>
        <w:rPr>
          <w:rFonts w:ascii="Arial" w:hAnsi="Arial"/>
          <w:b/>
          <w:i/>
          <w:sz w:val="20"/>
        </w:rPr>
        <w:t>os termos do Contrato de Pesquisa regularão a titularidade da PI criada pelos Membros da Equipe</w:t>
      </w:r>
      <w:r w:rsidRPr="0034635B">
        <w:rPr>
          <w:rFonts w:ascii="Arial" w:hAnsi="Arial"/>
          <w:bCs/>
          <w:sz w:val="20"/>
        </w:rPr>
        <w:t xml:space="preserve">: </w:t>
      </w:r>
      <w:r>
        <w:rPr>
          <w:rFonts w:ascii="Arial" w:hAnsi="Arial"/>
          <w:sz w:val="20"/>
        </w:rPr>
        <w:t>Conforme estabelecido anteriormente, não é possível contratar em desacordoo com a legislação</w:t>
      </w:r>
      <w:r w:rsidR="008411EA">
        <w:rPr>
          <w:rFonts w:ascii="Arial" w:hAnsi="Arial"/>
          <w:sz w:val="20"/>
        </w:rPr>
        <w:t xml:space="preserve">. </w:t>
      </w:r>
      <w:r>
        <w:rPr>
          <w:rFonts w:ascii="Arial" w:hAnsi="Arial"/>
          <w:sz w:val="20"/>
        </w:rPr>
        <w:t>Portanto, desde que a legislação não dite as disposições de titularidade, os termos mutuamente acordados de um Contrato de Pesquisa regulam a titularidade da PI criada por um Membro da Equipe no decurso de um projeto de pesquisa. Algumas Instituições adotaram uma abordagem à titularidade de PI na qual o direito de titularidade de PI feita por um Membro da Equipe é um ponto negociável em contratos com um parceiro externo ou patrocinador de pesquisa</w:t>
      </w:r>
      <w:r w:rsidR="008411EA">
        <w:rPr>
          <w:rFonts w:ascii="Arial" w:hAnsi="Arial"/>
          <w:sz w:val="20"/>
        </w:rPr>
        <w:t xml:space="preserve">. </w:t>
      </w:r>
      <w:r>
        <w:rPr>
          <w:rFonts w:ascii="Arial" w:hAnsi="Arial"/>
          <w:sz w:val="20"/>
        </w:rPr>
        <w:t xml:space="preserve">A experiência demonstrou que dar titularidade sobre PI por meio da “compra” da PI é repleto de problemas. Abrir mão da titularidade dessa maneira provavelmente prejudicará os objetivos de garantir que a PI da instituição beneficie o público, forneça benefícios de longo prazo à Instituição e seus Membros da Equipe e dificulte o desenvolvimento de um sistema de transferência de tecnologia sustentável e bem-sucedido baseado na PI da universidade. Da mesma forma, alguns acreditam que a Instituição deve ser flexível quanto à titularidade de PI feita por seus Membros da Equipe em acordos colaborativos. Não há dúvida de que os Membros da Equipe solicitarão tal titularidade, por qualquer motivo. Entretanto, se uma Instituição mantém uma política absoluta de titularidade sendo absolutamente vinculada à invenção e à titularidade da PI de seus Membros da Equipe, a negociação é simplificada. Para mais detalhes, veja </w:t>
      </w:r>
      <w:hyperlink w:anchor="_ARTICLE_7_–" w:history="1">
        <w:r>
          <w:rPr>
            <w:rStyle w:val="Hyperlink"/>
            <w:rFonts w:ascii="Arial" w:hAnsi="Arial"/>
            <w:sz w:val="20"/>
          </w:rPr>
          <w:t>Artigo 7</w:t>
        </w:r>
      </w:hyperlink>
      <w:r>
        <w:rPr>
          <w:rFonts w:ascii="Arial" w:hAnsi="Arial"/>
          <w:sz w:val="20"/>
        </w:rPr>
        <w:t>.</w:t>
      </w:r>
    </w:p>
    <w:p w14:paraId="2EB93C97" w14:textId="77777777" w:rsidR="00496448" w:rsidRPr="00AC7ADD" w:rsidRDefault="00496448" w:rsidP="00496448">
      <w:pPr>
        <w:pStyle w:val="ListParagraph"/>
        <w:spacing w:line="240" w:lineRule="auto"/>
        <w:ind w:left="360"/>
        <w:jc w:val="both"/>
        <w:rPr>
          <w:rFonts w:ascii="Arial" w:hAnsi="Arial" w:cs="Arial"/>
          <w:sz w:val="20"/>
          <w:szCs w:val="20"/>
          <w:lang w:val="en-US"/>
        </w:rPr>
      </w:pPr>
    </w:p>
    <w:p w14:paraId="13563397" w14:textId="2C05E005" w:rsidR="00496448" w:rsidRPr="00AC7ADD" w:rsidRDefault="00496448" w:rsidP="00464282">
      <w:pPr>
        <w:pStyle w:val="ListParagraph"/>
        <w:numPr>
          <w:ilvl w:val="0"/>
          <w:numId w:val="12"/>
        </w:numPr>
        <w:spacing w:line="240" w:lineRule="auto"/>
        <w:ind w:left="360"/>
        <w:jc w:val="both"/>
        <w:rPr>
          <w:rFonts w:ascii="Arial" w:hAnsi="Arial" w:cs="Arial"/>
          <w:sz w:val="20"/>
          <w:szCs w:val="20"/>
        </w:rPr>
      </w:pPr>
      <w:r>
        <w:rPr>
          <w:rFonts w:ascii="Arial" w:hAnsi="Arial"/>
          <w:sz w:val="20"/>
        </w:rPr>
        <w:t>Contratantes externos somente podem estar vinculados à Política de PI por disposições contratuais</w:t>
      </w:r>
      <w:r w:rsidR="008411EA">
        <w:rPr>
          <w:rFonts w:ascii="Arial" w:hAnsi="Arial"/>
          <w:sz w:val="20"/>
        </w:rPr>
        <w:t xml:space="preserve">. </w:t>
      </w:r>
      <w:r>
        <w:rPr>
          <w:rFonts w:ascii="Arial" w:hAnsi="Arial"/>
          <w:sz w:val="20"/>
        </w:rPr>
        <w:t xml:space="preserve">Se tais contratantes forem contratados para inventar ou criar, o Contrato de Pesquisa </w:t>
      </w:r>
      <w:r>
        <w:rPr>
          <w:rFonts w:ascii="Arial" w:hAnsi="Arial"/>
          <w:sz w:val="20"/>
        </w:rPr>
        <w:lastRenderedPageBreak/>
        <w:t>deve prever que a Instituição tenha a titularidade da PI</w:t>
      </w:r>
      <w:r w:rsidR="008411EA">
        <w:rPr>
          <w:rFonts w:ascii="Arial" w:hAnsi="Arial"/>
          <w:sz w:val="20"/>
        </w:rPr>
        <w:t xml:space="preserve">. </w:t>
      </w:r>
      <w:r>
        <w:rPr>
          <w:rFonts w:ascii="Arial" w:hAnsi="Arial"/>
          <w:sz w:val="20"/>
        </w:rPr>
        <w:t>Na maioria das Instituições, a titularidade da PI do contratante é tratada caso a caso e não há titularidade geral de toda a PI do contratante.</w:t>
      </w:r>
    </w:p>
    <w:p w14:paraId="6D05ED50" w14:textId="77777777" w:rsidR="00332D42" w:rsidRPr="00AC7ADD" w:rsidRDefault="00332D42" w:rsidP="00B7519E">
      <w:pPr>
        <w:pStyle w:val="Heading3"/>
        <w:spacing w:before="360"/>
        <w:rPr>
          <w:sz w:val="24"/>
        </w:rPr>
      </w:pPr>
      <w:bookmarkStart w:id="165" w:name="_Toc494115968"/>
      <w:bookmarkStart w:id="166" w:name="_Toc516160061"/>
      <w:bookmarkStart w:id="167" w:name="_Toc516219404"/>
      <w:bookmarkStart w:id="168" w:name="_Toc516496046"/>
      <w:bookmarkStart w:id="169" w:name="_Toc516829418"/>
      <w:r>
        <w:rPr>
          <w:sz w:val="24"/>
        </w:rPr>
        <w:t>Artigo 5.2 – PI criada pelos Alunos</w:t>
      </w:r>
      <w:bookmarkEnd w:id="165"/>
      <w:bookmarkEnd w:id="166"/>
      <w:bookmarkEnd w:id="167"/>
      <w:bookmarkEnd w:id="168"/>
      <w:bookmarkEnd w:id="169"/>
    </w:p>
    <w:p w14:paraId="176DFE84" w14:textId="77777777" w:rsidR="0034402A" w:rsidRPr="00BF4219" w:rsidRDefault="0034402A" w:rsidP="0034402A">
      <w:pPr>
        <w:pStyle w:val="ListParagraph"/>
        <w:shd w:val="clear" w:color="auto" w:fill="FFFFFF"/>
        <w:spacing w:after="0" w:line="240" w:lineRule="auto"/>
        <w:ind w:left="0"/>
        <w:jc w:val="both"/>
        <w:rPr>
          <w:rFonts w:ascii="Arial" w:eastAsia="Calibri" w:hAnsi="Arial" w:cs="Arial"/>
          <w:sz w:val="20"/>
        </w:rPr>
      </w:pPr>
      <w:r>
        <w:rPr>
          <w:rFonts w:ascii="Arial" w:hAnsi="Arial"/>
          <w:sz w:val="20"/>
        </w:rPr>
        <w:t>As instituições estão cada vez mais trabalhando em estreita colaboração com a indústria em P&amp;D aplicada e, portanto, não são apenas os Membros da Equipe, mas também os Alunos que são financiados pela indústria ou trabalham em projetos de pesquisa universitária que têm a capacidade de criar PI.</w:t>
      </w:r>
    </w:p>
    <w:p w14:paraId="71C9C985" w14:textId="77777777" w:rsidR="0034402A" w:rsidRPr="0024467F" w:rsidRDefault="0034402A" w:rsidP="0034402A">
      <w:pPr>
        <w:pStyle w:val="NoSpacing"/>
        <w:shd w:val="clear" w:color="auto" w:fill="FFFFFF" w:themeFill="background1"/>
        <w:jc w:val="both"/>
        <w:rPr>
          <w:rFonts w:ascii="Arial" w:eastAsia="Times New Roman" w:hAnsi="Arial" w:cs="Arial"/>
          <w:sz w:val="20"/>
        </w:rPr>
      </w:pPr>
    </w:p>
    <w:p w14:paraId="6544DCAA" w14:textId="03F2D004" w:rsidR="0034402A" w:rsidRPr="00BF4219" w:rsidRDefault="0034402A" w:rsidP="0034402A">
      <w:pPr>
        <w:pStyle w:val="CommentText"/>
        <w:jc w:val="both"/>
        <w:rPr>
          <w:rFonts w:ascii="Arial" w:eastAsia="Times New Roman" w:hAnsi="Arial" w:cs="Arial"/>
          <w:szCs w:val="22"/>
        </w:rPr>
      </w:pPr>
      <w:r>
        <w:rPr>
          <w:rFonts w:ascii="Arial" w:hAnsi="Arial"/>
        </w:rPr>
        <w:t>A titularidade da PI criada por alunos é frequentemente uma questão controversa</w:t>
      </w:r>
      <w:r w:rsidR="008411EA">
        <w:rPr>
          <w:rFonts w:ascii="Arial" w:hAnsi="Arial"/>
        </w:rPr>
        <w:t xml:space="preserve">. </w:t>
      </w:r>
      <w:r>
        <w:rPr>
          <w:rFonts w:ascii="Arial" w:hAnsi="Arial"/>
        </w:rPr>
        <w:t>A Instituição frequentemente diferencia entre duas categorias diferentes de alunos (graduação e pós-graduação) que, por sua vez, podem ter diferentes relações contratuais com sua universidade com base em seu financiamento</w:t>
      </w:r>
      <w:r w:rsidR="008411EA">
        <w:rPr>
          <w:rFonts w:ascii="Arial" w:hAnsi="Arial"/>
        </w:rPr>
        <w:t xml:space="preserve">. </w:t>
      </w:r>
      <w:r>
        <w:rPr>
          <w:rFonts w:ascii="Arial" w:hAnsi="Arial"/>
        </w:rPr>
        <w:t>E alguns alunos são funcionários e também alunos</w:t>
      </w:r>
      <w:r w:rsidRPr="00BF4219">
        <w:rPr>
          <w:rStyle w:val="FootnoteReference"/>
          <w:rFonts w:ascii="Arial" w:eastAsia="Times New Roman" w:hAnsi="Arial" w:cs="Arial"/>
          <w:szCs w:val="22"/>
          <w:lang w:val="en-US"/>
        </w:rPr>
        <w:footnoteReference w:id="119"/>
      </w:r>
      <w:r>
        <w:rPr>
          <w:rFonts w:ascii="Arial" w:hAnsi="Arial"/>
        </w:rPr>
        <w:t xml:space="preserve">. </w:t>
      </w:r>
    </w:p>
    <w:p w14:paraId="1DD24E96" w14:textId="77777777" w:rsidR="00430532" w:rsidRPr="0024467F" w:rsidRDefault="00430532" w:rsidP="00734F31">
      <w:pPr>
        <w:pStyle w:val="NoSpacing"/>
        <w:shd w:val="clear" w:color="auto" w:fill="FFFFFF" w:themeFill="background1"/>
        <w:jc w:val="both"/>
        <w:rPr>
          <w:rFonts w:ascii="Arial" w:eastAsia="Times New Roman" w:hAnsi="Arial" w:cs="Arial"/>
          <w:lang w:eastAsia="en-ZA"/>
        </w:rPr>
      </w:pPr>
    </w:p>
    <w:p w14:paraId="281D8864"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5.2.1 - Titularidade do aluno</w:t>
      </w:r>
    </w:p>
    <w:p w14:paraId="10062B23" w14:textId="77777777" w:rsidR="003A76D9" w:rsidRPr="0024467F" w:rsidRDefault="003A76D9" w:rsidP="00B7519E">
      <w:pPr>
        <w:pStyle w:val="ListParagraph"/>
        <w:spacing w:after="0" w:line="240" w:lineRule="auto"/>
        <w:ind w:left="0"/>
        <w:jc w:val="both"/>
        <w:rPr>
          <w:rFonts w:ascii="Arial" w:eastAsia="Times New Roman" w:hAnsi="Arial" w:cs="Arial"/>
          <w:b/>
          <w:color w:val="0070C0"/>
        </w:rPr>
      </w:pPr>
    </w:p>
    <w:p w14:paraId="57B1AA24" w14:textId="00BC7517" w:rsidR="0034402A" w:rsidRPr="00AC7ADD" w:rsidRDefault="0034402A" w:rsidP="009D4A54">
      <w:pPr>
        <w:pStyle w:val="ListParagraph"/>
        <w:numPr>
          <w:ilvl w:val="0"/>
          <w:numId w:val="47"/>
        </w:numPr>
        <w:shd w:val="clear" w:color="auto" w:fill="FFFFFF" w:themeFill="background1"/>
        <w:tabs>
          <w:tab w:val="left" w:pos="1701"/>
        </w:tabs>
        <w:autoSpaceDE w:val="0"/>
        <w:autoSpaceDN w:val="0"/>
        <w:adjustRightInd w:val="0"/>
        <w:spacing w:after="0" w:line="240" w:lineRule="auto"/>
        <w:ind w:left="426" w:hanging="426"/>
        <w:jc w:val="both"/>
        <w:rPr>
          <w:rFonts w:ascii="Arial" w:eastAsia="Times New Roman" w:hAnsi="Arial" w:cs="Arial"/>
          <w:sz w:val="20"/>
        </w:rPr>
      </w:pPr>
      <w:r>
        <w:rPr>
          <w:rFonts w:ascii="Arial" w:hAnsi="Arial"/>
          <w:b/>
          <w:sz w:val="20"/>
        </w:rPr>
        <w:t xml:space="preserve">Artigo 5.2.1, </w:t>
      </w:r>
      <w:r>
        <w:rPr>
          <w:rFonts w:ascii="Arial" w:hAnsi="Arial"/>
          <w:b/>
          <w:i/>
          <w:sz w:val="20"/>
        </w:rPr>
        <w:t>PI criada por um Aluno no decurso do estudo</w:t>
      </w:r>
      <w:r w:rsidRPr="0034635B">
        <w:rPr>
          <w:rFonts w:ascii="Arial" w:hAnsi="Arial"/>
          <w:bCs/>
          <w:sz w:val="20"/>
        </w:rPr>
        <w:t>:</w:t>
      </w:r>
      <w:r>
        <w:rPr>
          <w:rFonts w:ascii="Arial" w:hAnsi="Arial"/>
          <w:sz w:val="20"/>
        </w:rPr>
        <w:t xml:space="preserve"> Os alunos devem possuir os direitos autorais de teses e dissertações, bem como de trabalhos acadêmicos, geralmente publicações</w:t>
      </w:r>
      <w:r w:rsidR="008411EA">
        <w:rPr>
          <w:rFonts w:ascii="Arial" w:hAnsi="Arial"/>
          <w:sz w:val="20"/>
        </w:rPr>
        <w:t xml:space="preserve">. </w:t>
      </w:r>
      <w:r>
        <w:rPr>
          <w:rFonts w:ascii="Arial" w:hAnsi="Arial"/>
          <w:sz w:val="20"/>
        </w:rPr>
        <w:t>Vale ressaltar que isso não quer dizer que o orientador não será coautor de um artigo publicado a partir de uma tese – isso é determinado pelas práticas acadêmicas convencionais e pelo acordo entre o orientador e o aluno</w:t>
      </w:r>
      <w:r w:rsidR="008411EA">
        <w:rPr>
          <w:rFonts w:ascii="Arial" w:hAnsi="Arial"/>
          <w:sz w:val="20"/>
        </w:rPr>
        <w:t xml:space="preserve">. </w:t>
      </w:r>
      <w:r>
        <w:rPr>
          <w:rFonts w:ascii="Arial" w:hAnsi="Arial"/>
          <w:sz w:val="20"/>
        </w:rPr>
        <w:t>Isso é importante porque, ao publicar um trabalho acadêmico, os direitos precisarão ser transferidos para a editora</w:t>
      </w:r>
      <w:r w:rsidR="008411EA">
        <w:rPr>
          <w:rFonts w:ascii="Arial" w:hAnsi="Arial"/>
          <w:sz w:val="20"/>
        </w:rPr>
        <w:t xml:space="preserve">. </w:t>
      </w:r>
      <w:r>
        <w:rPr>
          <w:rFonts w:ascii="Arial" w:hAnsi="Arial"/>
          <w:sz w:val="20"/>
        </w:rPr>
        <w:t>O aluno precisa, portanto, possuir os direitos para poder transferi-los.</w:t>
      </w:r>
    </w:p>
    <w:p w14:paraId="55D90B68" w14:textId="77777777" w:rsidR="00E17BEE" w:rsidRPr="0024467F"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rPr>
      </w:pPr>
    </w:p>
    <w:p w14:paraId="029776F1"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5.2.2 - Teses ou dissertações</w:t>
      </w:r>
    </w:p>
    <w:p w14:paraId="07BAAD15"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1F8EB495" w14:textId="58E4A242"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rPr>
      </w:pPr>
      <w:r>
        <w:rPr>
          <w:rFonts w:ascii="Arial" w:hAnsi="Arial"/>
          <w:b/>
          <w:sz w:val="20"/>
        </w:rPr>
        <w:t xml:space="preserve">Artigo 5.2.2, [Opção 1] </w:t>
      </w:r>
      <w:r>
        <w:rPr>
          <w:rFonts w:ascii="Arial" w:hAnsi="Arial"/>
          <w:b/>
          <w:i/>
          <w:sz w:val="20"/>
        </w:rPr>
        <w:t>O aluno deverá submeter sua tese ou dissertação final no repositório Institucional</w:t>
      </w:r>
      <w:r>
        <w:rPr>
          <w:rFonts w:ascii="Arial" w:hAnsi="Arial"/>
          <w:sz w:val="20"/>
        </w:rPr>
        <w:t xml:space="preserve">: Esta é uma obrigação institucional; normalmente não é opcional e geralmente está incluída no processo de registro do aluno. </w:t>
      </w:r>
    </w:p>
    <w:p w14:paraId="40B27A35" w14:textId="77777777" w:rsidR="009D4213" w:rsidRPr="0024467F" w:rsidRDefault="009D4213" w:rsidP="00B7519E">
      <w:pPr>
        <w:pStyle w:val="ListParagraph"/>
        <w:tabs>
          <w:tab w:val="left" w:pos="851"/>
        </w:tabs>
        <w:spacing w:after="0" w:line="240" w:lineRule="auto"/>
        <w:ind w:left="426"/>
        <w:jc w:val="both"/>
        <w:rPr>
          <w:rFonts w:ascii="Arial" w:hAnsi="Arial" w:cs="Arial"/>
          <w:sz w:val="20"/>
        </w:rPr>
      </w:pPr>
    </w:p>
    <w:p w14:paraId="1A0715CA" w14:textId="774FFE2E"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rPr>
      </w:pPr>
      <w:r>
        <w:rPr>
          <w:rFonts w:ascii="Arial" w:hAnsi="Arial"/>
          <w:b/>
          <w:sz w:val="20"/>
        </w:rPr>
        <w:t>Artigo 5.2.2, [Opção 2]</w:t>
      </w:r>
      <w:r>
        <w:rPr>
          <w:rFonts w:ascii="Arial" w:hAnsi="Arial"/>
          <w:sz w:val="20"/>
        </w:rPr>
        <w:t xml:space="preserve"> </w:t>
      </w:r>
      <w:r>
        <w:rPr>
          <w:rFonts w:ascii="Arial" w:hAnsi="Arial"/>
          <w:b/>
          <w:i/>
          <w:sz w:val="20"/>
        </w:rPr>
        <w:t>O aluno deverá conceder à Instituição uma licença isenta de royalties para reproduzir sua tese ou dissertação e distribuir cópias dela</w:t>
      </w:r>
      <w:r>
        <w:rPr>
          <w:b/>
          <w:i/>
          <w:sz w:val="20"/>
        </w:rPr>
        <w:t xml:space="preserve"> </w:t>
      </w:r>
      <w:r>
        <w:rPr>
          <w:rFonts w:ascii="Arial" w:hAnsi="Arial"/>
          <w:b/>
          <w:i/>
          <w:sz w:val="20"/>
        </w:rPr>
        <w:t>ao público</w:t>
      </w:r>
      <w:r w:rsidRPr="0034635B">
        <w:rPr>
          <w:rFonts w:ascii="Arial" w:hAnsi="Arial"/>
          <w:bCs/>
          <w:i/>
          <w:sz w:val="20"/>
        </w:rPr>
        <w:t>:</w:t>
      </w:r>
      <w:r w:rsidRPr="00AC7ADD">
        <w:rPr>
          <w:rStyle w:val="FootnoteReference"/>
          <w:rFonts w:ascii="Arial" w:hAnsi="Arial" w:cs="Arial"/>
          <w:b/>
          <w:i/>
          <w:sz w:val="20"/>
          <w:lang w:val="en-US"/>
        </w:rPr>
        <w:footnoteReference w:id="120"/>
      </w:r>
      <w:r w:rsidRPr="0034635B">
        <w:rPr>
          <w:rFonts w:ascii="Arial" w:hAnsi="Arial"/>
          <w:bCs/>
          <w:iCs/>
          <w:sz w:val="20"/>
        </w:rPr>
        <w:t xml:space="preserve"> </w:t>
      </w:r>
      <w:r>
        <w:rPr>
          <w:rFonts w:ascii="Arial" w:hAnsi="Arial"/>
          <w:sz w:val="20"/>
        </w:rPr>
        <w:t>Se a instituição reconhecer que a PI da tese ou dissertação pertence ao Aluno, o aluno deverá conceder à instituição direitos para copiar e circular cópias do documento</w:t>
      </w:r>
      <w:r w:rsidR="008411EA">
        <w:rPr>
          <w:rFonts w:ascii="Arial" w:hAnsi="Arial"/>
          <w:sz w:val="20"/>
        </w:rPr>
        <w:t xml:space="preserve">. </w:t>
      </w:r>
      <w:r>
        <w:rPr>
          <w:rFonts w:ascii="Arial" w:hAnsi="Arial"/>
          <w:sz w:val="20"/>
        </w:rPr>
        <w:t>A concessão dessa licença impedirá que a instituição infrinja os direitos autorais do Aluno que residem na tese ou dissertação.</w:t>
      </w:r>
    </w:p>
    <w:p w14:paraId="1CDBAFF7" w14:textId="77777777" w:rsidR="00E17BEE" w:rsidRPr="0024467F"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rPr>
      </w:pPr>
    </w:p>
    <w:p w14:paraId="32FA5872"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5.2.3 - Titularidade da instituição</w:t>
      </w:r>
    </w:p>
    <w:p w14:paraId="491FCC5B"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63EF88B6" w14:textId="20C1C559"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rPr>
      </w:pPr>
      <w:r>
        <w:rPr>
          <w:rFonts w:ascii="Arial" w:hAnsi="Arial"/>
          <w:b/>
          <w:sz w:val="20"/>
        </w:rPr>
        <w:t xml:space="preserve">Artigo 5.2.3, </w:t>
      </w:r>
      <w:r>
        <w:rPr>
          <w:rFonts w:ascii="Arial" w:hAnsi="Arial"/>
          <w:b/>
          <w:i/>
          <w:sz w:val="20"/>
        </w:rPr>
        <w:t>Titularidade da instituição</w:t>
      </w:r>
      <w:r w:rsidRPr="0034635B">
        <w:rPr>
          <w:rFonts w:ascii="Arial" w:hAnsi="Arial"/>
          <w:bCs/>
          <w:sz w:val="20"/>
        </w:rPr>
        <w:t>:</w:t>
      </w:r>
      <w:r>
        <w:rPr>
          <w:rFonts w:ascii="Arial" w:hAnsi="Arial"/>
          <w:sz w:val="20"/>
        </w:rPr>
        <w:t xml:space="preserve"> Se um aluno fizer Uso Substancial dos recursos da Instituição (ver Artigo 5.1.1(b) acima) ou quando um aluno trabalhar em um Projeto de Pesquisa da Instituição, a Instituição deverá ser titular da PI</w:t>
      </w:r>
      <w:r w:rsidR="008411EA">
        <w:rPr>
          <w:rFonts w:ascii="Arial" w:hAnsi="Arial"/>
          <w:sz w:val="20"/>
        </w:rPr>
        <w:t xml:space="preserve">. </w:t>
      </w:r>
      <w:r>
        <w:rPr>
          <w:rFonts w:ascii="Arial" w:hAnsi="Arial"/>
          <w:sz w:val="20"/>
        </w:rPr>
        <w:t xml:space="preserve">O Uso Substancial deve, neste caso, excluir a supervisão, pois um aluno, normalmente, não pode conduzir pesquisas sem supervisão. </w:t>
      </w:r>
    </w:p>
    <w:p w14:paraId="775C9D28" w14:textId="77777777" w:rsidR="009D4213" w:rsidRPr="0024467F" w:rsidRDefault="009D4213" w:rsidP="009D4213">
      <w:pPr>
        <w:pStyle w:val="NoSpacing"/>
        <w:shd w:val="clear" w:color="auto" w:fill="FFFFFF" w:themeFill="background1"/>
        <w:ind w:left="426"/>
        <w:jc w:val="both"/>
        <w:rPr>
          <w:rFonts w:ascii="Arial" w:eastAsia="Times New Roman" w:hAnsi="Arial" w:cs="Arial"/>
          <w:lang w:eastAsia="en-ZA"/>
        </w:rPr>
      </w:pPr>
    </w:p>
    <w:p w14:paraId="37060F14" w14:textId="77777777" w:rsidR="009D4213" w:rsidRPr="00AC7ADD" w:rsidRDefault="00C60DE4" w:rsidP="009D4213">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5.2.4 - PI decorrente de Contratos de Pesquisa</w:t>
      </w:r>
    </w:p>
    <w:p w14:paraId="7E7D3C5E" w14:textId="77777777" w:rsidR="009D4213" w:rsidRPr="0024467F" w:rsidRDefault="009D4213" w:rsidP="009D4213">
      <w:pPr>
        <w:pStyle w:val="NoSpacing"/>
        <w:shd w:val="clear" w:color="auto" w:fill="FFFFFF" w:themeFill="background1"/>
        <w:ind w:left="426"/>
        <w:jc w:val="both"/>
        <w:rPr>
          <w:rFonts w:ascii="Arial" w:eastAsia="Times New Roman" w:hAnsi="Arial" w:cs="Arial"/>
          <w:lang w:eastAsia="en-ZA"/>
        </w:rPr>
      </w:pPr>
    </w:p>
    <w:p w14:paraId="2581D4A4" w14:textId="77777777"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rPr>
      </w:pPr>
      <w:r>
        <w:rPr>
          <w:rFonts w:ascii="Arial" w:hAnsi="Arial"/>
          <w:b/>
          <w:sz w:val="20"/>
        </w:rPr>
        <w:t xml:space="preserve">Artigo 5.2.4, </w:t>
      </w:r>
      <w:r>
        <w:rPr>
          <w:rFonts w:ascii="Arial" w:hAnsi="Arial"/>
          <w:b/>
          <w:i/>
          <w:sz w:val="20"/>
        </w:rPr>
        <w:t>os termos do Contrato de Pesquisa regularão a titularidade da PI criada por um aluno no decurso de tal Contrato de Pesquisa</w:t>
      </w:r>
      <w:r w:rsidRPr="0034635B">
        <w:rPr>
          <w:rFonts w:ascii="Arial" w:hAnsi="Arial"/>
          <w:bCs/>
          <w:iCs/>
          <w:sz w:val="20"/>
        </w:rPr>
        <w:t>:</w:t>
      </w:r>
      <w:r>
        <w:rPr>
          <w:rFonts w:ascii="Arial" w:hAnsi="Arial"/>
          <w:sz w:val="20"/>
        </w:rPr>
        <w:t xml:space="preserve"> Quando um Aluno trabalha em um projeto de pesquisa, os termos do Contrato de Pesquisa geralmente determinarão a titularidade da PI. </w:t>
      </w:r>
    </w:p>
    <w:p w14:paraId="00C7600A" w14:textId="77777777" w:rsidR="00430532" w:rsidRPr="0024467F" w:rsidRDefault="00430532" w:rsidP="00734F31">
      <w:pPr>
        <w:pStyle w:val="NoSpacing"/>
        <w:shd w:val="clear" w:color="auto" w:fill="FFFFFF" w:themeFill="background1"/>
        <w:jc w:val="both"/>
        <w:rPr>
          <w:rFonts w:ascii="Arial" w:eastAsia="Times New Roman" w:hAnsi="Arial" w:cs="Arial"/>
          <w:lang w:eastAsia="en-ZA"/>
        </w:rPr>
      </w:pPr>
    </w:p>
    <w:p w14:paraId="7BBC058B" w14:textId="77777777" w:rsidR="00E17BEE" w:rsidRPr="00AC7ADD" w:rsidRDefault="00C60DE4" w:rsidP="0034635B">
      <w:pPr>
        <w:pStyle w:val="ListParagraph"/>
        <w:keepNext/>
        <w:spacing w:after="0" w:line="240" w:lineRule="auto"/>
        <w:ind w:left="0"/>
        <w:jc w:val="both"/>
        <w:rPr>
          <w:rFonts w:ascii="Arial" w:eastAsia="Times New Roman" w:hAnsi="Arial" w:cs="Arial"/>
          <w:b/>
          <w:color w:val="0070C0"/>
          <w:sz w:val="24"/>
        </w:rPr>
      </w:pPr>
      <w:r>
        <w:rPr>
          <w:rFonts w:ascii="Arial" w:hAnsi="Arial"/>
          <w:b/>
          <w:color w:val="0070C0"/>
          <w:sz w:val="24"/>
        </w:rPr>
        <w:lastRenderedPageBreak/>
        <w:t>Artigo 5.2.5 - Responsabilidades da titularidade da instituição</w:t>
      </w:r>
    </w:p>
    <w:p w14:paraId="772DA240" w14:textId="77777777" w:rsidR="003A76D9" w:rsidRPr="0024467F" w:rsidRDefault="003A76D9" w:rsidP="00B7519E">
      <w:pPr>
        <w:pStyle w:val="ListParagraph"/>
        <w:spacing w:after="0" w:line="240" w:lineRule="auto"/>
        <w:ind w:left="0"/>
        <w:jc w:val="both"/>
        <w:rPr>
          <w:rFonts w:ascii="Arial" w:eastAsia="Times New Roman" w:hAnsi="Arial" w:cs="Arial"/>
          <w:b/>
          <w:color w:val="0070C0"/>
        </w:rPr>
      </w:pPr>
    </w:p>
    <w:p w14:paraId="2CB66743" w14:textId="5631B2F1" w:rsidR="009D4213" w:rsidRPr="00AC7ADD" w:rsidRDefault="009D4213" w:rsidP="009D4A54">
      <w:pPr>
        <w:pStyle w:val="ListParagraph"/>
        <w:numPr>
          <w:ilvl w:val="0"/>
          <w:numId w:val="48"/>
        </w:numPr>
        <w:ind w:left="426" w:hanging="426"/>
        <w:jc w:val="both"/>
        <w:rPr>
          <w:rFonts w:ascii="Arial" w:hAnsi="Arial" w:cs="Arial"/>
          <w:sz w:val="20"/>
        </w:rPr>
      </w:pPr>
      <w:r>
        <w:rPr>
          <w:rFonts w:ascii="Arial" w:hAnsi="Arial"/>
          <w:b/>
          <w:sz w:val="20"/>
        </w:rPr>
        <w:t xml:space="preserve">Artigo 5.2.5, </w:t>
      </w:r>
      <w:r>
        <w:rPr>
          <w:rFonts w:ascii="Arial" w:hAnsi="Arial"/>
          <w:b/>
          <w:i/>
          <w:sz w:val="20"/>
        </w:rPr>
        <w:t>explicação das razões para a cessão de direitos de PI</w:t>
      </w:r>
      <w:r>
        <w:rPr>
          <w:rFonts w:ascii="Arial" w:hAnsi="Arial"/>
          <w:sz w:val="20"/>
        </w:rPr>
        <w:t>: No caso de titularidade de PI institucional, a Instituição tem a obrigação de informar o aluno sobre as implicações da titularidade de PI.</w:t>
      </w:r>
    </w:p>
    <w:p w14:paraId="6CA45279" w14:textId="77777777" w:rsidR="009D4213" w:rsidRPr="0024467F" w:rsidRDefault="009D4213" w:rsidP="00B7519E">
      <w:pPr>
        <w:pStyle w:val="ListParagraph"/>
        <w:ind w:left="426"/>
        <w:jc w:val="both"/>
        <w:rPr>
          <w:rFonts w:ascii="Arial" w:hAnsi="Arial" w:cs="Arial"/>
          <w:sz w:val="20"/>
        </w:rPr>
      </w:pPr>
    </w:p>
    <w:p w14:paraId="76FCE3B0" w14:textId="4BAA9B3F"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i/>
          <w:sz w:val="20"/>
        </w:rPr>
        <w:t>aconselhar o Aluno a procurar aconselhamento independente sobre a cessão</w:t>
      </w:r>
      <w:r>
        <w:rPr>
          <w:rFonts w:ascii="Arial" w:hAnsi="Arial"/>
          <w:sz w:val="20"/>
        </w:rPr>
        <w:t>: Caso o aluno não ceda a PI à instituição, a instituição é obrigada a aconselhar o Aluno a procurar aconselhamento especializado sobre seus direitos e obrigações.</w:t>
      </w:r>
    </w:p>
    <w:p w14:paraId="5EB7E154" w14:textId="77777777" w:rsidR="009D4213" w:rsidRPr="0024467F" w:rsidRDefault="009D4213" w:rsidP="00B7519E">
      <w:pPr>
        <w:pStyle w:val="ListParagraph"/>
        <w:autoSpaceDE w:val="0"/>
        <w:autoSpaceDN w:val="0"/>
        <w:adjustRightInd w:val="0"/>
        <w:spacing w:after="0" w:line="240" w:lineRule="auto"/>
        <w:ind w:left="426"/>
        <w:jc w:val="both"/>
        <w:rPr>
          <w:rFonts w:ascii="Arial" w:hAnsi="Arial" w:cs="Arial"/>
          <w:sz w:val="20"/>
        </w:rPr>
      </w:pPr>
    </w:p>
    <w:p w14:paraId="4F4C403C" w14:textId="43022D5B"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i/>
          <w:sz w:val="20"/>
        </w:rPr>
        <w:t>obter uma escritura de cessão do Aluno para todos os DPIs decorrentes do Contrato de Pesquisa ou Projeto de Pesquisa do aluno, quando relevante, em troca de repartição de receita, conforme previsto no Artigo 10</w:t>
      </w:r>
      <w:r w:rsidR="0034635B" w:rsidRPr="0034635B">
        <w:rPr>
          <w:rFonts w:ascii="Arial" w:hAnsi="Arial"/>
          <w:bCs/>
          <w:iCs/>
          <w:sz w:val="20"/>
        </w:rPr>
        <w:t>:</w:t>
      </w:r>
      <w:r>
        <w:rPr>
          <w:rFonts w:ascii="Arial" w:hAnsi="Arial"/>
          <w:sz w:val="20"/>
        </w:rPr>
        <w:t xml:space="preserve"> A Instituição deverá obter a escritura de cessão do Aluno. A titularidade da PI dos alunos também pode ser transferida para terceiros em termos de um esquema de bolsas</w:t>
      </w:r>
    </w:p>
    <w:p w14:paraId="3B492D24" w14:textId="77777777" w:rsidR="009D4213" w:rsidRPr="0024467F" w:rsidRDefault="009D4213" w:rsidP="00B7519E">
      <w:pPr>
        <w:pStyle w:val="ListParagraph"/>
        <w:autoSpaceDE w:val="0"/>
        <w:autoSpaceDN w:val="0"/>
        <w:adjustRightInd w:val="0"/>
        <w:spacing w:after="0" w:line="240" w:lineRule="auto"/>
        <w:ind w:left="426"/>
        <w:jc w:val="both"/>
        <w:rPr>
          <w:rFonts w:ascii="Arial" w:hAnsi="Arial" w:cs="Arial"/>
          <w:sz w:val="20"/>
        </w:rPr>
      </w:pPr>
    </w:p>
    <w:p w14:paraId="015594C6" w14:textId="0C55CA26"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i/>
          <w:sz w:val="20"/>
        </w:rPr>
        <w:t>retirar o Aluno do Projeto de Pesquisa ou Contrato de Pesquisa se o aluno optar por não ceder os DPIs relevantes à Instituição</w:t>
      </w:r>
      <w:r w:rsidR="0034635B" w:rsidRPr="0034635B">
        <w:rPr>
          <w:rFonts w:ascii="Arial" w:hAnsi="Arial"/>
          <w:bCs/>
          <w:iCs/>
          <w:sz w:val="20"/>
        </w:rPr>
        <w:t xml:space="preserve">: </w:t>
      </w:r>
      <w:r>
        <w:rPr>
          <w:rFonts w:ascii="Arial" w:hAnsi="Arial"/>
          <w:sz w:val="20"/>
        </w:rPr>
        <w:t>Caso o Aluno se recuse a ceder a PI, a instituição deverá providenciar um meio de retirar o Aluno do projeto ou contrato</w:t>
      </w:r>
      <w:r w:rsidR="008411EA">
        <w:rPr>
          <w:rFonts w:ascii="Arial" w:hAnsi="Arial"/>
          <w:sz w:val="20"/>
        </w:rPr>
        <w:t xml:space="preserve">. </w:t>
      </w:r>
      <w:r>
        <w:rPr>
          <w:rFonts w:ascii="Arial" w:hAnsi="Arial"/>
          <w:sz w:val="20"/>
        </w:rPr>
        <w:t>Este deve ser o último recurso e, em vez disso, outros meios devem ser utilizados primeiro, como a mediação, em um esforço para resolver o desacordo primeiro.</w:t>
      </w:r>
    </w:p>
    <w:p w14:paraId="4B392979" w14:textId="77777777" w:rsidR="009D4213" w:rsidRPr="0024467F" w:rsidRDefault="009D4213" w:rsidP="00B7519E">
      <w:pPr>
        <w:pStyle w:val="ListParagraph"/>
        <w:autoSpaceDE w:val="0"/>
        <w:autoSpaceDN w:val="0"/>
        <w:adjustRightInd w:val="0"/>
        <w:spacing w:after="0" w:line="240" w:lineRule="auto"/>
        <w:ind w:left="426"/>
        <w:jc w:val="both"/>
        <w:rPr>
          <w:rFonts w:ascii="Arial" w:hAnsi="Arial" w:cs="Arial"/>
          <w:sz w:val="20"/>
        </w:rPr>
      </w:pPr>
    </w:p>
    <w:p w14:paraId="6AF8F3FA" w14:textId="77777777" w:rsidR="009D4213"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5.2.6 - Bolsas/bolsas de estudo</w:t>
      </w:r>
    </w:p>
    <w:p w14:paraId="6BB4AE23"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0D895959" w14:textId="5039B6CC" w:rsidR="009D4213" w:rsidRPr="00AC7ADD" w:rsidRDefault="009D4213" w:rsidP="009D4A54">
      <w:pPr>
        <w:pStyle w:val="ListParagraph"/>
        <w:numPr>
          <w:ilvl w:val="0"/>
          <w:numId w:val="130"/>
        </w:numPr>
        <w:shd w:val="clear" w:color="auto" w:fill="FFFFFF"/>
        <w:spacing w:after="0" w:line="240" w:lineRule="auto"/>
        <w:ind w:left="426" w:hanging="426"/>
        <w:jc w:val="both"/>
        <w:rPr>
          <w:rFonts w:ascii="Arial" w:eastAsia="Times New Roman" w:hAnsi="Arial" w:cs="Arial"/>
          <w:sz w:val="20"/>
        </w:rPr>
      </w:pPr>
      <w:r>
        <w:rPr>
          <w:rFonts w:ascii="Arial" w:hAnsi="Arial"/>
          <w:b/>
          <w:sz w:val="20"/>
        </w:rPr>
        <w:t xml:space="preserve">Artigo 5.2.6, </w:t>
      </w:r>
      <w:r>
        <w:rPr>
          <w:rFonts w:ascii="Arial" w:hAnsi="Arial"/>
          <w:b/>
          <w:i/>
          <w:sz w:val="20"/>
        </w:rPr>
        <w:t>Bolsas, bolsas de estudo</w:t>
      </w:r>
      <w:r w:rsidRPr="0034635B">
        <w:rPr>
          <w:rFonts w:ascii="Arial" w:hAnsi="Arial"/>
          <w:bCs/>
          <w:sz w:val="20"/>
        </w:rPr>
        <w:t xml:space="preserve">: </w:t>
      </w:r>
      <w:r>
        <w:rPr>
          <w:rFonts w:ascii="Arial" w:hAnsi="Arial"/>
          <w:sz w:val="20"/>
        </w:rPr>
        <w:t>Caso uma parte externa forneça uma bolsa ou bolsa de estudos a um aluno, cuja bolsa ou bolsa de estudos não faça parte de um projeto de pesquisa ou contrato de pesquisa, a parte externa poderá negociar a titularidade da PI desenvolvida pelo aluno</w:t>
      </w:r>
      <w:r w:rsidR="008411EA">
        <w:rPr>
          <w:rFonts w:ascii="Arial" w:hAnsi="Arial"/>
          <w:sz w:val="20"/>
        </w:rPr>
        <w:t xml:space="preserve">. </w:t>
      </w:r>
      <w:r>
        <w:rPr>
          <w:rFonts w:ascii="Arial" w:hAnsi="Arial"/>
          <w:sz w:val="20"/>
        </w:rPr>
        <w:t>A condição é que tal acordo não seja contrário às disposições legislativas nacionais</w:t>
      </w:r>
      <w:r w:rsidR="008411EA">
        <w:rPr>
          <w:rFonts w:ascii="Arial" w:hAnsi="Arial"/>
          <w:sz w:val="20"/>
        </w:rPr>
        <w:t xml:space="preserve">. </w:t>
      </w:r>
    </w:p>
    <w:p w14:paraId="69355CB5" w14:textId="77777777" w:rsidR="00E17BEE" w:rsidRPr="0024467F" w:rsidRDefault="00E17BEE" w:rsidP="00734F31">
      <w:pPr>
        <w:pStyle w:val="ListParagraph"/>
        <w:shd w:val="clear" w:color="auto" w:fill="FFFFFF"/>
        <w:spacing w:after="0" w:line="240" w:lineRule="auto"/>
        <w:ind w:left="0"/>
        <w:jc w:val="both"/>
        <w:rPr>
          <w:rFonts w:ascii="Arial" w:eastAsia="Times New Roman" w:hAnsi="Arial" w:cs="Arial"/>
        </w:rPr>
      </w:pPr>
    </w:p>
    <w:p w14:paraId="3F32807E"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Artigo 5.2.7 - PI de titularidade do Aluno</w:t>
      </w:r>
    </w:p>
    <w:p w14:paraId="0F783B77" w14:textId="77777777" w:rsidR="003A76D9" w:rsidRPr="0024467F" w:rsidRDefault="003A76D9" w:rsidP="00B7519E">
      <w:pPr>
        <w:pStyle w:val="ListParagraph"/>
        <w:spacing w:after="0" w:line="240" w:lineRule="auto"/>
        <w:ind w:left="0"/>
        <w:jc w:val="both"/>
        <w:rPr>
          <w:rFonts w:ascii="Arial" w:eastAsia="Times New Roman" w:hAnsi="Arial" w:cs="Arial"/>
          <w:b/>
          <w:color w:val="0070C0"/>
        </w:rPr>
      </w:pPr>
    </w:p>
    <w:p w14:paraId="128E07F8" w14:textId="512D626D" w:rsidR="009D4213" w:rsidRPr="00AC7ADD" w:rsidRDefault="009D4213" w:rsidP="009D4A54">
      <w:pPr>
        <w:pStyle w:val="ListParagraph"/>
        <w:numPr>
          <w:ilvl w:val="0"/>
          <w:numId w:val="130"/>
        </w:numPr>
        <w:spacing w:line="240" w:lineRule="auto"/>
        <w:ind w:left="426" w:hanging="426"/>
        <w:jc w:val="both"/>
        <w:rPr>
          <w:rFonts w:ascii="Arial" w:eastAsia="Times New Roman" w:hAnsi="Arial" w:cs="Arial"/>
          <w:sz w:val="20"/>
        </w:rPr>
      </w:pPr>
      <w:r>
        <w:rPr>
          <w:rFonts w:ascii="Arial" w:hAnsi="Arial"/>
          <w:b/>
          <w:sz w:val="20"/>
        </w:rPr>
        <w:t xml:space="preserve">Artigo 5.2.7, Opção 1, </w:t>
      </w:r>
      <w:r>
        <w:rPr>
          <w:rFonts w:ascii="Arial" w:hAnsi="Arial"/>
          <w:b/>
          <w:i/>
          <w:sz w:val="20"/>
        </w:rPr>
        <w:t>Os alunos podem ser obrigados a ceder a PI</w:t>
      </w:r>
      <w:r w:rsidRPr="0034635B">
        <w:rPr>
          <w:rFonts w:ascii="Arial" w:hAnsi="Arial"/>
          <w:bCs/>
          <w:i/>
          <w:iCs/>
          <w:sz w:val="20"/>
        </w:rPr>
        <w:t xml:space="preserve">: </w:t>
      </w:r>
      <w:r>
        <w:rPr>
          <w:rFonts w:ascii="Arial" w:hAnsi="Arial"/>
          <w:sz w:val="20"/>
        </w:rPr>
        <w:t>O EGPI pode optar por auxiliar um Aluno com a comercialização da PI de titularidade do Aluno</w:t>
      </w:r>
      <w:r w:rsidR="008411EA">
        <w:rPr>
          <w:rFonts w:ascii="Arial" w:hAnsi="Arial"/>
          <w:sz w:val="20"/>
        </w:rPr>
        <w:t xml:space="preserve">. </w:t>
      </w:r>
      <w:r>
        <w:rPr>
          <w:rFonts w:ascii="Arial" w:hAnsi="Arial"/>
          <w:sz w:val="20"/>
        </w:rPr>
        <w:t>Isso pode envolver o caso em que o Aluno cede a PI à Instituição e então a Instituição impulsiona a comercialização com incentivos financeiros ou não financeiros que são fornecidos ao Aluno.</w:t>
      </w:r>
    </w:p>
    <w:p w14:paraId="6DD4705C" w14:textId="77777777" w:rsidR="000E645D" w:rsidRPr="0024467F" w:rsidRDefault="000E645D" w:rsidP="000E645D">
      <w:pPr>
        <w:pStyle w:val="ListParagraph"/>
        <w:spacing w:line="240" w:lineRule="auto"/>
        <w:ind w:left="426"/>
        <w:jc w:val="both"/>
        <w:rPr>
          <w:rFonts w:ascii="Arial" w:eastAsia="Times New Roman" w:hAnsi="Arial" w:cs="Arial"/>
          <w:sz w:val="20"/>
        </w:rPr>
      </w:pPr>
    </w:p>
    <w:p w14:paraId="09E76D44" w14:textId="77777777" w:rsidR="00163415" w:rsidRDefault="009D4213" w:rsidP="009D4A54">
      <w:pPr>
        <w:pStyle w:val="ListParagraph"/>
        <w:numPr>
          <w:ilvl w:val="0"/>
          <w:numId w:val="130"/>
        </w:numPr>
        <w:spacing w:line="240" w:lineRule="auto"/>
        <w:ind w:left="426" w:hanging="426"/>
        <w:jc w:val="both"/>
        <w:rPr>
          <w:rFonts w:ascii="Arial" w:hAnsi="Arial" w:cs="Arial"/>
          <w:sz w:val="20"/>
        </w:rPr>
      </w:pPr>
      <w:r>
        <w:rPr>
          <w:rFonts w:ascii="Arial" w:hAnsi="Arial"/>
          <w:b/>
          <w:sz w:val="20"/>
        </w:rPr>
        <w:t>Artigo 5.2.7, Opção 2</w:t>
      </w:r>
      <w:r w:rsidRPr="0034635B">
        <w:rPr>
          <w:rFonts w:ascii="Arial" w:hAnsi="Arial"/>
          <w:bCs/>
          <w:i/>
          <w:iCs/>
          <w:sz w:val="20"/>
        </w:rPr>
        <w:t xml:space="preserve">: </w:t>
      </w:r>
      <w:r>
        <w:rPr>
          <w:rFonts w:ascii="Arial" w:hAnsi="Arial"/>
          <w:sz w:val="20"/>
        </w:rPr>
        <w:t>Alternativamente, várias opções podem ser exploradas onde o aluno retém a titularidade da PI e o EGPI auxilia o Aluno em uma base do tipo “serviços” por uma taxa ou conforme acordado de outra forma.</w:t>
      </w:r>
    </w:p>
    <w:p w14:paraId="0E57764A" w14:textId="77777777" w:rsidR="00B30378" w:rsidRPr="0024467F" w:rsidRDefault="00B30378" w:rsidP="00B30378">
      <w:pPr>
        <w:pStyle w:val="ListParagraph"/>
        <w:rPr>
          <w:rFonts w:ascii="Arial" w:hAnsi="Arial" w:cs="Arial"/>
          <w:sz w:val="20"/>
        </w:rPr>
      </w:pPr>
    </w:p>
    <w:p w14:paraId="4C61AB48" w14:textId="77777777" w:rsidR="00B30378" w:rsidRPr="0024467F" w:rsidRDefault="00B30378" w:rsidP="00B30378">
      <w:pPr>
        <w:pStyle w:val="ListParagraph"/>
        <w:spacing w:line="240" w:lineRule="auto"/>
        <w:ind w:left="426"/>
        <w:jc w:val="both"/>
        <w:rPr>
          <w:rFonts w:ascii="Arial" w:hAnsi="Arial" w:cs="Arial"/>
          <w:sz w:val="20"/>
        </w:rPr>
      </w:pPr>
    </w:p>
    <w:p w14:paraId="59F4BE0C" w14:textId="77777777" w:rsidR="00E17BEE" w:rsidRPr="0024467F" w:rsidRDefault="00E17BEE" w:rsidP="00B7519E">
      <w:pPr>
        <w:pStyle w:val="ListParagraph"/>
        <w:spacing w:line="240" w:lineRule="auto"/>
        <w:ind w:left="426"/>
        <w:jc w:val="both"/>
        <w:rPr>
          <w:rFonts w:ascii="Arial" w:hAnsi="Arial" w:cs="Arial"/>
          <w:b/>
          <w:sz w:val="20"/>
        </w:rPr>
      </w:pPr>
    </w:p>
    <w:p w14:paraId="1D2BCAD9" w14:textId="77777777" w:rsidR="00014D53" w:rsidRPr="00AC7ADD" w:rsidRDefault="00267F59"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b/>
          <w:sz w:val="20"/>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Dicas - PI do Aluno</w:t>
      </w:r>
    </w:p>
    <w:p w14:paraId="34119D4E" w14:textId="77777777" w:rsidR="00163415" w:rsidRPr="0024467F" w:rsidRDefault="00163415"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sz w:val="20"/>
        </w:rPr>
      </w:pPr>
    </w:p>
    <w:p w14:paraId="22CC9533" w14:textId="2956B533" w:rsidR="00332D42" w:rsidRPr="00AC7ADD" w:rsidRDefault="00332D42"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eastAsia="Times New Roman" w:hAnsi="Arial" w:cs="Arial"/>
          <w:sz w:val="20"/>
        </w:rPr>
      </w:pPr>
      <w:r>
        <w:rPr>
          <w:rFonts w:ascii="Arial" w:hAnsi="Arial"/>
          <w:sz w:val="20"/>
        </w:rPr>
        <w:t>Há momentos em que os Alunos desenvolvem PI e há situações em que a Instituição deve possuir tal PI do aluno, por exemplo, para que um pacote maior de PI da Instituição possa ser comercializado</w:t>
      </w:r>
      <w:r w:rsidR="008411EA">
        <w:rPr>
          <w:rFonts w:ascii="Arial" w:hAnsi="Arial"/>
          <w:sz w:val="20"/>
        </w:rPr>
        <w:t xml:space="preserve">. </w:t>
      </w:r>
      <w:r>
        <w:rPr>
          <w:rFonts w:ascii="Arial" w:hAnsi="Arial"/>
          <w:sz w:val="20"/>
        </w:rPr>
        <w:t>Neste caso, a Instituição precisará ter:</w:t>
      </w:r>
    </w:p>
    <w:p w14:paraId="1D849388" w14:textId="77777777" w:rsidR="00332D42" w:rsidRPr="00AC7ADD" w:rsidRDefault="00163415"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r>
        <w:rPr>
          <w:rFonts w:ascii="Arial" w:hAnsi="Arial"/>
          <w:sz w:val="20"/>
        </w:rPr>
        <w:t>uma política adequada para a PI dos alunos;</w:t>
      </w:r>
    </w:p>
    <w:p w14:paraId="021C7F42" w14:textId="77777777"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r>
        <w:rPr>
          <w:rFonts w:ascii="Arial" w:hAnsi="Arial"/>
          <w:sz w:val="20"/>
        </w:rPr>
        <w:t>documentos contratuais adequados (por exemplo, cessões) para dar efeito à política; e</w:t>
      </w:r>
    </w:p>
    <w:p w14:paraId="1A4AB8F5" w14:textId="77777777"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r>
        <w:rPr>
          <w:rFonts w:ascii="Arial" w:hAnsi="Arial"/>
          <w:sz w:val="20"/>
        </w:rPr>
        <w:t>procedimentos adequados para garantir que os documentos sejam assinados.</w:t>
      </w:r>
    </w:p>
    <w:p w14:paraId="3FA64867" w14:textId="77777777" w:rsidR="00332D42" w:rsidRPr="00AC7ADD" w:rsidRDefault="00332D42" w:rsidP="00332D42">
      <w:pPr>
        <w:spacing w:after="0" w:line="240" w:lineRule="auto"/>
        <w:jc w:val="both"/>
        <w:rPr>
          <w:rFonts w:ascii="Arial" w:hAnsi="Arial" w:cs="Arial"/>
          <w:sz w:val="20"/>
          <w:szCs w:val="32"/>
          <w:highlight w:val="yellow"/>
        </w:rPr>
      </w:pPr>
      <w:r>
        <w:rPr>
          <w:rFonts w:ascii="Arial" w:hAnsi="Arial"/>
          <w:sz w:val="20"/>
          <w:highlight w:val="yellow"/>
        </w:rPr>
        <w:t xml:space="preserve">   </w:t>
      </w:r>
    </w:p>
    <w:p w14:paraId="69346724" w14:textId="77777777" w:rsidR="00163415" w:rsidRPr="00AC7ADD" w:rsidRDefault="00163415" w:rsidP="0034635B">
      <w:pPr>
        <w:keepNext/>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32"/>
        </w:rPr>
      </w:pPr>
      <w:bookmarkStart w:id="170" w:name="_Toc494115969"/>
      <w:r>
        <w:rPr>
          <w:rFonts w:ascii="Arial" w:hAnsi="Arial"/>
          <w:b/>
          <w:sz w:val="20"/>
        </w:rPr>
        <w:lastRenderedPageBreak/>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da Universidade da Cidade do Cabo, África do Sul</w:t>
      </w:r>
      <w:r w:rsidRPr="00AC7ADD">
        <w:rPr>
          <w:rStyle w:val="FootnoteReference"/>
          <w:rFonts w:ascii="Arial" w:hAnsi="Arial" w:cs="Arial"/>
          <w:b/>
          <w:sz w:val="20"/>
          <w:szCs w:val="32"/>
          <w:lang w:val="en-US"/>
        </w:rPr>
        <w:footnoteReference w:id="121"/>
      </w:r>
    </w:p>
    <w:p w14:paraId="1A65B41C" w14:textId="77777777" w:rsidR="00163415" w:rsidRPr="0024467F" w:rsidRDefault="00163415" w:rsidP="0034635B">
      <w:pPr>
        <w:keepNext/>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Cs w:val="32"/>
          <w:highlight w:val="yellow"/>
        </w:rPr>
      </w:pPr>
    </w:p>
    <w:p w14:paraId="4ABB5C74"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r>
        <w:rPr>
          <w:rFonts w:ascii="Helvetica" w:hAnsi="Helvetica"/>
          <w:i/>
          <w:sz w:val="20"/>
        </w:rPr>
        <w:t>6.10 Quando os alunos estiverem envolvidos em atividades que possam levar ao desenvolvimento de Propriedade Intelectual sobre a qual UCT ou um terceiro pode reivindicar a titularidade, as seguintes condições serão aplicadas:</w:t>
      </w:r>
    </w:p>
    <w:p w14:paraId="10D6B685"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1824C0C5"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- 6.10.1 Os direitos de Propriedade Intelectual do aluno sobre quaisquer teses ou publicações decorrentes da pesquisa serão resguardados;</w:t>
      </w:r>
    </w:p>
    <w:p w14:paraId="5503FEBC"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eastAsia="en-US"/>
        </w:rPr>
      </w:pPr>
    </w:p>
    <w:p w14:paraId="155062D8"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- 6.10.2 As futuras escolhas de carreira do Aluno não serão encerradas pela escolha de trabalhar em área confidencial de pesquisa;</w:t>
      </w:r>
    </w:p>
    <w:p w14:paraId="47ECA533"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eastAsia="en-US"/>
        </w:rPr>
      </w:pPr>
    </w:p>
    <w:p w14:paraId="5C8A8039"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- 6.10.3 Será esclarecido aos Alunos qual é a natureza do trabalho antes que eles empreendam a atividade que leva à Propriedade Intelectual reivindicável;</w:t>
      </w:r>
    </w:p>
    <w:p w14:paraId="4865FDB9"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eastAsia="en-US"/>
        </w:rPr>
      </w:pPr>
    </w:p>
    <w:p w14:paraId="0BC37515"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- 6.10.4 Qualquer acordo de confidencialidade e titularidade de Propriedade Intelectual somente será assinado pelos Alunos após estes terem sido devidamente aconselhados pelo pesquisador principal ou seu supervisor sobre o conteúdo do acordo;</w:t>
      </w:r>
    </w:p>
    <w:p w14:paraId="646F560E"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1E455677"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r>
        <w:rPr>
          <w:rFonts w:ascii="Helvetica" w:hAnsi="Helvetica"/>
          <w:i/>
          <w:sz w:val="20"/>
        </w:rPr>
        <w:t xml:space="preserve"> -6.10.5 Quaisquer atrasos na publicação da tese decorrentes de um acordo de confidencialidade estarão sujeitos à aprovação da Comissão de Graus de Doutoramento para teses de doutorado (PhD), ou da Faculdade e DVC para teses de mestrado (MSc), por períodos de 6 meses, até um máximo de dois anos.</w:t>
      </w:r>
    </w:p>
    <w:p w14:paraId="6512E4FA"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20E72B2E"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6.11 Quando os alunos da UCT estiverem envolvidos em pesquisas em instituições afiliadas à UCT ou em instituições diferentes da UCT, um acordo deve ser obtido com a instituição em relação aos direitos do aluno à Propriedade Intelectual, com o objetivo de garantir que os direitos do Aluno sob esta Política sejam mantidos na medida do possível.</w:t>
      </w:r>
    </w:p>
    <w:p w14:paraId="5F704DD0" w14:textId="77777777" w:rsidR="00163415" w:rsidRPr="0024467F"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p>
    <w:p w14:paraId="7266170D"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rPr>
      </w:pPr>
      <w:r>
        <w:rPr>
          <w:rFonts w:ascii="Helvetica" w:hAnsi="Helvetica"/>
          <w:i/>
          <w:sz w:val="20"/>
        </w:rPr>
        <w:t>6.12 Os supervisores que optarem por supervisionar um aluno em uma área que provavelmente levará à criação de Propriedade Intelectual para a qual um financiador recebeu direitos em termos de um acordo de pesquisa financiada, devem garantir que um acordo de confidencialidade e de cessão de Propriedade Intelectual, que pode fazer parte de um Memorando de Entendimento entre Aluno-Supervisor, seja concluído com o aluno antes do início do trabalho. Isso pode fazer com que alguns projetos não estejam disponíveis para Alunos que optarem por não assinar um acordo de confidencialidade e cessão de Propriedade Intelectual.</w:t>
      </w:r>
    </w:p>
    <w:p w14:paraId="518F3C8A" w14:textId="77777777" w:rsidR="00014D53" w:rsidRPr="00AC7ADD" w:rsidRDefault="00014D53" w:rsidP="00B7519E">
      <w:pPr>
        <w:pStyle w:val="Heading3"/>
        <w:spacing w:before="360"/>
        <w:rPr>
          <w:sz w:val="24"/>
        </w:rPr>
      </w:pPr>
      <w:bookmarkStart w:id="171" w:name="_Article_5.3_–"/>
      <w:bookmarkStart w:id="172" w:name="_Toc516160062"/>
      <w:bookmarkStart w:id="173" w:name="_Toc516219405"/>
      <w:bookmarkStart w:id="174" w:name="_Toc516496047"/>
      <w:bookmarkStart w:id="175" w:name="_Toc516829419"/>
      <w:bookmarkEnd w:id="171"/>
      <w:r>
        <w:rPr>
          <w:sz w:val="24"/>
        </w:rPr>
        <w:t xml:space="preserve">Artigo 5.3 – PI criada por Visitantes </w:t>
      </w:r>
      <w:bookmarkEnd w:id="170"/>
      <w:bookmarkEnd w:id="172"/>
      <w:bookmarkEnd w:id="173"/>
      <w:bookmarkEnd w:id="174"/>
      <w:bookmarkEnd w:id="175"/>
    </w:p>
    <w:p w14:paraId="7F126CD8" w14:textId="77777777" w:rsidR="009710D0" w:rsidRPr="00AC7ADD" w:rsidRDefault="009710D0" w:rsidP="009710D0">
      <w:pPr>
        <w:autoSpaceDE w:val="0"/>
        <w:autoSpaceDN w:val="0"/>
        <w:adjustRightInd w:val="0"/>
        <w:spacing w:after="0" w:line="240" w:lineRule="auto"/>
        <w:jc w:val="both"/>
        <w:rPr>
          <w:rFonts w:ascii="Arial" w:hAnsi="Arial" w:cs="Arial"/>
          <w:sz w:val="20"/>
        </w:rPr>
      </w:pPr>
      <w:r>
        <w:rPr>
          <w:rFonts w:ascii="Arial" w:hAnsi="Arial"/>
          <w:sz w:val="20"/>
        </w:rPr>
        <w:t xml:space="preserve">Há toda uma gama de indivíduos que trabalham na Instituição ou com ela, mas que não são Membros da Equipe nem alunos da Instituição. Eles podem ser acadêmicos visitantes, indivíduos com nomeações honorárias na Instituição, pessoas empregadas por organizações que estão colaborando com a Instituição, etc. Um termo coletivo “Visitantes” é usado para esses indivíduos, porque eles precisam ter um acordo de nomeação com a Instituição para serem autorizados a conduzir pesquisas ou ensino. </w:t>
      </w:r>
    </w:p>
    <w:p w14:paraId="00E69E32" w14:textId="77777777" w:rsidR="00014D53" w:rsidRPr="0024467F" w:rsidRDefault="00014D53" w:rsidP="00014D53">
      <w:pPr>
        <w:autoSpaceDE w:val="0"/>
        <w:autoSpaceDN w:val="0"/>
        <w:adjustRightInd w:val="0"/>
        <w:spacing w:after="0" w:line="240" w:lineRule="auto"/>
        <w:jc w:val="both"/>
        <w:rPr>
          <w:rFonts w:ascii="Arial" w:hAnsi="Arial" w:cs="Arial"/>
        </w:rPr>
      </w:pPr>
    </w:p>
    <w:p w14:paraId="2A4FA43B" w14:textId="77777777" w:rsidR="00E17BEE" w:rsidRPr="00AC7ADD" w:rsidRDefault="0043748B" w:rsidP="00E17BEE">
      <w:pPr>
        <w:rPr>
          <w:rFonts w:ascii="Arial" w:eastAsia="Times New Roman" w:hAnsi="Arial" w:cs="Arial"/>
          <w:b/>
          <w:color w:val="0070C0"/>
          <w:sz w:val="24"/>
        </w:rPr>
      </w:pPr>
      <w:r>
        <w:rPr>
          <w:rFonts w:ascii="Arial" w:hAnsi="Arial"/>
          <w:b/>
          <w:color w:val="0070C0"/>
          <w:sz w:val="24"/>
        </w:rPr>
        <w:t>Artigo 5.3.1 - Titularidade da instituição</w:t>
      </w:r>
    </w:p>
    <w:p w14:paraId="4C5C2A86" w14:textId="7ADCC44F"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5.3.1, </w:t>
      </w:r>
      <w:r>
        <w:rPr>
          <w:rFonts w:ascii="Arial" w:hAnsi="Arial"/>
          <w:b/>
          <w:i/>
          <w:iCs/>
          <w:sz w:val="20"/>
        </w:rPr>
        <w:t>de</w:t>
      </w:r>
      <w:r>
        <w:rPr>
          <w:rFonts w:ascii="Arial" w:hAnsi="Arial"/>
          <w:b/>
          <w:i/>
          <w:sz w:val="20"/>
        </w:rPr>
        <w:t>curso e escopo; ou Uso Substancial</w:t>
      </w:r>
      <w:r w:rsidRPr="000814C7">
        <w:rPr>
          <w:rFonts w:ascii="Arial" w:hAnsi="Arial"/>
          <w:bCs/>
          <w:sz w:val="20"/>
        </w:rPr>
        <w:t xml:space="preserve">: </w:t>
      </w:r>
      <w:r>
        <w:rPr>
          <w:rFonts w:ascii="Arial" w:hAnsi="Arial"/>
          <w:sz w:val="20"/>
        </w:rPr>
        <w:t>As mesmas regras que se aplicam aos Membros da Equipe se aplicam aos Visitantes</w:t>
      </w:r>
      <w:r w:rsidR="008411EA">
        <w:rPr>
          <w:rFonts w:ascii="Arial" w:hAnsi="Arial"/>
          <w:sz w:val="20"/>
        </w:rPr>
        <w:t xml:space="preserve">. </w:t>
      </w:r>
      <w:r>
        <w:rPr>
          <w:rFonts w:ascii="Arial" w:hAnsi="Arial"/>
          <w:sz w:val="20"/>
        </w:rPr>
        <w:t xml:space="preserve">Veja </w:t>
      </w:r>
      <w:hyperlink w:anchor="_Article_5.1_–" w:history="1">
        <w:r>
          <w:rPr>
            <w:rStyle w:val="Hyperlink"/>
            <w:rFonts w:ascii="Arial" w:hAnsi="Arial"/>
            <w:sz w:val="20"/>
          </w:rPr>
          <w:t>Artigo 5.1.1</w:t>
        </w:r>
      </w:hyperlink>
      <w:r w:rsidR="008411EA">
        <w:rPr>
          <w:rFonts w:ascii="Arial" w:hAnsi="Arial"/>
          <w:sz w:val="20"/>
        </w:rPr>
        <w:t xml:space="preserve">. </w:t>
      </w:r>
      <w:r>
        <w:rPr>
          <w:rFonts w:ascii="Arial" w:hAnsi="Arial"/>
          <w:sz w:val="20"/>
        </w:rPr>
        <w:t>Geralmente, a Política de PI institucional declara que qualquer PI criada pelo Visitante é de titularidade da Instituição anfitriã</w:t>
      </w:r>
      <w:r w:rsidR="008411EA">
        <w:rPr>
          <w:rFonts w:ascii="Arial" w:hAnsi="Arial"/>
          <w:sz w:val="20"/>
        </w:rPr>
        <w:t xml:space="preserve">. </w:t>
      </w:r>
      <w:r>
        <w:rPr>
          <w:rFonts w:ascii="Arial" w:hAnsi="Arial"/>
          <w:sz w:val="20"/>
        </w:rPr>
        <w:t>Nos casos em que a P&amp;D pode ter sido iniciada na própria Instituição do Visitante, a cotitularidade pode ser apropriada</w:t>
      </w:r>
      <w:r w:rsidR="008411EA">
        <w:rPr>
          <w:rFonts w:ascii="Arial" w:hAnsi="Arial"/>
          <w:sz w:val="20"/>
        </w:rPr>
        <w:t xml:space="preserve">. </w:t>
      </w:r>
      <w:r>
        <w:rPr>
          <w:rFonts w:ascii="Arial" w:hAnsi="Arial"/>
          <w:sz w:val="20"/>
        </w:rPr>
        <w:t>Entretanto, para evitar as armadilhas da cotitularidade, é recomendável que os detalhes de quem será responsável pela comercialização dessa PI sejam detalhados no contrato de nomeação ou mesmo na Política de PI.</w:t>
      </w:r>
    </w:p>
    <w:p w14:paraId="06D839C7" w14:textId="77777777" w:rsidR="00E17BEE" w:rsidRPr="0024467F" w:rsidRDefault="00E17BEE" w:rsidP="00E17BEE">
      <w:pPr>
        <w:pStyle w:val="ListParagraph"/>
        <w:tabs>
          <w:tab w:val="left" w:pos="1701"/>
        </w:tabs>
        <w:autoSpaceDE w:val="0"/>
        <w:autoSpaceDN w:val="0"/>
        <w:adjustRightInd w:val="0"/>
        <w:spacing w:after="0" w:line="240" w:lineRule="auto"/>
        <w:ind w:left="426"/>
        <w:jc w:val="both"/>
        <w:rPr>
          <w:rFonts w:ascii="Arial" w:hAnsi="Arial" w:cs="Arial"/>
        </w:rPr>
      </w:pPr>
    </w:p>
    <w:p w14:paraId="302D300E" w14:textId="77777777" w:rsidR="00E17BEE" w:rsidRPr="00AC7ADD" w:rsidRDefault="0043748B" w:rsidP="00E17BEE">
      <w:pPr>
        <w:rPr>
          <w:rFonts w:ascii="Arial" w:eastAsia="Times New Roman" w:hAnsi="Arial" w:cs="Arial"/>
          <w:b/>
          <w:color w:val="0070C0"/>
          <w:sz w:val="24"/>
        </w:rPr>
      </w:pPr>
      <w:r>
        <w:rPr>
          <w:rFonts w:ascii="Arial" w:hAnsi="Arial"/>
          <w:b/>
          <w:color w:val="0070C0"/>
          <w:sz w:val="24"/>
        </w:rPr>
        <w:t>Artigo 5.3.2 - PI da Instituição</w:t>
      </w:r>
    </w:p>
    <w:p w14:paraId="50995BBB" w14:textId="4AD9CD88"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5.3.2, </w:t>
      </w:r>
      <w:r>
        <w:rPr>
          <w:rFonts w:ascii="Arial" w:hAnsi="Arial"/>
          <w:b/>
          <w:i/>
          <w:sz w:val="20"/>
        </w:rPr>
        <w:t>Ao sair da Instituição, o Visitante deverá assinar […] uma Divulgação de PI</w:t>
      </w:r>
      <w:r w:rsidRPr="000814C7">
        <w:rPr>
          <w:rFonts w:ascii="Arial" w:hAnsi="Arial"/>
          <w:bCs/>
          <w:i/>
          <w:iCs/>
          <w:sz w:val="20"/>
        </w:rPr>
        <w:t>:</w:t>
      </w:r>
      <w:r>
        <w:rPr>
          <w:rFonts w:ascii="Arial" w:hAnsi="Arial"/>
          <w:sz w:val="20"/>
        </w:rPr>
        <w:t xml:space="preserve"> Artigos </w:t>
      </w:r>
      <w:hyperlink w:anchor="_Article_8.1_–" w:history="1">
        <w:r>
          <w:rPr>
            <w:rStyle w:val="Hyperlink"/>
            <w:rFonts w:ascii="Arial" w:hAnsi="Arial"/>
            <w:sz w:val="20"/>
          </w:rPr>
          <w:t>8.1.2</w:t>
        </w:r>
      </w:hyperlink>
      <w:r>
        <w:rPr>
          <w:rFonts w:ascii="Arial" w:hAnsi="Arial"/>
          <w:sz w:val="20"/>
        </w:rPr>
        <w:t xml:space="preserve"> e </w:t>
      </w:r>
      <w:hyperlink w:anchor="_Article_8.3_–" w:history="1">
        <w:r>
          <w:rPr>
            <w:rStyle w:val="Hyperlink"/>
            <w:rFonts w:ascii="Arial" w:hAnsi="Arial"/>
            <w:sz w:val="20"/>
          </w:rPr>
          <w:t>8.1.3</w:t>
        </w:r>
      </w:hyperlink>
      <w:r>
        <w:rPr>
          <w:rFonts w:ascii="Arial" w:hAnsi="Arial"/>
          <w:sz w:val="20"/>
        </w:rPr>
        <w:t xml:space="preserve"> definem os procedimentos a serem seguidos para uma divulgação completa.</w:t>
      </w:r>
    </w:p>
    <w:p w14:paraId="2660FC30" w14:textId="77777777" w:rsidR="00014D53" w:rsidRPr="00AC7ADD" w:rsidRDefault="00014D53" w:rsidP="00B7519E">
      <w:pPr>
        <w:tabs>
          <w:tab w:val="left" w:pos="851"/>
        </w:tabs>
        <w:spacing w:before="360" w:after="360"/>
        <w:jc w:val="both"/>
        <w:rPr>
          <w:rFonts w:ascii="Arial" w:hAnsi="Arial" w:cs="Arial"/>
          <w:b/>
          <w:color w:val="0070C0"/>
          <w:sz w:val="24"/>
        </w:rPr>
      </w:pPr>
      <w:r>
        <w:rPr>
          <w:rFonts w:ascii="Arial" w:hAnsi="Arial"/>
          <w:b/>
          <w:color w:val="0070C0"/>
          <w:sz w:val="24"/>
        </w:rPr>
        <w:t>Artigo 5.4 - Regras Especiais para Materiais do Curso</w:t>
      </w:r>
    </w:p>
    <w:p w14:paraId="71B77C73" w14:textId="6942C6B0" w:rsidR="00EC1B44" w:rsidRPr="00AC7ADD" w:rsidRDefault="00EC1B44" w:rsidP="009D4A54">
      <w:pPr>
        <w:pStyle w:val="ListParagraph"/>
        <w:numPr>
          <w:ilvl w:val="0"/>
          <w:numId w:val="49"/>
        </w:numPr>
        <w:autoSpaceDE w:val="0"/>
        <w:autoSpaceDN w:val="0"/>
        <w:adjustRightInd w:val="0"/>
        <w:spacing w:after="0" w:line="240" w:lineRule="auto"/>
        <w:ind w:left="426" w:hanging="426"/>
        <w:jc w:val="both"/>
        <w:rPr>
          <w:rFonts w:ascii="Arial" w:eastAsia="Times New Roman" w:hAnsi="Arial" w:cs="Arial"/>
          <w:sz w:val="20"/>
        </w:rPr>
      </w:pPr>
      <w:r>
        <w:rPr>
          <w:rFonts w:ascii="Arial" w:hAnsi="Arial"/>
          <w:b/>
          <w:sz w:val="20"/>
        </w:rPr>
        <w:t xml:space="preserve">Artigo 5.4.1, </w:t>
      </w:r>
      <w:r>
        <w:rPr>
          <w:rFonts w:ascii="Arial" w:hAnsi="Arial"/>
          <w:b/>
          <w:i/>
          <w:sz w:val="20"/>
        </w:rPr>
        <w:t>Titularidade da instituição</w:t>
      </w:r>
      <w:r w:rsidRPr="000814C7">
        <w:rPr>
          <w:rFonts w:ascii="Arial" w:hAnsi="Arial"/>
          <w:bCs/>
          <w:sz w:val="20"/>
        </w:rPr>
        <w:t>:</w:t>
      </w:r>
      <w:r>
        <w:rPr>
          <w:rFonts w:ascii="Arial" w:hAnsi="Arial"/>
          <w:sz w:val="20"/>
        </w:rPr>
        <w:t xml:space="preserve"> As instituições estão comprometidas com o investimento e desenvolvimento contínuos de materiais do curso e modos de entrega que aproveitem os desenvolvimentos tecnológicos que permitem o aprendizado distribuído e remoto. Os Materiais do Curso agora incluem muitas formas diferentes de PI, como PI em material impresso, mídia digital, conteúdo baseado na web, transmissões, materiais de vídeo e áudio e software.</w:t>
      </w:r>
    </w:p>
    <w:p w14:paraId="272E3EC4" w14:textId="77777777" w:rsidR="00EC1B44" w:rsidRPr="0024467F" w:rsidRDefault="00EC1B44" w:rsidP="00EC1B44">
      <w:pPr>
        <w:spacing w:after="0" w:line="240" w:lineRule="auto"/>
        <w:jc w:val="both"/>
        <w:rPr>
          <w:rFonts w:ascii="Arial" w:eastAsia="Times New Roman" w:hAnsi="Arial" w:cs="Arial"/>
          <w:sz w:val="20"/>
          <w:highlight w:val="yellow"/>
        </w:rPr>
      </w:pPr>
    </w:p>
    <w:p w14:paraId="342AA9C3" w14:textId="4FCA16B5" w:rsidR="00EC1B44" w:rsidRPr="00AC7ADD" w:rsidRDefault="00EC1B44" w:rsidP="009D4A54">
      <w:pPr>
        <w:pStyle w:val="ListParagraph"/>
        <w:numPr>
          <w:ilvl w:val="0"/>
          <w:numId w:val="49"/>
        </w:numPr>
        <w:tabs>
          <w:tab w:val="left" w:pos="426"/>
        </w:tabs>
        <w:spacing w:after="0" w:line="240" w:lineRule="auto"/>
        <w:ind w:left="426" w:hanging="426"/>
        <w:jc w:val="both"/>
        <w:rPr>
          <w:rFonts w:ascii="Arial" w:eastAsia="Times New Roman" w:hAnsi="Arial" w:cs="Arial"/>
          <w:sz w:val="20"/>
        </w:rPr>
      </w:pPr>
      <w:r>
        <w:rPr>
          <w:rFonts w:ascii="Arial" w:hAnsi="Arial"/>
          <w:b/>
          <w:sz w:val="20"/>
        </w:rPr>
        <w:t xml:space="preserve">Artigo 5.4.2, </w:t>
      </w:r>
      <w:r>
        <w:rPr>
          <w:rFonts w:ascii="Arial" w:hAnsi="Arial"/>
          <w:b/>
          <w:i/>
          <w:sz w:val="20"/>
        </w:rPr>
        <w:t>licença</w:t>
      </w:r>
      <w:r w:rsidRPr="000814C7">
        <w:rPr>
          <w:rFonts w:ascii="Arial" w:hAnsi="Arial"/>
          <w:bCs/>
          <w:iCs/>
          <w:sz w:val="20"/>
        </w:rPr>
        <w:t xml:space="preserve">: </w:t>
      </w:r>
      <w:r>
        <w:rPr>
          <w:rFonts w:ascii="Arial" w:hAnsi="Arial"/>
          <w:sz w:val="20"/>
        </w:rPr>
        <w:t>Observação: a definição de Materiais do Curso esclarece que os Materiais do Curso são preparados principalmente para fins de ensino</w:t>
      </w:r>
      <w:r w:rsidR="008411EA">
        <w:rPr>
          <w:rFonts w:ascii="Arial" w:hAnsi="Arial"/>
          <w:sz w:val="20"/>
        </w:rPr>
        <w:t xml:space="preserve">. </w:t>
      </w:r>
      <w:r>
        <w:rPr>
          <w:rFonts w:ascii="Arial" w:hAnsi="Arial"/>
          <w:sz w:val="20"/>
        </w:rPr>
        <w:t>Os criadores dos Materiais do Curso recebem uma licença para usar o Material do Curso para fins de ensino e pesquisa. As instituições geralmente não reivindicam a titularidade de PI em materiais do curso produzidos para uso pessoal e referência no ensino (por exemplo, como notas e anotações pessoais para dar suporte a materiais de ensino e que não são fornecidos aos alunos).</w:t>
      </w:r>
    </w:p>
    <w:p w14:paraId="63BF7F65" w14:textId="77777777" w:rsidR="00014D53" w:rsidRPr="00AC7ADD" w:rsidRDefault="00014D53" w:rsidP="00B7519E">
      <w:pPr>
        <w:tabs>
          <w:tab w:val="left" w:pos="851"/>
        </w:tabs>
        <w:spacing w:before="360" w:after="360"/>
        <w:jc w:val="both"/>
        <w:rPr>
          <w:rFonts w:ascii="Arial" w:hAnsi="Arial" w:cs="Arial"/>
          <w:sz w:val="20"/>
        </w:rPr>
      </w:pPr>
      <w:r>
        <w:rPr>
          <w:rFonts w:ascii="Arial" w:hAnsi="Arial"/>
          <w:b/>
          <w:color w:val="0070C0"/>
          <w:sz w:val="24"/>
        </w:rPr>
        <w:t>Artigo 5.5 - Regras Especiais para Trabalhos Acadêmicos</w:t>
      </w:r>
    </w:p>
    <w:p w14:paraId="44873290" w14:textId="77777777" w:rsidR="00EC1B44" w:rsidRPr="00AC7ADD" w:rsidRDefault="00EC1B44" w:rsidP="00EC1B44">
      <w:pPr>
        <w:spacing w:line="240" w:lineRule="auto"/>
        <w:jc w:val="both"/>
        <w:rPr>
          <w:rFonts w:ascii="Arial" w:hAnsi="Arial" w:cs="Arial"/>
          <w:sz w:val="20"/>
        </w:rPr>
      </w:pPr>
      <w:r>
        <w:rPr>
          <w:rFonts w:ascii="Arial" w:hAnsi="Arial"/>
          <w:sz w:val="20"/>
        </w:rPr>
        <w:t xml:space="preserve">É importante harmonizar as práticas acadêmicas com a Política de PI sobre titularidade de publicações acadêmicas. Duas opções políticas podem ser consideradas. </w:t>
      </w:r>
    </w:p>
    <w:p w14:paraId="11AB953C" w14:textId="77777777"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rPr>
      </w:pPr>
      <w:r>
        <w:rPr>
          <w:rFonts w:ascii="Arial" w:hAnsi="Arial"/>
          <w:sz w:val="20"/>
        </w:rPr>
        <w:t>A primeira opção é lidar com a titularidade de obras protegidas por direitos autorais separadamente das regras de titularidade de outras PI. Por exemplo, a política poderia declarar: “</w:t>
      </w:r>
      <w:r>
        <w:rPr>
          <w:rFonts w:ascii="Arial" w:hAnsi="Arial"/>
          <w:i/>
          <w:sz w:val="20"/>
        </w:rPr>
        <w:t>Os autores possuem direitos autorais, exceto quando o apoio da universidade é usado na criação do trabalho”</w:t>
      </w:r>
      <w:r w:rsidRPr="00AC7ADD">
        <w:rPr>
          <w:rStyle w:val="FootnoteReference"/>
          <w:rFonts w:ascii="Arial" w:eastAsia="Times New Roman" w:hAnsi="Arial" w:cs="Arial"/>
          <w:i/>
          <w:sz w:val="20"/>
          <w:lang w:val="en-US"/>
        </w:rPr>
        <w:footnoteReference w:id="122"/>
      </w:r>
      <w:r>
        <w:rPr>
          <w:rFonts w:ascii="Arial" w:hAnsi="Arial"/>
          <w:sz w:val="20"/>
        </w:rPr>
        <w:t xml:space="preserve"> ou “</w:t>
      </w:r>
      <w:r>
        <w:rPr>
          <w:rFonts w:ascii="Arial" w:hAnsi="Arial"/>
          <w:i/>
          <w:sz w:val="20"/>
        </w:rPr>
        <w:t>Todos os direitos permanecem com o criador, a menos que (a) o trabalho seja feito sob encomenda; (b) o trabalho seja financiado pela universidade; (c) o trabalho seja encomendado pela universidade ou (d) o trabalho faça uso significativo de recursos da universidade</w:t>
      </w:r>
      <w:r>
        <w:rPr>
          <w:rFonts w:ascii="Arial" w:hAnsi="Arial"/>
          <w:sz w:val="20"/>
        </w:rPr>
        <w:t>”</w:t>
      </w:r>
      <w:r w:rsidRPr="00AC7ADD">
        <w:rPr>
          <w:rStyle w:val="FootnoteReference"/>
          <w:rFonts w:ascii="Arial" w:eastAsia="Times New Roman" w:hAnsi="Arial" w:cs="Arial"/>
          <w:sz w:val="20"/>
          <w:lang w:val="en-US"/>
        </w:rPr>
        <w:footnoteReference w:id="123"/>
      </w:r>
      <w:r>
        <w:rPr>
          <w:rFonts w:ascii="Arial" w:hAnsi="Arial"/>
          <w:sz w:val="20"/>
        </w:rPr>
        <w:t xml:space="preserve"> ou “</w:t>
      </w:r>
      <w:r>
        <w:rPr>
          <w:rFonts w:ascii="Arial" w:hAnsi="Arial"/>
          <w:i/>
          <w:sz w:val="20"/>
        </w:rPr>
        <w:t>os Direitos autorais são de titularidade do criador, a menos que a universidade tenha encomendado tal obra</w:t>
      </w:r>
      <w:r>
        <w:rPr>
          <w:rFonts w:ascii="Arial" w:hAnsi="Arial"/>
          <w:sz w:val="20"/>
        </w:rPr>
        <w:t>”</w:t>
      </w:r>
      <w:r w:rsidRPr="00AC7ADD">
        <w:rPr>
          <w:rStyle w:val="FootnoteReference"/>
          <w:rFonts w:ascii="Arial" w:eastAsia="Times New Roman" w:hAnsi="Arial" w:cs="Arial"/>
          <w:sz w:val="20"/>
          <w:lang w:val="en-US"/>
        </w:rPr>
        <w:footnoteReference w:id="124"/>
      </w:r>
      <w:r>
        <w:rPr>
          <w:rFonts w:ascii="Arial" w:hAnsi="Arial"/>
          <w:sz w:val="20"/>
        </w:rPr>
        <w:t>.</w:t>
      </w:r>
    </w:p>
    <w:p w14:paraId="7E88C6E1" w14:textId="77777777" w:rsidR="00EC1B44" w:rsidRPr="0024467F" w:rsidRDefault="00EC1B44" w:rsidP="00EC1B44">
      <w:pPr>
        <w:pStyle w:val="ListParagraph"/>
        <w:autoSpaceDE w:val="0"/>
        <w:autoSpaceDN w:val="0"/>
        <w:adjustRightInd w:val="0"/>
        <w:spacing w:after="0" w:line="240" w:lineRule="auto"/>
        <w:ind w:left="426" w:hanging="294"/>
        <w:jc w:val="both"/>
        <w:rPr>
          <w:rFonts w:ascii="Arial" w:eastAsia="Times New Roman" w:hAnsi="Arial" w:cs="Arial"/>
          <w:sz w:val="20"/>
        </w:rPr>
      </w:pPr>
    </w:p>
    <w:p w14:paraId="6042ACC2" w14:textId="77777777"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rPr>
      </w:pPr>
      <w:r>
        <w:rPr>
          <w:rFonts w:ascii="Arial" w:hAnsi="Arial"/>
          <w:sz w:val="20"/>
        </w:rPr>
        <w:t>Uma segunda opção é prever que a Instituição seja titular, em princípio, de toda a PI criada pelos seus Membros da Equipe, com exceção dos “Trabalhos Acadêmicos”. Exemplos de obras que se enquadram no escopo de “Trabalhos Acadêmicos” são livros; capítulos de livros; artigos; monogramas; blogs; teses e dissertações.</w:t>
      </w:r>
      <w:r>
        <w:rPr>
          <w:rStyle w:val="FootnoteReference"/>
          <w:rFonts w:ascii="Arial" w:hAnsi="Arial"/>
          <w:sz w:val="20"/>
        </w:rPr>
        <w:t xml:space="preserve"> </w:t>
      </w:r>
      <w:r w:rsidRPr="00AC7ADD">
        <w:rPr>
          <w:rStyle w:val="FootnoteReference"/>
          <w:rFonts w:ascii="Arial" w:eastAsia="Times New Roman" w:hAnsi="Arial" w:cs="Arial"/>
          <w:sz w:val="20"/>
          <w:lang w:val="en-US"/>
        </w:rPr>
        <w:footnoteReference w:id="125"/>
      </w:r>
      <w:r>
        <w:rPr>
          <w:rFonts w:ascii="Arial" w:hAnsi="Arial"/>
          <w:sz w:val="20"/>
        </w:rPr>
        <w:t xml:space="preserve">  </w:t>
      </w:r>
    </w:p>
    <w:p w14:paraId="78EA749A" w14:textId="77777777" w:rsidR="00C01408" w:rsidRPr="0024467F" w:rsidRDefault="00C01408" w:rsidP="00734F31">
      <w:pPr>
        <w:spacing w:after="0" w:line="240" w:lineRule="auto"/>
        <w:ind w:left="284" w:hanging="284"/>
        <w:jc w:val="both"/>
        <w:rPr>
          <w:rFonts w:ascii="Arial" w:eastAsia="Times New Roman" w:hAnsi="Arial" w:cs="Arial"/>
          <w:sz w:val="20"/>
        </w:rPr>
      </w:pPr>
    </w:p>
    <w:p w14:paraId="558827E3" w14:textId="77777777" w:rsidR="00194209" w:rsidRPr="00AC7ADD" w:rsidRDefault="00C01408" w:rsidP="00734F31">
      <w:pPr>
        <w:spacing w:line="240" w:lineRule="auto"/>
        <w:jc w:val="both"/>
        <w:rPr>
          <w:rFonts w:ascii="Arial" w:eastAsia="Times New Roman" w:hAnsi="Arial" w:cs="Arial"/>
          <w:sz w:val="20"/>
        </w:rPr>
      </w:pPr>
      <w:r>
        <w:rPr>
          <w:rFonts w:ascii="Arial" w:hAnsi="Arial"/>
          <w:sz w:val="20"/>
        </w:rPr>
        <w:t>O Modelo reflete a segunda opção, que muitas instituições parecem seguir em suas políticas de PI.</w:t>
      </w:r>
      <w:r w:rsidR="00194209" w:rsidRPr="00AC7ADD">
        <w:rPr>
          <w:rStyle w:val="FootnoteReference"/>
          <w:rFonts w:ascii="Arial" w:eastAsia="Times New Roman" w:hAnsi="Arial" w:cs="Arial"/>
          <w:sz w:val="20"/>
          <w:lang w:val="en-US"/>
        </w:rPr>
        <w:footnoteReference w:id="126"/>
      </w:r>
      <w:r>
        <w:rPr>
          <w:rFonts w:ascii="Arial" w:hAnsi="Arial"/>
          <w:sz w:val="20"/>
        </w:rPr>
        <w:t xml:space="preserve">  </w:t>
      </w:r>
    </w:p>
    <w:p w14:paraId="636F17B0" w14:textId="41CD2B73" w:rsidR="00EC1B44" w:rsidRPr="00AC7ADD" w:rsidRDefault="00EC1B44" w:rsidP="00464282">
      <w:pPr>
        <w:pStyle w:val="ListParagraph"/>
        <w:numPr>
          <w:ilvl w:val="1"/>
          <w:numId w:val="3"/>
        </w:numPr>
        <w:shd w:val="clear" w:color="auto" w:fill="FFFFFF"/>
        <w:autoSpaceDE w:val="0"/>
        <w:autoSpaceDN w:val="0"/>
        <w:adjustRightInd w:val="0"/>
        <w:spacing w:after="0" w:line="240" w:lineRule="auto"/>
        <w:ind w:left="426" w:hanging="426"/>
        <w:jc w:val="both"/>
        <w:rPr>
          <w:rFonts w:eastAsia="Times New Roman"/>
          <w:sz w:val="20"/>
        </w:rPr>
      </w:pPr>
      <w:r>
        <w:rPr>
          <w:rFonts w:ascii="Arial" w:hAnsi="Arial"/>
          <w:b/>
          <w:sz w:val="20"/>
        </w:rPr>
        <w:t>Artigo 5.5.1</w:t>
      </w:r>
      <w:r>
        <w:rPr>
          <w:rFonts w:ascii="Arial" w:hAnsi="Arial"/>
          <w:i/>
          <w:sz w:val="20"/>
        </w:rPr>
        <w:t>:</w:t>
      </w:r>
      <w:r>
        <w:rPr>
          <w:rFonts w:ascii="Arial" w:hAnsi="Arial"/>
          <w:sz w:val="20"/>
        </w:rPr>
        <w:t xml:space="preserve"> A Instituição renuncia aos seus direitos autorais sobre os Trabalhos Acadêmicos produzidos exclusivamente para a promoção de uma carreira acadêmica (Artigo 5.1.2). Trabalhos acadêmicos são rotineiramente prescritos como leitura obrigatória ou usados no decurso do ensino (por exemplo, um livro didático prescrito). Isso não torna a Obra Acadêmica parte dos Materiais do Curso. Somente quando uma Obra Acadêmica for incorporada aos Materiais do Curso será aplicada a posição padrão da titularidade de PI institucional.</w:t>
      </w:r>
    </w:p>
    <w:p w14:paraId="37ECAE2E" w14:textId="77777777" w:rsidR="00EC1B44" w:rsidRPr="0024467F" w:rsidRDefault="00EC1B44" w:rsidP="00EC1B44">
      <w:pPr>
        <w:pStyle w:val="ListParagraph"/>
        <w:shd w:val="clear" w:color="auto" w:fill="FFFFFF"/>
        <w:autoSpaceDE w:val="0"/>
        <w:autoSpaceDN w:val="0"/>
        <w:adjustRightInd w:val="0"/>
        <w:spacing w:after="0" w:line="240" w:lineRule="auto"/>
        <w:ind w:left="0"/>
        <w:jc w:val="both"/>
        <w:rPr>
          <w:rFonts w:ascii="Arial" w:eastAsia="Times New Roman" w:hAnsi="Arial" w:cs="Arial"/>
          <w:sz w:val="20"/>
        </w:rPr>
      </w:pPr>
    </w:p>
    <w:p w14:paraId="0DE2DC20" w14:textId="2FC9AB26" w:rsidR="00EC1B44" w:rsidRPr="00AC7ADD" w:rsidRDefault="00EC1B44"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rPr>
      </w:pPr>
      <w:r>
        <w:rPr>
          <w:rFonts w:ascii="Arial" w:hAnsi="Arial"/>
          <w:b/>
          <w:sz w:val="20"/>
        </w:rPr>
        <w:lastRenderedPageBreak/>
        <w:t xml:space="preserve">Artigo 5.5.2 e 5.5.3, </w:t>
      </w:r>
      <w:r>
        <w:rPr>
          <w:rFonts w:ascii="Arial" w:hAnsi="Arial"/>
          <w:b/>
          <w:i/>
          <w:sz w:val="20"/>
        </w:rPr>
        <w:t>Repositório institucional e</w:t>
      </w:r>
      <w:r>
        <w:rPr>
          <w:rFonts w:ascii="Arial" w:hAnsi="Arial"/>
          <w:b/>
          <w:sz w:val="20"/>
        </w:rPr>
        <w:t xml:space="preserve"> </w:t>
      </w:r>
      <w:r>
        <w:rPr>
          <w:rFonts w:ascii="Arial" w:hAnsi="Arial"/>
          <w:b/>
          <w:i/>
          <w:sz w:val="20"/>
        </w:rPr>
        <w:t>Licença para a Instituição</w:t>
      </w:r>
      <w:r w:rsidR="008411EA">
        <w:rPr>
          <w:rFonts w:ascii="Arial" w:hAnsi="Arial"/>
          <w:b/>
          <w:sz w:val="20"/>
        </w:rPr>
        <w:t>.</w:t>
      </w:r>
      <w:r w:rsidR="008411EA" w:rsidRPr="000814C7">
        <w:rPr>
          <w:rFonts w:ascii="Arial" w:hAnsi="Arial"/>
          <w:bCs/>
          <w:sz w:val="20"/>
        </w:rPr>
        <w:t xml:space="preserve"> </w:t>
      </w:r>
      <w:r>
        <w:rPr>
          <w:rFonts w:ascii="Arial" w:hAnsi="Arial"/>
          <w:sz w:val="20"/>
        </w:rPr>
        <w:t>Quando a titularidade dos Trabalhos Acadêmicos pertence aos criadores (Membros da Equipe ou Visitantes), é uma boa prática que certos direitos, para copiar e/ou usar a obra para fins acadêmicos sem royalties, sejam concedidos à Instituição</w:t>
      </w:r>
      <w:r w:rsidR="008411EA">
        <w:rPr>
          <w:rFonts w:ascii="Arial" w:hAnsi="Arial"/>
          <w:sz w:val="20"/>
        </w:rPr>
        <w:t xml:space="preserve">. </w:t>
      </w:r>
    </w:p>
    <w:p w14:paraId="5323810E" w14:textId="77777777" w:rsidR="00982591" w:rsidRPr="0024467F" w:rsidRDefault="00982591" w:rsidP="00734F31">
      <w:pPr>
        <w:pStyle w:val="ListParagraph"/>
        <w:shd w:val="clear" w:color="auto" w:fill="FFFFFF"/>
        <w:autoSpaceDE w:val="0"/>
        <w:autoSpaceDN w:val="0"/>
        <w:adjustRightInd w:val="0"/>
        <w:spacing w:after="0" w:line="240" w:lineRule="auto"/>
        <w:ind w:left="0"/>
        <w:jc w:val="both"/>
        <w:rPr>
          <w:rFonts w:ascii="Arial" w:eastAsia="Times New Roman" w:hAnsi="Arial" w:cs="Arial"/>
          <w:sz w:val="20"/>
        </w:rPr>
      </w:pPr>
    </w:p>
    <w:p w14:paraId="141AD03A" w14:textId="3A160272" w:rsidR="00194209" w:rsidRPr="00AC7ADD" w:rsidRDefault="00C10B33"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rPr>
      </w:pPr>
      <w:r>
        <w:rPr>
          <w:rFonts w:ascii="Arial" w:hAnsi="Arial"/>
          <w:b/>
          <w:sz w:val="20"/>
        </w:rPr>
        <w:t xml:space="preserve">Artigo 5.5.2 e 5.5.3, </w:t>
      </w:r>
      <w:r>
        <w:rPr>
          <w:rFonts w:ascii="Arial" w:hAnsi="Arial"/>
          <w:b/>
          <w:i/>
          <w:sz w:val="20"/>
        </w:rPr>
        <w:t>Licença para a Instituição</w:t>
      </w:r>
      <w:r w:rsidR="008411EA">
        <w:rPr>
          <w:rFonts w:ascii="Arial" w:hAnsi="Arial"/>
          <w:b/>
          <w:sz w:val="20"/>
        </w:rPr>
        <w:t>.</w:t>
      </w:r>
      <w:r w:rsidR="008411EA" w:rsidRPr="000814C7">
        <w:rPr>
          <w:rFonts w:ascii="Arial" w:hAnsi="Arial"/>
          <w:bCs/>
          <w:sz w:val="20"/>
        </w:rPr>
        <w:t xml:space="preserve"> </w:t>
      </w:r>
      <w:r>
        <w:rPr>
          <w:rFonts w:ascii="Arial" w:hAnsi="Arial"/>
          <w:sz w:val="20"/>
        </w:rPr>
        <w:t>Quando a titularidade dos Trabalhos Acadêmicos pertence aos Criadores (Membros da Equipe ou Visitantes), é uma boa prática que certos direitos, para copiar e/ou usar a obra para fins acadêmicos sem royalties, sejam concedidos à Instituição</w:t>
      </w:r>
      <w:r w:rsidR="008411EA">
        <w:rPr>
          <w:rFonts w:ascii="Arial" w:hAnsi="Arial"/>
          <w:sz w:val="20"/>
        </w:rPr>
        <w:t xml:space="preserve">. </w:t>
      </w:r>
    </w:p>
    <w:p w14:paraId="63B30840" w14:textId="77777777" w:rsidR="00C10B33" w:rsidRPr="00AC7ADD" w:rsidRDefault="00C10B33" w:rsidP="00B7519E">
      <w:pPr>
        <w:tabs>
          <w:tab w:val="left" w:pos="851"/>
        </w:tabs>
        <w:spacing w:before="360" w:after="360"/>
        <w:jc w:val="both"/>
        <w:rPr>
          <w:sz w:val="20"/>
        </w:rPr>
      </w:pPr>
      <w:bookmarkStart w:id="176" w:name="_Toc494115971"/>
      <w:r>
        <w:rPr>
          <w:rFonts w:ascii="Arial" w:hAnsi="Arial"/>
          <w:b/>
          <w:color w:val="0070C0"/>
          <w:sz w:val="24"/>
        </w:rPr>
        <w:t>Artigo 5.6 – Direitos Morais</w:t>
      </w:r>
      <w:bookmarkEnd w:id="176"/>
    </w:p>
    <w:p w14:paraId="66506E84" w14:textId="77777777"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sz w:val="20"/>
        </w:rPr>
        <w:t xml:space="preserve">Artigo 5.6.1, </w:t>
      </w:r>
      <w:r>
        <w:rPr>
          <w:rFonts w:ascii="Arial" w:hAnsi="Arial"/>
          <w:b/>
          <w:i/>
          <w:sz w:val="20"/>
        </w:rPr>
        <w:t>reconhecimento</w:t>
      </w:r>
      <w:r>
        <w:rPr>
          <w:rFonts w:ascii="Arial" w:hAnsi="Arial"/>
          <w:sz w:val="20"/>
        </w:rPr>
        <w:t>: Os direitos autorais protegem os direitos morais e econômicos do autor. Os direitos morais dizem respeito à relação entre autores e suas obras. Os direitos morais dos autores incluem, entre outros, o direito à paternidade e o direito à integridade. O direito de paternidade é o direito de ser identificado como autor da obra. O direito à integridade é o direito de se opor ao tratamento depreciativo da obra.</w:t>
      </w:r>
    </w:p>
    <w:p w14:paraId="36ACB40A" w14:textId="77777777" w:rsidR="00EC1B44" w:rsidRPr="0024467F" w:rsidRDefault="00EC1B44" w:rsidP="00EC1B44">
      <w:pPr>
        <w:spacing w:after="0" w:line="240" w:lineRule="auto"/>
        <w:ind w:left="426" w:hanging="426"/>
        <w:jc w:val="both"/>
        <w:rPr>
          <w:rFonts w:ascii="Arial" w:hAnsi="Arial" w:cs="Arial"/>
          <w:sz w:val="20"/>
          <w:szCs w:val="32"/>
        </w:rPr>
      </w:pPr>
    </w:p>
    <w:p w14:paraId="1A83C7AA" w14:textId="77777777"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sz w:val="20"/>
        </w:rPr>
        <w:t xml:space="preserve">Artigo 5.6.2, </w:t>
      </w:r>
      <w:r>
        <w:rPr>
          <w:rFonts w:ascii="Arial" w:hAnsi="Arial"/>
          <w:b/>
          <w:i/>
          <w:sz w:val="20"/>
        </w:rPr>
        <w:t>direitos concedidos</w:t>
      </w:r>
      <w:r>
        <w:rPr>
          <w:rFonts w:ascii="Arial" w:hAnsi="Arial"/>
          <w:sz w:val="20"/>
        </w:rPr>
        <w:t>: É importante reconhecer que, apesar do fato de os direitos autorais pertencerem à Instituição, o funcionário-autor ainda é capaz de fazer valer seus direitos morais sobre a obra.</w:t>
      </w:r>
    </w:p>
    <w:p w14:paraId="4C8F8B0A" w14:textId="77777777" w:rsidR="00EC1B44" w:rsidRPr="0024467F" w:rsidRDefault="00EC1B44" w:rsidP="00EC1B44">
      <w:pPr>
        <w:spacing w:after="0" w:line="240" w:lineRule="auto"/>
        <w:ind w:left="426" w:hanging="426"/>
        <w:jc w:val="both"/>
        <w:rPr>
          <w:rFonts w:ascii="Arial" w:hAnsi="Arial" w:cs="Arial"/>
          <w:sz w:val="20"/>
          <w:szCs w:val="32"/>
        </w:rPr>
      </w:pPr>
    </w:p>
    <w:p w14:paraId="39D5E702" w14:textId="7708A8A0"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sz w:val="20"/>
        </w:rPr>
        <w:t xml:space="preserve">Artigo 5.6.3, </w:t>
      </w:r>
      <w:r>
        <w:rPr>
          <w:rFonts w:ascii="Arial" w:hAnsi="Arial"/>
          <w:b/>
          <w:i/>
          <w:sz w:val="20"/>
        </w:rPr>
        <w:t>nenhuma renúncia</w:t>
      </w:r>
      <w:r w:rsidRPr="000814C7">
        <w:rPr>
          <w:rFonts w:ascii="Arial" w:hAnsi="Arial"/>
          <w:bCs/>
          <w:iCs/>
          <w:sz w:val="20"/>
        </w:rPr>
        <w:t>:</w:t>
      </w:r>
      <w:r>
        <w:rPr>
          <w:rFonts w:ascii="Arial" w:hAnsi="Arial"/>
          <w:sz w:val="20"/>
        </w:rPr>
        <w:t xml:space="preserve"> Em alguns sistemas nacionais, os direitos morais podem ser renunciados. A Política de PI prevê que a Instituição não exigirá que os Membros da Equipe, Visitantes ou Alunos renunciem aos seus direitos morais como uma condição de emprego, nomeação, matrícula ou financiamento, com a fonte de financiamento incluindo fundos públicos ou financiamento de uma parte externa ou patrocinador.</w:t>
      </w:r>
    </w:p>
    <w:p w14:paraId="5E0C128A" w14:textId="77777777" w:rsidR="002414E6" w:rsidRPr="00AC7ADD" w:rsidRDefault="002414E6" w:rsidP="00B7519E">
      <w:pPr>
        <w:tabs>
          <w:tab w:val="left" w:pos="851"/>
        </w:tabs>
        <w:spacing w:before="360" w:after="360"/>
        <w:jc w:val="both"/>
        <w:rPr>
          <w:sz w:val="20"/>
        </w:rPr>
      </w:pPr>
      <w:bookmarkStart w:id="177" w:name="_Toc494115972"/>
      <w:r>
        <w:rPr>
          <w:rFonts w:ascii="Arial" w:hAnsi="Arial"/>
          <w:b/>
          <w:color w:val="0070C0"/>
          <w:sz w:val="24"/>
        </w:rPr>
        <w:t>Artigo 5.7 – Domínio Público</w:t>
      </w:r>
      <w:bookmarkEnd w:id="177"/>
    </w:p>
    <w:p w14:paraId="103017AB" w14:textId="77777777"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rPr>
      </w:pPr>
      <w:r>
        <w:rPr>
          <w:rFonts w:ascii="Arial" w:hAnsi="Arial"/>
          <w:b/>
          <w:sz w:val="20"/>
        </w:rPr>
        <w:t>Artigo 5.7.1 e 2,</w:t>
      </w:r>
      <w:r>
        <w:rPr>
          <w:rFonts w:ascii="Arial" w:hAnsi="Arial"/>
          <w:b/>
          <w:color w:val="000000" w:themeColor="text1"/>
          <w:sz w:val="20"/>
        </w:rPr>
        <w:t xml:space="preserve"> </w:t>
      </w:r>
      <w:r>
        <w:rPr>
          <w:rFonts w:ascii="Arial" w:hAnsi="Arial"/>
          <w:b/>
          <w:i/>
          <w:color w:val="000000" w:themeColor="text1"/>
          <w:sz w:val="20"/>
        </w:rPr>
        <w:t>Domínio Público e liberação para o domínio público</w:t>
      </w:r>
      <w:r>
        <w:rPr>
          <w:rFonts w:ascii="Arial" w:hAnsi="Arial"/>
          <w:color w:val="000000" w:themeColor="text1"/>
          <w:sz w:val="20"/>
        </w:rPr>
        <w:t xml:space="preserve">: </w:t>
      </w:r>
      <w:r>
        <w:rPr>
          <w:rFonts w:ascii="Arial" w:hAnsi="Arial"/>
          <w:sz w:val="20"/>
        </w:rPr>
        <w:t>A comercialização de PI pode nem sempre ser apropriada e, às vezes, é de melhor interesse da transferência de conhecimento colocar a PI em domínio público sem registrar a PI para proteção e/ou tornar a PI um código aberto por uma taxa nominal ou de graça. Os modelos tradicionais de exploração de conteúdos em geral estão sendo desafiados por modelos como o movimento internacional de acesso aberto à pesquisa</w:t>
      </w:r>
      <w:r w:rsidRPr="00AC7ADD">
        <w:rPr>
          <w:rStyle w:val="FootnoteReference"/>
          <w:rFonts w:ascii="Arial" w:hAnsi="Arial" w:cs="Arial"/>
          <w:sz w:val="20"/>
          <w:lang w:val="en-US"/>
        </w:rPr>
        <w:footnoteReference w:id="127"/>
      </w:r>
      <w:r>
        <w:rPr>
          <w:rFonts w:ascii="Arial" w:hAnsi="Arial"/>
          <w:sz w:val="20"/>
        </w:rPr>
        <w:t xml:space="preserve"> e o movimento de recursos educacionais abertos (REA).</w:t>
      </w:r>
      <w:r w:rsidRPr="00AC7ADD">
        <w:rPr>
          <w:rStyle w:val="FootnoteReference"/>
          <w:rFonts w:ascii="Arial" w:hAnsi="Arial" w:cs="Arial"/>
          <w:sz w:val="20"/>
          <w:lang w:val="en-US"/>
        </w:rPr>
        <w:footnoteReference w:id="128"/>
      </w:r>
      <w:r>
        <w:rPr>
          <w:rFonts w:ascii="Arial" w:hAnsi="Arial"/>
          <w:sz w:val="20"/>
        </w:rPr>
        <w:t xml:space="preserve"> A decisão de promover a liberação de REA em uma Instituição não implica a liberação de todos os materiais de ensino e aprendizagem sob licenças abertas. Uma política de REA deve oferecer uma variedade de opções: o mesmo material pode ser lançado sob uma licença Creative Commons para uso não comercial e sob uma licença mais restritiva (e/ou com pagamento de royalties) para uso comercial. </w:t>
      </w:r>
    </w:p>
    <w:p w14:paraId="2008C54D" w14:textId="77777777" w:rsidR="00EC1B44" w:rsidRPr="0024467F" w:rsidRDefault="00EC1B44" w:rsidP="000810C3">
      <w:pPr>
        <w:pStyle w:val="ListParagraph"/>
        <w:tabs>
          <w:tab w:val="num" w:pos="426"/>
        </w:tabs>
        <w:spacing w:after="240" w:line="240" w:lineRule="auto"/>
        <w:ind w:left="425" w:hanging="425"/>
        <w:jc w:val="both"/>
        <w:rPr>
          <w:rFonts w:ascii="Arial" w:hAnsi="Arial" w:cs="Arial"/>
          <w:sz w:val="20"/>
        </w:rPr>
      </w:pPr>
    </w:p>
    <w:p w14:paraId="0B85EE12" w14:textId="77777777"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rPr>
      </w:pPr>
      <w:r>
        <w:rPr>
          <w:rFonts w:ascii="Arial" w:hAnsi="Arial"/>
          <w:sz w:val="20"/>
        </w:rPr>
        <w:t>Os REA têm implicações para titularidade e autoria.</w:t>
      </w:r>
      <w:r w:rsidRPr="00AC7ADD">
        <w:rPr>
          <w:rStyle w:val="FootnoteReference"/>
          <w:rFonts w:ascii="Arial" w:hAnsi="Arial" w:cs="Arial"/>
          <w:sz w:val="20"/>
          <w:lang w:val="en-US"/>
        </w:rPr>
        <w:footnoteReference w:id="129"/>
      </w:r>
      <w:r>
        <w:rPr>
          <w:rFonts w:ascii="Arial" w:hAnsi="Arial"/>
          <w:sz w:val="20"/>
        </w:rPr>
        <w:t xml:space="preserve"> Os Materiais do Curso que incorporam material de terceiros (licenciamento interno), bem como REA, devem ser identificados e sinalizados. Essa PI da instituição não deve ser divulgada como REA a menos que todos os direitos tenham sido liberados. A liberação de direitos sobre material de terceiros (material licenciado) dentro do Material do Curso tornará sua divulgação como um REA oneroso em muitos casos (particularmente em relação a conteúdo multimídia com vários titulares de direitos) e a Instituição pode ser responsabilizada por violação de direitos autorais quando o material licenciado for inadvertidamente divulgado como um REA. </w:t>
      </w:r>
    </w:p>
    <w:p w14:paraId="2C0AECE0" w14:textId="77777777" w:rsidR="0043748B" w:rsidRPr="0024467F" w:rsidRDefault="0043748B" w:rsidP="0043748B">
      <w:pPr>
        <w:pStyle w:val="ListParagraph"/>
        <w:spacing w:after="240" w:line="240" w:lineRule="auto"/>
        <w:ind w:left="425"/>
        <w:jc w:val="both"/>
        <w:rPr>
          <w:rFonts w:ascii="Arial" w:hAnsi="Arial" w:cs="Arial"/>
          <w:sz w:val="20"/>
        </w:rPr>
      </w:pPr>
    </w:p>
    <w:p w14:paraId="3A2E1A07" w14:textId="77777777" w:rsidR="00EC1B44" w:rsidRPr="00AC7ADD" w:rsidRDefault="0043748B" w:rsidP="009D4A54">
      <w:pPr>
        <w:pStyle w:val="ListParagraph"/>
        <w:numPr>
          <w:ilvl w:val="0"/>
          <w:numId w:val="51"/>
        </w:numPr>
        <w:autoSpaceDE w:val="0"/>
        <w:autoSpaceDN w:val="0"/>
        <w:adjustRightInd w:val="0"/>
        <w:spacing w:after="0" w:line="240" w:lineRule="auto"/>
        <w:jc w:val="both"/>
        <w:rPr>
          <w:rFonts w:ascii="Arial" w:hAnsi="Arial" w:cs="Arial"/>
          <w:sz w:val="20"/>
        </w:rPr>
      </w:pPr>
      <w:r>
        <w:rPr>
          <w:rFonts w:ascii="Arial" w:hAnsi="Arial"/>
          <w:b/>
          <w:sz w:val="20"/>
        </w:rPr>
        <w:lastRenderedPageBreak/>
        <w:t>Opção</w:t>
      </w:r>
      <w:r w:rsidRPr="000814C7">
        <w:rPr>
          <w:rFonts w:ascii="Arial" w:hAnsi="Arial"/>
          <w:bCs/>
          <w:sz w:val="20"/>
        </w:rPr>
        <w:t>.</w:t>
      </w:r>
      <w:r>
        <w:rPr>
          <w:rFonts w:ascii="Arial" w:hAnsi="Arial"/>
          <w:sz w:val="20"/>
        </w:rPr>
        <w:t xml:space="preserve"> As seguintes cláusulas podem ser adicionadas, caso a Instituição deseje fazer referência aos direitos dos criadores e das partes externas:</w:t>
      </w:r>
    </w:p>
    <w:p w14:paraId="15A9516B" w14:textId="77777777" w:rsidR="00EC1B44" w:rsidRPr="0024467F" w:rsidRDefault="00EC1B44" w:rsidP="000810C3">
      <w:pPr>
        <w:autoSpaceDE w:val="0"/>
        <w:autoSpaceDN w:val="0"/>
        <w:adjustRightInd w:val="0"/>
        <w:spacing w:after="0" w:line="240" w:lineRule="auto"/>
        <w:jc w:val="both"/>
        <w:rPr>
          <w:rFonts w:ascii="Arial" w:hAnsi="Arial" w:cs="Arial"/>
          <w:sz w:val="20"/>
        </w:rPr>
      </w:pPr>
    </w:p>
    <w:p w14:paraId="1BA5254E" w14:textId="3DB0C59E" w:rsidR="00EC1B44" w:rsidRPr="00AC7ADD" w:rsidRDefault="00EC1B44" w:rsidP="0043748B">
      <w:pPr>
        <w:autoSpaceDE w:val="0"/>
        <w:autoSpaceDN w:val="0"/>
        <w:adjustRightInd w:val="0"/>
        <w:spacing w:after="0" w:line="240" w:lineRule="auto"/>
        <w:ind w:left="851"/>
        <w:jc w:val="both"/>
        <w:rPr>
          <w:rFonts w:ascii="Arial" w:hAnsi="Arial" w:cs="Arial"/>
          <w:sz w:val="20"/>
        </w:rPr>
      </w:pPr>
      <w:r>
        <w:rPr>
          <w:rFonts w:ascii="Arial" w:hAnsi="Arial"/>
          <w:b/>
          <w:sz w:val="20"/>
        </w:rPr>
        <w:t>5.7.X</w:t>
      </w:r>
      <w:r w:rsidR="008411EA">
        <w:rPr>
          <w:rFonts w:ascii="Arial" w:hAnsi="Arial"/>
          <w:b/>
          <w:sz w:val="20"/>
        </w:rPr>
        <w:t xml:space="preserve">. </w:t>
      </w:r>
      <w:r>
        <w:rPr>
          <w:rFonts w:ascii="Arial" w:hAnsi="Arial"/>
          <w:i/>
          <w:sz w:val="20"/>
        </w:rPr>
        <w:t>“Se um Membro da Equipe ou Aluno acredita que é do melhor interesse da transferência de conhecimento colocar a PI no domínio público, ele ou ela deve discutir e concordar com isso com seu Orientador ou Conselheiro Acadêmico ou Supervisor, conforme apropriado”.</w:t>
      </w:r>
    </w:p>
    <w:p w14:paraId="2994D3FD" w14:textId="77777777" w:rsidR="00EC1B44" w:rsidRPr="0024467F" w:rsidRDefault="00EC1B44" w:rsidP="0043748B">
      <w:pPr>
        <w:pStyle w:val="ListParagraph"/>
        <w:autoSpaceDE w:val="0"/>
        <w:autoSpaceDN w:val="0"/>
        <w:adjustRightInd w:val="0"/>
        <w:spacing w:after="0" w:line="240" w:lineRule="auto"/>
        <w:ind w:left="851"/>
        <w:jc w:val="both"/>
        <w:rPr>
          <w:rFonts w:ascii="Arial" w:hAnsi="Arial" w:cs="Arial"/>
          <w:sz w:val="20"/>
        </w:rPr>
      </w:pPr>
    </w:p>
    <w:p w14:paraId="4D9562A8" w14:textId="77777777" w:rsidR="00EC1B44" w:rsidRPr="00AC7ADD" w:rsidRDefault="00EC1B44" w:rsidP="0043748B">
      <w:pPr>
        <w:autoSpaceDE w:val="0"/>
        <w:autoSpaceDN w:val="0"/>
        <w:adjustRightInd w:val="0"/>
        <w:spacing w:after="0" w:line="240" w:lineRule="auto"/>
        <w:ind w:left="851"/>
        <w:jc w:val="both"/>
        <w:rPr>
          <w:rFonts w:ascii="Arial" w:hAnsi="Arial" w:cs="Arial"/>
          <w:sz w:val="20"/>
        </w:rPr>
      </w:pPr>
      <w:r>
        <w:rPr>
          <w:rFonts w:ascii="Arial" w:hAnsi="Arial"/>
          <w:b/>
          <w:sz w:val="20"/>
        </w:rPr>
        <w:t>5.7.X</w:t>
      </w:r>
      <w:r>
        <w:rPr>
          <w:rFonts w:ascii="Arial" w:hAnsi="Arial"/>
          <w:sz w:val="20"/>
        </w:rPr>
        <w:t>. “</w:t>
      </w:r>
      <w:r>
        <w:rPr>
          <w:rFonts w:ascii="Arial" w:hAnsi="Arial"/>
          <w:i/>
          <w:sz w:val="20"/>
        </w:rPr>
        <w:t>Quando a PI estiver sendo criada com o suporte de uma parte externa, o [Orientador ou Conselheiro Acadêmico ou Supervisor, conforme apropriado] deve discutir e concordar com a posição com o EGPI e a parte externa. O [Orientador ou Conselheiro Acadêmico ou Supervisor, conforme apropriado], ou EGPI (quando a PI estiver sendo criada com o suporte de uma parte externa), decidirá com os Membros da Equipe ou Alunos relevantes que criaram a PI se é apropriado colocar a PI em Domínio Público ou torná-la de código aberto, cada um levando em consideração o que o [Orientador ou Conselheiro Acadêmico ou Supervisor, conforme apropriado], ou EGPI (conforme o caso) acredita ser do melhor interesse da Instituição”.</w:t>
      </w:r>
      <w:r w:rsidRPr="00AC7ADD">
        <w:rPr>
          <w:rStyle w:val="FootnoteReference"/>
          <w:rFonts w:ascii="Arial" w:hAnsi="Arial" w:cs="Arial"/>
          <w:i/>
          <w:sz w:val="20"/>
          <w:lang w:val="en-US"/>
        </w:rPr>
        <w:footnoteReference w:id="130"/>
      </w:r>
    </w:p>
    <w:p w14:paraId="76F6A763" w14:textId="77777777" w:rsidR="000D7090" w:rsidRPr="00AC7ADD" w:rsidRDefault="00365FE8" w:rsidP="00B7519E">
      <w:pPr>
        <w:pStyle w:val="Heading3"/>
        <w:spacing w:before="360"/>
        <w:rPr>
          <w:sz w:val="24"/>
        </w:rPr>
      </w:pPr>
      <w:bookmarkStart w:id="178" w:name="_Toc494115974"/>
      <w:bookmarkStart w:id="179" w:name="_Toc516160063"/>
      <w:bookmarkStart w:id="180" w:name="_Toc516219406"/>
      <w:bookmarkStart w:id="181" w:name="_Toc516496048"/>
      <w:bookmarkStart w:id="182" w:name="_Toc516829420"/>
      <w:r>
        <w:rPr>
          <w:sz w:val="24"/>
        </w:rPr>
        <w:t>Recursos Úteis</w:t>
      </w:r>
      <w:bookmarkEnd w:id="178"/>
      <w:r>
        <w:rPr>
          <w:sz w:val="24"/>
        </w:rPr>
        <w:t xml:space="preserve"> Relacionados ao Artigo 5</w:t>
      </w:r>
      <w:bookmarkEnd w:id="179"/>
      <w:bookmarkEnd w:id="180"/>
      <w:bookmarkEnd w:id="181"/>
      <w:bookmarkEnd w:id="182"/>
    </w:p>
    <w:p w14:paraId="6F80716E" w14:textId="77777777" w:rsidR="000D7090" w:rsidRPr="00AC7ADD" w:rsidRDefault="007E14E2"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rPr>
      </w:pPr>
      <w:r>
        <w:rPr>
          <w:rFonts w:ascii="Arial" w:hAnsi="Arial"/>
          <w:b/>
          <w:sz w:val="20"/>
        </w:rPr>
        <w:t>Perguntas frequentes sobre questões de titularidade</w:t>
      </w:r>
      <w:r>
        <w:rPr>
          <w:rFonts w:ascii="Arial" w:hAnsi="Arial"/>
          <w:sz w:val="20"/>
        </w:rPr>
        <w:t xml:space="preserve">. A </w:t>
      </w:r>
      <w:hyperlink r:id="rId91" w:history="1">
        <w:r>
          <w:rPr>
            <w:rStyle w:val="Hyperlink"/>
            <w:rFonts w:ascii="Arial" w:hAnsi="Arial"/>
            <w:sz w:val="20"/>
          </w:rPr>
          <w:t>página da web da OMPI</w:t>
        </w:r>
      </w:hyperlink>
      <w:r>
        <w:rPr>
          <w:rFonts w:ascii="Arial" w:hAnsi="Arial"/>
          <w:sz w:val="20"/>
        </w:rPr>
        <w:t xml:space="preserve"> contém um conjunto de perguntas frequentes sobre questões de titularidade. </w:t>
      </w:r>
    </w:p>
    <w:p w14:paraId="2D8C7B87" w14:textId="77777777" w:rsidR="00C30FBA" w:rsidRPr="0024467F" w:rsidRDefault="00C30FBA" w:rsidP="00C30FBA">
      <w:pPr>
        <w:pStyle w:val="ListParagraph"/>
        <w:shd w:val="clear" w:color="auto" w:fill="FFFFFF"/>
        <w:spacing w:after="0" w:line="240" w:lineRule="auto"/>
        <w:ind w:left="426"/>
        <w:jc w:val="both"/>
        <w:rPr>
          <w:rFonts w:ascii="Arial" w:eastAsia="Times New Roman" w:hAnsi="Arial" w:cs="Arial"/>
          <w:sz w:val="20"/>
        </w:rPr>
      </w:pPr>
    </w:p>
    <w:p w14:paraId="016BB98C" w14:textId="77777777" w:rsidR="00EC1B44" w:rsidRPr="00AC7ADD" w:rsidRDefault="00EC1B44"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rPr>
      </w:pPr>
      <w:r>
        <w:rPr>
          <w:rFonts w:ascii="Arial" w:hAnsi="Arial"/>
          <w:b/>
          <w:sz w:val="20"/>
        </w:rPr>
        <w:t>Questões de direitos autorais</w:t>
      </w:r>
      <w:r>
        <w:rPr>
          <w:rFonts w:ascii="Arial" w:hAnsi="Arial"/>
          <w:sz w:val="20"/>
        </w:rPr>
        <w:t xml:space="preserve"> </w:t>
      </w:r>
      <w:r>
        <w:rPr>
          <w:rFonts w:ascii="Arial" w:hAnsi="Arial"/>
          <w:b/>
          <w:sz w:val="20"/>
        </w:rPr>
        <w:t>incluindo materiais do curso</w:t>
      </w:r>
      <w:r>
        <w:rPr>
          <w:rFonts w:ascii="Arial" w:hAnsi="Arial"/>
          <w:sz w:val="20"/>
        </w:rPr>
        <w:t xml:space="preserve">. </w:t>
      </w:r>
    </w:p>
    <w:p w14:paraId="1CB9D89F" w14:textId="77777777" w:rsidR="007F1924" w:rsidRPr="0024467F" w:rsidRDefault="007F1924" w:rsidP="00B7519E">
      <w:pPr>
        <w:spacing w:line="240" w:lineRule="auto"/>
        <w:ind w:left="709" w:hanging="283"/>
        <w:jc w:val="both"/>
        <w:rPr>
          <w:rFonts w:ascii="Arial" w:eastAsia="Times New Roman" w:hAnsi="Arial" w:cs="Arial"/>
          <w:sz w:val="20"/>
          <w:lang w:val="en-US"/>
        </w:rPr>
      </w:pPr>
      <w:r w:rsidRPr="0024467F">
        <w:rPr>
          <w:rFonts w:ascii="Arial" w:hAnsi="Arial"/>
          <w:sz w:val="20"/>
          <w:lang w:val="en-US"/>
        </w:rPr>
        <w:t xml:space="preserve">- </w:t>
      </w:r>
      <w:r w:rsidRPr="0024467F">
        <w:rPr>
          <w:rFonts w:ascii="Arial" w:hAnsi="Arial"/>
          <w:sz w:val="20"/>
          <w:lang w:val="en-US"/>
        </w:rPr>
        <w:tab/>
        <w:t xml:space="preserve">Universidade da Califórnia </w:t>
      </w:r>
      <w:hyperlink r:id="rId92" w:history="1">
        <w:r w:rsidRPr="0024467F">
          <w:rPr>
            <w:rStyle w:val="Hyperlink"/>
            <w:rFonts w:ascii="Arial" w:hAnsi="Arial"/>
            <w:sz w:val="20"/>
            <w:lang w:val="en-US"/>
          </w:rPr>
          <w:t>Policy on Ownership of Course Materials</w:t>
        </w:r>
      </w:hyperlink>
    </w:p>
    <w:p w14:paraId="20B81E69" w14:textId="77777777" w:rsidR="00334C92" w:rsidRPr="00AC7ADD" w:rsidRDefault="0028017B" w:rsidP="00464282">
      <w:pPr>
        <w:pStyle w:val="ListParagraph"/>
        <w:numPr>
          <w:ilvl w:val="0"/>
          <w:numId w:val="12"/>
        </w:numPr>
        <w:spacing w:line="240" w:lineRule="auto"/>
        <w:ind w:left="426" w:hanging="426"/>
        <w:jc w:val="both"/>
        <w:rPr>
          <w:rFonts w:ascii="Arial" w:hAnsi="Arial" w:cs="Arial"/>
          <w:sz w:val="20"/>
          <w:szCs w:val="32"/>
        </w:rPr>
      </w:pPr>
      <w:r>
        <w:rPr>
          <w:rFonts w:ascii="Arial" w:hAnsi="Arial"/>
          <w:b/>
          <w:sz w:val="20"/>
        </w:rPr>
        <w:t>Informações gerais e boas práticas para titularidade ou gestão de PI</w:t>
      </w:r>
      <w:r>
        <w:rPr>
          <w:rFonts w:ascii="Arial" w:hAnsi="Arial"/>
          <w:sz w:val="20"/>
        </w:rPr>
        <w:t>.</w:t>
      </w:r>
    </w:p>
    <w:p w14:paraId="52736E88" w14:textId="4345A3CB" w:rsidR="007E14E2" w:rsidRPr="00AC7ADD" w:rsidRDefault="007E14E2" w:rsidP="00464282">
      <w:pPr>
        <w:pStyle w:val="ListParagraph"/>
        <w:numPr>
          <w:ilvl w:val="1"/>
          <w:numId w:val="12"/>
        </w:numPr>
        <w:spacing w:line="240" w:lineRule="auto"/>
        <w:ind w:left="709" w:hanging="283"/>
        <w:jc w:val="both"/>
        <w:rPr>
          <w:rFonts w:ascii="Arial" w:hAnsi="Arial" w:cs="Arial"/>
          <w:sz w:val="20"/>
          <w:szCs w:val="32"/>
        </w:rPr>
      </w:pPr>
      <w:r>
        <w:rPr>
          <w:rFonts w:ascii="Arial" w:hAnsi="Arial"/>
          <w:sz w:val="20"/>
        </w:rPr>
        <w:t>Associação para Pesquisa Universitária e Vínculos Industriais (AURIL)</w:t>
      </w:r>
    </w:p>
    <w:p w14:paraId="31644B6F" w14:textId="77777777" w:rsidR="00500E20" w:rsidRPr="0024467F" w:rsidRDefault="00F265CB" w:rsidP="00464282">
      <w:pPr>
        <w:pStyle w:val="ListParagraph"/>
        <w:numPr>
          <w:ilvl w:val="1"/>
          <w:numId w:val="12"/>
        </w:numPr>
        <w:spacing w:line="240" w:lineRule="auto"/>
        <w:ind w:left="709" w:hanging="283"/>
        <w:jc w:val="both"/>
        <w:rPr>
          <w:rFonts w:ascii="Arial" w:hAnsi="Arial" w:cs="Arial"/>
          <w:sz w:val="20"/>
          <w:szCs w:val="32"/>
          <w:lang w:val="en-US"/>
        </w:rPr>
      </w:pPr>
      <w:hyperlink r:id="rId93" w:history="1">
        <w:r w:rsidR="00372C70" w:rsidRPr="0024467F">
          <w:rPr>
            <w:rStyle w:val="Hyperlink"/>
            <w:rFonts w:ascii="Arial" w:hAnsi="Arial"/>
            <w:sz w:val="20"/>
            <w:lang w:val="en-US"/>
          </w:rPr>
          <w:t>Fact Sheet.</w:t>
        </w:r>
      </w:hyperlink>
      <w:hyperlink r:id="rId94" w:history="1">
        <w:r w:rsidR="00372C70" w:rsidRPr="0024467F">
          <w:rPr>
            <w:rStyle w:val="Hyperlink"/>
            <w:rFonts w:ascii="Arial" w:hAnsi="Arial"/>
            <w:sz w:val="20"/>
            <w:lang w:val="en-US"/>
          </w:rPr>
          <w:t xml:space="preserve"> Inventorship, Authorship and Ownership</w:t>
        </w:r>
      </w:hyperlink>
      <w:r w:rsidR="00372C70" w:rsidRPr="0024467F">
        <w:rPr>
          <w:rFonts w:ascii="Arial" w:hAnsi="Arial"/>
          <w:sz w:val="20"/>
          <w:lang w:val="en-US"/>
        </w:rPr>
        <w:t>, DPI Europeu, Central de Ajuda</w:t>
      </w:r>
    </w:p>
    <w:p w14:paraId="6FAEB265" w14:textId="77777777" w:rsidR="00500E20" w:rsidRPr="0024467F" w:rsidRDefault="00F265CB" w:rsidP="00500E20">
      <w:pPr>
        <w:pStyle w:val="ListParagraph"/>
        <w:numPr>
          <w:ilvl w:val="1"/>
          <w:numId w:val="12"/>
        </w:numPr>
        <w:spacing w:line="240" w:lineRule="auto"/>
        <w:ind w:left="709" w:hanging="283"/>
        <w:jc w:val="both"/>
        <w:rPr>
          <w:rFonts w:ascii="Arial" w:hAnsi="Arial" w:cs="Arial"/>
          <w:sz w:val="20"/>
          <w:szCs w:val="32"/>
          <w:lang w:val="en-US"/>
        </w:rPr>
      </w:pPr>
      <w:hyperlink r:id="rId95" w:history="1">
        <w:r w:rsidR="00372C70" w:rsidRPr="0024467F">
          <w:rPr>
            <w:rStyle w:val="Hyperlink"/>
            <w:rFonts w:ascii="Arial" w:hAnsi="Arial"/>
            <w:sz w:val="20"/>
            <w:lang w:val="en-US"/>
          </w:rPr>
          <w:t>Fact Sheet.</w:t>
        </w:r>
      </w:hyperlink>
      <w:hyperlink r:id="rId96" w:history="1">
        <w:r w:rsidR="00372C70" w:rsidRPr="0024467F">
          <w:rPr>
            <w:rStyle w:val="Hyperlink"/>
            <w:rFonts w:ascii="Arial" w:hAnsi="Arial"/>
            <w:sz w:val="20"/>
            <w:lang w:val="en-US"/>
          </w:rPr>
          <w:t xml:space="preserve"> IP Joint Ownership</w:t>
        </w:r>
      </w:hyperlink>
      <w:r w:rsidR="00372C70" w:rsidRPr="0024467F">
        <w:rPr>
          <w:rFonts w:ascii="Arial" w:hAnsi="Arial"/>
          <w:sz w:val="20"/>
          <w:lang w:val="en-US"/>
        </w:rPr>
        <w:t>, DPI Europeu, Central de Ajuda</w:t>
      </w:r>
    </w:p>
    <w:p w14:paraId="1BFEBB10" w14:textId="77777777" w:rsidR="00500E20" w:rsidRPr="00AC7ADD" w:rsidRDefault="00500E20" w:rsidP="00500E20">
      <w:pPr>
        <w:pStyle w:val="ListParagraph"/>
        <w:numPr>
          <w:ilvl w:val="1"/>
          <w:numId w:val="12"/>
        </w:numPr>
        <w:spacing w:line="240" w:lineRule="auto"/>
        <w:ind w:left="709" w:hanging="283"/>
        <w:jc w:val="both"/>
        <w:rPr>
          <w:rFonts w:ascii="Arial" w:hAnsi="Arial" w:cs="Arial"/>
          <w:sz w:val="20"/>
          <w:szCs w:val="32"/>
        </w:rPr>
      </w:pPr>
      <w:r>
        <w:rPr>
          <w:rFonts w:ascii="Arial" w:hAnsi="Arial"/>
          <w:sz w:val="20"/>
        </w:rPr>
        <w:t xml:space="preserve">Para mais informações: veja a lista de recursos fornecidos no </w:t>
      </w:r>
      <w:hyperlink r:id="rId97" w:history="1">
        <w:r>
          <w:rPr>
            <w:rStyle w:val="Hyperlink"/>
            <w:rFonts w:ascii="Arial" w:hAnsi="Arial"/>
            <w:sz w:val="20"/>
          </w:rPr>
          <w:t>site da OMPI</w:t>
        </w:r>
      </w:hyperlink>
      <w:r>
        <w:rPr>
          <w:rFonts w:ascii="Arial" w:hAnsi="Arial"/>
          <w:sz w:val="20"/>
        </w:rPr>
        <w:t>, sob o tema “titularidade da pesquisa universitária”</w:t>
      </w:r>
    </w:p>
    <w:p w14:paraId="165B1DB8" w14:textId="77777777" w:rsidR="00334C92" w:rsidRPr="0024467F" w:rsidRDefault="00334C92" w:rsidP="00334C92">
      <w:pPr>
        <w:pStyle w:val="ListParagraph"/>
        <w:spacing w:line="240" w:lineRule="auto"/>
        <w:ind w:left="426"/>
        <w:jc w:val="both"/>
        <w:rPr>
          <w:rFonts w:ascii="Arial" w:hAnsi="Arial" w:cs="Arial"/>
          <w:sz w:val="20"/>
          <w:szCs w:val="32"/>
        </w:rPr>
      </w:pPr>
    </w:p>
    <w:p w14:paraId="408FEB91" w14:textId="77777777" w:rsidR="00D92319" w:rsidRPr="00AC7ADD" w:rsidRDefault="00D92319" w:rsidP="00464282">
      <w:pPr>
        <w:pStyle w:val="ListParagraph"/>
        <w:numPr>
          <w:ilvl w:val="0"/>
          <w:numId w:val="12"/>
        </w:numPr>
        <w:spacing w:line="240" w:lineRule="auto"/>
        <w:ind w:left="426" w:hanging="426"/>
        <w:jc w:val="both"/>
        <w:rPr>
          <w:rFonts w:ascii="Arial" w:hAnsi="Arial" w:cs="Arial"/>
          <w:sz w:val="20"/>
          <w:szCs w:val="32"/>
        </w:rPr>
      </w:pPr>
      <w:r>
        <w:rPr>
          <w:rFonts w:ascii="Arial" w:hAnsi="Arial"/>
          <w:b/>
          <w:sz w:val="20"/>
        </w:rPr>
        <w:t>PI criada por alunos</w:t>
      </w:r>
      <w:r>
        <w:rPr>
          <w:rFonts w:ascii="Arial" w:hAnsi="Arial"/>
          <w:sz w:val="20"/>
        </w:rPr>
        <w:t>.</w:t>
      </w:r>
    </w:p>
    <w:p w14:paraId="6C4CFDB4" w14:textId="77777777" w:rsidR="007F1924" w:rsidRPr="00AC7ADD" w:rsidRDefault="007F1924" w:rsidP="00464282">
      <w:pPr>
        <w:pStyle w:val="ListParagraph"/>
        <w:numPr>
          <w:ilvl w:val="1"/>
          <w:numId w:val="12"/>
        </w:numPr>
        <w:spacing w:line="240" w:lineRule="auto"/>
        <w:ind w:left="709" w:hanging="283"/>
        <w:jc w:val="both"/>
        <w:rPr>
          <w:rFonts w:ascii="Arial" w:hAnsi="Arial" w:cs="Arial"/>
          <w:sz w:val="20"/>
        </w:rPr>
      </w:pPr>
      <w:r>
        <w:rPr>
          <w:rFonts w:ascii="Arial" w:hAnsi="Arial"/>
          <w:sz w:val="20"/>
        </w:rPr>
        <w:t xml:space="preserve">Para obter exemplos de políticas de PI que tratam de PI de alunos, pesquise </w:t>
      </w:r>
      <w:hyperlink r:id="rId98" w:history="1">
        <w:r>
          <w:rPr>
            <w:rStyle w:val="Hyperlink"/>
            <w:rFonts w:ascii="Arial" w:hAnsi="Arial"/>
            <w:sz w:val="20"/>
          </w:rPr>
          <w:t>Base de dados de políticas de PI da OMPI</w:t>
        </w:r>
      </w:hyperlink>
    </w:p>
    <w:p w14:paraId="60ADCF09" w14:textId="77777777" w:rsidR="007F1924" w:rsidRPr="0024467F" w:rsidRDefault="007F1924" w:rsidP="00464282">
      <w:pPr>
        <w:pStyle w:val="ListParagraph"/>
        <w:numPr>
          <w:ilvl w:val="1"/>
          <w:numId w:val="12"/>
        </w:numPr>
        <w:spacing w:line="240" w:lineRule="auto"/>
        <w:ind w:left="709" w:hanging="283"/>
        <w:jc w:val="both"/>
        <w:rPr>
          <w:rFonts w:ascii="Arial" w:hAnsi="Arial" w:cs="Arial"/>
          <w:sz w:val="20"/>
          <w:lang w:val="en-US"/>
        </w:rPr>
      </w:pPr>
      <w:r w:rsidRPr="0024467F">
        <w:rPr>
          <w:rFonts w:ascii="Arial" w:hAnsi="Arial"/>
          <w:sz w:val="20"/>
          <w:lang w:val="en-US"/>
        </w:rPr>
        <w:t xml:space="preserve">Unico </w:t>
      </w:r>
      <w:hyperlink r:id="rId99" w:history="1">
        <w:r w:rsidRPr="0024467F">
          <w:rPr>
            <w:rStyle w:val="Hyperlink"/>
            <w:rFonts w:ascii="Arial" w:hAnsi="Arial"/>
            <w:sz w:val="20"/>
            <w:lang w:val="en-US"/>
          </w:rPr>
          <w:t>Practical Guide to Students and IP</w:t>
        </w:r>
      </w:hyperlink>
      <w:r w:rsidRPr="0024467F">
        <w:rPr>
          <w:rFonts w:ascii="Arial" w:hAnsi="Arial"/>
          <w:sz w:val="20"/>
          <w:lang w:val="en-US"/>
        </w:rPr>
        <w:t>, PraxisUnico (2006)</w:t>
      </w:r>
    </w:p>
    <w:p w14:paraId="06EC74CC" w14:textId="77777777" w:rsidR="00EC1B44" w:rsidRPr="00AC7ADD" w:rsidRDefault="00EC1B44" w:rsidP="00464282">
      <w:pPr>
        <w:pStyle w:val="ListParagraph"/>
        <w:numPr>
          <w:ilvl w:val="1"/>
          <w:numId w:val="12"/>
        </w:numPr>
        <w:spacing w:line="240" w:lineRule="auto"/>
        <w:ind w:left="709" w:hanging="283"/>
        <w:jc w:val="both"/>
        <w:rPr>
          <w:rFonts w:ascii="Arial" w:hAnsi="Arial" w:cs="Arial"/>
          <w:sz w:val="20"/>
        </w:rPr>
      </w:pPr>
      <w:r>
        <w:rPr>
          <w:rFonts w:ascii="Arial" w:hAnsi="Arial"/>
          <w:sz w:val="20"/>
        </w:rPr>
        <w:t xml:space="preserve">Perguntas frequentes sobre PI em invenções desenvolvidas por alunos: Veja o </w:t>
      </w:r>
      <w:hyperlink r:id="rId100" w:history="1">
        <w:r>
          <w:rPr>
            <w:rStyle w:val="Hyperlink"/>
            <w:rFonts w:ascii="Arial" w:hAnsi="Arial"/>
            <w:sz w:val="20"/>
          </w:rPr>
          <w:t>site</w:t>
        </w:r>
      </w:hyperlink>
      <w:r>
        <w:rPr>
          <w:rFonts w:ascii="Arial" w:hAnsi="Arial"/>
          <w:sz w:val="20"/>
        </w:rPr>
        <w:t xml:space="preserve"> do Sistema Universitário do Missouri </w:t>
      </w:r>
    </w:p>
    <w:p w14:paraId="3849787F" w14:textId="77777777" w:rsidR="00D92319" w:rsidRPr="0024467F" w:rsidRDefault="00D92319" w:rsidP="00D92319">
      <w:pPr>
        <w:pStyle w:val="ListParagraph"/>
        <w:spacing w:line="240" w:lineRule="auto"/>
        <w:ind w:left="426"/>
        <w:jc w:val="both"/>
        <w:rPr>
          <w:rFonts w:ascii="Arial" w:hAnsi="Arial" w:cs="Arial"/>
          <w:sz w:val="20"/>
          <w:szCs w:val="32"/>
        </w:rPr>
      </w:pPr>
    </w:p>
    <w:p w14:paraId="75A0776D" w14:textId="77777777" w:rsidR="00334C92" w:rsidRPr="00AC7ADD" w:rsidRDefault="00334C92" w:rsidP="00464282">
      <w:pPr>
        <w:pStyle w:val="ListParagraph"/>
        <w:numPr>
          <w:ilvl w:val="0"/>
          <w:numId w:val="12"/>
        </w:numPr>
        <w:spacing w:line="240" w:lineRule="auto"/>
        <w:ind w:left="426" w:hanging="426"/>
        <w:jc w:val="both"/>
        <w:rPr>
          <w:rFonts w:ascii="Arial" w:hAnsi="Arial" w:cs="Arial"/>
          <w:sz w:val="20"/>
          <w:szCs w:val="32"/>
        </w:rPr>
      </w:pPr>
      <w:r>
        <w:rPr>
          <w:rFonts w:ascii="Arial" w:hAnsi="Arial"/>
          <w:b/>
          <w:sz w:val="20"/>
        </w:rPr>
        <w:t>Estudos comparativos</w:t>
      </w:r>
      <w:r>
        <w:rPr>
          <w:rFonts w:ascii="Arial" w:hAnsi="Arial"/>
          <w:sz w:val="20"/>
        </w:rPr>
        <w:t xml:space="preserve">. Algumas iniciativas compararam regimes nacionais de titularidade de PI. Veja por exemplo: </w:t>
      </w:r>
    </w:p>
    <w:p w14:paraId="281281E4" w14:textId="77777777" w:rsidR="00334C92" w:rsidRPr="00AC7ADD" w:rsidRDefault="00334C92" w:rsidP="00464282">
      <w:pPr>
        <w:pStyle w:val="ListParagraph"/>
        <w:numPr>
          <w:ilvl w:val="1"/>
          <w:numId w:val="12"/>
        </w:numPr>
        <w:spacing w:line="240" w:lineRule="auto"/>
        <w:ind w:left="709" w:hanging="283"/>
        <w:jc w:val="both"/>
        <w:rPr>
          <w:rFonts w:ascii="Arial" w:hAnsi="Arial" w:cs="Arial"/>
          <w:sz w:val="20"/>
          <w:szCs w:val="32"/>
        </w:rPr>
      </w:pPr>
      <w:r>
        <w:rPr>
          <w:rFonts w:ascii="Arial" w:hAnsi="Arial"/>
          <w:sz w:val="20"/>
        </w:rPr>
        <w:t xml:space="preserve">Um estudo comparativo da OCDE: </w:t>
      </w:r>
      <w:hyperlink r:id="rId101" w:history="1">
        <w:r>
          <w:rPr>
            <w:rStyle w:val="Hyperlink"/>
            <w:rFonts w:ascii="Arial" w:hAnsi="Arial"/>
            <w:sz w:val="20"/>
          </w:rPr>
          <w:t>Turning Science into Business.</w:t>
        </w:r>
      </w:hyperlink>
      <w:hyperlink r:id="rId102" w:history="1">
        <w:r>
          <w:rPr>
            <w:rStyle w:val="Hyperlink"/>
            <w:rFonts w:ascii="Arial" w:hAnsi="Arial"/>
            <w:sz w:val="20"/>
          </w:rPr>
          <w:t xml:space="preserve"> Patenting and Licensing at Public Research Organisations</w:t>
        </w:r>
      </w:hyperlink>
      <w:r>
        <w:rPr>
          <w:rFonts w:ascii="Arial" w:hAnsi="Arial"/>
          <w:sz w:val="20"/>
        </w:rPr>
        <w:t xml:space="preserve"> (2003); </w:t>
      </w:r>
    </w:p>
    <w:p w14:paraId="690DD3E1" w14:textId="77777777" w:rsidR="000D7090" w:rsidRPr="00AC7ADD" w:rsidRDefault="00F265CB" w:rsidP="00464282">
      <w:pPr>
        <w:pStyle w:val="ListParagraph"/>
        <w:numPr>
          <w:ilvl w:val="1"/>
          <w:numId w:val="12"/>
        </w:numPr>
        <w:spacing w:line="240" w:lineRule="auto"/>
        <w:ind w:left="709" w:hanging="283"/>
        <w:jc w:val="both"/>
        <w:rPr>
          <w:rFonts w:ascii="Arial" w:hAnsi="Arial" w:cs="Arial"/>
          <w:sz w:val="20"/>
          <w:szCs w:val="32"/>
        </w:rPr>
      </w:pPr>
      <w:hyperlink r:id="rId103" w:history="1">
        <w:r w:rsidR="00372C70">
          <w:rPr>
            <w:rStyle w:val="Hyperlink"/>
            <w:rFonts w:ascii="Arial" w:hAnsi="Arial"/>
            <w:sz w:val="20"/>
          </w:rPr>
          <w:t>Conjunto de Ferramentas</w:t>
        </w:r>
      </w:hyperlink>
      <w:r w:rsidR="00372C70">
        <w:rPr>
          <w:rFonts w:ascii="Arial" w:hAnsi="Arial"/>
          <w:sz w:val="20"/>
        </w:rPr>
        <w:t xml:space="preserve"> fornecido pelo projeto HEIP-Link coordenado pela Universidade de Alicante, Espanha;</w:t>
      </w:r>
    </w:p>
    <w:p w14:paraId="52864697" w14:textId="77777777" w:rsidR="00CC6A51" w:rsidRPr="00AC7ADD" w:rsidRDefault="00A2792D" w:rsidP="00464282">
      <w:pPr>
        <w:pStyle w:val="ListParagraph"/>
        <w:numPr>
          <w:ilvl w:val="1"/>
          <w:numId w:val="12"/>
        </w:numPr>
        <w:spacing w:line="240" w:lineRule="auto"/>
        <w:ind w:left="709" w:hanging="283"/>
        <w:jc w:val="both"/>
        <w:rPr>
          <w:rStyle w:val="Hyperlink"/>
          <w:color w:val="auto"/>
          <w:sz w:val="20"/>
        </w:rPr>
      </w:pPr>
      <w:r>
        <w:rPr>
          <w:rStyle w:val="Hyperlink"/>
          <w:rFonts w:ascii="Arial" w:hAnsi="Arial"/>
          <w:color w:val="auto"/>
          <w:sz w:val="20"/>
          <w:u w:val="none"/>
        </w:rPr>
        <w:t xml:space="preserve">Ramli, Nasiibah e Zainol, Zinatul (2014), </w:t>
      </w:r>
      <w:hyperlink r:id="rId104" w:history="1">
        <w:r>
          <w:rPr>
            <w:rStyle w:val="Hyperlink"/>
            <w:rFonts w:ascii="Arial" w:hAnsi="Arial"/>
            <w:sz w:val="20"/>
          </w:rPr>
          <w:t>Intellectual Property Ownership in Academia:</w:t>
        </w:r>
      </w:hyperlink>
      <w:hyperlink r:id="rId105" w:history="1">
        <w:r>
          <w:rPr>
            <w:rStyle w:val="Hyperlink"/>
            <w:rFonts w:ascii="Arial" w:hAnsi="Arial"/>
            <w:sz w:val="20"/>
          </w:rPr>
          <w:t xml:space="preserve"> An Analysis, Journal of Intellectual Property Rights</w:t>
        </w:r>
      </w:hyperlink>
      <w:r>
        <w:rPr>
          <w:rStyle w:val="Hyperlink"/>
          <w:rFonts w:ascii="Arial" w:hAnsi="Arial"/>
          <w:color w:val="auto"/>
          <w:sz w:val="20"/>
          <w:u w:val="none"/>
        </w:rPr>
        <w:t>, maio de 2014, pp 177-188; os autores comparam o modelo de titularidade universitária e o modelo de titularidade do inventor da PI;</w:t>
      </w:r>
    </w:p>
    <w:p w14:paraId="044EDF42" w14:textId="77777777" w:rsidR="00A2792D" w:rsidRPr="00AC7ADD" w:rsidRDefault="00371F66" w:rsidP="00464282">
      <w:pPr>
        <w:pStyle w:val="ListParagraph"/>
        <w:numPr>
          <w:ilvl w:val="1"/>
          <w:numId w:val="12"/>
        </w:numPr>
        <w:spacing w:line="240" w:lineRule="auto"/>
        <w:ind w:left="709" w:hanging="283"/>
        <w:jc w:val="both"/>
        <w:rPr>
          <w:rFonts w:ascii="Arial" w:hAnsi="Arial" w:cs="Arial"/>
          <w:sz w:val="20"/>
          <w:szCs w:val="32"/>
        </w:rPr>
      </w:pPr>
      <w:r w:rsidRPr="0024467F">
        <w:rPr>
          <w:rFonts w:ascii="Arial" w:hAnsi="Arial"/>
          <w:sz w:val="20"/>
          <w:lang w:val="en-US"/>
        </w:rPr>
        <w:t xml:space="preserve">Kenney, M. e Patton, D. (2011), </w:t>
      </w:r>
      <w:r w:rsidRPr="0024467F">
        <w:rPr>
          <w:rFonts w:ascii="Arial" w:hAnsi="Arial"/>
          <w:i/>
          <w:sz w:val="20"/>
          <w:lang w:val="en-US"/>
        </w:rPr>
        <w:t xml:space="preserve">Does inventor ownership encourage university research-derived entrepreneurship? </w:t>
      </w:r>
      <w:r>
        <w:rPr>
          <w:rFonts w:ascii="Arial" w:hAnsi="Arial"/>
          <w:i/>
          <w:sz w:val="20"/>
        </w:rPr>
        <w:t>A six university comparison</w:t>
      </w:r>
      <w:r>
        <w:rPr>
          <w:rFonts w:ascii="Arial" w:hAnsi="Arial"/>
          <w:sz w:val="20"/>
        </w:rPr>
        <w:t>, Research Policy, 40 (8) 1100-1112.</w:t>
      </w:r>
    </w:p>
    <w:p w14:paraId="60D796A1" w14:textId="77777777" w:rsidR="00916463" w:rsidRPr="00AC7ADD" w:rsidRDefault="00916463" w:rsidP="00464282">
      <w:pPr>
        <w:pStyle w:val="ListParagraph"/>
        <w:numPr>
          <w:ilvl w:val="1"/>
          <w:numId w:val="12"/>
        </w:numPr>
        <w:spacing w:line="240" w:lineRule="auto"/>
        <w:ind w:left="709" w:hanging="283"/>
        <w:jc w:val="both"/>
        <w:rPr>
          <w:rFonts w:ascii="Arial" w:eastAsiaTheme="minorHAnsi" w:hAnsi="Arial" w:cs="Arial"/>
          <w:sz w:val="20"/>
        </w:rPr>
      </w:pPr>
      <w:r>
        <w:rPr>
          <w:rFonts w:ascii="Arial" w:hAnsi="Arial"/>
          <w:sz w:val="20"/>
        </w:rPr>
        <w:t xml:space="preserve">Um breve histórico das legislações de transferência de tecnologia universitária, veja </w:t>
      </w:r>
      <w:hyperlink r:id="rId106" w:history="1">
        <w:r>
          <w:rPr>
            <w:rStyle w:val="Hyperlink"/>
            <w:rFonts w:ascii="Arial" w:hAnsi="Arial"/>
            <w:sz w:val="20"/>
          </w:rPr>
          <w:t>Harnessing public research for innovation – the role of Intellectual Property</w:t>
        </w:r>
      </w:hyperlink>
      <w:r>
        <w:rPr>
          <w:rFonts w:ascii="Arial" w:hAnsi="Arial"/>
          <w:sz w:val="20"/>
        </w:rPr>
        <w:t>, Caixa 4.2 e e tabela A.4.1 Anexa, no livro: World Intellectual Property Report 2011 The Changing Face of Innovation, Capítulo: 4.</w:t>
      </w:r>
    </w:p>
    <w:p w14:paraId="49BA8C68" w14:textId="77777777" w:rsidR="00D92319" w:rsidRPr="0024467F" w:rsidRDefault="00D92319" w:rsidP="00D92319">
      <w:pPr>
        <w:pStyle w:val="ListParagraph"/>
        <w:spacing w:line="240" w:lineRule="auto"/>
        <w:ind w:left="709"/>
        <w:jc w:val="both"/>
        <w:rPr>
          <w:rFonts w:ascii="Arial" w:hAnsi="Arial" w:cs="Arial"/>
          <w:sz w:val="20"/>
          <w:szCs w:val="32"/>
        </w:rPr>
      </w:pPr>
    </w:p>
    <w:p w14:paraId="14A95D88" w14:textId="77777777" w:rsidR="005345FE" w:rsidRPr="00AC7ADD" w:rsidRDefault="005345FE" w:rsidP="00464282">
      <w:pPr>
        <w:pStyle w:val="ListParagraph"/>
        <w:numPr>
          <w:ilvl w:val="0"/>
          <w:numId w:val="12"/>
        </w:numPr>
        <w:spacing w:line="240" w:lineRule="auto"/>
        <w:ind w:left="426" w:hanging="426"/>
        <w:jc w:val="both"/>
        <w:rPr>
          <w:rFonts w:ascii="Arial" w:hAnsi="Arial" w:cs="Arial"/>
          <w:b/>
          <w:sz w:val="20"/>
          <w:szCs w:val="32"/>
        </w:rPr>
      </w:pPr>
      <w:r>
        <w:rPr>
          <w:rFonts w:ascii="Arial" w:hAnsi="Arial"/>
          <w:b/>
          <w:sz w:val="20"/>
        </w:rPr>
        <w:lastRenderedPageBreak/>
        <w:t>Fluxograma de Titularidade de PI</w:t>
      </w:r>
    </w:p>
    <w:p w14:paraId="4075E586" w14:textId="77777777" w:rsidR="005345FE" w:rsidRPr="00AC7ADD" w:rsidRDefault="00F265CB" w:rsidP="00464282">
      <w:pPr>
        <w:pStyle w:val="ListParagraph"/>
        <w:numPr>
          <w:ilvl w:val="1"/>
          <w:numId w:val="12"/>
        </w:numPr>
        <w:spacing w:line="240" w:lineRule="auto"/>
        <w:ind w:left="709" w:hanging="283"/>
        <w:jc w:val="both"/>
        <w:rPr>
          <w:rFonts w:ascii="Arial" w:hAnsi="Arial" w:cs="Arial"/>
          <w:sz w:val="20"/>
          <w:szCs w:val="32"/>
        </w:rPr>
      </w:pPr>
      <w:hyperlink r:id="rId107" w:history="1">
        <w:r w:rsidR="005345FE">
          <w:rPr>
            <w:rStyle w:val="Hyperlink"/>
            <w:rFonts w:ascii="Arial" w:hAnsi="Arial"/>
            <w:i/>
            <w:sz w:val="20"/>
          </w:rPr>
          <w:t>Flowchart: who owns IPR?</w:t>
        </w:r>
      </w:hyperlink>
      <w:r w:rsidR="005345FE">
        <w:rPr>
          <w:rFonts w:ascii="Arial" w:hAnsi="Arial"/>
          <w:sz w:val="20"/>
        </w:rPr>
        <w:t xml:space="preserve"> da Universidade de Glasgow é uma introdução prática para entender a política da Universidade sobre o DPI.</w:t>
      </w:r>
    </w:p>
    <w:p w14:paraId="05F32B96" w14:textId="77777777" w:rsidR="005345FE" w:rsidRPr="0024467F" w:rsidRDefault="005345FE" w:rsidP="005345FE">
      <w:pPr>
        <w:pStyle w:val="ListParagraph"/>
        <w:spacing w:line="240" w:lineRule="auto"/>
        <w:ind w:left="426"/>
        <w:jc w:val="both"/>
        <w:rPr>
          <w:rFonts w:ascii="Arial" w:hAnsi="Arial" w:cs="Arial"/>
          <w:sz w:val="20"/>
          <w:szCs w:val="32"/>
        </w:rPr>
      </w:pPr>
    </w:p>
    <w:p w14:paraId="5CDBCE2A" w14:textId="77777777" w:rsidR="00916463" w:rsidRPr="00AC7ADD" w:rsidRDefault="00916463" w:rsidP="00464282">
      <w:pPr>
        <w:pStyle w:val="ListParagraph"/>
        <w:numPr>
          <w:ilvl w:val="0"/>
          <w:numId w:val="12"/>
        </w:numPr>
        <w:spacing w:line="240" w:lineRule="auto"/>
        <w:ind w:left="426" w:hanging="426"/>
        <w:jc w:val="both"/>
        <w:rPr>
          <w:rFonts w:ascii="Arial" w:hAnsi="Arial" w:cs="Arial"/>
          <w:b/>
          <w:sz w:val="20"/>
          <w:szCs w:val="32"/>
        </w:rPr>
      </w:pPr>
      <w:r>
        <w:rPr>
          <w:rFonts w:ascii="Arial" w:hAnsi="Arial"/>
          <w:b/>
          <w:sz w:val="20"/>
        </w:rPr>
        <w:t>Estudo de caso hipotético sobre titularidade</w:t>
      </w:r>
    </w:p>
    <w:p w14:paraId="778115B1" w14:textId="77777777" w:rsidR="00916463" w:rsidRPr="00BF4219" w:rsidRDefault="00F265CB" w:rsidP="00464282">
      <w:pPr>
        <w:pStyle w:val="ListParagraph"/>
        <w:numPr>
          <w:ilvl w:val="1"/>
          <w:numId w:val="12"/>
        </w:numPr>
        <w:spacing w:line="240" w:lineRule="auto"/>
        <w:ind w:left="709" w:hanging="283"/>
        <w:jc w:val="both"/>
        <w:rPr>
          <w:rFonts w:ascii="Arial" w:hAnsi="Arial" w:cs="Arial"/>
          <w:sz w:val="20"/>
          <w:szCs w:val="32"/>
        </w:rPr>
      </w:pPr>
      <w:hyperlink r:id="rId108" w:history="1">
        <w:r w:rsidR="00372C70">
          <w:rPr>
            <w:rStyle w:val="Hyperlink"/>
            <w:rFonts w:ascii="Arial" w:hAnsi="Arial"/>
            <w:sz w:val="20"/>
          </w:rPr>
          <w:t>Conjunto de Ferramentas de PI para Universidades e Instituições de Pesquisa</w:t>
        </w:r>
      </w:hyperlink>
      <w:r w:rsidR="00372C70">
        <w:rPr>
          <w:rFonts w:ascii="Arial" w:hAnsi="Arial"/>
          <w:sz w:val="20"/>
        </w:rPr>
        <w:t>.</w:t>
      </w:r>
    </w:p>
    <w:p w14:paraId="2E2A31D8" w14:textId="77777777" w:rsidR="006F3BD3" w:rsidRPr="0024467F" w:rsidRDefault="006F3BD3" w:rsidP="00E73746">
      <w:pPr>
        <w:pStyle w:val="ListParagraph"/>
        <w:spacing w:line="240" w:lineRule="auto"/>
        <w:ind w:left="1080"/>
        <w:jc w:val="both"/>
        <w:rPr>
          <w:rFonts w:ascii="Arial" w:eastAsiaTheme="minorHAnsi" w:hAnsi="Arial" w:cs="Arial"/>
          <w:sz w:val="20"/>
          <w:lang w:eastAsia="en-US"/>
        </w:rPr>
      </w:pPr>
    </w:p>
    <w:p w14:paraId="23C6FFC4" w14:textId="77777777" w:rsidR="00BE1CD5" w:rsidRPr="0024467F" w:rsidRDefault="00BE1CD5" w:rsidP="00E73746">
      <w:pPr>
        <w:pStyle w:val="ListParagraph"/>
        <w:spacing w:line="240" w:lineRule="auto"/>
        <w:ind w:left="1080"/>
        <w:jc w:val="both"/>
        <w:rPr>
          <w:rFonts w:ascii="Arial" w:hAnsi="Arial" w:cs="Arial"/>
          <w:szCs w:val="32"/>
        </w:rPr>
      </w:pPr>
    </w:p>
    <w:p w14:paraId="2543DF24" w14:textId="77777777" w:rsidR="00B30378" w:rsidRPr="0024467F" w:rsidRDefault="00B30378" w:rsidP="00E73746">
      <w:pPr>
        <w:pStyle w:val="ListParagraph"/>
        <w:spacing w:line="240" w:lineRule="auto"/>
        <w:ind w:left="1080"/>
        <w:jc w:val="both"/>
        <w:rPr>
          <w:rFonts w:ascii="Arial" w:hAnsi="Arial" w:cs="Arial"/>
          <w:szCs w:val="32"/>
        </w:rPr>
      </w:pPr>
    </w:p>
    <w:p w14:paraId="37D42C0A" w14:textId="77777777" w:rsidR="00060558" w:rsidRPr="00AC7ADD" w:rsidRDefault="00060558" w:rsidP="002F3C51">
      <w:pPr>
        <w:pStyle w:val="Heading2"/>
      </w:pPr>
      <w:bookmarkStart w:id="183" w:name="_Toc490821209"/>
      <w:bookmarkStart w:id="184" w:name="_Toc490468521"/>
    </w:p>
    <w:p w14:paraId="61AA4BCE" w14:textId="77777777" w:rsidR="0092285F" w:rsidRPr="00AC7ADD" w:rsidRDefault="00060558" w:rsidP="002F3C51">
      <w:pPr>
        <w:pStyle w:val="Heading2"/>
      </w:pPr>
      <w:bookmarkStart w:id="185" w:name="_Toc516160064"/>
      <w:bookmarkStart w:id="186" w:name="_Toc516219407"/>
      <w:bookmarkStart w:id="187" w:name="_Toc516496049"/>
      <w:bookmarkStart w:id="188" w:name="_Toc516829421"/>
      <w:bookmarkStart w:id="189" w:name="_Toc185241084"/>
      <w:r>
        <w:t xml:space="preserve">ARTIGO 6 – PUBLICAÇÃO, </w:t>
      </w:r>
      <w:bookmarkEnd w:id="183"/>
      <w:r>
        <w:t>NÃO DIVULGAÇÃO</w:t>
      </w:r>
      <w:bookmarkEnd w:id="184"/>
      <w:r>
        <w:t xml:space="preserve"> E SEGREDOS COMERCIAIS</w:t>
      </w:r>
      <w:bookmarkEnd w:id="185"/>
      <w:bookmarkEnd w:id="186"/>
      <w:bookmarkEnd w:id="187"/>
      <w:bookmarkEnd w:id="188"/>
      <w:bookmarkEnd w:id="189"/>
    </w:p>
    <w:p w14:paraId="5D2B054F" w14:textId="77777777" w:rsidR="00E22076" w:rsidRPr="0024467F" w:rsidRDefault="00E22076" w:rsidP="002F3C51">
      <w:pPr>
        <w:pStyle w:val="Heading2"/>
      </w:pPr>
    </w:p>
    <w:p w14:paraId="5677A1FB" w14:textId="77777777" w:rsidR="0092285F" w:rsidRPr="00AC7ADD" w:rsidRDefault="00A03F65" w:rsidP="00B7519E">
      <w:pPr>
        <w:pStyle w:val="Heading3"/>
        <w:spacing w:before="360"/>
        <w:rPr>
          <w:sz w:val="24"/>
        </w:rPr>
      </w:pPr>
      <w:bookmarkStart w:id="190" w:name="_Article_6.1_–"/>
      <w:bookmarkStart w:id="191" w:name="_Toc516160065"/>
      <w:bookmarkStart w:id="192" w:name="_Toc516219408"/>
      <w:bookmarkStart w:id="193" w:name="_Toc516496050"/>
      <w:bookmarkStart w:id="194" w:name="_Toc516829422"/>
      <w:bookmarkStart w:id="195" w:name="_Toc494115976"/>
      <w:bookmarkEnd w:id="190"/>
      <w:r>
        <w:rPr>
          <w:sz w:val="24"/>
        </w:rPr>
        <w:t>Artigo 6.1 – Direito de Publicação</w:t>
      </w:r>
      <w:bookmarkEnd w:id="191"/>
      <w:bookmarkEnd w:id="192"/>
      <w:bookmarkEnd w:id="193"/>
      <w:bookmarkEnd w:id="194"/>
      <w:r>
        <w:rPr>
          <w:sz w:val="24"/>
        </w:rPr>
        <w:t xml:space="preserve"> </w:t>
      </w:r>
      <w:bookmarkEnd w:id="195"/>
    </w:p>
    <w:p w14:paraId="468E04CE" w14:textId="77777777" w:rsidR="009A0D18" w:rsidRPr="00AC7ADD" w:rsidRDefault="00E01BB8" w:rsidP="009D4A54">
      <w:pPr>
        <w:pStyle w:val="ListParagraph"/>
        <w:numPr>
          <w:ilvl w:val="0"/>
          <w:numId w:val="26"/>
        </w:numPr>
        <w:spacing w:after="0" w:line="240" w:lineRule="auto"/>
        <w:ind w:left="426" w:hanging="426"/>
        <w:jc w:val="both"/>
        <w:rPr>
          <w:rFonts w:ascii="Arial" w:hAnsi="Arial" w:cs="Arial"/>
          <w:sz w:val="20"/>
        </w:rPr>
      </w:pPr>
      <w:r>
        <w:rPr>
          <w:rFonts w:ascii="Arial" w:hAnsi="Arial"/>
          <w:sz w:val="20"/>
        </w:rPr>
        <w:t>A grande maioria dos resultados de pesquisa de uma instituição é disponibilizada diretamente ao público em geral por meio de publicação em periódicos ou por divulgação gratuita.</w:t>
      </w:r>
      <w:r w:rsidR="00551240" w:rsidRPr="00AC7ADD">
        <w:rPr>
          <w:rStyle w:val="FootnoteReference"/>
          <w:rFonts w:ascii="Arial" w:hAnsi="Arial" w:cs="Arial"/>
          <w:sz w:val="20"/>
          <w:lang w:val="en-US"/>
        </w:rPr>
        <w:footnoteReference w:id="131"/>
      </w:r>
      <w:r>
        <w:rPr>
          <w:rFonts w:ascii="Arial" w:hAnsi="Arial"/>
          <w:sz w:val="20"/>
        </w:rPr>
        <w:t xml:space="preserve"> A capacidade dos pesquisadores de publicar deve ser bem mantida.</w:t>
      </w:r>
    </w:p>
    <w:p w14:paraId="515B3EE2" w14:textId="77777777" w:rsidR="009A0D18" w:rsidRPr="0024467F" w:rsidRDefault="009A0D18" w:rsidP="009A0D18">
      <w:pPr>
        <w:pStyle w:val="ListParagraph"/>
        <w:spacing w:after="0" w:line="240" w:lineRule="auto"/>
        <w:ind w:left="426"/>
        <w:jc w:val="both"/>
        <w:rPr>
          <w:rFonts w:ascii="Arial" w:hAnsi="Arial" w:cs="Arial"/>
          <w:sz w:val="20"/>
        </w:rPr>
      </w:pPr>
    </w:p>
    <w:p w14:paraId="34883B18" w14:textId="77777777" w:rsidR="009A0D18" w:rsidRPr="00AC7ADD" w:rsidRDefault="009A0D18" w:rsidP="009D4A54">
      <w:pPr>
        <w:pStyle w:val="ListParagraph"/>
        <w:numPr>
          <w:ilvl w:val="0"/>
          <w:numId w:val="26"/>
        </w:numPr>
        <w:spacing w:after="0" w:line="240" w:lineRule="auto"/>
        <w:ind w:left="426" w:hanging="426"/>
        <w:jc w:val="both"/>
        <w:rPr>
          <w:rFonts w:ascii="Arial" w:hAnsi="Arial" w:cs="Arial"/>
          <w:sz w:val="20"/>
        </w:rPr>
      </w:pPr>
      <w:r>
        <w:rPr>
          <w:rFonts w:ascii="Arial" w:hAnsi="Arial"/>
          <w:sz w:val="20"/>
        </w:rPr>
        <w:t xml:space="preserve">Por outro lado, empresas/patrocinadores podem estar preocupados que a publicação possa revelar suas informações confidenciais ou causar perda da PI resultante da pesquisa. Nestes casos, os acordos industriais e a proteção da PI precisam ser considerados, por exemplo: </w:t>
      </w:r>
    </w:p>
    <w:p w14:paraId="694FDD23" w14:textId="77777777" w:rsidR="009A0D18" w:rsidRPr="00AC7ADD" w:rsidRDefault="00E01BB8" w:rsidP="009D4A54">
      <w:pPr>
        <w:pStyle w:val="ListParagraph"/>
        <w:numPr>
          <w:ilvl w:val="1"/>
          <w:numId w:val="26"/>
        </w:numPr>
        <w:spacing w:after="0" w:line="240" w:lineRule="auto"/>
        <w:ind w:left="851" w:hanging="425"/>
        <w:jc w:val="both"/>
        <w:rPr>
          <w:rFonts w:ascii="Arial" w:hAnsi="Arial" w:cs="Arial"/>
          <w:sz w:val="20"/>
        </w:rPr>
      </w:pPr>
      <w:r>
        <w:rPr>
          <w:rFonts w:ascii="Arial" w:hAnsi="Arial"/>
          <w:sz w:val="20"/>
        </w:rPr>
        <w:t xml:space="preserve">educar os pesquisadores sobre a necessidade de registrar um pedido de patente antes da publicação (ver </w:t>
      </w:r>
      <w:hyperlink w:anchor="Box41" w:history="1">
        <w:r>
          <w:rPr>
            <w:rStyle w:val="Hyperlink"/>
            <w:rFonts w:ascii="Arial" w:hAnsi="Arial"/>
            <w:sz w:val="20"/>
          </w:rPr>
          <w:t>Caixa 41</w:t>
        </w:r>
      </w:hyperlink>
      <w:r>
        <w:rPr>
          <w:rFonts w:ascii="Arial" w:hAnsi="Arial"/>
          <w:sz w:val="20"/>
        </w:rPr>
        <w:t xml:space="preserve">); ou </w:t>
      </w:r>
    </w:p>
    <w:p w14:paraId="37E36441" w14:textId="4C1456B3" w:rsidR="00E01BB8" w:rsidRPr="00AC7ADD" w:rsidRDefault="00E01BB8" w:rsidP="009D4A54">
      <w:pPr>
        <w:pStyle w:val="ListParagraph"/>
        <w:numPr>
          <w:ilvl w:val="1"/>
          <w:numId w:val="26"/>
        </w:numPr>
        <w:spacing w:after="0" w:line="240" w:lineRule="auto"/>
        <w:ind w:left="851" w:hanging="425"/>
        <w:jc w:val="both"/>
        <w:rPr>
          <w:rFonts w:ascii="Arial" w:hAnsi="Arial" w:cs="Arial"/>
          <w:sz w:val="20"/>
        </w:rPr>
      </w:pPr>
      <w:r>
        <w:rPr>
          <w:rFonts w:ascii="Arial" w:hAnsi="Arial"/>
          <w:sz w:val="20"/>
        </w:rPr>
        <w:t xml:space="preserve">permitir que os parceiros industriais solicitem atrasos na publicação para acomodar a proteção da PI (veja </w:t>
      </w:r>
      <w:hyperlink w:anchor="Box43" w:history="1">
        <w:r>
          <w:rPr>
            <w:rStyle w:val="Hyperlink"/>
            <w:rFonts w:ascii="Arial" w:hAnsi="Arial"/>
            <w:sz w:val="20"/>
          </w:rPr>
          <w:t>Caixa 43</w:t>
        </w:r>
      </w:hyperlink>
      <w:r>
        <w:rPr>
          <w:rFonts w:ascii="Arial" w:hAnsi="Arial"/>
          <w:sz w:val="20"/>
        </w:rPr>
        <w:t>). O Contrato de Pesquisa pode prever um período de revisão e atraso na publicação (de até alguns dias) para que o patrocinador possa ter certeza de que suas informações confidenciais não serão divulgadas inadvertidamente e para que ele possa identificar invenções, se houver, que ainda não tenham sido divulgadas a ele</w:t>
      </w:r>
      <w:r w:rsidR="008411EA">
        <w:rPr>
          <w:rFonts w:ascii="Arial" w:hAnsi="Arial"/>
          <w:sz w:val="20"/>
        </w:rPr>
        <w:t xml:space="preserve">. </w:t>
      </w:r>
      <w:r>
        <w:rPr>
          <w:rFonts w:ascii="Arial" w:hAnsi="Arial"/>
          <w:sz w:val="20"/>
        </w:rPr>
        <w:t xml:space="preserve">Veja também </w:t>
      </w:r>
      <w:hyperlink w:anchor="_Article_7.7_-" w:history="1">
        <w:r>
          <w:rPr>
            <w:rStyle w:val="Hyperlink"/>
            <w:rFonts w:ascii="Arial" w:hAnsi="Arial"/>
            <w:sz w:val="20"/>
          </w:rPr>
          <w:t>Artigo 7.7.7</w:t>
        </w:r>
      </w:hyperlink>
      <w:r>
        <w:rPr>
          <w:rFonts w:ascii="Arial" w:hAnsi="Arial"/>
          <w:sz w:val="20"/>
        </w:rPr>
        <w:t>.</w:t>
      </w:r>
    </w:p>
    <w:p w14:paraId="2989D19B" w14:textId="77777777" w:rsidR="00E17BEE" w:rsidRPr="00AC7ADD" w:rsidRDefault="00E17BEE" w:rsidP="00B7519E">
      <w:pPr>
        <w:pStyle w:val="Heading3"/>
        <w:spacing w:before="360"/>
        <w:rPr>
          <w:sz w:val="24"/>
        </w:rPr>
      </w:pPr>
      <w:bookmarkStart w:id="196" w:name="_Article_6.2_–"/>
      <w:bookmarkStart w:id="197" w:name="_Toc516160066"/>
      <w:bookmarkStart w:id="198" w:name="_Toc516219409"/>
      <w:bookmarkStart w:id="199" w:name="_Toc516496051"/>
      <w:bookmarkStart w:id="200" w:name="_Toc516829423"/>
      <w:bookmarkEnd w:id="196"/>
      <w:r>
        <w:rPr>
          <w:sz w:val="24"/>
        </w:rPr>
        <w:t>Artigo 6.2 – Não divulgação para proteção de PI</w:t>
      </w:r>
      <w:bookmarkEnd w:id="197"/>
      <w:bookmarkEnd w:id="198"/>
      <w:bookmarkEnd w:id="199"/>
      <w:bookmarkEnd w:id="200"/>
      <w:r>
        <w:rPr>
          <w:sz w:val="24"/>
        </w:rPr>
        <w:t xml:space="preserve"> </w:t>
      </w:r>
    </w:p>
    <w:p w14:paraId="273ADF6F" w14:textId="77777777" w:rsidR="00096C60" w:rsidRPr="00AC7ADD" w:rsidRDefault="009654F3" w:rsidP="009D4A54">
      <w:pPr>
        <w:pStyle w:val="ListParagraph"/>
        <w:numPr>
          <w:ilvl w:val="0"/>
          <w:numId w:val="26"/>
        </w:numPr>
        <w:tabs>
          <w:tab w:val="left" w:pos="567"/>
          <w:tab w:val="left" w:pos="709"/>
        </w:tabs>
        <w:autoSpaceDE w:val="0"/>
        <w:autoSpaceDN w:val="0"/>
        <w:adjustRightInd w:val="0"/>
        <w:spacing w:after="0" w:line="240" w:lineRule="auto"/>
        <w:ind w:left="426" w:hanging="426"/>
        <w:jc w:val="both"/>
        <w:rPr>
          <w:rFonts w:ascii="Arial" w:hAnsi="Arial" w:cs="Arial"/>
          <w:sz w:val="20"/>
        </w:rPr>
      </w:pPr>
      <w:r>
        <w:rPr>
          <w:rFonts w:ascii="Arial" w:hAnsi="Arial"/>
          <w:sz w:val="20"/>
        </w:rPr>
        <w:t>Os Funcionários e Alunos devem estar cientes da necessidade de evitar a divulgação prematura dos resultados da pesquisa a terceiros, incluindo qualquer forma de publicação desses resultados, antes de concluir uma Divulgação de PI e considerar a necessidade de obter proteção de PI.</w:t>
      </w:r>
      <w:r>
        <w:rPr>
          <w:sz w:val="20"/>
        </w:rPr>
        <w:t xml:space="preserve"> </w:t>
      </w:r>
      <w:r>
        <w:rPr>
          <w:rFonts w:ascii="Arial" w:hAnsi="Arial"/>
          <w:sz w:val="20"/>
        </w:rPr>
        <w:t xml:space="preserve">A divulgação pública prematura de uma invenção pode obstruir a proteção e a comercialização da PI relacionada a essa invenção. Portanto, é crucial entender quais tipos de divulgações são destrutivas de novidades segundo as leis de patentes nacionais e internacionais. </w:t>
      </w:r>
    </w:p>
    <w:p w14:paraId="189A5AAD" w14:textId="77777777" w:rsidR="00096C60" w:rsidRPr="0024467F" w:rsidRDefault="00096C60" w:rsidP="00B7519E">
      <w:pPr>
        <w:pStyle w:val="ListParagraph"/>
        <w:tabs>
          <w:tab w:val="left" w:pos="567"/>
          <w:tab w:val="left" w:pos="709"/>
        </w:tabs>
        <w:autoSpaceDE w:val="0"/>
        <w:autoSpaceDN w:val="0"/>
        <w:adjustRightInd w:val="0"/>
        <w:spacing w:after="0" w:line="240" w:lineRule="auto"/>
        <w:ind w:left="426"/>
        <w:jc w:val="both"/>
        <w:rPr>
          <w:rFonts w:ascii="Arial" w:hAnsi="Arial" w:cs="Arial"/>
          <w:sz w:val="20"/>
        </w:rPr>
      </w:pPr>
    </w:p>
    <w:p w14:paraId="74955EE9" w14:textId="77777777"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rPr>
      </w:pPr>
      <w:bookmarkStart w:id="201" w:name="Box41"/>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bookmarkEnd w:id="201"/>
      <w:r>
        <w:rPr>
          <w:rFonts w:ascii="Arial" w:hAnsi="Arial"/>
          <w:b/>
          <w:sz w:val="20"/>
        </w:rPr>
        <w:t xml:space="preserve"> Dicas para Evitar a Divulgação Prematura</w:t>
      </w:r>
    </w:p>
    <w:p w14:paraId="2166F61A" w14:textId="77777777" w:rsidR="00096C60" w:rsidRPr="0024467F"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rPr>
      </w:pPr>
    </w:p>
    <w:p w14:paraId="05FBF4D4" w14:textId="77777777" w:rsidR="00096C60" w:rsidRPr="00AC7ADD" w:rsidRDefault="00576D7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rPr>
      </w:pPr>
      <w:r>
        <w:rPr>
          <w:rFonts w:ascii="Arial" w:hAnsi="Arial"/>
          <w:sz w:val="20"/>
        </w:rPr>
        <w:t>Eduque os funcionários e os alunos sobre como publicar os resultados de suas pesquisas e ainda proteger o valor comercial de sua PI:</w:t>
      </w:r>
    </w:p>
    <w:p w14:paraId="2DEC1107" w14:textId="77777777" w:rsidR="00576D77"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rPr>
      </w:pPr>
      <w:r>
        <w:rPr>
          <w:rFonts w:ascii="Arial" w:hAnsi="Arial"/>
          <w:sz w:val="20"/>
        </w:rPr>
        <w:t>Incentive-os a submeter uma divulgação de PI bem antes de qualquer comunicação ou divulgação pública da invenção;</w:t>
      </w:r>
    </w:p>
    <w:p w14:paraId="5456133B" w14:textId="77777777" w:rsidR="00096C60"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rPr>
      </w:pPr>
      <w:r>
        <w:rPr>
          <w:rFonts w:ascii="Arial" w:hAnsi="Arial"/>
          <w:sz w:val="20"/>
        </w:rPr>
        <w:t xml:space="preserve">Incentive-os a informar ao EGPI sobre qualquer apresentação, palestra, pôster, resumo, descrição de site, descrição de proposta de pesquisa, dissertação, publicação ou outra apresentação pública iminente da invenção. Os resultados de pesquisas que foram </w:t>
      </w:r>
      <w:r>
        <w:rPr>
          <w:rFonts w:ascii="Arial" w:hAnsi="Arial"/>
          <w:sz w:val="20"/>
        </w:rPr>
        <w:lastRenderedPageBreak/>
        <w:t>publicados durante reuniões e conferências como pôsteres e artigos, etc. não são mais novos e não podem ser patenteados;</w:t>
      </w:r>
    </w:p>
    <w:p w14:paraId="052CA889" w14:textId="77777777" w:rsidR="00096C60" w:rsidRPr="00AC7ADD" w:rsidRDefault="00096C60"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rPr>
      </w:pPr>
      <w:r>
        <w:rPr>
          <w:rFonts w:ascii="Arial" w:hAnsi="Arial"/>
          <w:sz w:val="20"/>
        </w:rPr>
        <w:t>O envio de uma publicação para revisão geralmente não constitui uma divulgação prematura, mas os pesquisadores devem demonstrar um grau de diligência marcando o manuscrito como “confidencial”.</w:t>
      </w:r>
    </w:p>
    <w:p w14:paraId="1D4A4B0A" w14:textId="77777777" w:rsidR="00096C60" w:rsidRPr="0024467F"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sz w:val="20"/>
        </w:rPr>
      </w:pPr>
    </w:p>
    <w:p w14:paraId="462D8C1C" w14:textId="77777777" w:rsidR="00096C60" w:rsidRPr="00AC7ADD" w:rsidRDefault="005D352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b/>
          <w:sz w:val="20"/>
          <w:szCs w:val="32"/>
        </w:rPr>
      </w:pPr>
      <w:r>
        <w:rPr>
          <w:rFonts w:ascii="Arial" w:hAnsi="Arial"/>
          <w:sz w:val="20"/>
        </w:rPr>
        <w:t xml:space="preserve">Considere ter uma política de confidencialidade autônoma com diretrizes para a equipe sobre o uso de informações confidenciais (veja </w:t>
      </w:r>
      <w:hyperlink w:anchor="_Useful_Resources_to" w:history="1">
        <w:r>
          <w:rPr>
            <w:rStyle w:val="Hyperlink"/>
            <w:rFonts w:ascii="Arial" w:hAnsi="Arial"/>
            <w:sz w:val="20"/>
          </w:rPr>
          <w:t>Recursos Úteis Relacionados ao Artigo 6</w:t>
        </w:r>
      </w:hyperlink>
      <w:r>
        <w:rPr>
          <w:rFonts w:ascii="Arial" w:hAnsi="Arial"/>
          <w:sz w:val="20"/>
        </w:rPr>
        <w:t xml:space="preserve">). </w:t>
      </w:r>
    </w:p>
    <w:p w14:paraId="5C64E0F7" w14:textId="77777777" w:rsidR="00E17BEE" w:rsidRPr="00AC7ADD" w:rsidRDefault="00E17BEE" w:rsidP="00B7519E">
      <w:pPr>
        <w:pStyle w:val="Heading3"/>
        <w:spacing w:before="360"/>
        <w:rPr>
          <w:rFonts w:eastAsia="Times New Roman"/>
          <w:sz w:val="24"/>
          <w:szCs w:val="24"/>
        </w:rPr>
      </w:pPr>
      <w:bookmarkStart w:id="202" w:name="_Toc516160067"/>
      <w:bookmarkStart w:id="203" w:name="_Toc516219410"/>
      <w:bookmarkStart w:id="204" w:name="_Toc516496052"/>
      <w:bookmarkStart w:id="205" w:name="_Toc516829424"/>
      <w:r>
        <w:rPr>
          <w:sz w:val="24"/>
        </w:rPr>
        <w:t>Artigo 6.3 – Segredos Comerciais</w:t>
      </w:r>
      <w:bookmarkEnd w:id="202"/>
      <w:bookmarkEnd w:id="203"/>
      <w:bookmarkEnd w:id="204"/>
      <w:bookmarkEnd w:id="205"/>
      <w:r>
        <w:rPr>
          <w:sz w:val="24"/>
        </w:rPr>
        <w:t xml:space="preserve"> </w:t>
      </w:r>
    </w:p>
    <w:p w14:paraId="251758EC" w14:textId="45335CB8" w:rsidR="00CD5CAA" w:rsidRPr="00AC7ADD" w:rsidRDefault="00CD5CAA" w:rsidP="009D4A54">
      <w:pPr>
        <w:pStyle w:val="ListParagraph"/>
        <w:numPr>
          <w:ilvl w:val="0"/>
          <w:numId w:val="26"/>
        </w:numPr>
        <w:autoSpaceDE w:val="0"/>
        <w:autoSpaceDN w:val="0"/>
        <w:adjustRightInd w:val="0"/>
        <w:spacing w:after="0" w:line="240" w:lineRule="auto"/>
        <w:ind w:left="426" w:hanging="426"/>
        <w:jc w:val="both"/>
        <w:rPr>
          <w:rFonts w:ascii="Arial" w:hAnsi="Arial" w:cs="Arial"/>
          <w:sz w:val="20"/>
        </w:rPr>
      </w:pPr>
      <w:r>
        <w:rPr>
          <w:rFonts w:ascii="Arial" w:hAnsi="Arial"/>
          <w:sz w:val="20"/>
        </w:rPr>
        <w:t>Cada instituição deve decidir se possuirá e usará segredos comerciais; e o EGPI decidirá caso a caso se abrir mão do alto custo de patentear em favor da proteção de segredos comerciais pode ser uma decisão melhor</w:t>
      </w:r>
      <w:r w:rsidR="008411EA">
        <w:rPr>
          <w:rFonts w:ascii="Arial" w:hAnsi="Arial"/>
          <w:sz w:val="20"/>
        </w:rPr>
        <w:t xml:space="preserve">. </w:t>
      </w:r>
      <w:r>
        <w:rPr>
          <w:rFonts w:ascii="Arial" w:hAnsi="Arial"/>
          <w:sz w:val="20"/>
        </w:rPr>
        <w:t>Vários fatores devem ser avaliados ao decidir entre patentear ou manter um segredo comercial, incluindo</w:t>
      </w:r>
    </w:p>
    <w:p w14:paraId="0BBB0C83" w14:textId="77777777" w:rsidR="00BE113E" w:rsidRPr="0024467F" w:rsidRDefault="00BE113E" w:rsidP="00B7519E">
      <w:pPr>
        <w:autoSpaceDE w:val="0"/>
        <w:autoSpaceDN w:val="0"/>
        <w:adjustRightInd w:val="0"/>
        <w:spacing w:after="0" w:line="240" w:lineRule="auto"/>
        <w:jc w:val="both"/>
        <w:rPr>
          <w:rFonts w:ascii="Arial" w:hAnsi="Arial" w:cs="Arial"/>
          <w:sz w:val="20"/>
        </w:rPr>
      </w:pPr>
    </w:p>
    <w:p w14:paraId="21DBA89A"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rPr>
      </w:pPr>
      <w:r>
        <w:rPr>
          <w:rFonts w:ascii="Arial" w:hAnsi="Arial"/>
          <w:sz w:val="20"/>
        </w:rPr>
        <w:t xml:space="preserve">o custo de patenteamento versus os custos de manutenção do sigilo da tecnologia; </w:t>
      </w:r>
    </w:p>
    <w:p w14:paraId="02DFD977"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rPr>
      </w:pPr>
      <w:r>
        <w:rPr>
          <w:rFonts w:ascii="Arial" w:hAnsi="Arial"/>
          <w:sz w:val="20"/>
        </w:rPr>
        <w:t xml:space="preserve">o risco dos Segredos Comerciais serem divulgados mesmo com o melhor plano de proteção; </w:t>
      </w:r>
    </w:p>
    <w:p w14:paraId="60A66293"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rPr>
      </w:pPr>
      <w:r>
        <w:rPr>
          <w:rFonts w:ascii="Arial" w:hAnsi="Arial"/>
          <w:sz w:val="20"/>
        </w:rPr>
        <w:t xml:space="preserve">o potencial de licenciamento da tecnologia </w:t>
      </w:r>
      <w:r w:rsidRPr="00AC7ADD">
        <w:rPr>
          <w:rStyle w:val="FootnoteReference"/>
          <w:rFonts w:ascii="Arial" w:hAnsi="Arial" w:cs="Arial"/>
          <w:sz w:val="20"/>
          <w:szCs w:val="20"/>
          <w:lang w:val="en-US"/>
        </w:rPr>
        <w:footnoteReference w:id="132"/>
      </w:r>
      <w:r>
        <w:rPr>
          <w:rFonts w:ascii="Arial" w:hAnsi="Arial"/>
          <w:sz w:val="20"/>
        </w:rPr>
        <w:t>;</w:t>
      </w:r>
    </w:p>
    <w:p w14:paraId="6A209205"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rPr>
      </w:pPr>
      <w:r>
        <w:rPr>
          <w:rFonts w:ascii="Arial" w:hAnsi="Arial"/>
          <w:sz w:val="20"/>
        </w:rPr>
        <w:t>a necessidade de divulgar ideias publicamente - por exemplo, para atrair capital</w:t>
      </w:r>
      <w:r w:rsidRPr="00AC7ADD">
        <w:rPr>
          <w:rStyle w:val="FootnoteReference"/>
          <w:rFonts w:ascii="Arial" w:hAnsi="Arial" w:cs="Arial"/>
          <w:sz w:val="20"/>
          <w:szCs w:val="20"/>
          <w:lang w:val="en-US"/>
        </w:rPr>
        <w:footnoteReference w:id="133"/>
      </w:r>
      <w:r>
        <w:rPr>
          <w:rFonts w:ascii="Arial" w:hAnsi="Arial"/>
          <w:sz w:val="20"/>
        </w:rPr>
        <w:t xml:space="preserve">; </w:t>
      </w:r>
    </w:p>
    <w:p w14:paraId="7E8EBAE1"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rPr>
      </w:pPr>
      <w:r>
        <w:rPr>
          <w:rFonts w:ascii="Arial" w:hAnsi="Arial"/>
          <w:sz w:val="20"/>
        </w:rPr>
        <w:t>a taxa de mudança de tecnologia</w:t>
      </w:r>
      <w:r w:rsidRPr="00AC7ADD">
        <w:rPr>
          <w:rStyle w:val="FootnoteReference"/>
          <w:rFonts w:ascii="Arial" w:hAnsi="Arial" w:cs="Arial"/>
          <w:sz w:val="20"/>
          <w:szCs w:val="20"/>
          <w:lang w:val="en-US"/>
        </w:rPr>
        <w:footnoteReference w:id="134"/>
      </w:r>
      <w:r>
        <w:rPr>
          <w:rFonts w:ascii="Arial" w:hAnsi="Arial"/>
          <w:sz w:val="20"/>
        </w:rPr>
        <w:t>;</w:t>
      </w:r>
    </w:p>
    <w:p w14:paraId="44A44D9D"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rPr>
      </w:pPr>
      <w:r>
        <w:rPr>
          <w:rFonts w:ascii="Arial" w:hAnsi="Arial"/>
          <w:sz w:val="20"/>
        </w:rPr>
        <w:t>a possibilidade de fazer engenharia reversa.</w:t>
      </w:r>
      <w:r w:rsidRPr="00AC7ADD">
        <w:rPr>
          <w:rStyle w:val="FootnoteReference"/>
          <w:rFonts w:ascii="Arial" w:hAnsi="Arial" w:cs="Arial"/>
          <w:sz w:val="20"/>
          <w:szCs w:val="20"/>
          <w:lang w:val="en-US"/>
        </w:rPr>
        <w:footnoteReference w:id="135"/>
      </w:r>
      <w:r>
        <w:rPr>
          <w:rFonts w:ascii="Roboto Slab" w:hAnsi="Roboto Slab"/>
          <w:color w:val="333333"/>
          <w:sz w:val="21"/>
        </w:rPr>
        <w:t xml:space="preserve"> </w:t>
      </w:r>
    </w:p>
    <w:p w14:paraId="6E424DE2" w14:textId="77777777" w:rsidR="00CD5CAA" w:rsidRPr="0024467F" w:rsidRDefault="00CD5CAA" w:rsidP="00B7519E">
      <w:pPr>
        <w:pStyle w:val="ListParagraph"/>
        <w:spacing w:line="240" w:lineRule="auto"/>
        <w:ind w:left="851"/>
        <w:jc w:val="both"/>
        <w:rPr>
          <w:rFonts w:ascii="Arial" w:hAnsi="Arial" w:cs="Arial"/>
          <w:sz w:val="20"/>
          <w:szCs w:val="20"/>
        </w:rPr>
      </w:pPr>
    </w:p>
    <w:p w14:paraId="00B2CCBE" w14:textId="053589B7" w:rsidR="00BE113E" w:rsidRPr="00AC7ADD" w:rsidRDefault="00BE113E"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Há uma consideração adicional que pode ser a mais difícil de conciliar para os executivos de transferência de tecnologia</w:t>
      </w:r>
      <w:r w:rsidR="008411EA">
        <w:rPr>
          <w:rFonts w:ascii="Arial" w:hAnsi="Arial"/>
          <w:sz w:val="20"/>
        </w:rPr>
        <w:t xml:space="preserve">. </w:t>
      </w:r>
      <w:r>
        <w:rPr>
          <w:rFonts w:ascii="Arial" w:hAnsi="Arial"/>
          <w:sz w:val="20"/>
        </w:rPr>
        <w:t>Muitos argumentam que é difícil conciliar segredos comerciais com abertura no compartilhamento de conhecimento e liberdade absoluta de publicação, o que faz parte da missão acadêmica</w:t>
      </w:r>
      <w:r w:rsidR="008411EA">
        <w:rPr>
          <w:rFonts w:ascii="Arial" w:hAnsi="Arial"/>
          <w:sz w:val="20"/>
        </w:rPr>
        <w:t xml:space="preserve">. </w:t>
      </w:r>
      <w:r>
        <w:rPr>
          <w:rFonts w:ascii="Arial" w:hAnsi="Arial"/>
          <w:sz w:val="20"/>
        </w:rPr>
        <w:t>Portanto, além de certas categorias excepcionais</w:t>
      </w:r>
      <w:r w:rsidRPr="00AC7ADD">
        <w:rPr>
          <w:rStyle w:val="FootnoteReference"/>
          <w:rFonts w:ascii="Arial" w:hAnsi="Arial" w:cs="Arial"/>
          <w:sz w:val="20"/>
          <w:szCs w:val="20"/>
          <w:lang w:val="en-US"/>
        </w:rPr>
        <w:footnoteReference w:id="136"/>
      </w:r>
      <w:r>
        <w:rPr>
          <w:rFonts w:ascii="Arial" w:hAnsi="Arial"/>
          <w:sz w:val="20"/>
        </w:rPr>
        <w:t xml:space="preserve">, muitas instituições terão reservas quanto à proteção de segredos comerciais (veja o exemplo de Stanford, </w:t>
      </w:r>
      <w:hyperlink w:anchor="Box44" w:history="1">
        <w:r>
          <w:rPr>
            <w:rStyle w:val="Hyperlink"/>
            <w:rFonts w:ascii="Arial" w:hAnsi="Arial"/>
            <w:sz w:val="20"/>
          </w:rPr>
          <w:t>Caixa 44</w:t>
        </w:r>
      </w:hyperlink>
      <w:r>
        <w:rPr>
          <w:rFonts w:ascii="Arial" w:hAnsi="Arial"/>
          <w:sz w:val="20"/>
        </w:rPr>
        <w:t>).</w:t>
      </w:r>
    </w:p>
    <w:p w14:paraId="66654F64" w14:textId="77777777" w:rsidR="00CD5CAA" w:rsidRPr="0024467F" w:rsidRDefault="00CD5CAA" w:rsidP="00B7519E">
      <w:pPr>
        <w:pStyle w:val="ListParagraph"/>
        <w:spacing w:line="240" w:lineRule="auto"/>
        <w:ind w:left="426"/>
        <w:jc w:val="both"/>
        <w:rPr>
          <w:rFonts w:ascii="Arial" w:hAnsi="Arial" w:cs="Arial"/>
          <w:sz w:val="20"/>
        </w:rPr>
      </w:pPr>
    </w:p>
    <w:p w14:paraId="57A39C46" w14:textId="3ECEFC3B" w:rsidR="00BE113E" w:rsidRPr="00AC7ADD" w:rsidRDefault="00BE113E"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Os segredos comerciais também podem ser criados em projetos de pesquisa patrocinados (Contratos de Pesquisa)</w:t>
      </w:r>
      <w:r w:rsidR="008411EA">
        <w:rPr>
          <w:rFonts w:ascii="Arial" w:hAnsi="Arial"/>
          <w:sz w:val="20"/>
        </w:rPr>
        <w:t xml:space="preserve">. </w:t>
      </w:r>
      <w:r>
        <w:rPr>
          <w:rFonts w:ascii="Arial" w:hAnsi="Arial"/>
          <w:sz w:val="20"/>
        </w:rPr>
        <w:t>Neste caso, o patrocinador geralmente exigirá que a Instituição e os criadores preservem o sigilo das informações</w:t>
      </w:r>
      <w:r w:rsidRPr="00AC7ADD">
        <w:rPr>
          <w:rStyle w:val="FootnoteReference"/>
          <w:rFonts w:ascii="Arial" w:hAnsi="Arial" w:cs="Arial"/>
          <w:sz w:val="20"/>
          <w:szCs w:val="20"/>
          <w:lang w:val="en-US"/>
        </w:rPr>
        <w:footnoteReference w:id="137"/>
      </w:r>
      <w:r>
        <w:rPr>
          <w:rFonts w:ascii="Arial" w:hAnsi="Arial"/>
          <w:sz w:val="20"/>
        </w:rPr>
        <w:t xml:space="preserve">. No entanto, devido ao princípio da liberdade de publicação, algumas universidades não permitirão que qualquer informação gerada por seus Membros da Equipe, mesmo sob um contrato de pesquisa patrocinado, seja mantida em segredo (ver </w:t>
      </w:r>
      <w:hyperlink w:anchor="Box30" w:history="1">
        <w:r>
          <w:rPr>
            <w:rStyle w:val="Hyperlink"/>
            <w:rFonts w:ascii="Arial" w:hAnsi="Arial"/>
            <w:sz w:val="20"/>
          </w:rPr>
          <w:t>Caixa 30</w:t>
        </w:r>
      </w:hyperlink>
      <w:r>
        <w:rPr>
          <w:rFonts w:ascii="Arial" w:hAnsi="Arial"/>
          <w:sz w:val="20"/>
        </w:rPr>
        <w:t>).</w:t>
      </w:r>
      <w:r>
        <w:rPr>
          <w:rStyle w:val="FootnoteReference"/>
          <w:rFonts w:ascii="Arial" w:hAnsi="Arial"/>
          <w:sz w:val="20"/>
        </w:rPr>
        <w:t xml:space="preserve"> </w:t>
      </w:r>
      <w:r w:rsidR="006D266E" w:rsidRPr="00AC7ADD">
        <w:rPr>
          <w:rStyle w:val="FootnoteReference"/>
          <w:rFonts w:ascii="Arial" w:eastAsia="Times New Roman" w:hAnsi="Arial" w:cs="Arial"/>
          <w:sz w:val="20"/>
          <w:lang w:val="en-US"/>
        </w:rPr>
        <w:footnoteReference w:id="138"/>
      </w:r>
      <w:r>
        <w:rPr>
          <w:rFonts w:ascii="Arial" w:hAnsi="Arial"/>
          <w:sz w:val="20"/>
        </w:rPr>
        <w:t xml:space="preserve">   </w:t>
      </w:r>
    </w:p>
    <w:p w14:paraId="3AAF12C8" w14:textId="77777777" w:rsidR="002F0D8F" w:rsidRPr="00AC7ADD" w:rsidRDefault="002F0D8F" w:rsidP="001A078F">
      <w:pPr>
        <w:pStyle w:val="Heading3"/>
        <w:spacing w:before="360"/>
        <w:rPr>
          <w:rFonts w:eastAsia="Times New Roman"/>
          <w:sz w:val="24"/>
          <w:szCs w:val="24"/>
        </w:rPr>
      </w:pPr>
      <w:bookmarkStart w:id="206" w:name="_Toc494115978"/>
      <w:bookmarkStart w:id="207" w:name="_Toc516160068"/>
      <w:bookmarkStart w:id="208" w:name="_Toc516219411"/>
      <w:bookmarkStart w:id="209" w:name="_Toc516496053"/>
      <w:bookmarkStart w:id="210" w:name="_Toc516829425"/>
      <w:r>
        <w:rPr>
          <w:sz w:val="24"/>
        </w:rPr>
        <w:lastRenderedPageBreak/>
        <w:t>Exemplos</w:t>
      </w:r>
      <w:bookmarkEnd w:id="206"/>
      <w:r>
        <w:rPr>
          <w:sz w:val="24"/>
        </w:rPr>
        <w:t xml:space="preserve"> das Cláusulas de Confidencialidade e Sigilo</w:t>
      </w:r>
      <w:bookmarkEnd w:id="207"/>
      <w:bookmarkEnd w:id="208"/>
      <w:bookmarkEnd w:id="209"/>
      <w:bookmarkEnd w:id="210"/>
    </w:p>
    <w:p w14:paraId="697044F7" w14:textId="77777777" w:rsidR="00030E4B" w:rsidRPr="00AC7ADD" w:rsidRDefault="00030E4B" w:rsidP="001A078F">
      <w:pPr>
        <w:keepNext/>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de responsabilidades de Confidencialidade – Universidade da Cidade de Londres</w:t>
      </w:r>
      <w:r w:rsidRPr="00AC7ADD">
        <w:rPr>
          <w:rStyle w:val="FootnoteReference"/>
          <w:rFonts w:ascii="Arial" w:hAnsi="Arial" w:cs="Arial"/>
          <w:b/>
          <w:sz w:val="20"/>
          <w:szCs w:val="32"/>
          <w:lang w:val="en-US"/>
        </w:rPr>
        <w:footnoteReference w:id="139"/>
      </w:r>
      <w:r>
        <w:rPr>
          <w:rFonts w:ascii="Arial" w:hAnsi="Arial"/>
          <w:b/>
          <w:sz w:val="20"/>
        </w:rPr>
        <w:t xml:space="preserve"> </w:t>
      </w:r>
    </w:p>
    <w:p w14:paraId="1312AE6C" w14:textId="77777777" w:rsidR="00030E4B" w:rsidRPr="0024467F"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sz w:val="20"/>
        </w:rPr>
      </w:pPr>
    </w:p>
    <w:p w14:paraId="4EBA0DEB"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MT" w:hAnsi="ArialMT" w:cs="ArialMT"/>
          <w:i/>
          <w:sz w:val="20"/>
        </w:rPr>
      </w:pPr>
      <w:r>
        <w:rPr>
          <w:rFonts w:ascii="ArialMT" w:hAnsi="ArialMT"/>
          <w:i/>
          <w:sz w:val="20"/>
        </w:rPr>
        <w:t>“Art. 9.1. Antes e durante projetos ou colaborações com terceiros,</w:t>
      </w:r>
      <w:r>
        <w:rPr>
          <w:rFonts w:ascii="Arial" w:hAnsi="Arial"/>
          <w:i/>
          <w:color w:val="000000" w:themeColor="text1"/>
          <w:sz w:val="20"/>
        </w:rPr>
        <w:t xml:space="preserve"> </w:t>
      </w:r>
      <w:r>
        <w:rPr>
          <w:rFonts w:ascii="Arial" w:hAnsi="Arial"/>
          <w:i/>
          <w:color w:val="000000" w:themeColor="text1"/>
          <w:sz w:val="20"/>
          <w:u w:val="single"/>
        </w:rPr>
        <w:t>todas as pessoas</w:t>
      </w:r>
      <w:r>
        <w:rPr>
          <w:rFonts w:ascii="Arial" w:hAnsi="Arial"/>
          <w:i/>
          <w:color w:val="000000" w:themeColor="text1"/>
          <w:sz w:val="20"/>
        </w:rPr>
        <w:t xml:space="preserve"> vinculadas a esta Política de PI devem </w:t>
      </w:r>
      <w:r>
        <w:rPr>
          <w:rFonts w:ascii="ArialMT" w:hAnsi="ArialMT"/>
          <w:i/>
          <w:sz w:val="20"/>
        </w:rPr>
        <w:t xml:space="preserve">cooperar com a Equipe de Transferência de Tecnologia e/ou com o Escritório de Pesquisa para garantir que, </w:t>
      </w:r>
      <w:r>
        <w:rPr>
          <w:rFonts w:ascii="ArialMT" w:hAnsi="ArialMT"/>
          <w:i/>
          <w:sz w:val="20"/>
          <w:u w:val="single"/>
        </w:rPr>
        <w:t>acordos escritos apropriados relativos à confidencialidade estão em vigor antes do início de qualquer colaboração ou projeto</w:t>
      </w:r>
      <w:r>
        <w:rPr>
          <w:rFonts w:ascii="ArialMT" w:hAnsi="ArialMT"/>
          <w:i/>
          <w:sz w:val="20"/>
        </w:rPr>
        <w:t xml:space="preserve"> entre a Universidade e quaisquer terceiros que não estejam vinculados a esta Política, dos quais a PI possa surgir ou para os quais a PI da Universidade possa ser usada ou divulgada. Isso inclui discussões pré-propostas com partes externas”.</w:t>
      </w:r>
    </w:p>
    <w:p w14:paraId="52B4E269" w14:textId="77777777" w:rsidR="00030E4B" w:rsidRPr="0024467F"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i/>
          <w:sz w:val="20"/>
          <w:szCs w:val="32"/>
        </w:rPr>
      </w:pPr>
    </w:p>
    <w:p w14:paraId="005EC185"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rPr>
      </w:pPr>
      <w:r>
        <w:rPr>
          <w:rFonts w:ascii="ArialMT" w:hAnsi="ArialMT"/>
          <w:i/>
          <w:sz w:val="20"/>
        </w:rPr>
        <w:t xml:space="preserve">“Art. 9.4.b) Para as invenções de natureza técnica, que possam ser protegidas por patente, </w:t>
      </w:r>
      <w:r>
        <w:rPr>
          <w:rFonts w:ascii="ArialMT" w:hAnsi="ArialMT"/>
          <w:i/>
          <w:sz w:val="20"/>
          <w:u w:val="single"/>
        </w:rPr>
        <w:t>aconselhamento deve ser procurado antes de qualquer publicação</w:t>
      </w:r>
      <w:r>
        <w:rPr>
          <w:rFonts w:ascii="ArialMT" w:hAnsi="ArialMT"/>
          <w:i/>
          <w:sz w:val="20"/>
        </w:rPr>
        <w:t xml:space="preserve"> da Equipe de Transferência de Tecnologia da Universidade para evitar qualquer divulgação prematura que possa reduzir o impacto comercial”.</w:t>
      </w:r>
    </w:p>
    <w:p w14:paraId="5C2EC2ED" w14:textId="77777777" w:rsidR="00B30378" w:rsidRPr="0024467F" w:rsidRDefault="00B30378" w:rsidP="00030E4B">
      <w:pPr>
        <w:spacing w:after="0"/>
        <w:rPr>
          <w:lang w:eastAsia="en-US"/>
        </w:rPr>
      </w:pPr>
    </w:p>
    <w:p w14:paraId="08F8F7EF"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bookmarkStart w:id="211" w:name="Box43"/>
      <w:r>
        <w:rPr>
          <w:rFonts w:ascii="Arial" w:hAnsi="Arial"/>
          <w:b/>
          <w:sz w:val="20"/>
        </w:rPr>
        <w:t xml:space="preserve">Caixa </w:t>
      </w:r>
      <w:r w:rsidR="00AC7ADD" w:rsidRPr="00AC7ADD">
        <w:rPr>
          <w:rFonts w:ascii="Arial" w:hAnsi="Arial" w:cs="Arial"/>
          <w:b/>
          <w:sz w:val="20"/>
        </w:rPr>
        <w:fldChar w:fldCharType="begin"/>
      </w:r>
      <w:r w:rsidR="00AC7ADD" w:rsidRPr="00AC7ADD">
        <w:rPr>
          <w:rFonts w:ascii="Arial" w:hAnsi="Arial" w:cs="Arial"/>
          <w:b/>
          <w:sz w:val="20"/>
        </w:rPr>
        <w:instrText xml:space="preserve"> AUTONUM  \* Arabic </w:instrText>
      </w:r>
      <w:r w:rsidR="00AC7ADD" w:rsidRPr="00AC7ADD">
        <w:rPr>
          <w:rFonts w:ascii="Arial" w:hAnsi="Arial" w:cs="Arial"/>
          <w:b/>
          <w:sz w:val="20"/>
        </w:rPr>
        <w:fldChar w:fldCharType="end"/>
      </w:r>
      <w:bookmarkEnd w:id="211"/>
      <w:r>
        <w:rPr>
          <w:rFonts w:ascii="Arial" w:hAnsi="Arial"/>
          <w:b/>
          <w:sz w:val="20"/>
        </w:rPr>
        <w:t xml:space="preserve"> Exemplos de como Permitir que Parceiros da Indústria solicitem Atrasos na Publicação  </w:t>
      </w:r>
    </w:p>
    <w:p w14:paraId="524C4CA3" w14:textId="77777777" w:rsidR="00030E4B" w:rsidRPr="0024467F"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p>
    <w:p w14:paraId="5424E7A0" w14:textId="77777777" w:rsidR="00030E4B" w:rsidRPr="00CC0CF0" w:rsidRDefault="00201FE6" w:rsidP="009D4A54">
      <w:pPr>
        <w:pStyle w:val="Pa1"/>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ind w:left="426" w:hanging="426"/>
        <w:jc w:val="both"/>
        <w:rPr>
          <w:rFonts w:ascii="Arial" w:hAnsi="Arial" w:cs="Arial"/>
          <w:i/>
          <w:color w:val="000000"/>
          <w:sz w:val="20"/>
          <w:szCs w:val="20"/>
        </w:rPr>
      </w:pPr>
      <w:r>
        <w:rPr>
          <w:rFonts w:ascii="Arial" w:hAnsi="Arial"/>
          <w:b/>
          <w:sz w:val="20"/>
        </w:rPr>
        <w:t>A Universidade de Copenhague</w:t>
      </w:r>
      <w:r w:rsidRPr="00AC7ADD">
        <w:rPr>
          <w:rStyle w:val="FootnoteReference"/>
          <w:rFonts w:ascii="Arial" w:hAnsi="Arial" w:cs="Arial"/>
          <w:sz w:val="20"/>
          <w:szCs w:val="32"/>
        </w:rPr>
        <w:footnoteReference w:id="140"/>
      </w:r>
      <w:r>
        <w:rPr>
          <w:rFonts w:ascii="Arial" w:hAnsi="Arial"/>
          <w:b/>
          <w:sz w:val="20"/>
        </w:rPr>
        <w:t xml:space="preserve"> - </w:t>
      </w:r>
      <w:r>
        <w:rPr>
          <w:rFonts w:ascii="Arial" w:hAnsi="Arial"/>
          <w:i/>
          <w:sz w:val="20"/>
        </w:rPr>
        <w:t>“</w:t>
      </w:r>
      <w:r>
        <w:rPr>
          <w:rFonts w:ascii="Arial" w:hAnsi="Arial"/>
          <w:i/>
          <w:color w:val="000000"/>
          <w:sz w:val="20"/>
        </w:rPr>
        <w:t xml:space="preserve">A Universidade se esforça e é obrigada a publicar o máximo possível. As empresas privadas, por outro lado, normalmente operam com uma estratégia de publicação mais controlada […]. </w:t>
      </w:r>
      <w:r>
        <w:rPr>
          <w:rFonts w:ascii="Arial" w:hAnsi="Arial"/>
          <w:i/>
          <w:color w:val="000000"/>
          <w:sz w:val="20"/>
          <w:u w:val="single"/>
        </w:rPr>
        <w:t>A publicação dos resultados da pesquisa, produzidos em colaboração com uma entidade externa, pode normalmente ser adiada por um período máximo de três meses</w:t>
      </w:r>
      <w:r>
        <w:rPr>
          <w:rFonts w:ascii="Arial" w:hAnsi="Arial"/>
          <w:i/>
          <w:color w:val="000000"/>
          <w:sz w:val="20"/>
        </w:rPr>
        <w:t xml:space="preserve"> (um mês em que a parte externa pode comentar o material que você deseja publicar e dois meses em que a empresa pode patentear seus próprios resultados). Este período pode ser dividido de diferentes maneiras. O envio de uma publicação para revisão não é considerado publicação, mas você precisa mostrar um grau de diligência marcando o manuscrito como 'confidencial'”.</w:t>
      </w:r>
    </w:p>
    <w:p w14:paraId="26D6B9DF" w14:textId="77777777" w:rsidR="00201FE6" w:rsidRPr="00AC7ADD" w:rsidRDefault="00201FE6" w:rsidP="009D4A54">
      <w:pPr>
        <w:pStyle w:val="Default"/>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ind w:left="426" w:hanging="426"/>
        <w:jc w:val="both"/>
      </w:pPr>
      <w:r>
        <w:rPr>
          <w:b/>
          <w:color w:val="auto"/>
          <w:sz w:val="20"/>
        </w:rPr>
        <w:t>Universidade de Pittsburg</w:t>
      </w:r>
      <w:r w:rsidRPr="00AC7ADD">
        <w:rPr>
          <w:rStyle w:val="FootnoteReference"/>
          <w:b/>
          <w:color w:val="auto"/>
          <w:sz w:val="20"/>
          <w:szCs w:val="32"/>
          <w:lang w:val="en-US"/>
        </w:rPr>
        <w:footnoteReference w:id="141"/>
      </w:r>
      <w:r>
        <w:t xml:space="preserve"> - </w:t>
      </w:r>
      <w:r>
        <w:rPr>
          <w:i/>
          <w:sz w:val="20"/>
        </w:rPr>
        <w:t>“Um patrocinador comercial de um projeto de pesquisa não pode ter direito de veto sobre uma decisão de publicação, mas um atraso na publicação por um período acordado, não superior a seis meses, pode ser permitido para permitir o depósito de um pedido de patente”.</w:t>
      </w:r>
    </w:p>
    <w:p w14:paraId="16A56433" w14:textId="77777777" w:rsidR="00201FE6" w:rsidRPr="0024467F" w:rsidRDefault="00201FE6" w:rsidP="00B7519E">
      <w:pPr>
        <w:pStyle w:val="Default"/>
      </w:pPr>
    </w:p>
    <w:p w14:paraId="6201B73E"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bookmarkStart w:id="212" w:name="Box44"/>
      <w:r>
        <w:t>Caixa</w:t>
      </w:r>
      <w:r>
        <w:rPr>
          <w:rFonts w:ascii="Arial" w:hAnsi="Arial"/>
          <w:b/>
          <w:sz w:val="20"/>
        </w:rPr>
        <w:t xml:space="preserve">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bookmarkEnd w:id="212"/>
      <w:r>
        <w:rPr>
          <w:rFonts w:ascii="Arial" w:hAnsi="Arial"/>
          <w:b/>
          <w:sz w:val="20"/>
        </w:rPr>
        <w:t xml:space="preserve"> Exemplo de Não Sigilo – Stanford</w:t>
      </w:r>
      <w:r w:rsidRPr="00AC7ADD">
        <w:rPr>
          <w:rStyle w:val="FootnoteReference"/>
          <w:rFonts w:ascii="Arial" w:hAnsi="Arial" w:cs="Arial"/>
          <w:sz w:val="20"/>
          <w:szCs w:val="32"/>
          <w:lang w:val="en-US"/>
        </w:rPr>
        <w:footnoteReference w:id="142"/>
      </w:r>
    </w:p>
    <w:p w14:paraId="76DFA0A2" w14:textId="77777777" w:rsidR="00030E4B" w:rsidRPr="0024467F"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rPr>
      </w:pPr>
    </w:p>
    <w:p w14:paraId="7C226241" w14:textId="77777777" w:rsidR="00030E4B" w:rsidRPr="00CC0CF0"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Cs/>
          <w:i/>
          <w:sz w:val="20"/>
          <w:szCs w:val="20"/>
        </w:rPr>
      </w:pPr>
      <w:r>
        <w:rPr>
          <w:rFonts w:ascii="Arial" w:hAnsi="Arial"/>
          <w:i/>
          <w:sz w:val="20"/>
        </w:rPr>
        <w:t xml:space="preserve">[Perspectivas] - “Stanford mantém uma política fundamental de não sigilo em pesquisas. Os pesquisadores de Stanford publicam seus resultados para avançar e disseminar conhecimento. A publicação é a forma como professores e alunos promovem suas carreiras. </w:t>
      </w:r>
      <w:r>
        <w:rPr>
          <w:rFonts w:ascii="Arial" w:hAnsi="Arial"/>
          <w:i/>
          <w:sz w:val="20"/>
          <w:u w:val="single"/>
        </w:rPr>
        <w:t>As descobertas da universidade não podem ser mantidas como segredos comerciais</w:t>
      </w:r>
      <w:r>
        <w:rPr>
          <w:rFonts w:ascii="Arial" w:hAnsi="Arial"/>
          <w:i/>
          <w:sz w:val="20"/>
        </w:rPr>
        <w:t>.”</w:t>
      </w:r>
    </w:p>
    <w:p w14:paraId="4E205E1C" w14:textId="77777777" w:rsidR="00030E4B" w:rsidRPr="0024467F"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p>
    <w:p w14:paraId="4AC733CF" w14:textId="77777777" w:rsidR="00030E4B" w:rsidRPr="00AC7ADD"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r>
        <w:rPr>
          <w:rFonts w:ascii="Arial" w:hAnsi="Arial"/>
          <w:i/>
          <w:sz w:val="20"/>
        </w:rPr>
        <w:t xml:space="preserve">[Acordos de Pesquisa Patrocinada] – “As empresas estão preocupadas em proteger seus segredos comerciais, propriedade intelectual e outras informações confidenciais. Stanford entende e respeita essa perspectiva. Mas, devido ao ambiente aberto da universidade e ao fluxo de pesquisadores e alunos, não temos a capacidade de monitorar quem tem acesso a informações específicas. Geralmente, preferimos que as empresas não divulguem informações confidenciais a ninguém em Stanford. Projetos altamente proprietários que envolvem segredos valiosos de uma empresa não são adequados para o ambiente universitário. No entanto, </w:t>
      </w:r>
      <w:r>
        <w:rPr>
          <w:rFonts w:ascii="Arial" w:hAnsi="Arial"/>
          <w:i/>
          <w:sz w:val="20"/>
          <w:u w:val="single"/>
        </w:rPr>
        <w:t>se o compartilhamento de informações confidenciais for necessário para um projeto de investigação específico, a empresa pode solicitar que os pesquisadores individuais assinem pessoalmente um acordo de confidencialidade</w:t>
      </w:r>
      <w:r>
        <w:rPr>
          <w:rFonts w:ascii="Arial" w:hAnsi="Arial"/>
          <w:i/>
          <w:sz w:val="20"/>
        </w:rPr>
        <w:t xml:space="preserve">. Geralmente, </w:t>
      </w:r>
      <w:r>
        <w:rPr>
          <w:rFonts w:ascii="Arial" w:hAnsi="Arial"/>
          <w:i/>
          <w:sz w:val="20"/>
          <w:u w:val="single"/>
        </w:rPr>
        <w:t>Stanford não é parte desses acordos</w:t>
      </w:r>
      <w:r>
        <w:rPr>
          <w:rFonts w:ascii="Arial" w:hAnsi="Arial"/>
          <w:i/>
          <w:sz w:val="20"/>
        </w:rPr>
        <w:t xml:space="preserve">. Stanford também pode aceitar certos termos de confidencialidade como parte de um APP, desde que sejam consistentes com os interesses do </w:t>
      </w:r>
      <w:r>
        <w:rPr>
          <w:rFonts w:ascii="Arial" w:hAnsi="Arial"/>
          <w:i/>
          <w:sz w:val="20"/>
        </w:rPr>
        <w:lastRenderedPageBreak/>
        <w:t>pesquisador. Em ambos os casos, quaisquer termos de confidencialidade devem estar em conformidade com a política da universidade”.</w:t>
      </w:r>
    </w:p>
    <w:p w14:paraId="571B6BA8" w14:textId="77777777" w:rsidR="00030E4B" w:rsidRPr="0024467F" w:rsidRDefault="00030E4B" w:rsidP="00A03F65">
      <w:pPr>
        <w:spacing w:line="240" w:lineRule="auto"/>
        <w:rPr>
          <w:rFonts w:ascii="Arial" w:hAnsi="Arial" w:cs="Arial"/>
          <w:b/>
          <w:szCs w:val="32"/>
        </w:rPr>
      </w:pPr>
    </w:p>
    <w:p w14:paraId="51FDF59B" w14:textId="77777777" w:rsidR="00201FE6" w:rsidRPr="00AC7ADD"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de Sigilo Limitado – Universidade de Copenhague</w:t>
      </w:r>
      <w:r w:rsidRPr="00AC7ADD">
        <w:rPr>
          <w:rStyle w:val="FootnoteReference"/>
          <w:rFonts w:ascii="Arial" w:hAnsi="Arial" w:cs="Arial"/>
          <w:sz w:val="18"/>
          <w:szCs w:val="32"/>
          <w:lang w:val="en-US"/>
        </w:rPr>
        <w:footnoteReference w:id="143"/>
      </w:r>
    </w:p>
    <w:p w14:paraId="16C41287" w14:textId="77777777" w:rsidR="00201FE6" w:rsidRPr="0024467F"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rPr>
      </w:pPr>
    </w:p>
    <w:p w14:paraId="7B078900" w14:textId="4FF96AA7" w:rsidR="00201FE6" w:rsidRPr="00AC7ADD" w:rsidRDefault="00201FE6" w:rsidP="00B7519E">
      <w:pPr>
        <w:pStyle w:val="Pa1"/>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i/>
          <w:sz w:val="20"/>
        </w:rPr>
      </w:pPr>
      <w:r>
        <w:rPr>
          <w:rFonts w:ascii="Arial" w:hAnsi="Arial"/>
          <w:i/>
          <w:sz w:val="20"/>
        </w:rPr>
        <w:t>“As empresas privadas tendem a proteger informações confidenciais para manter uma posição competitiva. A Universidade, por outro lado, tem a obrigação de disseminar os resultados da pesquisa da Universidade para a sociedade que financiou parcial ou totalmente os resultados. Ambas as posições devem ser consideradas em acordos de confidencialidade</w:t>
      </w:r>
      <w:r w:rsidR="008411EA">
        <w:rPr>
          <w:rFonts w:ascii="Arial" w:hAnsi="Arial"/>
          <w:i/>
          <w:sz w:val="20"/>
        </w:rPr>
        <w:t xml:space="preserve">. </w:t>
      </w:r>
      <w:r>
        <w:rPr>
          <w:rFonts w:ascii="Arial" w:hAnsi="Arial"/>
          <w:i/>
          <w:sz w:val="20"/>
        </w:rPr>
        <w:t xml:space="preserve">A equipe de gestão da Universidade de Copenhague decidiu que </w:t>
      </w:r>
      <w:r>
        <w:rPr>
          <w:rFonts w:ascii="Arial" w:hAnsi="Arial"/>
          <w:i/>
          <w:sz w:val="20"/>
          <w:u w:val="single"/>
        </w:rPr>
        <w:t>a não divulgação do conhecimento confidencial de uma parte externa não pode exceder um período de três (3) anos a partir do fim de um projeto colaborativo</w:t>
      </w:r>
      <w:r>
        <w:rPr>
          <w:rFonts w:ascii="Arial" w:hAnsi="Arial"/>
          <w:i/>
          <w:sz w:val="20"/>
        </w:rPr>
        <w:t>, a menos que circunstâncias específicas justifiquem uma extensão deste período”.</w:t>
      </w:r>
    </w:p>
    <w:p w14:paraId="6B1FBB89" w14:textId="77777777" w:rsidR="00030E4B" w:rsidRPr="00AC7ADD" w:rsidRDefault="00030E4B" w:rsidP="00030E4B">
      <w:pPr>
        <w:pStyle w:val="Heading3"/>
        <w:spacing w:before="360"/>
        <w:rPr>
          <w:rFonts w:eastAsia="Times New Roman"/>
          <w:sz w:val="24"/>
          <w:szCs w:val="24"/>
        </w:rPr>
      </w:pPr>
      <w:bookmarkStart w:id="213" w:name="_Useful_Resources_to"/>
      <w:bookmarkStart w:id="214" w:name="_Toc516160069"/>
      <w:bookmarkStart w:id="215" w:name="_Toc516219412"/>
      <w:bookmarkStart w:id="216" w:name="_Toc516496054"/>
      <w:bookmarkStart w:id="217" w:name="_Toc516829426"/>
      <w:bookmarkEnd w:id="213"/>
      <w:r>
        <w:rPr>
          <w:sz w:val="24"/>
        </w:rPr>
        <w:t>Recursos Úteis Relacionados ao Artigo 6</w:t>
      </w:r>
      <w:bookmarkEnd w:id="214"/>
      <w:bookmarkEnd w:id="215"/>
      <w:bookmarkEnd w:id="216"/>
      <w:bookmarkEnd w:id="217"/>
    </w:p>
    <w:p w14:paraId="3B6A5E65" w14:textId="77777777" w:rsidR="00030E4B" w:rsidRPr="00AC7ADD" w:rsidRDefault="00030E4B" w:rsidP="009D4A54">
      <w:pPr>
        <w:pStyle w:val="FootnoteText"/>
        <w:numPr>
          <w:ilvl w:val="0"/>
          <w:numId w:val="19"/>
        </w:numPr>
        <w:ind w:left="426" w:hanging="426"/>
        <w:jc w:val="both"/>
        <w:rPr>
          <w:rFonts w:ascii="Arial" w:hAnsi="Arial" w:cs="Arial"/>
        </w:rPr>
      </w:pPr>
      <w:r>
        <w:rPr>
          <w:rFonts w:ascii="Arial" w:hAnsi="Arial"/>
          <w:b/>
        </w:rPr>
        <w:t>Exemplos de políticas/diretrizes de divulgação de informações</w:t>
      </w:r>
      <w:r>
        <w:rPr>
          <w:rFonts w:ascii="Arial" w:hAnsi="Arial"/>
        </w:rPr>
        <w:t>:</w:t>
      </w:r>
    </w:p>
    <w:p w14:paraId="7AB42A9F" w14:textId="77777777" w:rsidR="00FE1C60" w:rsidRPr="00AC7ADD" w:rsidRDefault="00F265CB" w:rsidP="00464282">
      <w:pPr>
        <w:pStyle w:val="FootnoteText"/>
        <w:numPr>
          <w:ilvl w:val="1"/>
          <w:numId w:val="12"/>
        </w:numPr>
        <w:ind w:left="851" w:hanging="425"/>
        <w:rPr>
          <w:rFonts w:ascii="Arial" w:hAnsi="Arial" w:cs="Arial"/>
        </w:rPr>
      </w:pPr>
      <w:hyperlink r:id="rId109" w:history="1">
        <w:r w:rsidR="00372C70">
          <w:rPr>
            <w:rStyle w:val="Hyperlink"/>
            <w:rFonts w:ascii="Arial" w:hAnsi="Arial"/>
          </w:rPr>
          <w:t>Universidade do Alabama</w:t>
        </w:r>
      </w:hyperlink>
    </w:p>
    <w:p w14:paraId="6CD3FF1C" w14:textId="77777777" w:rsidR="00FE1C60" w:rsidRPr="00AC7ADD" w:rsidRDefault="00F265CB" w:rsidP="00464282">
      <w:pPr>
        <w:pStyle w:val="FootnoteText"/>
        <w:numPr>
          <w:ilvl w:val="1"/>
          <w:numId w:val="12"/>
        </w:numPr>
        <w:ind w:left="851" w:hanging="425"/>
        <w:rPr>
          <w:rFonts w:ascii="Arial" w:hAnsi="Arial" w:cs="Arial"/>
          <w:sz w:val="22"/>
        </w:rPr>
      </w:pPr>
      <w:hyperlink r:id="rId110" w:history="1">
        <w:r w:rsidR="00372C70">
          <w:rPr>
            <w:rStyle w:val="Hyperlink"/>
            <w:rFonts w:ascii="Arial" w:hAnsi="Arial"/>
          </w:rPr>
          <w:t>Universidade de Chicago</w:t>
        </w:r>
      </w:hyperlink>
    </w:p>
    <w:p w14:paraId="1BEEBE00" w14:textId="77777777" w:rsidR="007874CF" w:rsidRPr="00AC7ADD" w:rsidRDefault="00F265CB" w:rsidP="00464282">
      <w:pPr>
        <w:pStyle w:val="FootnoteText"/>
        <w:numPr>
          <w:ilvl w:val="1"/>
          <w:numId w:val="12"/>
        </w:numPr>
        <w:ind w:left="851" w:hanging="425"/>
        <w:rPr>
          <w:rStyle w:val="Hyperlink"/>
          <w:rFonts w:ascii="Arial" w:hAnsi="Arial" w:cs="Arial"/>
          <w:color w:val="auto"/>
          <w:u w:val="none"/>
        </w:rPr>
      </w:pPr>
      <w:hyperlink r:id="rId111" w:history="1">
        <w:r w:rsidR="00372C70">
          <w:rPr>
            <w:rStyle w:val="Hyperlink"/>
            <w:rFonts w:ascii="Arial" w:hAnsi="Arial"/>
          </w:rPr>
          <w:t>Universidade de Vanderbilt</w:t>
        </w:r>
      </w:hyperlink>
      <w:r w:rsidR="00372C70">
        <w:rPr>
          <w:rStyle w:val="Hyperlink"/>
          <w:rFonts w:ascii="Arial" w:hAnsi="Arial"/>
        </w:rPr>
        <w:t xml:space="preserve"> </w:t>
      </w:r>
    </w:p>
    <w:p w14:paraId="30FBBDF9" w14:textId="77777777" w:rsidR="00FE1C60" w:rsidRPr="00AC7ADD" w:rsidRDefault="00F265CB" w:rsidP="00464282">
      <w:pPr>
        <w:pStyle w:val="FootnoteText"/>
        <w:numPr>
          <w:ilvl w:val="1"/>
          <w:numId w:val="12"/>
        </w:numPr>
        <w:ind w:left="851" w:hanging="425"/>
        <w:rPr>
          <w:rFonts w:ascii="Arial" w:hAnsi="Arial" w:cs="Arial"/>
        </w:rPr>
      </w:pPr>
      <w:hyperlink r:id="rId112" w:history="1">
        <w:r w:rsidR="00372C70">
          <w:rPr>
            <w:rStyle w:val="Hyperlink"/>
            <w:rFonts w:ascii="Arial" w:hAnsi="Arial"/>
          </w:rPr>
          <w:t>Universidade de Michigan Ocidental</w:t>
        </w:r>
      </w:hyperlink>
    </w:p>
    <w:p w14:paraId="44B3C73C" w14:textId="77777777" w:rsidR="006D266E" w:rsidRPr="00AC7ADD" w:rsidRDefault="006D266E" w:rsidP="00A03F65">
      <w:pPr>
        <w:spacing w:line="240" w:lineRule="auto"/>
        <w:rPr>
          <w:lang w:val="en-US"/>
        </w:rPr>
      </w:pPr>
    </w:p>
    <w:p w14:paraId="3FEF111A" w14:textId="77777777" w:rsidR="00F77A00" w:rsidRPr="00AC7ADD" w:rsidRDefault="00F77A00" w:rsidP="00B7519E">
      <w:pPr>
        <w:pStyle w:val="Heading2"/>
      </w:pPr>
      <w:bookmarkStart w:id="218" w:name="_Toc494113254"/>
    </w:p>
    <w:p w14:paraId="516FF726" w14:textId="77777777" w:rsidR="00F77A00" w:rsidRPr="00AC7ADD" w:rsidRDefault="00F77A00" w:rsidP="00B7519E">
      <w:pPr>
        <w:pStyle w:val="Heading2"/>
      </w:pPr>
      <w:bookmarkStart w:id="219" w:name="_ARTICLE_7_–"/>
      <w:bookmarkStart w:id="220" w:name="_Toc516160070"/>
      <w:bookmarkStart w:id="221" w:name="_Toc516219413"/>
      <w:bookmarkStart w:id="222" w:name="_Toc516496055"/>
      <w:bookmarkStart w:id="223" w:name="_Toc516829427"/>
      <w:bookmarkStart w:id="224" w:name="_Toc185241085"/>
      <w:bookmarkEnd w:id="219"/>
      <w:r>
        <w:t xml:space="preserve">ARTIGO 7 – </w:t>
      </w:r>
      <w:bookmarkEnd w:id="218"/>
      <w:r>
        <w:t>CONTRATOS DE PESQUISA</w:t>
      </w:r>
      <w:bookmarkEnd w:id="220"/>
      <w:bookmarkEnd w:id="221"/>
      <w:bookmarkEnd w:id="222"/>
      <w:bookmarkEnd w:id="223"/>
      <w:bookmarkEnd w:id="224"/>
      <w:r>
        <w:t xml:space="preserve"> </w:t>
      </w:r>
    </w:p>
    <w:p w14:paraId="4F694B70" w14:textId="77777777" w:rsidR="00F77A00" w:rsidRPr="00AC7ADD" w:rsidRDefault="00F77A00" w:rsidP="00B7519E">
      <w:pPr>
        <w:pStyle w:val="Heading2"/>
        <w:rPr>
          <w:lang w:val="en-US"/>
        </w:rPr>
      </w:pPr>
    </w:p>
    <w:p w14:paraId="157FF157" w14:textId="77777777" w:rsidR="00BD5196" w:rsidRPr="00AC7ADD" w:rsidRDefault="00BD5196" w:rsidP="0085559F">
      <w:pPr>
        <w:pStyle w:val="Heading3"/>
        <w:spacing w:before="360"/>
        <w:rPr>
          <w:sz w:val="24"/>
        </w:rPr>
      </w:pPr>
      <w:bookmarkStart w:id="225" w:name="_Toc516496056"/>
      <w:bookmarkStart w:id="226" w:name="_Toc516829428"/>
      <w:r>
        <w:rPr>
          <w:sz w:val="24"/>
        </w:rPr>
        <w:t>Artigos 7.1 a 7.6 - Disposições gerais</w:t>
      </w:r>
      <w:bookmarkEnd w:id="225"/>
      <w:bookmarkEnd w:id="226"/>
      <w:r>
        <w:rPr>
          <w:sz w:val="24"/>
        </w:rPr>
        <w:t xml:space="preserve"> </w:t>
      </w:r>
    </w:p>
    <w:p w14:paraId="685A4E6D" w14:textId="1D3839EA" w:rsidR="00BD5196" w:rsidRPr="00AC7ADD" w:rsidRDefault="00BD5196"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 xml:space="preserve">Artigo 7.1, </w:t>
      </w:r>
      <w:r>
        <w:rPr>
          <w:rFonts w:ascii="Arial" w:hAnsi="Arial"/>
          <w:b/>
          <w:i/>
          <w:sz w:val="20"/>
        </w:rPr>
        <w:t>Autoridade</w:t>
      </w:r>
      <w:r w:rsidRPr="001A078F">
        <w:rPr>
          <w:rFonts w:ascii="Arial" w:hAnsi="Arial"/>
          <w:bCs/>
          <w:sz w:val="20"/>
        </w:rPr>
        <w:t>:</w:t>
      </w:r>
      <w:r>
        <w:rPr>
          <w:rFonts w:ascii="Arial" w:hAnsi="Arial"/>
          <w:sz w:val="20"/>
        </w:rPr>
        <w:t xml:space="preserve"> As instituições devem ter delegações claras de autoridade, deixando claro quem pode assinar um Contrato de Pesquisa em nome da Instituição</w:t>
      </w:r>
      <w:r w:rsidR="008411EA">
        <w:rPr>
          <w:rFonts w:ascii="Arial" w:hAnsi="Arial"/>
          <w:sz w:val="20"/>
        </w:rPr>
        <w:t xml:space="preserve">. </w:t>
      </w:r>
      <w:r>
        <w:rPr>
          <w:rFonts w:ascii="Arial" w:hAnsi="Arial"/>
          <w:sz w:val="20"/>
        </w:rPr>
        <w:t>Qualquer signatário de um Contrato de Pesquisa que não tenha a autoridade delegada necessária pode tornar tal contrato não vinculativo para a Instituição.</w:t>
      </w:r>
    </w:p>
    <w:p w14:paraId="6B7F91CC" w14:textId="77777777" w:rsidR="00BD5196" w:rsidRPr="00AC7ADD"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b/>
          <w:sz w:val="18"/>
          <w:szCs w:val="20"/>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Extrato da Universidade da Carolina do Leste “Delegação de Autoridade para Assinar Contratos”</w:t>
      </w:r>
      <w:r w:rsidRPr="00AC7ADD">
        <w:rPr>
          <w:rStyle w:val="FootnoteReference"/>
          <w:rFonts w:ascii="Arial" w:hAnsi="Arial" w:cs="Arial"/>
          <w:b/>
          <w:sz w:val="18"/>
          <w:szCs w:val="20"/>
          <w:lang w:val="en-US"/>
        </w:rPr>
        <w:footnoteReference w:id="144"/>
      </w:r>
    </w:p>
    <w:p w14:paraId="2D33B0B6" w14:textId="77777777" w:rsidR="001A078F" w:rsidRDefault="00BD5196" w:rsidP="001A078F">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0" w:afterAutospacing="0"/>
        <w:ind w:left="300"/>
        <w:jc w:val="both"/>
        <w:rPr>
          <w:rFonts w:ascii="Arial" w:hAnsi="Arial"/>
          <w:i/>
          <w:sz w:val="20"/>
        </w:rPr>
      </w:pPr>
      <w:r>
        <w:rPr>
          <w:rFonts w:ascii="Arial" w:hAnsi="Arial"/>
          <w:i/>
          <w:sz w:val="20"/>
        </w:rPr>
        <w:t>2. Quem está autorizado a assinar contratos</w:t>
      </w:r>
    </w:p>
    <w:p w14:paraId="0D3F5388" w14:textId="77777777" w:rsidR="001A078F" w:rsidRDefault="00BD5196" w:rsidP="001A078F">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0"/>
        <w:jc w:val="both"/>
        <w:rPr>
          <w:rFonts w:ascii="Arial" w:hAnsi="Arial"/>
          <w:i/>
          <w:sz w:val="20"/>
        </w:rPr>
      </w:pPr>
      <w:r>
        <w:rPr>
          <w:rFonts w:ascii="Arial" w:hAnsi="Arial"/>
          <w:i/>
          <w:sz w:val="20"/>
        </w:rPr>
        <w:t>2.1. O poder executivo e administrativo pleno é investido no Reitor pela N.C. Gen. Stat. § 116-34(a) e Seção 502A do Código do Conselho de Governadores da Universidade da Carolina do Norte. Inerente a esse poder está a autoridade para assinar contratos que vinculam a Universidade da Carolina do Leste. Essa autoridade é mantida e pode ser exercida, independentemente das delegações de autoridade para assinar determinados contratos a outros funcionários administrativos.</w:t>
      </w:r>
    </w:p>
    <w:p w14:paraId="1C06B5C4" w14:textId="77777777" w:rsidR="001A078F" w:rsidRDefault="00BD5196" w:rsidP="001A078F">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0"/>
        <w:jc w:val="both"/>
        <w:rPr>
          <w:rFonts w:ascii="Arial" w:hAnsi="Arial"/>
          <w:i/>
          <w:sz w:val="20"/>
        </w:rPr>
      </w:pPr>
      <w:r>
        <w:rPr>
          <w:rFonts w:ascii="Arial" w:hAnsi="Arial"/>
          <w:i/>
          <w:sz w:val="20"/>
        </w:rPr>
        <w:t>2.2. O Reitor pode delegar autoridade de signatário a delegados selecionados de acordo com o procedimento estabelecido neste regulamento. Os delegados podem subdelegar sua autoridade a outros administradores, a menos que a delegação de autoridade do Reitor especifique o contrário.</w:t>
      </w:r>
    </w:p>
    <w:p w14:paraId="375C2F85" w14:textId="77777777" w:rsidR="001A078F" w:rsidRDefault="00BD5196" w:rsidP="001A078F">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0"/>
        <w:jc w:val="both"/>
        <w:rPr>
          <w:rFonts w:ascii="Arial" w:hAnsi="Arial"/>
          <w:i/>
          <w:sz w:val="20"/>
        </w:rPr>
      </w:pPr>
      <w:r>
        <w:rPr>
          <w:rFonts w:ascii="Arial" w:hAnsi="Arial"/>
          <w:i/>
          <w:sz w:val="20"/>
        </w:rPr>
        <w:t>2.3. A Universidade da Carolina do Leste não reconhece contratos assinados por funcionários da universidade como vinculativos para a universidade, a menos que o funcionário que assinou o contrato tenha autoridade de assinatura delegada formal e por escrito. A Seção 3 deste regulamento estabelece o procedimento para delegação e subdelegação formal de autoridade para assinar contratos que serão reconhecidos como vinculativos para a Universidade.</w:t>
      </w:r>
    </w:p>
    <w:p w14:paraId="57BE2D88" w14:textId="377C51D5" w:rsidR="00BD5196" w:rsidRPr="00AC7ADD" w:rsidRDefault="00BD5196" w:rsidP="001A078F">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0"/>
        <w:jc w:val="both"/>
        <w:rPr>
          <w:rFonts w:ascii="Arial" w:hAnsi="Arial" w:cs="Arial"/>
          <w:i/>
          <w:sz w:val="20"/>
          <w:szCs w:val="20"/>
        </w:rPr>
      </w:pPr>
      <w:r>
        <w:rPr>
          <w:rFonts w:ascii="Arial" w:hAnsi="Arial"/>
          <w:i/>
          <w:sz w:val="20"/>
        </w:rPr>
        <w:lastRenderedPageBreak/>
        <w:t>2.4. Funcionários que assinarem contratos pretendendo vincular a Universidade sem autoridade devidamente delegada sob este regulamento podem ser responsabilizados pessoalmente pela Universidade por seus danos, se houver, e podem estar sujeitos a ação disciplinar da Universidade.</w:t>
      </w:r>
    </w:p>
    <w:p w14:paraId="35E5A0E9" w14:textId="77777777" w:rsidR="000C1792" w:rsidRPr="0024467F" w:rsidRDefault="000C1792" w:rsidP="000C1792">
      <w:pPr>
        <w:pStyle w:val="ListParagraph"/>
        <w:tabs>
          <w:tab w:val="left" w:pos="851"/>
        </w:tabs>
        <w:spacing w:after="0" w:line="240" w:lineRule="auto"/>
        <w:ind w:left="426"/>
        <w:jc w:val="both"/>
        <w:rPr>
          <w:rFonts w:ascii="Arial" w:hAnsi="Arial" w:cs="Arial"/>
        </w:rPr>
      </w:pPr>
    </w:p>
    <w:p w14:paraId="455AD0B4" w14:textId="6697E4AB" w:rsidR="00BD5196" w:rsidRPr="00AC7ADD" w:rsidRDefault="00BD5196" w:rsidP="009D4A54">
      <w:pPr>
        <w:pStyle w:val="ListParagraph"/>
        <w:numPr>
          <w:ilvl w:val="0"/>
          <w:numId w:val="112"/>
        </w:numPr>
        <w:tabs>
          <w:tab w:val="left" w:pos="851"/>
        </w:tabs>
        <w:spacing w:after="0" w:line="240" w:lineRule="auto"/>
        <w:ind w:left="426" w:hanging="426"/>
        <w:jc w:val="both"/>
        <w:rPr>
          <w:rFonts w:ascii="Arial" w:hAnsi="Arial" w:cs="Arial"/>
          <w:sz w:val="20"/>
        </w:rPr>
      </w:pPr>
      <w:r>
        <w:rPr>
          <w:rFonts w:ascii="Arial" w:hAnsi="Arial"/>
          <w:b/>
          <w:sz w:val="20"/>
        </w:rPr>
        <w:t xml:space="preserve">Artigo 7.2, </w:t>
      </w:r>
      <w:r>
        <w:rPr>
          <w:rFonts w:ascii="Arial" w:hAnsi="Arial"/>
          <w:b/>
          <w:i/>
          <w:sz w:val="20"/>
        </w:rPr>
        <w:t>Política de Contrato de Pesquisa</w:t>
      </w:r>
      <w:r>
        <w:rPr>
          <w:rFonts w:ascii="Arial" w:hAnsi="Arial"/>
          <w:sz w:val="20"/>
        </w:rPr>
        <w:t>: Esta seção dos Contratos de Pesquisa não é de forma alguma uma representação abrangente dos Contatos de Pesquisa em geral, mas sim de como as cláusulas de PI devem ser, dependendo do tipo de Contrato de Pesquisa</w:t>
      </w:r>
      <w:r w:rsidR="008411EA">
        <w:rPr>
          <w:rFonts w:ascii="Arial" w:hAnsi="Arial"/>
          <w:sz w:val="20"/>
        </w:rPr>
        <w:t xml:space="preserve">. </w:t>
      </w:r>
      <w:r>
        <w:rPr>
          <w:rFonts w:ascii="Arial" w:hAnsi="Arial"/>
          <w:sz w:val="20"/>
        </w:rPr>
        <w:t>Como tal, é feita referência à política da Instituição apropriada a este respeito</w:t>
      </w:r>
      <w:r w:rsidR="008411EA">
        <w:rPr>
          <w:rFonts w:ascii="Arial" w:hAnsi="Arial"/>
          <w:sz w:val="20"/>
        </w:rPr>
        <w:t xml:space="preserve">. </w:t>
      </w:r>
      <w:r>
        <w:rPr>
          <w:rFonts w:ascii="Arial" w:hAnsi="Arial"/>
          <w:sz w:val="20"/>
        </w:rPr>
        <w:t>No entanto, é importante perceber que os Contratos de Pesquisa só podem ser celebrados, ou seja, assinados, por um indivíduo com autoridade autorizada ou autoridade delegada autorizada, sob pena de o contrato ser nulo e considerado não executado.</w:t>
      </w:r>
    </w:p>
    <w:p w14:paraId="48055CDC" w14:textId="77777777" w:rsidR="00BD5196" w:rsidRPr="0024467F" w:rsidRDefault="00BD5196" w:rsidP="00BD5196">
      <w:pPr>
        <w:tabs>
          <w:tab w:val="left" w:pos="426"/>
        </w:tabs>
        <w:spacing w:after="0" w:line="240" w:lineRule="auto"/>
        <w:jc w:val="both"/>
        <w:rPr>
          <w:rFonts w:ascii="Arial" w:hAnsi="Arial"/>
          <w:b/>
          <w:noProof/>
          <w:sz w:val="20"/>
          <w:szCs w:val="26"/>
        </w:rPr>
      </w:pPr>
    </w:p>
    <w:p w14:paraId="10C84B1A" w14:textId="49020F47" w:rsidR="00BD5196" w:rsidRPr="00C04211" w:rsidRDefault="00BD5196" w:rsidP="009D4A54">
      <w:pPr>
        <w:pStyle w:val="ListParagraph"/>
        <w:numPr>
          <w:ilvl w:val="0"/>
          <w:numId w:val="112"/>
        </w:numPr>
        <w:tabs>
          <w:tab w:val="left" w:pos="426"/>
        </w:tabs>
        <w:spacing w:after="0" w:line="240" w:lineRule="auto"/>
        <w:ind w:left="426" w:hanging="426"/>
        <w:jc w:val="both"/>
        <w:rPr>
          <w:rFonts w:ascii="Arial" w:eastAsia="Arial" w:hAnsi="Arial" w:cs="Arial"/>
          <w:sz w:val="20"/>
        </w:rPr>
      </w:pPr>
      <w:r>
        <w:rPr>
          <w:rFonts w:ascii="Arial" w:hAnsi="Arial"/>
          <w:b/>
          <w:sz w:val="20"/>
        </w:rPr>
        <w:t xml:space="preserve">Artigo 7.3, </w:t>
      </w:r>
      <w:r>
        <w:rPr>
          <w:rFonts w:ascii="Arial" w:hAnsi="Arial"/>
          <w:b/>
          <w:i/>
          <w:sz w:val="20"/>
        </w:rPr>
        <w:t>deverá exercer a devida diligência e consultar o EGPI</w:t>
      </w:r>
      <w:r>
        <w:rPr>
          <w:rFonts w:ascii="Arial" w:hAnsi="Arial"/>
          <w:sz w:val="20"/>
        </w:rPr>
        <w:t>: De acordo com o Artigo 7.2, é importante que as cláusulas de PI no Contrato de Pesquisa sejam redigidas ou revisadas para verificar a conformidade com quaisquer regras governamentais (veja o Artigo 7.5) e para garantir que os interesses da Instituição sejam refletidos</w:t>
      </w:r>
      <w:r w:rsidR="008411EA">
        <w:rPr>
          <w:rFonts w:ascii="Arial" w:hAnsi="Arial"/>
          <w:sz w:val="20"/>
        </w:rPr>
        <w:t xml:space="preserve">. </w:t>
      </w:r>
      <w:r>
        <w:rPr>
          <w:rFonts w:ascii="Arial" w:hAnsi="Arial"/>
          <w:sz w:val="20"/>
        </w:rPr>
        <w:t>Assim, o papel do EGPI como revisor e alterador do texto do Contrato de Pesquisa deve fazer parte de uma prática recomendada padrão dentro da Instituição</w:t>
      </w:r>
      <w:r w:rsidR="008411EA">
        <w:rPr>
          <w:rFonts w:ascii="Arial" w:hAnsi="Arial"/>
          <w:sz w:val="20"/>
        </w:rPr>
        <w:t xml:space="preserve">. </w:t>
      </w:r>
      <w:r>
        <w:rPr>
          <w:rFonts w:ascii="Arial" w:hAnsi="Arial"/>
          <w:sz w:val="20"/>
        </w:rPr>
        <w:t>Além disso, isso fornece uma oportunidade para o EGPI não apenas sinalizar possíveis problemas, mas também observar o Contrato de Pesquisa que está sendo concluído para que ele possa monitorar o progresso a esse respeito à medida que a pesquisa avança e esteja ciente de quaisquer compromissos existentes feitos com a parte externa/patrocinador (como um direito de preferência quando a PI estiver totalmente desenvolvida).</w:t>
      </w:r>
    </w:p>
    <w:p w14:paraId="6EF5DC7D" w14:textId="77777777" w:rsidR="00BD5196" w:rsidRPr="0024467F" w:rsidRDefault="00BD5196" w:rsidP="00BD5196">
      <w:pPr>
        <w:tabs>
          <w:tab w:val="left" w:pos="426"/>
        </w:tabs>
        <w:spacing w:after="0" w:line="240" w:lineRule="auto"/>
        <w:jc w:val="both"/>
        <w:rPr>
          <w:rFonts w:ascii="Arial" w:eastAsia="Arial" w:hAnsi="Arial" w:cs="Arial"/>
          <w:sz w:val="20"/>
          <w:lang w:eastAsia="en-US"/>
        </w:rPr>
      </w:pPr>
    </w:p>
    <w:p w14:paraId="6918A284" w14:textId="4B33772A" w:rsidR="00BD5196" w:rsidRPr="00AC7ADD" w:rsidRDefault="00BD5196" w:rsidP="009D4A54">
      <w:pPr>
        <w:pStyle w:val="ListParagraph"/>
        <w:numPr>
          <w:ilvl w:val="0"/>
          <w:numId w:val="112"/>
        </w:numPr>
        <w:spacing w:after="0" w:line="240" w:lineRule="auto"/>
        <w:ind w:left="426" w:hanging="426"/>
        <w:jc w:val="both"/>
        <w:rPr>
          <w:rFonts w:ascii="Arial" w:hAnsi="Arial" w:cs="Arial"/>
          <w:sz w:val="20"/>
        </w:rPr>
      </w:pPr>
      <w:r>
        <w:rPr>
          <w:rFonts w:ascii="Arial" w:hAnsi="Arial"/>
          <w:b/>
          <w:sz w:val="20"/>
        </w:rPr>
        <w:t xml:space="preserve">Artigo 7.4, </w:t>
      </w:r>
      <w:r>
        <w:rPr>
          <w:rFonts w:ascii="Arial" w:hAnsi="Arial"/>
          <w:b/>
          <w:i/>
          <w:sz w:val="20"/>
        </w:rPr>
        <w:t>Titularidade e direitos de uso</w:t>
      </w:r>
      <w:r w:rsidRPr="001A078F">
        <w:rPr>
          <w:rFonts w:ascii="Arial" w:hAnsi="Arial"/>
          <w:bCs/>
          <w:iCs/>
          <w:sz w:val="20"/>
        </w:rPr>
        <w:t>:</w:t>
      </w:r>
      <w:r>
        <w:rPr>
          <w:rFonts w:ascii="Arial" w:hAnsi="Arial"/>
          <w:sz w:val="20"/>
        </w:rPr>
        <w:t xml:space="preserve"> A questão-chave é que precisa ficar claro qual PI foi criada e quem é o seu titular. A parte externa/patrocinador pode tentar possuir os resultados da pesquisa para sua vantagem comercial. O contrato de pesquisa deve tentar resolver a titularidade de todos os resultados da pesquisa desde o início</w:t>
      </w:r>
      <w:r w:rsidR="008411EA">
        <w:rPr>
          <w:rFonts w:ascii="Arial" w:hAnsi="Arial"/>
          <w:sz w:val="20"/>
        </w:rPr>
        <w:t xml:space="preserve">. </w:t>
      </w:r>
      <w:r>
        <w:rPr>
          <w:rFonts w:ascii="Arial" w:hAnsi="Arial"/>
          <w:sz w:val="20"/>
        </w:rPr>
        <w:t>Esses contratos podem assumir algumas formas diferentes, dependendo, entre outros, da fonte de financiamento e dos resultados desejados</w:t>
      </w:r>
      <w:r w:rsidR="008411EA">
        <w:rPr>
          <w:rFonts w:ascii="Arial" w:hAnsi="Arial"/>
          <w:sz w:val="20"/>
        </w:rPr>
        <w:t xml:space="preserve">. </w:t>
      </w:r>
      <w:r>
        <w:rPr>
          <w:rFonts w:ascii="Arial" w:hAnsi="Arial"/>
          <w:sz w:val="20"/>
        </w:rPr>
        <w:t>As cláusulas de PI nos Contratos de Pesquisa são então redigidas para se alinharem à fonte de financiamento e ao resultado desejado. Dependendo da estrutura legislativa, as instituições normalmente serão titulares dos resultados da pesquisa, e a parte externa/patrocinador pode receber direitos para usar os resultados para seus próprios propósitos</w:t>
      </w:r>
      <w:r w:rsidR="008411EA">
        <w:rPr>
          <w:rFonts w:ascii="Arial" w:hAnsi="Arial"/>
          <w:sz w:val="20"/>
        </w:rPr>
        <w:t xml:space="preserve">. </w:t>
      </w:r>
      <w:r>
        <w:rPr>
          <w:rFonts w:ascii="Arial" w:hAnsi="Arial"/>
          <w:sz w:val="20"/>
        </w:rPr>
        <w:t xml:space="preserve"> </w:t>
      </w:r>
    </w:p>
    <w:p w14:paraId="711F8C93" w14:textId="77777777" w:rsidR="00BD5196" w:rsidRPr="0024467F" w:rsidRDefault="00BD5196" w:rsidP="00BD5196">
      <w:pPr>
        <w:pStyle w:val="ListParagraph"/>
        <w:spacing w:after="0" w:line="240" w:lineRule="auto"/>
        <w:ind w:left="426"/>
        <w:jc w:val="both"/>
        <w:rPr>
          <w:rFonts w:ascii="Arial" w:hAnsi="Arial" w:cs="Arial"/>
          <w:sz w:val="20"/>
        </w:rPr>
      </w:pPr>
    </w:p>
    <w:p w14:paraId="6260CF72" w14:textId="7FA2AF64" w:rsidR="00BD5196" w:rsidRPr="00AC7ADD" w:rsidRDefault="00BD5196" w:rsidP="009D4A54">
      <w:pPr>
        <w:pStyle w:val="ListParagraph"/>
        <w:numPr>
          <w:ilvl w:val="0"/>
          <w:numId w:val="112"/>
        </w:numPr>
        <w:shd w:val="clear" w:color="auto" w:fill="FFFFFF" w:themeFill="background1"/>
        <w:tabs>
          <w:tab w:val="left" w:pos="426"/>
        </w:tabs>
        <w:spacing w:after="0" w:line="240" w:lineRule="auto"/>
        <w:ind w:left="426" w:hanging="426"/>
        <w:jc w:val="both"/>
        <w:rPr>
          <w:rFonts w:ascii="Arial" w:hAnsi="Arial"/>
          <w:noProof/>
          <w:sz w:val="20"/>
          <w:szCs w:val="26"/>
        </w:rPr>
      </w:pPr>
      <w:r>
        <w:rPr>
          <w:rFonts w:ascii="Arial" w:hAnsi="Arial"/>
          <w:b/>
          <w:sz w:val="20"/>
        </w:rPr>
        <w:t>Artigo 7.5,</w:t>
      </w:r>
      <w:r>
        <w:rPr>
          <w:rFonts w:ascii="Arial" w:hAnsi="Arial"/>
          <w:sz w:val="20"/>
        </w:rPr>
        <w:t xml:space="preserve"> </w:t>
      </w:r>
      <w:r>
        <w:rPr>
          <w:rFonts w:ascii="Arial" w:hAnsi="Arial"/>
          <w:b/>
          <w:i/>
          <w:sz w:val="20"/>
        </w:rPr>
        <w:t>Regras do governo</w:t>
      </w:r>
      <w:r w:rsidR="001A078F">
        <w:rPr>
          <w:rFonts w:ascii="Arial" w:hAnsi="Arial"/>
          <w:sz w:val="20"/>
        </w:rPr>
        <w:t>:</w:t>
      </w:r>
      <w:r>
        <w:rPr>
          <w:rFonts w:ascii="Arial" w:hAnsi="Arial"/>
          <w:sz w:val="20"/>
        </w:rPr>
        <w:t xml:space="preserve"> Como muitos países ao redor do mundo promulgaram leis que regulam o desenvolvimento de PI em uma Instituição, a legislação precisa ser consultada e cumprida ao elaborar as cláusulas de PI em um Contrato de Pesquisa</w:t>
      </w:r>
      <w:r w:rsidR="008411EA">
        <w:rPr>
          <w:rFonts w:ascii="Arial" w:hAnsi="Arial"/>
          <w:sz w:val="20"/>
        </w:rPr>
        <w:t xml:space="preserve">. </w:t>
      </w:r>
      <w:r>
        <w:rPr>
          <w:rFonts w:ascii="Arial" w:hAnsi="Arial"/>
          <w:sz w:val="20"/>
        </w:rPr>
        <w:t>Como exemplo, na África do Sul, a Lei de Direitos de Propriedade Intelectual de Pesquisa e Desenvolvimento Financiados Publicamente (Lei de DPI; n.º 51 de 2008) prescreveu três cenários para titularidade de PI:</w:t>
      </w:r>
    </w:p>
    <w:p w14:paraId="370345EB" w14:textId="77777777" w:rsidR="00BD5196" w:rsidRPr="0024467F" w:rsidRDefault="00BD5196" w:rsidP="00BD5196">
      <w:pPr>
        <w:pStyle w:val="ListParagraph"/>
        <w:shd w:val="clear" w:color="auto" w:fill="FFFFFF" w:themeFill="background1"/>
        <w:tabs>
          <w:tab w:val="left" w:pos="426"/>
        </w:tabs>
        <w:spacing w:line="240" w:lineRule="auto"/>
        <w:ind w:left="426" w:hanging="426"/>
        <w:rPr>
          <w:rFonts w:ascii="Arial" w:hAnsi="Arial"/>
          <w:noProof/>
          <w:sz w:val="20"/>
          <w:szCs w:val="26"/>
        </w:rPr>
      </w:pPr>
    </w:p>
    <w:p w14:paraId="139E2BBB" w14:textId="7E462A4A" w:rsidR="00BD5196" w:rsidRPr="00AC7ADD"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rPr>
      </w:pPr>
      <w:r>
        <w:rPr>
          <w:rFonts w:ascii="Arial" w:hAnsi="Arial"/>
          <w:b/>
          <w:sz w:val="20"/>
        </w:rPr>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Exemplo - Regras do Governo na África do Sul para Pesquisa Financiada Publicamente</w:t>
      </w:r>
    </w:p>
    <w:p w14:paraId="360052DE" w14:textId="77777777" w:rsidR="00BD5196" w:rsidRPr="0024467F"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rPr>
      </w:pPr>
    </w:p>
    <w:p w14:paraId="4577CF63" w14:textId="77777777"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rPr>
      </w:pPr>
      <w:r>
        <w:rPr>
          <w:rFonts w:ascii="Arial" w:hAnsi="Arial"/>
          <w:sz w:val="20"/>
        </w:rPr>
        <w:t>A seção (4)(1) estabelece que“</w:t>
      </w:r>
      <w:r>
        <w:rPr>
          <w:rFonts w:ascii="Arial" w:hAnsi="Arial"/>
          <w:i/>
          <w:sz w:val="20"/>
        </w:rPr>
        <w:t xml:space="preserve">De acordo com a seção 15(2), a PI proveniente de Pesquisa e Desenvolvimento financiados com fundos públicos será de </w:t>
      </w:r>
      <w:r>
        <w:rPr>
          <w:rFonts w:ascii="Arial" w:hAnsi="Arial"/>
          <w:i/>
          <w:sz w:val="20"/>
          <w:u w:val="single"/>
        </w:rPr>
        <w:t>titularidade do destinatário</w:t>
      </w:r>
      <w:r>
        <w:rPr>
          <w:rFonts w:ascii="Arial" w:hAnsi="Arial"/>
          <w:sz w:val="20"/>
        </w:rPr>
        <w:t xml:space="preserve">” </w:t>
      </w:r>
    </w:p>
    <w:p w14:paraId="205BE069" w14:textId="7773524C"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rPr>
      </w:pPr>
      <w:r>
        <w:rPr>
          <w:rFonts w:ascii="Arial" w:hAnsi="Arial"/>
          <w:sz w:val="20"/>
        </w:rPr>
        <w:t xml:space="preserve">A seção 15(2) prescreve quatro requisitos para </w:t>
      </w:r>
      <w:r>
        <w:rPr>
          <w:rFonts w:ascii="Arial" w:hAnsi="Arial"/>
          <w:sz w:val="20"/>
          <w:u w:val="single"/>
        </w:rPr>
        <w:t>cotitularidade</w:t>
      </w:r>
      <w:r>
        <w:rPr>
          <w:rFonts w:ascii="Arial" w:hAnsi="Arial"/>
          <w:sz w:val="20"/>
        </w:rPr>
        <w:t xml:space="preserve"> entre a Instituição e o patrocinador</w:t>
      </w:r>
      <w:r w:rsidR="008411EA">
        <w:rPr>
          <w:rFonts w:ascii="Arial" w:hAnsi="Arial"/>
          <w:sz w:val="20"/>
        </w:rPr>
        <w:t xml:space="preserve">. </w:t>
      </w:r>
    </w:p>
    <w:p w14:paraId="7FBCCEA5" w14:textId="77777777" w:rsidR="00BD5196"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rPr>
      </w:pPr>
      <w:r>
        <w:rPr>
          <w:rFonts w:ascii="Arial" w:hAnsi="Arial"/>
          <w:sz w:val="20"/>
        </w:rPr>
        <w:t xml:space="preserve">Por último, se o custo total da realização da pesquisa e desenvolvimento em uma instituição for pago pela parte privada/patrocinador, considera-se que a Lei dos DPI não se aplica e o acesso à PI </w:t>
      </w:r>
      <w:r>
        <w:rPr>
          <w:rFonts w:ascii="Arial" w:hAnsi="Arial"/>
          <w:sz w:val="20"/>
          <w:u w:val="single"/>
        </w:rPr>
        <w:t>pode ser negociado livremente</w:t>
      </w:r>
      <w:r w:rsidRPr="001A078F">
        <w:rPr>
          <w:rFonts w:ascii="Arial" w:hAnsi="Arial"/>
          <w:sz w:val="20"/>
        </w:rPr>
        <w:t xml:space="preserve"> </w:t>
      </w:r>
      <w:r>
        <w:rPr>
          <w:rFonts w:ascii="Arial" w:hAnsi="Arial"/>
          <w:sz w:val="20"/>
        </w:rPr>
        <w:t>entre as partes.</w:t>
      </w:r>
    </w:p>
    <w:p w14:paraId="09507A1E" w14:textId="77777777" w:rsidR="00BD5196" w:rsidRPr="00AC7ADD" w:rsidRDefault="00BD5196" w:rsidP="0085559F">
      <w:pPr>
        <w:pStyle w:val="Heading3"/>
        <w:spacing w:before="360"/>
        <w:rPr>
          <w:sz w:val="24"/>
        </w:rPr>
      </w:pPr>
      <w:bookmarkStart w:id="227" w:name="_Article_7.7_-"/>
      <w:bookmarkStart w:id="228" w:name="_Toc516496057"/>
      <w:bookmarkStart w:id="229" w:name="_Toc516829429"/>
      <w:bookmarkEnd w:id="227"/>
      <w:r>
        <w:rPr>
          <w:sz w:val="24"/>
        </w:rPr>
        <w:t>Artigo 7.7- Princípios básicos</w:t>
      </w:r>
      <w:bookmarkEnd w:id="228"/>
      <w:bookmarkEnd w:id="229"/>
      <w:r>
        <w:rPr>
          <w:sz w:val="24"/>
        </w:rPr>
        <w:t xml:space="preserve"> </w:t>
      </w:r>
    </w:p>
    <w:p w14:paraId="6F699335" w14:textId="4F5A6C00" w:rsidR="00BD5196" w:rsidRPr="00CC0CF0"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rPr>
      </w:pPr>
      <w:r>
        <w:rPr>
          <w:rFonts w:ascii="Arial" w:hAnsi="Arial"/>
          <w:b/>
          <w:color w:val="000000"/>
          <w:sz w:val="20"/>
        </w:rPr>
        <w:t>Artigo 7.7.2,</w:t>
      </w:r>
      <w:r>
        <w:rPr>
          <w:rFonts w:ascii="Arial" w:hAnsi="Arial"/>
          <w:color w:val="000000"/>
          <w:sz w:val="20"/>
        </w:rPr>
        <w:t xml:space="preserve"> </w:t>
      </w:r>
      <w:r>
        <w:rPr>
          <w:rFonts w:ascii="Arial" w:hAnsi="Arial"/>
          <w:b/>
          <w:i/>
          <w:color w:val="000000"/>
          <w:sz w:val="20"/>
        </w:rPr>
        <w:t>PI Antecedente</w:t>
      </w:r>
      <w:r>
        <w:rPr>
          <w:rFonts w:ascii="Arial" w:hAnsi="Arial"/>
          <w:color w:val="000000"/>
          <w:sz w:val="20"/>
        </w:rPr>
        <w:t>: A PI Antecedente é considerada aquela PI de titularidade autônoma de cada parte antes da conclusão do Contrato de Pesquisa, cuja PI Antecedente é relevante para o(s) projeto(s) específico(s) a ser(em) realizado(s) sob o Contrato de Pesquisa</w:t>
      </w:r>
      <w:r w:rsidR="008411EA">
        <w:rPr>
          <w:rFonts w:ascii="Arial" w:hAnsi="Arial"/>
          <w:color w:val="000000"/>
          <w:sz w:val="20"/>
        </w:rPr>
        <w:t xml:space="preserve">. </w:t>
      </w:r>
      <w:r>
        <w:rPr>
          <w:rFonts w:ascii="Arial" w:hAnsi="Arial"/>
          <w:color w:val="000000"/>
          <w:sz w:val="20"/>
        </w:rPr>
        <w:t xml:space="preserve">A titularidade da PI Antecedente não deve ser afetada pelo projeto. No entanto, a PI Antecedente pode ser disponibilizada às partes contratantes como parte de uma contribuição de recursos de </w:t>
      </w:r>
      <w:r>
        <w:rPr>
          <w:rFonts w:ascii="Arial" w:hAnsi="Arial"/>
          <w:color w:val="000000"/>
          <w:sz w:val="20"/>
        </w:rPr>
        <w:lastRenderedPageBreak/>
        <w:t>cada parte ao Contrato de Pesquisa, caso em que será licenciada sem royalties</w:t>
      </w:r>
      <w:r w:rsidR="008411EA">
        <w:rPr>
          <w:rFonts w:ascii="Arial" w:hAnsi="Arial"/>
          <w:color w:val="000000"/>
          <w:sz w:val="20"/>
        </w:rPr>
        <w:t xml:space="preserve">. </w:t>
      </w:r>
      <w:r>
        <w:rPr>
          <w:rFonts w:ascii="Arial" w:hAnsi="Arial"/>
          <w:color w:val="000000"/>
          <w:sz w:val="20"/>
        </w:rPr>
        <w:t>Alternativamente, é possível negociar um valor que a Parte X deve pagar pelo acesso à PI Antecedente da Parte Y, o que fará parte do acordo de financiamento do Contrato de Pesquisa.</w:t>
      </w:r>
    </w:p>
    <w:p w14:paraId="40414EF1" w14:textId="77777777" w:rsidR="00BD5196" w:rsidRPr="0024467F" w:rsidRDefault="00BD5196" w:rsidP="00BD5196">
      <w:pPr>
        <w:pStyle w:val="ListParagraph"/>
        <w:autoSpaceDE w:val="0"/>
        <w:autoSpaceDN w:val="0"/>
        <w:adjustRightInd w:val="0"/>
        <w:spacing w:after="148" w:line="240" w:lineRule="auto"/>
        <w:ind w:left="426" w:hanging="426"/>
        <w:jc w:val="both"/>
        <w:rPr>
          <w:rFonts w:ascii="Arial" w:eastAsiaTheme="minorHAnsi" w:hAnsi="Arial" w:cs="Arial"/>
          <w:color w:val="000000"/>
          <w:sz w:val="20"/>
          <w:lang w:eastAsia="en-US"/>
        </w:rPr>
      </w:pPr>
    </w:p>
    <w:p w14:paraId="247E429A" w14:textId="77777777" w:rsidR="005F5418" w:rsidRPr="00B00EEA"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rPr>
      </w:pPr>
      <w:r>
        <w:rPr>
          <w:rFonts w:ascii="Arial" w:hAnsi="Arial"/>
          <w:b/>
          <w:color w:val="000000"/>
          <w:sz w:val="20"/>
        </w:rPr>
        <w:t xml:space="preserve">Artigo 7.7.3, </w:t>
      </w:r>
      <w:r>
        <w:rPr>
          <w:rFonts w:ascii="Arial" w:hAnsi="Arial"/>
          <w:b/>
          <w:i/>
          <w:color w:val="000000"/>
          <w:sz w:val="20"/>
        </w:rPr>
        <w:t>PI decorrente do Contrato de Pesquisa</w:t>
      </w:r>
      <w:r>
        <w:rPr>
          <w:rFonts w:ascii="Arial" w:hAnsi="Arial"/>
          <w:color w:val="000000"/>
          <w:sz w:val="20"/>
        </w:rPr>
        <w:t>:</w:t>
      </w:r>
      <w:r w:rsidRPr="001A078F">
        <w:rPr>
          <w:rFonts w:ascii="Arial" w:hAnsi="Arial"/>
          <w:bCs/>
          <w:color w:val="000000"/>
          <w:sz w:val="20"/>
        </w:rPr>
        <w:t xml:space="preserve"> </w:t>
      </w:r>
      <w:r>
        <w:rPr>
          <w:rFonts w:ascii="Arial" w:hAnsi="Arial"/>
          <w:color w:val="000000"/>
          <w:sz w:val="20"/>
        </w:rPr>
        <w:t>Geralmente é chamada de “PI de primeiro plano”. A PI de Primeiro Plano é a PI inovadora que é criada e é de interesse como parte do Contrato de Pesquisa.</w:t>
      </w:r>
      <w:r>
        <w:rPr>
          <w:rFonts w:ascii="Arial" w:hAnsi="Arial"/>
          <w:b/>
          <w:i/>
          <w:color w:val="000000"/>
          <w:sz w:val="20"/>
        </w:rPr>
        <w:t xml:space="preserve"> </w:t>
      </w:r>
    </w:p>
    <w:p w14:paraId="1ACDD9A0" w14:textId="77777777" w:rsidR="005F5418" w:rsidRPr="0024467F" w:rsidRDefault="005F5418" w:rsidP="005F5418">
      <w:pPr>
        <w:pStyle w:val="ListParagraph"/>
        <w:autoSpaceDE w:val="0"/>
        <w:autoSpaceDN w:val="0"/>
        <w:adjustRightInd w:val="0"/>
        <w:spacing w:after="148" w:line="240" w:lineRule="auto"/>
        <w:ind w:left="426"/>
        <w:jc w:val="both"/>
        <w:rPr>
          <w:rFonts w:ascii="Arial" w:eastAsiaTheme="minorHAnsi" w:hAnsi="Arial" w:cs="Arial"/>
          <w:color w:val="000000"/>
          <w:sz w:val="20"/>
          <w:lang w:eastAsia="en-US"/>
        </w:rPr>
      </w:pPr>
    </w:p>
    <w:p w14:paraId="66229422" w14:textId="79501BB7" w:rsidR="00BD5196" w:rsidRPr="00AC7ADD" w:rsidRDefault="005F5418" w:rsidP="009D4A54">
      <w:pPr>
        <w:pStyle w:val="ListParagraph"/>
        <w:numPr>
          <w:ilvl w:val="0"/>
          <w:numId w:val="113"/>
        </w:numPr>
        <w:autoSpaceDE w:val="0"/>
        <w:autoSpaceDN w:val="0"/>
        <w:adjustRightInd w:val="0"/>
        <w:spacing w:after="240" w:line="240" w:lineRule="auto"/>
        <w:ind w:left="425" w:hanging="425"/>
        <w:jc w:val="both"/>
        <w:rPr>
          <w:rFonts w:ascii="Arial" w:eastAsiaTheme="minorHAnsi" w:hAnsi="Arial" w:cs="Arial"/>
          <w:color w:val="000000"/>
          <w:sz w:val="20"/>
        </w:rPr>
      </w:pPr>
      <w:r>
        <w:rPr>
          <w:rFonts w:ascii="Arial" w:hAnsi="Arial"/>
          <w:b/>
          <w:color w:val="000000"/>
          <w:sz w:val="20"/>
        </w:rPr>
        <w:t xml:space="preserve">Artigo 7.7.3, </w:t>
      </w:r>
      <w:r>
        <w:rPr>
          <w:rFonts w:ascii="Arial" w:hAnsi="Arial"/>
          <w:b/>
          <w:i/>
          <w:color w:val="000000"/>
          <w:sz w:val="20"/>
        </w:rPr>
        <w:t>A regra geral é que tal PI [de primeiro plano] será de titularidade da Instituição</w:t>
      </w:r>
      <w:r w:rsidR="008411EA">
        <w:rPr>
          <w:rFonts w:ascii="Arial" w:hAnsi="Arial"/>
          <w:color w:val="000000"/>
          <w:sz w:val="20"/>
        </w:rPr>
        <w:t xml:space="preserve">. </w:t>
      </w:r>
      <w:r>
        <w:rPr>
          <w:rFonts w:ascii="Arial" w:hAnsi="Arial"/>
          <w:color w:val="000000"/>
          <w:sz w:val="20"/>
        </w:rPr>
        <w:t xml:space="preserve">Isso é muito importante para evitar a fragmentação da PI. </w:t>
      </w:r>
    </w:p>
    <w:p w14:paraId="5799C15B" w14:textId="77777777"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rPr>
      </w:pPr>
      <w:r>
        <w:rPr>
          <w:rFonts w:ascii="Arial" w:hAnsi="Arial"/>
          <w:color w:val="000000"/>
          <w:sz w:val="20"/>
        </w:rPr>
        <w:t xml:space="preserve">Nem sempre é a titularidade da PI em si que conta, mas o escopo que as partes têm para </w:t>
      </w:r>
      <w:r>
        <w:rPr>
          <w:rFonts w:ascii="Arial" w:hAnsi="Arial"/>
          <w:i/>
          <w:iCs/>
          <w:color w:val="000000"/>
          <w:sz w:val="20"/>
        </w:rPr>
        <w:t>usar</w:t>
      </w:r>
      <w:r>
        <w:rPr>
          <w:rFonts w:ascii="Arial" w:hAnsi="Arial"/>
          <w:color w:val="000000"/>
          <w:sz w:val="20"/>
        </w:rPr>
        <w:t xml:space="preserve"> e gerenciar a PI. Os requisitos cruciais para a Instituição são:</w:t>
      </w:r>
    </w:p>
    <w:p w14:paraId="409B9434" w14:textId="77777777"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rPr>
      </w:pPr>
      <w:r>
        <w:rPr>
          <w:rFonts w:ascii="Arial" w:hAnsi="Arial"/>
          <w:color w:val="000000"/>
          <w:sz w:val="20"/>
        </w:rPr>
        <w:t>- a capacidade de usar os resultados da investigação em pesquisas futuras (vja o Artigo 7.7.8);</w:t>
      </w:r>
    </w:p>
    <w:p w14:paraId="2B91680F" w14:textId="77777777" w:rsidR="003A04D2" w:rsidRPr="00AC7ADD"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rPr>
      </w:pPr>
      <w:r>
        <w:rPr>
          <w:rFonts w:ascii="Arial" w:hAnsi="Arial"/>
          <w:color w:val="000000"/>
          <w:sz w:val="20"/>
        </w:rPr>
        <w:t>- a capacidade de se beneficiar da comercialização da PI, tanto diretamente como em combinação com outros resultados de pesquisa; e</w:t>
      </w:r>
    </w:p>
    <w:p w14:paraId="0451C0C6" w14:textId="77777777" w:rsidR="003A04D2" w:rsidRPr="00CC0CF0"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rPr>
      </w:pPr>
      <w:r>
        <w:rPr>
          <w:rFonts w:ascii="Arial" w:hAnsi="Arial"/>
          <w:color w:val="000000"/>
          <w:sz w:val="20"/>
        </w:rPr>
        <w:t>- garantir que os resultados da pesquisa serão usados, seja comercialmente ou de outra forma. Isso pode ser importante, porque o comportamento comercial muitas vezes pode envolver não explorar a PI ou usar patentes para bloquear a atividade tecnológica de outras empresas.</w:t>
      </w:r>
      <w:r w:rsidRPr="00CC0CF0">
        <w:rPr>
          <w:rStyle w:val="FootnoteReference"/>
          <w:rFonts w:ascii="Arial" w:eastAsiaTheme="minorHAnsi" w:hAnsi="Arial" w:cs="Arial"/>
          <w:color w:val="000000"/>
          <w:sz w:val="20"/>
          <w:lang w:val="en-US" w:eastAsia="en-US"/>
        </w:rPr>
        <w:footnoteReference w:id="145"/>
      </w:r>
      <w:r>
        <w:rPr>
          <w:rFonts w:ascii="Arial" w:hAnsi="Arial"/>
          <w:color w:val="000000"/>
          <w:sz w:val="20"/>
        </w:rPr>
        <w:t xml:space="preserve"> </w:t>
      </w:r>
    </w:p>
    <w:p w14:paraId="4F5D1DAE" w14:textId="77777777" w:rsidR="00D3107A" w:rsidRPr="0024467F" w:rsidRDefault="00D3107A" w:rsidP="003A04D2">
      <w:pPr>
        <w:autoSpaceDE w:val="0"/>
        <w:autoSpaceDN w:val="0"/>
        <w:adjustRightInd w:val="0"/>
        <w:spacing w:after="0" w:line="240" w:lineRule="auto"/>
        <w:ind w:left="720" w:hanging="294"/>
        <w:jc w:val="both"/>
        <w:rPr>
          <w:rFonts w:ascii="Arial" w:eastAsiaTheme="minorHAnsi" w:hAnsi="Arial" w:cs="Arial"/>
          <w:color w:val="000000"/>
          <w:sz w:val="20"/>
          <w:lang w:eastAsia="en-US"/>
        </w:rPr>
      </w:pPr>
    </w:p>
    <w:p w14:paraId="42488D6E" w14:textId="020B9664" w:rsidR="003A04D2" w:rsidRPr="00AC7ADD" w:rsidRDefault="003A04D2" w:rsidP="00D3107A">
      <w:pPr>
        <w:autoSpaceDE w:val="0"/>
        <w:autoSpaceDN w:val="0"/>
        <w:adjustRightInd w:val="0"/>
        <w:spacing w:after="0" w:line="240" w:lineRule="auto"/>
        <w:ind w:left="425"/>
        <w:jc w:val="both"/>
        <w:rPr>
          <w:rFonts w:ascii="Arial" w:eastAsiaTheme="minorHAnsi" w:hAnsi="Arial" w:cs="Arial"/>
          <w:color w:val="000000"/>
          <w:sz w:val="20"/>
        </w:rPr>
      </w:pPr>
      <w:r>
        <w:rPr>
          <w:rFonts w:ascii="Arial" w:hAnsi="Arial"/>
          <w:color w:val="000000"/>
          <w:sz w:val="20"/>
        </w:rPr>
        <w:t>Em princípio (e se a lei nacional o permitir), todos estes requisitos podem ser acomodados em Contratos de Pesquisa que atribuem PI de Primeiro Plano (ou seja, dão a titularidade da PI) à parte externa/patrocinador.</w:t>
      </w:r>
      <w:r w:rsidRPr="00CC0CF0">
        <w:rPr>
          <w:rStyle w:val="FootnoteReference"/>
          <w:rFonts w:ascii="Arial" w:eastAsiaTheme="minorHAnsi" w:hAnsi="Arial" w:cs="Arial"/>
          <w:color w:val="000000"/>
          <w:sz w:val="20"/>
          <w:lang w:val="en-US" w:eastAsia="en-US"/>
        </w:rPr>
        <w:footnoteReference w:id="146"/>
      </w:r>
      <w:r>
        <w:rPr>
          <w:rFonts w:ascii="Arial" w:hAnsi="Arial"/>
          <w:color w:val="000000"/>
          <w:sz w:val="20"/>
        </w:rPr>
        <w:t>. Entretanto, na prática, pode ser mais simples para as instituições manterem a titularidade da PI de primeiro plano</w:t>
      </w:r>
      <w:r w:rsidR="008411EA">
        <w:rPr>
          <w:rFonts w:ascii="Arial" w:hAnsi="Arial"/>
          <w:color w:val="000000"/>
          <w:sz w:val="20"/>
        </w:rPr>
        <w:t xml:space="preserve">. </w:t>
      </w:r>
    </w:p>
    <w:p w14:paraId="74667A0B" w14:textId="77777777" w:rsidR="00D3107A" w:rsidRPr="0024467F" w:rsidRDefault="00D3107A" w:rsidP="00D3107A">
      <w:pPr>
        <w:autoSpaceDE w:val="0"/>
        <w:autoSpaceDN w:val="0"/>
        <w:adjustRightInd w:val="0"/>
        <w:spacing w:after="0" w:line="240" w:lineRule="auto"/>
        <w:ind w:left="425"/>
        <w:jc w:val="both"/>
        <w:rPr>
          <w:rFonts w:ascii="Arial" w:eastAsiaTheme="minorHAnsi" w:hAnsi="Arial" w:cs="Arial"/>
          <w:color w:val="000000"/>
          <w:sz w:val="20"/>
          <w:lang w:eastAsia="en-US"/>
        </w:rPr>
      </w:pPr>
    </w:p>
    <w:p w14:paraId="1A64E3F8" w14:textId="16EEA399"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rPr>
      </w:pPr>
      <w:r>
        <w:rPr>
          <w:rFonts w:ascii="Arial" w:hAnsi="Arial"/>
          <w:b/>
          <w:color w:val="000000"/>
          <w:sz w:val="20"/>
        </w:rPr>
        <w:t xml:space="preserve">Artigo 7.7.4, </w:t>
      </w:r>
      <w:r>
        <w:rPr>
          <w:rFonts w:ascii="Arial" w:hAnsi="Arial"/>
          <w:b/>
          <w:i/>
          <w:color w:val="000000"/>
          <w:sz w:val="20"/>
        </w:rPr>
        <w:t>PI de primeiro plano de cotitularidade</w:t>
      </w:r>
      <w:r>
        <w:rPr>
          <w:rFonts w:ascii="Arial" w:hAnsi="Arial"/>
          <w:color w:val="000000"/>
          <w:sz w:val="20"/>
        </w:rPr>
        <w:t>: Em geral, a cotitularidade (ou “titularidade conjunta”) de PI é desencorajada, pois pode criar complicações adicionais</w:t>
      </w:r>
      <w:r w:rsidR="008411EA">
        <w:rPr>
          <w:rFonts w:ascii="Arial" w:hAnsi="Arial"/>
          <w:color w:val="000000"/>
          <w:sz w:val="20"/>
        </w:rPr>
        <w:t xml:space="preserve">. </w:t>
      </w:r>
      <w:r>
        <w:rPr>
          <w:rFonts w:ascii="Arial" w:hAnsi="Arial"/>
          <w:color w:val="000000"/>
          <w:sz w:val="20"/>
        </w:rPr>
        <w:t>Isso é particularmente verdadeiro se as intenções de cada uma das partes em relação à PI forem muito diferentes; e no caso de cotitularidade com entidades estrangeiras, devido a diferenças legais e culturais</w:t>
      </w:r>
      <w:r w:rsidR="008411EA">
        <w:rPr>
          <w:rFonts w:ascii="Arial" w:hAnsi="Arial"/>
          <w:color w:val="000000"/>
          <w:sz w:val="20"/>
        </w:rPr>
        <w:t xml:space="preserve">. </w:t>
      </w:r>
    </w:p>
    <w:p w14:paraId="2B8A7132" w14:textId="77777777" w:rsidR="00D33E0F" w:rsidRPr="0024467F" w:rsidRDefault="00D33E0F" w:rsidP="00D33E0F">
      <w:pPr>
        <w:autoSpaceDE w:val="0"/>
        <w:autoSpaceDN w:val="0"/>
        <w:adjustRightInd w:val="0"/>
        <w:spacing w:after="0" w:line="240" w:lineRule="auto"/>
        <w:jc w:val="both"/>
        <w:rPr>
          <w:rFonts w:ascii="Arial" w:eastAsiaTheme="minorHAnsi" w:hAnsi="Arial" w:cs="Arial"/>
          <w:color w:val="000000"/>
          <w:sz w:val="20"/>
          <w:lang w:eastAsia="en-US"/>
        </w:rPr>
      </w:pPr>
    </w:p>
    <w:p w14:paraId="7925454E" w14:textId="77777777" w:rsidR="00D33E0F" w:rsidRPr="00AC7ADD" w:rsidRDefault="00D33E0F" w:rsidP="00BF6B49">
      <w:pPr>
        <w:pStyle w:val="Pa3"/>
        <w:spacing w:after="135"/>
        <w:ind w:left="425"/>
        <w:rPr>
          <w:sz w:val="20"/>
          <w:szCs w:val="22"/>
        </w:rPr>
      </w:pPr>
      <w:r>
        <w:rPr>
          <w:sz w:val="20"/>
        </w:rPr>
        <w:t>Os fatores que dissuadem a cotitularidade incluem</w:t>
      </w:r>
      <w:r w:rsidR="00BF6B49" w:rsidRPr="00AC7ADD">
        <w:rPr>
          <w:rStyle w:val="FootnoteReference"/>
          <w:sz w:val="20"/>
          <w:szCs w:val="22"/>
        </w:rPr>
        <w:footnoteReference w:id="147"/>
      </w:r>
      <w:r>
        <w:rPr>
          <w:sz w:val="20"/>
        </w:rPr>
        <w:t xml:space="preserve">: </w:t>
      </w:r>
    </w:p>
    <w:p w14:paraId="25E0BFBE" w14:textId="77777777" w:rsidR="00D33E0F" w:rsidRPr="00AC7ADD" w:rsidRDefault="00D33E0F" w:rsidP="009D4A54">
      <w:pPr>
        <w:pStyle w:val="Default"/>
        <w:numPr>
          <w:ilvl w:val="0"/>
          <w:numId w:val="162"/>
        </w:numPr>
        <w:spacing w:after="135"/>
        <w:ind w:left="850" w:hanging="425"/>
        <w:jc w:val="both"/>
        <w:rPr>
          <w:color w:val="auto"/>
          <w:sz w:val="20"/>
          <w:szCs w:val="18"/>
        </w:rPr>
      </w:pPr>
      <w:r>
        <w:rPr>
          <w:color w:val="auto"/>
          <w:sz w:val="20"/>
        </w:rPr>
        <w:t>Potencial complexidade na proteção da PI na ausência de decisões claras sobre quem é responsável por obter (e pagar pela) proteção dos DPIs registrados;</w:t>
      </w:r>
    </w:p>
    <w:p w14:paraId="3A289FFC" w14:textId="77777777" w:rsidR="00D33E0F" w:rsidRPr="00AC7ADD" w:rsidRDefault="00D33E0F" w:rsidP="009D4A54">
      <w:pPr>
        <w:pStyle w:val="Default"/>
        <w:numPr>
          <w:ilvl w:val="0"/>
          <w:numId w:val="161"/>
        </w:numPr>
        <w:spacing w:after="135"/>
        <w:ind w:left="851" w:hanging="425"/>
        <w:jc w:val="both"/>
        <w:rPr>
          <w:color w:val="auto"/>
          <w:sz w:val="20"/>
          <w:szCs w:val="18"/>
        </w:rPr>
      </w:pPr>
      <w:r>
        <w:rPr>
          <w:color w:val="auto"/>
          <w:sz w:val="20"/>
        </w:rPr>
        <w:t>Quando uma patente é de titularidade conjunta, todos os titulares devem dar consentimento aos acordos de licenciamento, embora isso às vezes possa ser anulado pelo Tribunal;</w:t>
      </w:r>
    </w:p>
    <w:p w14:paraId="438E56B8" w14:textId="77777777" w:rsidR="00D33E0F" w:rsidRPr="00AC7ADD" w:rsidRDefault="00D33E0F" w:rsidP="009D4A54">
      <w:pPr>
        <w:pStyle w:val="Default"/>
        <w:numPr>
          <w:ilvl w:val="0"/>
          <w:numId w:val="161"/>
        </w:numPr>
        <w:spacing w:after="135"/>
        <w:ind w:left="850" w:hanging="425"/>
        <w:jc w:val="both"/>
        <w:rPr>
          <w:color w:val="auto"/>
          <w:sz w:val="20"/>
          <w:szCs w:val="18"/>
        </w:rPr>
      </w:pPr>
      <w:r>
        <w:rPr>
          <w:color w:val="auto"/>
          <w:sz w:val="20"/>
        </w:rPr>
        <w:t xml:space="preserve">Potenciais licenciados de uma tecnologia preferirão evitar lidar com mais de um titular, já que isso complica o processo de negociação; </w:t>
      </w:r>
    </w:p>
    <w:p w14:paraId="46A1B852" w14:textId="77777777" w:rsidR="00D33E0F" w:rsidRPr="00AC7ADD" w:rsidRDefault="00D33E0F" w:rsidP="009D4A54">
      <w:pPr>
        <w:pStyle w:val="Default"/>
        <w:numPr>
          <w:ilvl w:val="0"/>
          <w:numId w:val="161"/>
        </w:numPr>
        <w:spacing w:after="135"/>
        <w:ind w:left="851" w:hanging="425"/>
        <w:jc w:val="both"/>
        <w:rPr>
          <w:color w:val="auto"/>
          <w:sz w:val="20"/>
          <w:szCs w:val="18"/>
        </w:rPr>
      </w:pPr>
      <w:r>
        <w:rPr>
          <w:color w:val="auto"/>
          <w:sz w:val="20"/>
        </w:rPr>
        <w:t xml:space="preserve">Embora as disposições contratuais possam ser colocadas em prática para disseminar os benefícios e riscos das licenças, não é incomum que as disposições padrão de cotitularidade sejam consideradas favoráveis aos parceiros da indústria; </w:t>
      </w:r>
    </w:p>
    <w:p w14:paraId="4528F5B5" w14:textId="77777777" w:rsidR="00D33E0F" w:rsidRPr="00AC7ADD" w:rsidRDefault="00BF6B49" w:rsidP="009D4A54">
      <w:pPr>
        <w:pStyle w:val="Default"/>
        <w:numPr>
          <w:ilvl w:val="0"/>
          <w:numId w:val="161"/>
        </w:numPr>
        <w:ind w:left="851" w:hanging="425"/>
        <w:jc w:val="both"/>
        <w:rPr>
          <w:color w:val="auto"/>
          <w:sz w:val="20"/>
          <w:szCs w:val="18"/>
        </w:rPr>
      </w:pPr>
      <w:r>
        <w:rPr>
          <w:color w:val="auto"/>
          <w:sz w:val="20"/>
        </w:rPr>
        <w:t xml:space="preserve">A cotitularidade é particularmente problemática quando se prevê colaboração e exploração internacional, porque a lei de titularidade conjunta pode variar significativamente entre diferentes países. Por exemplo, em alguns países, qualquer cotitular pode tomar medidas sobre a patente sem precisar obter o acordo ou notificar outros titulares, enquanto em outros países, eles só podem agir em conjunto. </w:t>
      </w:r>
    </w:p>
    <w:p w14:paraId="4F670B60" w14:textId="77777777" w:rsidR="00BD5196" w:rsidRPr="0024467F" w:rsidRDefault="00BD5196" w:rsidP="00BD5196">
      <w:pPr>
        <w:autoSpaceDE w:val="0"/>
        <w:autoSpaceDN w:val="0"/>
        <w:adjustRightInd w:val="0"/>
        <w:spacing w:after="0" w:line="240" w:lineRule="auto"/>
        <w:ind w:left="426" w:hanging="426"/>
        <w:jc w:val="both"/>
        <w:rPr>
          <w:rFonts w:ascii="Arial" w:eastAsiaTheme="minorHAnsi" w:hAnsi="Arial" w:cs="Arial"/>
          <w:sz w:val="20"/>
          <w:lang w:eastAsia="en-US"/>
        </w:rPr>
      </w:pPr>
    </w:p>
    <w:p w14:paraId="3F2C4DEC" w14:textId="5C06E65E"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sz w:val="20"/>
        </w:rPr>
      </w:pPr>
      <w:r>
        <w:rPr>
          <w:rFonts w:ascii="Arial" w:hAnsi="Arial"/>
          <w:b/>
          <w:color w:val="000000"/>
          <w:sz w:val="20"/>
        </w:rPr>
        <w:lastRenderedPageBreak/>
        <w:t>Artigo 7.7.5,</w:t>
      </w:r>
      <w:r>
        <w:rPr>
          <w:rFonts w:ascii="Arial" w:hAnsi="Arial"/>
          <w:color w:val="000000"/>
          <w:sz w:val="20"/>
        </w:rPr>
        <w:t xml:space="preserve"> </w:t>
      </w:r>
      <w:r>
        <w:rPr>
          <w:rFonts w:ascii="Arial" w:hAnsi="Arial"/>
          <w:b/>
          <w:i/>
          <w:color w:val="000000"/>
          <w:sz w:val="20"/>
        </w:rPr>
        <w:t>PI de Serendipidade</w:t>
      </w:r>
      <w:r>
        <w:rPr>
          <w:rFonts w:ascii="Arial" w:hAnsi="Arial"/>
          <w:color w:val="000000"/>
          <w:sz w:val="20"/>
        </w:rPr>
        <w:t>:</w:t>
      </w:r>
      <w:r w:rsidRPr="00831508">
        <w:rPr>
          <w:rFonts w:ascii="Arial" w:hAnsi="Arial"/>
          <w:bCs/>
          <w:color w:val="000000"/>
          <w:sz w:val="20"/>
        </w:rPr>
        <w:t xml:space="preserve"> </w:t>
      </w:r>
      <w:r>
        <w:rPr>
          <w:rFonts w:ascii="Arial" w:hAnsi="Arial"/>
          <w:color w:val="000000"/>
          <w:sz w:val="20"/>
        </w:rPr>
        <w:t>É possível que, incidentalmente, seja criada a PI no decurso do projeto que não fazia parte do escopo do Contrato de Pesquisa</w:t>
      </w:r>
      <w:r w:rsidR="00316B9D" w:rsidRPr="00B00EEA">
        <w:rPr>
          <w:rStyle w:val="FootnoteReference"/>
          <w:rFonts w:ascii="Arial" w:eastAsiaTheme="minorHAnsi" w:hAnsi="Arial" w:cs="Arial"/>
          <w:color w:val="000000"/>
          <w:sz w:val="20"/>
          <w:lang w:val="en-US" w:eastAsia="en-US"/>
        </w:rPr>
        <w:footnoteReference w:id="148"/>
      </w:r>
      <w:r>
        <w:rPr>
          <w:rFonts w:ascii="Arial" w:hAnsi="Arial"/>
          <w:color w:val="000000"/>
          <w:sz w:val="20"/>
        </w:rPr>
        <w:t>. A titularidade institucional da PI de serendipidade é aconselhável</w:t>
      </w:r>
      <w:r w:rsidR="008411EA">
        <w:rPr>
          <w:rFonts w:ascii="Arial" w:hAnsi="Arial"/>
          <w:color w:val="000000"/>
          <w:sz w:val="20"/>
        </w:rPr>
        <w:t xml:space="preserve">. </w:t>
      </w:r>
      <w:r>
        <w:rPr>
          <w:rFonts w:ascii="Arial" w:hAnsi="Arial"/>
          <w:color w:val="000000"/>
          <w:sz w:val="20"/>
        </w:rPr>
        <w:t>No entanto, pode haver necessidade de cláusulas de titularidade específicas para regular a geração de, titularidade e, de fato, o acesso a tal PI.</w:t>
      </w:r>
    </w:p>
    <w:p w14:paraId="21B62DBA" w14:textId="77777777" w:rsidR="00BD5196" w:rsidRPr="0024467F" w:rsidRDefault="00BD5196" w:rsidP="00BD5196">
      <w:pPr>
        <w:autoSpaceDE w:val="0"/>
        <w:autoSpaceDN w:val="0"/>
        <w:adjustRightInd w:val="0"/>
        <w:spacing w:after="0" w:line="240" w:lineRule="auto"/>
        <w:jc w:val="both"/>
        <w:rPr>
          <w:rFonts w:ascii="Arial" w:eastAsiaTheme="minorHAnsi" w:hAnsi="Arial" w:cs="Arial"/>
          <w:sz w:val="20"/>
          <w:lang w:eastAsia="en-US"/>
        </w:rPr>
      </w:pPr>
    </w:p>
    <w:p w14:paraId="65050DFD" w14:textId="0FC0906C" w:rsidR="00316B9D" w:rsidRPr="00C04211"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rPr>
      </w:pPr>
      <w:r>
        <w:rPr>
          <w:rFonts w:ascii="Arial" w:hAnsi="Arial"/>
          <w:b/>
          <w:sz w:val="20"/>
        </w:rPr>
        <w:t>Artigo 7.7.6,</w:t>
      </w:r>
      <w:r>
        <w:rPr>
          <w:rFonts w:ascii="Arial" w:hAnsi="Arial"/>
          <w:sz w:val="20"/>
        </w:rPr>
        <w:t xml:space="preserve"> </w:t>
      </w:r>
      <w:r>
        <w:rPr>
          <w:rFonts w:ascii="Arial" w:hAnsi="Arial"/>
          <w:b/>
          <w:i/>
          <w:sz w:val="20"/>
        </w:rPr>
        <w:t>Direito de preferência à PI</w:t>
      </w:r>
      <w:r>
        <w:rPr>
          <w:rFonts w:ascii="Arial" w:hAnsi="Arial"/>
          <w:color w:val="000000"/>
          <w:sz w:val="20"/>
        </w:rPr>
        <w:t>:</w:t>
      </w:r>
      <w:r>
        <w:rPr>
          <w:rFonts w:ascii="Arial" w:hAnsi="Arial"/>
          <w:sz w:val="20"/>
        </w:rPr>
        <w:t xml:space="preserve"> </w:t>
      </w:r>
      <w:r>
        <w:rPr>
          <w:rFonts w:ascii="Arial" w:hAnsi="Arial"/>
          <w:color w:val="000000"/>
          <w:sz w:val="20"/>
        </w:rPr>
        <w:t xml:space="preserve">Um direito de preferência diz que quando a Instituição decide que quer comercializar a PI, ela abordará a parte que recebeu o direito de preferência para perguntar se ela deseja exercer seu direito e apresentar os termos e condições a serem acordados. Caso contrário, se a Instituição encontrar termos melhores, a parte que detém o direito de preferência pode equipará-los ou desistir. </w:t>
      </w:r>
    </w:p>
    <w:p w14:paraId="0DF67F73" w14:textId="77777777" w:rsidR="00316B9D" w:rsidRPr="0024467F" w:rsidRDefault="00316B9D" w:rsidP="00316B9D">
      <w:pPr>
        <w:pStyle w:val="ListParagraph"/>
        <w:autoSpaceDE w:val="0"/>
        <w:autoSpaceDN w:val="0"/>
        <w:adjustRightInd w:val="0"/>
        <w:spacing w:after="0" w:line="240" w:lineRule="auto"/>
        <w:ind w:left="426"/>
        <w:jc w:val="both"/>
        <w:rPr>
          <w:rFonts w:ascii="Arial" w:eastAsiaTheme="minorHAnsi" w:hAnsi="Arial" w:cs="Arial"/>
          <w:color w:val="000000"/>
          <w:sz w:val="20"/>
          <w:lang w:eastAsia="en-US"/>
        </w:rPr>
      </w:pPr>
    </w:p>
    <w:p w14:paraId="44841EC4" w14:textId="459E2BBC" w:rsidR="00BD5196" w:rsidRPr="00AC7ADD" w:rsidRDefault="00BD5196" w:rsidP="00316B9D">
      <w:pPr>
        <w:autoSpaceDE w:val="0"/>
        <w:autoSpaceDN w:val="0"/>
        <w:adjustRightInd w:val="0"/>
        <w:spacing w:after="0" w:line="240" w:lineRule="auto"/>
        <w:ind w:left="426"/>
        <w:jc w:val="both"/>
        <w:rPr>
          <w:rFonts w:ascii="Arial" w:eastAsiaTheme="minorHAnsi" w:hAnsi="Arial" w:cs="Arial"/>
          <w:color w:val="000000"/>
          <w:sz w:val="20"/>
        </w:rPr>
      </w:pPr>
      <w:r>
        <w:rPr>
          <w:rFonts w:ascii="Arial" w:hAnsi="Arial"/>
          <w:sz w:val="20"/>
        </w:rPr>
        <w:t>Partes/patrocinadores externos geralmente se reconfortam ao saber que, embora possam não ser titulares da PI criada como resultado do Contrato de Pesquisa, eles têm o direito de preferência para aceitar a cessão ou licenciar a PI sob termos mutuamente acordados</w:t>
      </w:r>
      <w:r w:rsidR="008411EA">
        <w:rPr>
          <w:rFonts w:ascii="Arial" w:hAnsi="Arial"/>
          <w:sz w:val="20"/>
        </w:rPr>
        <w:t xml:space="preserve">. </w:t>
      </w:r>
      <w:r>
        <w:rPr>
          <w:rFonts w:ascii="Arial" w:hAnsi="Arial"/>
          <w:sz w:val="20"/>
        </w:rPr>
        <w:t>Esse direito deve ter um cronograma associado a ele, de modo que, se a parte externa/patrocinador não exercer seu direito dentro de um período de tempo definido, o direito expira e a Instituição fica livre para negociar com qualquer outro terceiro que possa expressar interesse na PI.</w:t>
      </w:r>
    </w:p>
    <w:p w14:paraId="1B9D23B1" w14:textId="77777777" w:rsidR="00BD5196" w:rsidRPr="0024467F" w:rsidRDefault="00BD5196" w:rsidP="00BD5196">
      <w:pPr>
        <w:autoSpaceDE w:val="0"/>
        <w:autoSpaceDN w:val="0"/>
        <w:adjustRightInd w:val="0"/>
        <w:spacing w:after="0" w:line="240" w:lineRule="auto"/>
        <w:jc w:val="both"/>
        <w:rPr>
          <w:rFonts w:ascii="Arial" w:eastAsiaTheme="minorHAnsi" w:hAnsi="Arial" w:cs="Arial"/>
          <w:color w:val="000000"/>
          <w:sz w:val="20"/>
          <w:lang w:eastAsia="en-US"/>
        </w:rPr>
      </w:pPr>
    </w:p>
    <w:p w14:paraId="766EF2A6" w14:textId="77777777" w:rsidR="00FA0E7C" w:rsidRPr="00AC7ADD" w:rsidRDefault="00FA0E7C" w:rsidP="00BD5196">
      <w:pPr>
        <w:pStyle w:val="gmail-msolistparagraph"/>
        <w:spacing w:before="0" w:beforeAutospacing="0" w:after="0" w:afterAutospacing="0"/>
        <w:ind w:left="426"/>
        <w:jc w:val="both"/>
        <w:rPr>
          <w:rFonts w:ascii="Arial" w:hAnsi="Arial" w:cs="Arial"/>
          <w:color w:val="000000"/>
          <w:sz w:val="20"/>
        </w:rPr>
      </w:pPr>
      <w:r>
        <w:rPr>
          <w:rFonts w:ascii="Arial" w:hAnsi="Arial"/>
          <w:color w:val="000000"/>
          <w:sz w:val="20"/>
        </w:rPr>
        <w:t xml:space="preserve">Note que há uma diferença entre uma “opção” e um “direito de preferência”. A principal distinção entre os dois conceitos envolve quem inicia a concessão de direitos: </w:t>
      </w:r>
    </w:p>
    <w:p w14:paraId="195FB0BC"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Pr>
          <w:rFonts w:ascii="Arial" w:hAnsi="Arial"/>
          <w:color w:val="000000"/>
          <w:sz w:val="20"/>
        </w:rPr>
        <w:t xml:space="preserve">- Com um </w:t>
      </w:r>
      <w:r>
        <w:rPr>
          <w:rFonts w:ascii="Arial" w:hAnsi="Arial"/>
          <w:b/>
          <w:bCs/>
          <w:color w:val="000000"/>
          <w:sz w:val="20"/>
        </w:rPr>
        <w:t>opção</w:t>
      </w:r>
      <w:r>
        <w:rPr>
          <w:rFonts w:ascii="Arial" w:hAnsi="Arial"/>
          <w:color w:val="000000"/>
          <w:sz w:val="20"/>
        </w:rPr>
        <w:t xml:space="preserve">, a parte beneficiária da opção (neste caso, a parte externa/patrocinador) tem um prazo para reivindicar o prêmio - para notificar a parte que concede a opção (neste caso, a Instituição) de que deseja obter a concessão de direitos (como uma licença ou uma cessão). </w:t>
      </w:r>
    </w:p>
    <w:p w14:paraId="070BDB77"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Pr>
          <w:rFonts w:ascii="Arial" w:hAnsi="Arial"/>
          <w:color w:val="000000"/>
          <w:sz w:val="20"/>
        </w:rPr>
        <w:t>-</w:t>
      </w:r>
      <w:r>
        <w:rPr>
          <w:rFonts w:ascii="Arial" w:hAnsi="Arial"/>
          <w:color w:val="000000"/>
          <w:sz w:val="20"/>
        </w:rPr>
        <w:tab/>
        <w:t xml:space="preserve">Por outro lado, se a parte externa/patrocinador receber um </w:t>
      </w:r>
      <w:r>
        <w:rPr>
          <w:rFonts w:ascii="Arial" w:hAnsi="Arial"/>
          <w:b/>
          <w:color w:val="000000"/>
          <w:sz w:val="20"/>
        </w:rPr>
        <w:t>direito de preferência</w:t>
      </w:r>
      <w:r>
        <w:rPr>
          <w:rFonts w:ascii="Arial" w:hAnsi="Arial"/>
          <w:color w:val="000000"/>
          <w:sz w:val="20"/>
        </w:rPr>
        <w:t xml:space="preserve">, ela não pode iniciar a concessão de direitos. A Instituição está no controle do processo. Se a Instituição desejar conceder os direitos, ela deverá notificar a parte externa/patrocinador e dar a ela a oportunidade de aceitar ou recusar esses direitos. </w:t>
      </w:r>
    </w:p>
    <w:p w14:paraId="6CEF1C6D"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p>
    <w:p w14:paraId="2C226448" w14:textId="77777777" w:rsidR="00FA0E7C" w:rsidRPr="00AC7ADD" w:rsidRDefault="00BD5196" w:rsidP="00FA0E7C">
      <w:pPr>
        <w:pStyle w:val="gmail-msolistparagraph"/>
        <w:spacing w:before="0" w:beforeAutospacing="0" w:after="0" w:afterAutospacing="0"/>
        <w:ind w:left="426"/>
        <w:jc w:val="both"/>
        <w:rPr>
          <w:rFonts w:ascii="Arial" w:hAnsi="Arial" w:cs="Arial"/>
          <w:color w:val="000000"/>
          <w:sz w:val="20"/>
        </w:rPr>
      </w:pPr>
      <w:r>
        <w:rPr>
          <w:rFonts w:ascii="Arial" w:hAnsi="Arial"/>
          <w:color w:val="000000"/>
          <w:sz w:val="20"/>
        </w:rPr>
        <w:t>Normalmente, as cláusulas de direito de preferência operam em um ou ambos os seguintes estágios:</w:t>
      </w:r>
    </w:p>
    <w:p w14:paraId="3E6DDA2D"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Pr>
          <w:rFonts w:ascii="Arial" w:hAnsi="Arial"/>
          <w:color w:val="000000"/>
          <w:sz w:val="20"/>
        </w:rPr>
        <w:t xml:space="preserve">- Quando a Instituição decide pela primeira vez que está pronta para conceder os direitos (ou está prestes a começar a oferecer os direitos a terceiros), ela deve oferecer os direitos à parte externa/patrocinador; e/ou </w:t>
      </w:r>
    </w:p>
    <w:p w14:paraId="1757B6C8" w14:textId="77777777" w:rsidR="00BD5196" w:rsidRPr="00AC7ADD" w:rsidRDefault="00FA0E7C" w:rsidP="00FA0E7C">
      <w:pPr>
        <w:pStyle w:val="gmail-msolistparagraph"/>
        <w:spacing w:before="0" w:beforeAutospacing="0" w:after="0" w:afterAutospacing="0"/>
        <w:ind w:left="720" w:hanging="294"/>
        <w:jc w:val="both"/>
        <w:rPr>
          <w:rFonts w:ascii="Calibri" w:hAnsi="Calibri"/>
          <w:sz w:val="18"/>
          <w:szCs w:val="22"/>
        </w:rPr>
      </w:pPr>
      <w:r>
        <w:rPr>
          <w:rFonts w:ascii="Arial" w:hAnsi="Arial"/>
          <w:color w:val="000000"/>
          <w:sz w:val="20"/>
        </w:rPr>
        <w:t>- Quando a Instituição estiver prestes a assinar um acordo com um terceiro, ela deve dar à parte externa/patrocinador uma oportunidade de equiparar os termos acordados com o terceiro. Se a parte externa/patrocinador aceitar essa oportunidade, a Instituição deverá conceder os direitos à parte externa/patrocinador nesses termos, em vez de concedê-los ao terceiro.</w:t>
      </w:r>
    </w:p>
    <w:p w14:paraId="1B0BE69B" w14:textId="77777777" w:rsidR="00BD5196" w:rsidRPr="0024467F" w:rsidRDefault="00BD5196" w:rsidP="00BD5196">
      <w:pPr>
        <w:autoSpaceDE w:val="0"/>
        <w:autoSpaceDN w:val="0"/>
        <w:adjustRightInd w:val="0"/>
        <w:spacing w:after="0" w:line="240" w:lineRule="auto"/>
        <w:jc w:val="both"/>
        <w:rPr>
          <w:rFonts w:ascii="Arial" w:eastAsiaTheme="minorHAnsi" w:hAnsi="Arial" w:cs="Arial"/>
          <w:color w:val="000000"/>
          <w:sz w:val="20"/>
          <w:lang w:eastAsia="en-US"/>
        </w:rPr>
      </w:pPr>
    </w:p>
    <w:p w14:paraId="329A9AE1" w14:textId="32FCBFD9"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7.7.7, </w:t>
      </w:r>
      <w:r>
        <w:rPr>
          <w:rFonts w:ascii="Arial" w:hAnsi="Arial"/>
          <w:b/>
          <w:i/>
          <w:sz w:val="20"/>
        </w:rPr>
        <w:t>Atraso na publicação</w:t>
      </w:r>
      <w:r>
        <w:rPr>
          <w:rFonts w:ascii="Arial" w:hAnsi="Arial"/>
          <w:color w:val="000000"/>
          <w:sz w:val="20"/>
        </w:rPr>
        <w:t>:</w:t>
      </w:r>
      <w:r>
        <w:rPr>
          <w:rFonts w:ascii="Arial" w:hAnsi="Arial"/>
          <w:sz w:val="20"/>
        </w:rPr>
        <w:t xml:space="preserve"> Como a publicação continua a ser um incentivo significativo para os pesquisadores (veja </w:t>
      </w:r>
      <w:hyperlink w:anchor="_ARTICLE_10_-" w:history="1">
        <w:r>
          <w:rPr>
            <w:rStyle w:val="Hyperlink"/>
            <w:rFonts w:ascii="Arial" w:hAnsi="Arial"/>
            <w:sz w:val="20"/>
          </w:rPr>
          <w:t>Arti</w:t>
        </w:r>
        <w:r>
          <w:rPr>
            <w:rStyle w:val="Hyperlink"/>
            <w:rFonts w:ascii="Arial" w:hAnsi="Arial"/>
            <w:sz w:val="20"/>
          </w:rPr>
          <w:t>g</w:t>
        </w:r>
        <w:r>
          <w:rPr>
            <w:rStyle w:val="Hyperlink"/>
            <w:rFonts w:ascii="Arial" w:hAnsi="Arial"/>
            <w:sz w:val="20"/>
          </w:rPr>
          <w:t>o</w:t>
        </w:r>
      </w:hyperlink>
      <w:r w:rsidR="00F265CB">
        <w:rPr>
          <w:rStyle w:val="Hyperlink"/>
          <w:rFonts w:ascii="Arial" w:hAnsi="Arial"/>
          <w:sz w:val="20"/>
        </w:rPr>
        <w:t xml:space="preserve"> 10</w:t>
      </w:r>
      <w:r>
        <w:rPr>
          <w:rFonts w:ascii="Arial" w:hAnsi="Arial"/>
          <w:sz w:val="20"/>
        </w:rPr>
        <w:t xml:space="preserve"> para uma discussão sobre incentivos), é importante que o processo de proteção da PI não cause atrasos desnecessários na publicação dos resultados dos pesquisadores em um periódico</w:t>
      </w:r>
      <w:r w:rsidR="008411EA">
        <w:rPr>
          <w:rFonts w:ascii="Arial" w:hAnsi="Arial"/>
          <w:sz w:val="20"/>
        </w:rPr>
        <w:t xml:space="preserve">. </w:t>
      </w:r>
      <w:r>
        <w:rPr>
          <w:rFonts w:ascii="Arial" w:hAnsi="Arial"/>
          <w:sz w:val="20"/>
        </w:rPr>
        <w:t xml:space="preserve">A Instituição deve, portanto, assumir um compromisso razoável com o pesquisador para confirmar quanto tempo o EGPI precisará para revisar as divulgações da invenção, fazer uma avaliação quanto ao potencial comercial e, posteriormente, elaborar a estratégia de PI para dar suporte a esse plano comercial. Veja também </w:t>
      </w:r>
      <w:hyperlink w:anchor="_Article_6.1_–" w:history="1">
        <w:r>
          <w:rPr>
            <w:rStyle w:val="Hyperlink"/>
            <w:rFonts w:ascii="Arial" w:hAnsi="Arial"/>
            <w:sz w:val="20"/>
          </w:rPr>
          <w:t>Artigo 6.1</w:t>
        </w:r>
      </w:hyperlink>
      <w:r>
        <w:rPr>
          <w:rFonts w:ascii="Arial" w:hAnsi="Arial"/>
          <w:sz w:val="20"/>
        </w:rPr>
        <w:t xml:space="preserve"> (direito de publicação) e </w:t>
      </w:r>
      <w:hyperlink w:anchor="Box43" w:history="1">
        <w:r>
          <w:rPr>
            <w:rStyle w:val="Hyperlink"/>
            <w:rFonts w:ascii="Arial" w:hAnsi="Arial"/>
            <w:sz w:val="20"/>
          </w:rPr>
          <w:t>Caixa 43</w:t>
        </w:r>
      </w:hyperlink>
      <w:r>
        <w:rPr>
          <w:rFonts w:ascii="Arial" w:hAnsi="Arial"/>
          <w:sz w:val="20"/>
        </w:rPr>
        <w:t xml:space="preserve"> (exemplo de cláusulas para atrasos de publicação).</w:t>
      </w:r>
    </w:p>
    <w:p w14:paraId="70348A05" w14:textId="77777777" w:rsidR="00BD5196" w:rsidRPr="0024467F" w:rsidRDefault="00BD5196" w:rsidP="00BD5196">
      <w:pPr>
        <w:autoSpaceDE w:val="0"/>
        <w:autoSpaceDN w:val="0"/>
        <w:adjustRightInd w:val="0"/>
        <w:spacing w:after="0" w:line="240" w:lineRule="auto"/>
        <w:ind w:left="426" w:hanging="426"/>
        <w:jc w:val="both"/>
        <w:rPr>
          <w:rFonts w:ascii="Arial" w:hAnsi="Arial"/>
          <w:noProof/>
          <w:sz w:val="20"/>
          <w:szCs w:val="26"/>
        </w:rPr>
      </w:pPr>
    </w:p>
    <w:p w14:paraId="2A9FCB51" w14:textId="697144C4" w:rsidR="00BD5196" w:rsidRPr="00B00EEA"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rPr>
      </w:pPr>
      <w:r>
        <w:rPr>
          <w:rFonts w:ascii="Arial" w:hAnsi="Arial"/>
          <w:b/>
          <w:color w:val="000000"/>
          <w:sz w:val="20"/>
        </w:rPr>
        <w:t>Artigo 7.7.8,</w:t>
      </w:r>
      <w:r>
        <w:rPr>
          <w:rFonts w:ascii="Arial" w:hAnsi="Arial"/>
          <w:color w:val="000000"/>
          <w:sz w:val="20"/>
        </w:rPr>
        <w:t xml:space="preserve"> </w:t>
      </w:r>
      <w:r>
        <w:rPr>
          <w:rFonts w:ascii="Arial" w:hAnsi="Arial"/>
          <w:b/>
          <w:i/>
          <w:sz w:val="20"/>
        </w:rPr>
        <w:t xml:space="preserve">Uso </w:t>
      </w:r>
      <w:r>
        <w:rPr>
          <w:rFonts w:ascii="Arial" w:hAnsi="Arial"/>
          <w:b/>
          <w:i/>
          <w:color w:val="000000"/>
          <w:sz w:val="20"/>
        </w:rPr>
        <w:t>da PI para Pesquisa e Ensino</w:t>
      </w:r>
      <w:r>
        <w:rPr>
          <w:rFonts w:ascii="Arial" w:hAnsi="Arial"/>
          <w:color w:val="000000"/>
          <w:sz w:val="20"/>
        </w:rPr>
        <w:t>: As principais missões das instituições são educar e realizar pesquisas para promover o conhecimento científico</w:t>
      </w:r>
      <w:r w:rsidR="008411EA">
        <w:rPr>
          <w:rFonts w:ascii="Arial" w:hAnsi="Arial"/>
          <w:color w:val="000000"/>
          <w:sz w:val="20"/>
        </w:rPr>
        <w:t xml:space="preserve">. </w:t>
      </w:r>
      <w:r>
        <w:rPr>
          <w:rFonts w:ascii="Arial" w:hAnsi="Arial"/>
          <w:color w:val="000000"/>
          <w:sz w:val="20"/>
        </w:rPr>
        <w:t xml:space="preserve">Para manter esse status, elas não devem fazer nada que restrinja sua capacidade de cumprir seu propósito principal. Como resultado, muitos acordos de PI institucionais terão uma cláusula não negociável que estabelece que, mesmo que licenciado exclusivamente, o conteúdo da PI ainda deve estar disponível para fins de pesquisa e ensino. </w:t>
      </w:r>
    </w:p>
    <w:p w14:paraId="4F47B2AC" w14:textId="77777777" w:rsidR="005F5418" w:rsidRPr="0024467F" w:rsidRDefault="005F5418" w:rsidP="005F5418">
      <w:pPr>
        <w:autoSpaceDE w:val="0"/>
        <w:autoSpaceDN w:val="0"/>
        <w:adjustRightInd w:val="0"/>
        <w:spacing w:after="0" w:line="240" w:lineRule="auto"/>
        <w:jc w:val="both"/>
        <w:rPr>
          <w:rFonts w:ascii="Arial" w:eastAsiaTheme="minorHAnsi" w:hAnsi="Arial" w:cs="Arial"/>
          <w:color w:val="000000"/>
          <w:sz w:val="20"/>
          <w:lang w:eastAsia="en-US"/>
        </w:rPr>
      </w:pPr>
    </w:p>
    <w:p w14:paraId="0C9E5EEF" w14:textId="77777777" w:rsidR="008534D2" w:rsidRPr="0024467F" w:rsidRDefault="008534D2" w:rsidP="008534D2">
      <w:pPr>
        <w:autoSpaceDE w:val="0"/>
        <w:autoSpaceDN w:val="0"/>
        <w:adjustRightInd w:val="0"/>
        <w:spacing w:after="0" w:line="240" w:lineRule="auto"/>
        <w:jc w:val="both"/>
        <w:rPr>
          <w:rFonts w:ascii="Arial" w:eastAsiaTheme="minorHAnsi" w:hAnsi="Arial" w:cs="Arial"/>
          <w:color w:val="000000"/>
          <w:sz w:val="20"/>
          <w:lang w:eastAsia="en-US"/>
        </w:rPr>
      </w:pPr>
    </w:p>
    <w:p w14:paraId="32ACA043" w14:textId="66396B6C" w:rsidR="008534D2" w:rsidRPr="00AC7ADD" w:rsidRDefault="000B07E9" w:rsidP="00831508">
      <w:pPr>
        <w:pStyle w:val="ListParagraph"/>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rPr>
      </w:pPr>
      <w:r>
        <w:rPr>
          <w:rFonts w:ascii="Arial" w:hAnsi="Arial"/>
          <w:b/>
          <w:sz w:val="20"/>
        </w:rPr>
        <w:lastRenderedPageBreak/>
        <w:t xml:space="preserve">Caixa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Cláusulas de PI em Contratos de pesquisa</w:t>
      </w:r>
    </w:p>
    <w:p w14:paraId="238CEEFA" w14:textId="77777777" w:rsidR="00316B9D" w:rsidRPr="0024467F" w:rsidRDefault="00316B9D"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rPr>
      </w:pPr>
    </w:p>
    <w:p w14:paraId="70B8AEFB" w14:textId="77777777" w:rsidR="008534D2" w:rsidRPr="00AC7ADD" w:rsidRDefault="008534D2"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sz w:val="20"/>
          <w:szCs w:val="32"/>
        </w:rPr>
      </w:pPr>
      <w:r>
        <w:rPr>
          <w:rFonts w:ascii="Arial" w:hAnsi="Arial"/>
          <w:sz w:val="20"/>
        </w:rPr>
        <w:t>As cláusulas de PI podem abranger:</w:t>
      </w:r>
    </w:p>
    <w:p w14:paraId="781DBBEE"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PI que as partes trazem para o projeto (PI Antecedente);</w:t>
      </w:r>
    </w:p>
    <w:p w14:paraId="27BF9744"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PI produzida no projeto que é específica para os objetivos do projeto (PI de primeiro plano);</w:t>
      </w:r>
    </w:p>
    <w:p w14:paraId="7C1AE4A4"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PI produzida incidentalmente no decurso do projeto (PI de serendipidade)</w:t>
      </w:r>
    </w:p>
    <w:p w14:paraId="2EC258B9"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necessidade de ser capaz de usar a PI antecedente de terceiros na comercialização ou uso do produto;</w:t>
      </w:r>
    </w:p>
    <w:p w14:paraId="70D26F78"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exigência/desejo da Instituição de poder usar a PI de primeiro plano em seus empreendimentos acadêmicos;</w:t>
      </w:r>
    </w:p>
    <w:p w14:paraId="540B4C9F"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o desejo das partes de publicar os resultados do projeto (incluindo o direito do Aluno de publicar a tese);</w:t>
      </w:r>
    </w:p>
    <w:p w14:paraId="50875DAE"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direitos de cada parte de comprar a parcela dos Direitos de PI da outra parte;</w:t>
      </w:r>
    </w:p>
    <w:p w14:paraId="7421C7F4"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 exigência/desejo das partes de patentear a PI de Primeiro Plano;</w:t>
      </w:r>
    </w:p>
    <w:p w14:paraId="4F00E37C"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cláusulas de confidencialidade e publicação para apoiar e refletir as intenções de PI;</w:t>
      </w:r>
    </w:p>
    <w:p w14:paraId="7023F206" w14:textId="77777777" w:rsidR="008534D2" w:rsidRPr="00AC7ADD" w:rsidRDefault="00316B9D"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r>
        <w:rPr>
          <w:rFonts w:ascii="Arial" w:hAnsi="Arial"/>
          <w:sz w:val="20"/>
        </w:rPr>
        <w:t>Acordos contratuais da instituição com seus Membros da Equipe, Alunos e Visitantes.</w:t>
      </w:r>
    </w:p>
    <w:p w14:paraId="2E08B230" w14:textId="77777777" w:rsidR="00BD5196" w:rsidRPr="00AC7ADD" w:rsidRDefault="00BD5196" w:rsidP="00B7519E">
      <w:pPr>
        <w:tabs>
          <w:tab w:val="left" w:pos="851"/>
        </w:tabs>
        <w:spacing w:before="360" w:after="360" w:line="240" w:lineRule="auto"/>
        <w:ind w:left="851" w:hanging="851"/>
        <w:jc w:val="both"/>
        <w:rPr>
          <w:rFonts w:ascii="Arial" w:hAnsi="Arial" w:cs="Arial"/>
          <w:b/>
          <w:color w:val="0070C0"/>
          <w:sz w:val="24"/>
          <w:szCs w:val="24"/>
        </w:rPr>
      </w:pPr>
      <w:r>
        <w:rPr>
          <w:rFonts w:ascii="Arial" w:hAnsi="Arial"/>
          <w:b/>
          <w:color w:val="0070C0"/>
          <w:sz w:val="24"/>
        </w:rPr>
        <w:t>Artigo 7.8 - Exceções</w:t>
      </w:r>
    </w:p>
    <w:p w14:paraId="1EA8A565" w14:textId="0D860422" w:rsidR="00BD5196" w:rsidRPr="00AC7ADD" w:rsidRDefault="00BD5196" w:rsidP="009D4A54">
      <w:pPr>
        <w:pStyle w:val="ListParagraph"/>
        <w:numPr>
          <w:ilvl w:val="0"/>
          <w:numId w:val="19"/>
        </w:numPr>
        <w:spacing w:after="0" w:line="240" w:lineRule="auto"/>
        <w:ind w:left="426" w:hanging="426"/>
        <w:jc w:val="both"/>
        <w:rPr>
          <w:rFonts w:ascii="Arial" w:hAnsi="Arial" w:cs="Arial"/>
          <w:sz w:val="20"/>
        </w:rPr>
      </w:pPr>
      <w:r>
        <w:rPr>
          <w:rFonts w:ascii="Arial" w:hAnsi="Arial"/>
          <w:b/>
          <w:sz w:val="20"/>
        </w:rPr>
        <w:t xml:space="preserve">Artigo 7.8, </w:t>
      </w:r>
      <w:r>
        <w:rPr>
          <w:rFonts w:ascii="Arial" w:hAnsi="Arial"/>
          <w:b/>
          <w:i/>
          <w:sz w:val="20"/>
        </w:rPr>
        <w:t>Exceções à Política</w:t>
      </w:r>
      <w:r>
        <w:rPr>
          <w:rFonts w:ascii="Arial" w:hAnsi="Arial"/>
          <w:sz w:val="20"/>
        </w:rPr>
        <w:t>: As exceções à Política de PI da Instituição devem ser exercidas somente na medida em que o benefício para a Instituição supere qualquer comprometimento que a Instituição esteja fazendo</w:t>
      </w:r>
      <w:r w:rsidR="008411EA">
        <w:rPr>
          <w:rFonts w:ascii="Arial" w:hAnsi="Arial"/>
          <w:sz w:val="20"/>
        </w:rPr>
        <w:t xml:space="preserve">. </w:t>
      </w:r>
      <w:r>
        <w:rPr>
          <w:rFonts w:ascii="Arial" w:hAnsi="Arial"/>
          <w:sz w:val="20"/>
        </w:rPr>
        <w:t>Devem ser desenvolvidos exemplos claros de situações em que seria apropriado desviar-se das disposições da Política de PI.</w:t>
      </w:r>
    </w:p>
    <w:p w14:paraId="46DDD1E2" w14:textId="77777777" w:rsidR="00E43208" w:rsidRPr="00AC7ADD" w:rsidRDefault="00E43208" w:rsidP="00B7519E">
      <w:pPr>
        <w:tabs>
          <w:tab w:val="left" w:pos="851"/>
        </w:tabs>
        <w:spacing w:before="360" w:after="360" w:line="240" w:lineRule="auto"/>
        <w:ind w:left="851" w:hanging="851"/>
        <w:jc w:val="both"/>
        <w:rPr>
          <w:rFonts w:ascii="Arial" w:hAnsi="Arial" w:cs="Arial"/>
          <w:b/>
          <w:color w:val="0070C0"/>
          <w:sz w:val="24"/>
          <w:szCs w:val="24"/>
        </w:rPr>
      </w:pPr>
      <w:r>
        <w:rPr>
          <w:rFonts w:ascii="Arial" w:hAnsi="Arial"/>
          <w:b/>
          <w:color w:val="0070C0"/>
          <w:sz w:val="24"/>
        </w:rPr>
        <w:t>Recursos Úteis Relacionados ao Artigo 7</w:t>
      </w:r>
    </w:p>
    <w:p w14:paraId="46C99BCD" w14:textId="77777777" w:rsidR="00132893"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rPr>
      </w:pPr>
      <w:r>
        <w:rPr>
          <w:rFonts w:ascii="Arial" w:hAnsi="Arial"/>
          <w:b/>
          <w:sz w:val="20"/>
        </w:rPr>
        <w:t>Informações gerais relacionadas à gestão de PI em contratos de pesquisa.</w:t>
      </w:r>
    </w:p>
    <w:p w14:paraId="3F6AD300" w14:textId="77777777" w:rsidR="00132893" w:rsidRPr="00AC7ADD" w:rsidRDefault="00132893" w:rsidP="009D4A54">
      <w:pPr>
        <w:pStyle w:val="ListParagraph"/>
        <w:numPr>
          <w:ilvl w:val="0"/>
          <w:numId w:val="160"/>
        </w:numPr>
        <w:autoSpaceDE w:val="0"/>
        <w:autoSpaceDN w:val="0"/>
        <w:adjustRightInd w:val="0"/>
        <w:spacing w:after="0" w:line="240" w:lineRule="auto"/>
        <w:jc w:val="both"/>
        <w:rPr>
          <w:rFonts w:ascii="Arial" w:hAnsi="Arial" w:cs="Arial"/>
          <w:b/>
          <w:sz w:val="20"/>
        </w:rPr>
      </w:pPr>
      <w:r>
        <w:rPr>
          <w:rFonts w:ascii="Arial" w:hAnsi="Arial"/>
          <w:sz w:val="20"/>
        </w:rPr>
        <w:t>A</w:t>
      </w:r>
      <w:r>
        <w:rPr>
          <w:rFonts w:ascii="Arial" w:hAnsi="Arial"/>
          <w:b/>
          <w:sz w:val="20"/>
        </w:rPr>
        <w:t xml:space="preserve"> </w:t>
      </w:r>
      <w:hyperlink r:id="rId113" w:history="1">
        <w:r>
          <w:rPr>
            <w:rStyle w:val="Hyperlink"/>
            <w:rFonts w:ascii="Arial" w:hAnsi="Arial"/>
            <w:sz w:val="20"/>
          </w:rPr>
          <w:t>Recomendação da Comissão sobre a gestão da PI em atividades de transferência de conhecimento e Código de Práticas para universidades e outras organizações públicas de investigação</w:t>
        </w:r>
        <w:r w:rsidRPr="00AC7ADD">
          <w:rPr>
            <w:rStyle w:val="FootnoteReference"/>
            <w:rFonts w:ascii="Arial" w:hAnsi="Arial" w:cs="Arial"/>
            <w:sz w:val="20"/>
            <w:lang w:val="en-US"/>
          </w:rPr>
          <w:footnoteReference w:id="149"/>
        </w:r>
      </w:hyperlink>
      <w:r>
        <w:rPr>
          <w:rFonts w:ascii="Arial" w:hAnsi="Arial"/>
          <w:sz w:val="20"/>
        </w:rPr>
        <w:t xml:space="preserve"> contém um conjunto de princípios relativos à pesquisa colaborativa e contratual. </w:t>
      </w:r>
    </w:p>
    <w:p w14:paraId="002D8471" w14:textId="77777777" w:rsidR="00132893" w:rsidRPr="0024467F" w:rsidRDefault="00F265CB" w:rsidP="009D4A54">
      <w:pPr>
        <w:pStyle w:val="ListParagraph"/>
        <w:numPr>
          <w:ilvl w:val="0"/>
          <w:numId w:val="160"/>
        </w:numPr>
        <w:autoSpaceDE w:val="0"/>
        <w:autoSpaceDN w:val="0"/>
        <w:adjustRightInd w:val="0"/>
        <w:spacing w:after="0" w:line="240" w:lineRule="auto"/>
        <w:jc w:val="both"/>
        <w:rPr>
          <w:rFonts w:ascii="Arial" w:hAnsi="Arial" w:cs="Arial"/>
          <w:sz w:val="20"/>
          <w:lang w:val="en-US"/>
        </w:rPr>
      </w:pPr>
      <w:hyperlink r:id="rId114" w:history="1">
        <w:r w:rsidR="00372C70" w:rsidRPr="0024467F">
          <w:rPr>
            <w:rStyle w:val="Hyperlink"/>
            <w:rFonts w:ascii="Arial" w:hAnsi="Arial"/>
            <w:sz w:val="20"/>
            <w:lang w:val="en-US"/>
          </w:rPr>
          <w:t>Knowledge Transfer Ireland Practical Guide to Collaborative Agreements</w:t>
        </w:r>
      </w:hyperlink>
    </w:p>
    <w:p w14:paraId="6D3E8391" w14:textId="77777777" w:rsidR="008641B6" w:rsidRPr="00AC7ADD" w:rsidRDefault="008641B6" w:rsidP="008641B6">
      <w:pPr>
        <w:autoSpaceDE w:val="0"/>
        <w:autoSpaceDN w:val="0"/>
        <w:adjustRightInd w:val="0"/>
        <w:spacing w:after="0" w:line="240" w:lineRule="auto"/>
        <w:ind w:left="720" w:hanging="360"/>
        <w:rPr>
          <w:rFonts w:ascii="Arial" w:hAnsi="Arial" w:cs="Arial"/>
          <w:sz w:val="20"/>
        </w:rPr>
      </w:pPr>
      <w:r>
        <w:rPr>
          <w:rFonts w:ascii="Arial" w:hAnsi="Arial"/>
          <w:sz w:val="20"/>
        </w:rPr>
        <w:t>-</w:t>
      </w:r>
      <w:r>
        <w:rPr>
          <w:rFonts w:ascii="Arial" w:hAnsi="Arial"/>
          <w:sz w:val="20"/>
        </w:rPr>
        <w:tab/>
      </w:r>
      <w:hyperlink r:id="rId115" w:history="1">
        <w:r>
          <w:rPr>
            <w:rStyle w:val="Hyperlink"/>
            <w:rFonts w:ascii="Arial" w:hAnsi="Arial"/>
            <w:sz w:val="20"/>
          </w:rPr>
          <w:t>European Research Area Guidelines</w:t>
        </w:r>
      </w:hyperlink>
      <w:r>
        <w:rPr>
          <w:rFonts w:ascii="Arial" w:hAnsi="Arial"/>
          <w:sz w:val="20"/>
        </w:rPr>
        <w:t xml:space="preserve"> sobre gestão de PI em Acordos Internacionais de Colaboração em Pesquisa </w:t>
      </w:r>
    </w:p>
    <w:p w14:paraId="124A4B70" w14:textId="77777777" w:rsidR="00132893" w:rsidRPr="0024467F" w:rsidRDefault="00132893" w:rsidP="00132893">
      <w:pPr>
        <w:pStyle w:val="ListParagraph"/>
        <w:autoSpaceDE w:val="0"/>
        <w:autoSpaceDN w:val="0"/>
        <w:adjustRightInd w:val="0"/>
        <w:spacing w:after="0" w:line="240" w:lineRule="auto"/>
        <w:ind w:left="426"/>
        <w:jc w:val="both"/>
        <w:rPr>
          <w:rFonts w:ascii="Arial" w:hAnsi="Arial" w:cs="Arial"/>
          <w:b/>
          <w:sz w:val="20"/>
        </w:rPr>
      </w:pPr>
    </w:p>
    <w:p w14:paraId="473CCFFE" w14:textId="77777777" w:rsidR="007A17A6"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rPr>
      </w:pPr>
      <w:r>
        <w:rPr>
          <w:rFonts w:ascii="Arial" w:hAnsi="Arial"/>
          <w:b/>
          <w:sz w:val="20"/>
        </w:rPr>
        <w:t>Contratos de pesquisa modelo e outros acordos que podem ser usados em diferentes estágios de pesquisa tecnológica e transações de comercialização.</w:t>
      </w:r>
    </w:p>
    <w:p w14:paraId="030427FB" w14:textId="77777777" w:rsidR="003351F2" w:rsidRPr="00AC7ADD" w:rsidRDefault="003351F2" w:rsidP="009D4A54">
      <w:pPr>
        <w:pStyle w:val="ListParagraph"/>
        <w:numPr>
          <w:ilvl w:val="0"/>
          <w:numId w:val="59"/>
        </w:numPr>
        <w:autoSpaceDE w:val="0"/>
        <w:autoSpaceDN w:val="0"/>
        <w:adjustRightInd w:val="0"/>
        <w:spacing w:after="0" w:line="240" w:lineRule="auto"/>
        <w:ind w:hanging="425"/>
        <w:jc w:val="both"/>
        <w:rPr>
          <w:rFonts w:ascii="Arial" w:hAnsi="Arial" w:cs="Arial"/>
          <w:sz w:val="20"/>
        </w:rPr>
      </w:pPr>
      <w:r>
        <w:rPr>
          <w:rStyle w:val="Hyperlink"/>
          <w:rFonts w:ascii="Arial" w:hAnsi="Arial"/>
          <w:color w:val="auto"/>
          <w:sz w:val="20"/>
          <w:u w:val="none"/>
        </w:rPr>
        <w:t xml:space="preserve">Vários modelos e acordos-modelo são fornecidos por universidades e instituições de pesquisa. Veja a </w:t>
      </w:r>
      <w:hyperlink r:id="rId116" w:history="1">
        <w:r>
          <w:rPr>
            <w:rStyle w:val="Hyperlink"/>
            <w:rFonts w:ascii="Arial" w:hAnsi="Arial"/>
            <w:sz w:val="20"/>
          </w:rPr>
          <w:t>Base de dados de Políticas de PI da OMPI</w:t>
        </w:r>
      </w:hyperlink>
      <w:r>
        <w:rPr>
          <w:rStyle w:val="Hyperlink"/>
          <w:rFonts w:ascii="Arial" w:hAnsi="Arial"/>
          <w:color w:val="auto"/>
          <w:sz w:val="20"/>
          <w:u w:val="none"/>
        </w:rPr>
        <w:t>.</w:t>
      </w:r>
    </w:p>
    <w:p w14:paraId="517E8074" w14:textId="77777777" w:rsidR="00B5263D" w:rsidRPr="00BD07D8" w:rsidRDefault="00B5263D"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r>
        <w:t>O</w:t>
      </w:r>
      <w:r>
        <w:rPr>
          <w:rFonts w:ascii="Arial" w:hAnsi="Arial"/>
          <w:sz w:val="20"/>
        </w:rPr>
        <w:t xml:space="preserve"> </w:t>
      </w:r>
      <w:hyperlink r:id="rId117" w:history="1">
        <w:r>
          <w:rPr>
            <w:rStyle w:val="Hyperlink"/>
            <w:rFonts w:ascii="Arial" w:hAnsi="Arial"/>
            <w:sz w:val="20"/>
          </w:rPr>
          <w:t>Conjunto de Ferramentas de PI para Universidades e Instituições de Pesquisa</w:t>
        </w:r>
      </w:hyperlink>
      <w:r>
        <w:rPr>
          <w:rFonts w:ascii="Arial" w:hAnsi="Arial"/>
          <w:b/>
          <w:sz w:val="20"/>
        </w:rPr>
        <w:t xml:space="preserve"> </w:t>
      </w:r>
      <w:r>
        <w:rPr>
          <w:rFonts w:ascii="Arial" w:hAnsi="Arial"/>
          <w:sz w:val="20"/>
        </w:rPr>
        <w:t>fornece um conjunto de Acordos-Modelo.</w:t>
      </w:r>
    </w:p>
    <w:p w14:paraId="7D12CBCA" w14:textId="1E1B0EE6" w:rsidR="00132893" w:rsidRPr="00BD07D8" w:rsidRDefault="00F265CB"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18" w:history="1">
        <w:r w:rsidR="00372C70">
          <w:rPr>
            <w:rStyle w:val="Hyperlink"/>
            <w:rFonts w:ascii="Arial" w:hAnsi="Arial"/>
            <w:sz w:val="20"/>
          </w:rPr>
          <w:t>Conjunto de Ferramentas Lambert</w:t>
        </w:r>
      </w:hyperlink>
      <w:r w:rsidR="008411EA">
        <w:rPr>
          <w:rFonts w:ascii="Arial" w:hAnsi="Arial"/>
          <w:sz w:val="20"/>
        </w:rPr>
        <w:t xml:space="preserve">. </w:t>
      </w:r>
      <w:r w:rsidR="00372C70">
        <w:rPr>
          <w:rFonts w:ascii="Arial" w:hAnsi="Arial"/>
          <w:sz w:val="20"/>
        </w:rPr>
        <w:t>Inclui modelos de acordos, juntamente com um documento de orientação e um guia de decisão que ajuda a selecionar o acordo-modelo mais apropriado.</w:t>
      </w:r>
    </w:p>
    <w:p w14:paraId="5520F992" w14:textId="77777777" w:rsidR="003A2FE2" w:rsidRPr="00BD07D8" w:rsidRDefault="00372C70" w:rsidP="009D4A54">
      <w:pPr>
        <w:pStyle w:val="ListParagraph"/>
        <w:numPr>
          <w:ilvl w:val="0"/>
          <w:numId w:val="59"/>
        </w:numPr>
        <w:autoSpaceDE w:val="0"/>
        <w:autoSpaceDN w:val="0"/>
        <w:adjustRightInd w:val="0"/>
        <w:spacing w:after="0" w:line="240" w:lineRule="auto"/>
        <w:ind w:hanging="425"/>
        <w:jc w:val="both"/>
        <w:rPr>
          <w:rFonts w:ascii="Arial" w:hAnsi="Arial" w:cs="Arial"/>
          <w:b/>
          <w:sz w:val="20"/>
          <w:szCs w:val="20"/>
        </w:rPr>
      </w:pPr>
      <w:r>
        <w:t xml:space="preserve">Acordos-Modelo de </w:t>
      </w:r>
      <w:hyperlink r:id="rId119" w:history="1">
        <w:r>
          <w:rPr>
            <w:rStyle w:val="Hyperlink"/>
            <w:rFonts w:ascii="Arial" w:hAnsi="Arial"/>
            <w:sz w:val="20"/>
          </w:rPr>
          <w:t>IPAG</w:t>
        </w:r>
      </w:hyperlink>
      <w:r>
        <w:rPr>
          <w:rFonts w:ascii="Arial" w:hAnsi="Arial"/>
          <w:sz w:val="20"/>
        </w:rPr>
        <w:t xml:space="preserve"> (Guia de Contratos de Propriedade Intelectual) (em Inglês e Alemão). Eles incluem opções de cláusulas de resolução de disputas referentes à Mediação da OMPI e à Arbitragem Expedita da OMPI. Disponível no </w:t>
      </w:r>
      <w:hyperlink r:id="rId120" w:history="1">
        <w:r>
          <w:rPr>
            <w:rStyle w:val="Hyperlink"/>
            <w:rFonts w:ascii="Arial" w:hAnsi="Arial"/>
            <w:sz w:val="20"/>
          </w:rPr>
          <w:t>Site da OMPI</w:t>
        </w:r>
      </w:hyperlink>
      <w:r>
        <w:rPr>
          <w:rFonts w:ascii="Arial" w:hAnsi="Arial"/>
          <w:sz w:val="20"/>
        </w:rPr>
        <w:t>.</w:t>
      </w:r>
    </w:p>
    <w:p w14:paraId="6D13332C" w14:textId="0DA1B97E" w:rsidR="008641B6" w:rsidRPr="00BD07D8" w:rsidRDefault="00F265CB"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21" w:history="1">
        <w:r w:rsidR="00372C70">
          <w:rPr>
            <w:rStyle w:val="Hyperlink"/>
            <w:rFonts w:ascii="Arial" w:hAnsi="Arial"/>
            <w:sz w:val="20"/>
          </w:rPr>
          <w:t>AUTM</w:t>
        </w:r>
      </w:hyperlink>
      <w:r w:rsidR="008411EA">
        <w:rPr>
          <w:rFonts w:ascii="Arial" w:hAnsi="Arial"/>
          <w:sz w:val="20"/>
        </w:rPr>
        <w:t xml:space="preserve">. </w:t>
      </w:r>
      <w:r w:rsidR="00372C70">
        <w:rPr>
          <w:rFonts w:ascii="Arial" w:hAnsi="Arial"/>
          <w:sz w:val="20"/>
        </w:rPr>
        <w:t>Fornece uma grande coleção de acordos de amostra (pesquisa patrocinada, acordos de opção, acordos de confidencialidade, etc.)</w:t>
      </w:r>
    </w:p>
    <w:p w14:paraId="149F16B9" w14:textId="77777777" w:rsidR="008641B6" w:rsidRPr="00BD07D8" w:rsidRDefault="00F265CB"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22" w:history="1">
        <w:r w:rsidR="00372C70">
          <w:rPr>
            <w:rStyle w:val="Hyperlink"/>
            <w:rFonts w:ascii="Arial" w:hAnsi="Arial"/>
            <w:sz w:val="20"/>
          </w:rPr>
          <w:t>Acordos-Modelo de Transferência de Conhecimento na Irlanda</w:t>
        </w:r>
      </w:hyperlink>
      <w:r w:rsidR="00372C70">
        <w:rPr>
          <w:rFonts w:ascii="Arial" w:hAnsi="Arial"/>
          <w:sz w:val="20"/>
        </w:rPr>
        <w:t>.</w:t>
      </w:r>
    </w:p>
    <w:p w14:paraId="363774E0" w14:textId="77777777" w:rsidR="008641B6" w:rsidRPr="00BD07D8" w:rsidRDefault="00F265CB"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23" w:history="1">
        <w:r w:rsidR="00372C70">
          <w:rPr>
            <w:rStyle w:val="Hyperlink"/>
            <w:rFonts w:ascii="Arial" w:hAnsi="Arial"/>
            <w:sz w:val="20"/>
          </w:rPr>
          <w:t>Conjunto de Ferramentas de PI Australiano para Colaboração</w:t>
        </w:r>
      </w:hyperlink>
      <w:r w:rsidR="00372C70">
        <w:rPr>
          <w:rFonts w:ascii="Arial" w:hAnsi="Arial"/>
          <w:sz w:val="20"/>
        </w:rPr>
        <w:t xml:space="preserve">. Contém checklists, contratos-modelo e guias sobre o desenvolvimento de parcerias. </w:t>
      </w:r>
    </w:p>
    <w:p w14:paraId="088B7BA9" w14:textId="77777777" w:rsidR="008641B6" w:rsidRPr="00BD07D8" w:rsidRDefault="008641B6"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r>
        <w:rPr>
          <w:rFonts w:ascii="Arial" w:hAnsi="Arial"/>
          <w:sz w:val="20"/>
        </w:rPr>
        <w:lastRenderedPageBreak/>
        <w:t xml:space="preserve">O </w:t>
      </w:r>
      <w:hyperlink r:id="rId124" w:history="1">
        <w:r>
          <w:rPr>
            <w:rStyle w:val="Hyperlink"/>
            <w:rFonts w:ascii="Arial" w:hAnsi="Arial"/>
            <w:sz w:val="20"/>
          </w:rPr>
          <w:t>Guia de decisão Transfronteiriça da Comissão Europeia</w:t>
        </w:r>
      </w:hyperlink>
      <w:r>
        <w:rPr>
          <w:rFonts w:ascii="Arial" w:hAnsi="Arial"/>
          <w:sz w:val="20"/>
        </w:rPr>
        <w:t xml:space="preserve"> é um kit de ferramentas interativo que conduz o usuário por um processo de decisão e levanta um conjunto de questões estratégicas a serem consideradas ao planejar e negociar projetos de pesquisa colaborativa.</w:t>
      </w:r>
    </w:p>
    <w:p w14:paraId="6A13C467" w14:textId="77777777" w:rsidR="008641B6" w:rsidRPr="00BD07D8" w:rsidRDefault="00F265CB" w:rsidP="009D4A54">
      <w:pPr>
        <w:pStyle w:val="ListParagraph"/>
        <w:numPr>
          <w:ilvl w:val="0"/>
          <w:numId w:val="59"/>
        </w:numPr>
        <w:autoSpaceDE w:val="0"/>
        <w:autoSpaceDN w:val="0"/>
        <w:adjustRightInd w:val="0"/>
        <w:spacing w:after="0" w:line="240" w:lineRule="auto"/>
        <w:ind w:hanging="425"/>
        <w:jc w:val="both"/>
        <w:rPr>
          <w:rFonts w:ascii="Arial" w:hAnsi="Arial" w:cs="Arial"/>
          <w:color w:val="000000" w:themeColor="text1"/>
          <w:sz w:val="20"/>
          <w:szCs w:val="20"/>
        </w:rPr>
      </w:pPr>
      <w:hyperlink r:id="rId125" w:history="1">
        <w:r w:rsidR="00372C70">
          <w:rPr>
            <w:rStyle w:val="Hyperlink"/>
            <w:rFonts w:ascii="Arial" w:hAnsi="Arial"/>
            <w:sz w:val="20"/>
          </w:rPr>
          <w:t>mICRA</w:t>
        </w:r>
      </w:hyperlink>
      <w:r w:rsidR="00372C70">
        <w:rPr>
          <w:rFonts w:ascii="Arial" w:hAnsi="Arial"/>
          <w:sz w:val="20"/>
        </w:rPr>
        <w:t xml:space="preserve"> </w:t>
      </w:r>
      <w:r w:rsidR="00372C70">
        <w:rPr>
          <w:rFonts w:ascii="Arial" w:hAnsi="Arial"/>
          <w:color w:val="000000" w:themeColor="text1"/>
          <w:sz w:val="20"/>
        </w:rPr>
        <w:t>(Acordo-Modelo de Pesquisa Colaborativa da Indústria). Tem como objetivo apoiar colaborações de pesquisa clínica envolvendo as indústrias farmacêutica e de biotecnologia, além da academia.</w:t>
      </w:r>
    </w:p>
    <w:p w14:paraId="1362A499" w14:textId="77777777" w:rsidR="003A2FE2" w:rsidRPr="0024467F" w:rsidRDefault="003A2FE2" w:rsidP="003A2FE2">
      <w:pPr>
        <w:pStyle w:val="ListParagraph"/>
        <w:autoSpaceDE w:val="0"/>
        <w:autoSpaceDN w:val="0"/>
        <w:adjustRightInd w:val="0"/>
        <w:spacing w:after="0" w:line="240" w:lineRule="auto"/>
        <w:ind w:left="426"/>
        <w:jc w:val="both"/>
        <w:rPr>
          <w:rFonts w:ascii="Arial" w:hAnsi="Arial" w:cs="Arial"/>
          <w:b/>
        </w:rPr>
      </w:pPr>
    </w:p>
    <w:p w14:paraId="4A513AC1" w14:textId="77777777" w:rsidR="003A2FE2" w:rsidRPr="0024467F" w:rsidRDefault="003A2FE2" w:rsidP="003A2FE2">
      <w:pPr>
        <w:pStyle w:val="ListParagraph"/>
        <w:autoSpaceDE w:val="0"/>
        <w:autoSpaceDN w:val="0"/>
        <w:adjustRightInd w:val="0"/>
        <w:spacing w:after="0" w:line="240" w:lineRule="auto"/>
        <w:ind w:left="426"/>
        <w:jc w:val="both"/>
        <w:rPr>
          <w:rFonts w:ascii="Arial" w:hAnsi="Arial" w:cs="Arial"/>
          <w:b/>
        </w:rPr>
      </w:pPr>
    </w:p>
    <w:p w14:paraId="2947C84B" w14:textId="77777777" w:rsidR="00E43208" w:rsidRPr="0024467F" w:rsidRDefault="00E43208" w:rsidP="00E43208">
      <w:pPr>
        <w:pStyle w:val="Heading2"/>
      </w:pPr>
    </w:p>
    <w:p w14:paraId="41DBB857" w14:textId="77777777" w:rsidR="00E43208" w:rsidRPr="00AC7ADD" w:rsidRDefault="00E43208" w:rsidP="00E43208">
      <w:pPr>
        <w:pStyle w:val="Heading2"/>
      </w:pPr>
      <w:bookmarkStart w:id="230" w:name="_Toc516160071"/>
      <w:bookmarkStart w:id="231" w:name="_Toc516219414"/>
      <w:bookmarkStart w:id="232" w:name="_Toc516496058"/>
      <w:bookmarkStart w:id="233" w:name="_Toc516829430"/>
      <w:bookmarkStart w:id="234" w:name="_Toc185241086"/>
      <w:r>
        <w:t>ARTIGO 8 – DETERMINAÇÕES DO EGPI</w:t>
      </w:r>
      <w:bookmarkEnd w:id="230"/>
      <w:bookmarkEnd w:id="231"/>
      <w:bookmarkEnd w:id="232"/>
      <w:bookmarkEnd w:id="233"/>
      <w:bookmarkEnd w:id="234"/>
    </w:p>
    <w:p w14:paraId="253BCC4E" w14:textId="77777777" w:rsidR="00E43208" w:rsidRPr="0024467F" w:rsidRDefault="00E43208" w:rsidP="00E43208">
      <w:pPr>
        <w:pStyle w:val="Heading2"/>
      </w:pPr>
    </w:p>
    <w:p w14:paraId="021998FE" w14:textId="77777777" w:rsidR="00E43208" w:rsidRPr="0024467F" w:rsidRDefault="00E43208" w:rsidP="00E43208">
      <w:pPr>
        <w:tabs>
          <w:tab w:val="left" w:pos="851"/>
        </w:tabs>
        <w:spacing w:after="0" w:line="240" w:lineRule="auto"/>
        <w:jc w:val="both"/>
        <w:rPr>
          <w:rFonts w:ascii="Arial" w:hAnsi="Arial" w:cs="Arial"/>
          <w:b/>
          <w:color w:val="0070C0"/>
          <w:sz w:val="28"/>
        </w:rPr>
      </w:pPr>
    </w:p>
    <w:p w14:paraId="2B0EF4C8" w14:textId="77777777" w:rsidR="00E43208" w:rsidRPr="00AC7ADD" w:rsidRDefault="00E43208" w:rsidP="00E43208">
      <w:pPr>
        <w:pStyle w:val="Heading3"/>
        <w:rPr>
          <w:sz w:val="24"/>
        </w:rPr>
      </w:pPr>
      <w:bookmarkStart w:id="235" w:name="_Article_8.1_–"/>
      <w:bookmarkStart w:id="236" w:name="_Toc516160072"/>
      <w:bookmarkStart w:id="237" w:name="_Toc516219415"/>
      <w:bookmarkStart w:id="238" w:name="_Toc516496059"/>
      <w:bookmarkStart w:id="239" w:name="_Toc516829431"/>
      <w:bookmarkEnd w:id="235"/>
      <w:r>
        <w:rPr>
          <w:sz w:val="24"/>
        </w:rPr>
        <w:t>Artigo 8.1 – Responsabilidade para Divulgar PI</w:t>
      </w:r>
      <w:bookmarkEnd w:id="236"/>
      <w:bookmarkEnd w:id="237"/>
      <w:bookmarkEnd w:id="238"/>
      <w:bookmarkEnd w:id="239"/>
      <w:r>
        <w:rPr>
          <w:sz w:val="24"/>
        </w:rPr>
        <w:t xml:space="preserve"> </w:t>
      </w:r>
    </w:p>
    <w:p w14:paraId="77D17273" w14:textId="50EA0E68" w:rsidR="00AD4E99" w:rsidRPr="00AC7ADD" w:rsidRDefault="006567C2" w:rsidP="009D4A54">
      <w:pPr>
        <w:pStyle w:val="CommentText"/>
        <w:numPr>
          <w:ilvl w:val="0"/>
          <w:numId w:val="53"/>
        </w:numPr>
        <w:ind w:left="426" w:hanging="426"/>
        <w:jc w:val="both"/>
        <w:rPr>
          <w:rFonts w:ascii="Arial" w:hAnsi="Arial" w:cs="Arial"/>
          <w:szCs w:val="22"/>
        </w:rPr>
      </w:pPr>
      <w:bookmarkStart w:id="240" w:name="_Toc515566158"/>
      <w:r>
        <w:rPr>
          <w:rFonts w:ascii="Arial" w:hAnsi="Arial"/>
          <w:b/>
          <w:i/>
        </w:rPr>
        <w:t>Artigo 8.1.1., Registros</w:t>
      </w:r>
      <w:r>
        <w:rPr>
          <w:rFonts w:ascii="Arial" w:hAnsi="Arial"/>
          <w:i/>
        </w:rPr>
        <w:t xml:space="preserve">: </w:t>
      </w:r>
      <w:r>
        <w:rPr>
          <w:rFonts w:ascii="Arial" w:hAnsi="Arial"/>
        </w:rPr>
        <w:t>A Instituição deve promover boas práticas para manutenção de registros de pesquisas acadêmicas, geralmente por meio do uso de cadernos de laboratório</w:t>
      </w:r>
      <w:r w:rsidR="008411EA">
        <w:rPr>
          <w:rFonts w:ascii="Arial" w:hAnsi="Arial"/>
        </w:rPr>
        <w:t xml:space="preserve">. </w:t>
      </w:r>
      <w:r>
        <w:rPr>
          <w:rFonts w:ascii="Arial" w:hAnsi="Arial"/>
        </w:rPr>
        <w:t>Esses registros precisos da pesquisa garantem que o conhecimento da pesquisa e a reprodutibilidade dos resultados sejam documentados</w:t>
      </w:r>
      <w:r w:rsidR="008411EA">
        <w:rPr>
          <w:rFonts w:ascii="Arial" w:hAnsi="Arial"/>
        </w:rPr>
        <w:t xml:space="preserve">. </w:t>
      </w:r>
    </w:p>
    <w:p w14:paraId="392095CC" w14:textId="77777777" w:rsidR="00AD4E99" w:rsidRPr="00AC7ADD" w:rsidRDefault="006567C2" w:rsidP="009D4A54">
      <w:pPr>
        <w:pStyle w:val="CommentText"/>
        <w:numPr>
          <w:ilvl w:val="0"/>
          <w:numId w:val="53"/>
        </w:numPr>
        <w:ind w:left="426" w:hanging="426"/>
        <w:jc w:val="both"/>
        <w:rPr>
          <w:rFonts w:ascii="Arial" w:hAnsi="Arial" w:cs="Arial"/>
          <w:szCs w:val="22"/>
        </w:rPr>
      </w:pPr>
      <w:r>
        <w:rPr>
          <w:rFonts w:ascii="Arial" w:hAnsi="Arial"/>
        </w:rPr>
        <w:t xml:space="preserve">Em particular, o papel do </w:t>
      </w:r>
      <w:r>
        <w:rPr>
          <w:rFonts w:ascii="Arial" w:hAnsi="Arial"/>
          <w:b/>
        </w:rPr>
        <w:t>caderno de laboratório</w:t>
      </w:r>
      <w:r>
        <w:rPr>
          <w:rFonts w:ascii="Arial" w:hAnsi="Arial"/>
        </w:rPr>
        <w:t xml:space="preserve"> é para: </w:t>
      </w:r>
    </w:p>
    <w:p w14:paraId="321F7BDE"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manter um registro completo dos experimentos, seu início/planejamento e como foram desenvolvidos; </w:t>
      </w:r>
    </w:p>
    <w:p w14:paraId="7CDFB56F"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registrar os dados coletados e os resultados estatísticos e gráficos gerados a partir das análises feitas pelo pesquisador; </w:t>
      </w:r>
    </w:p>
    <w:p w14:paraId="2D404F99"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estimular o pesquisador a pensar e refletir sobre os tópicos da pesquisa; </w:t>
      </w:r>
    </w:p>
    <w:p w14:paraId="173A6631"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demonstrar os esforços contínuos do pesquisador para transformar a ideia em prática; </w:t>
      </w:r>
    </w:p>
    <w:p w14:paraId="366F35D3"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demonstrar o estado da técnica na conclusão de uma invenção, com relação a outras referências ao estado da técnica; </w:t>
      </w:r>
    </w:p>
    <w:p w14:paraId="6370B931" w14:textId="77777777" w:rsidR="00AD4E99"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 xml:space="preserve">fornecer informações a uma pessoa interessada em continuar um projeto de pesquisa iniciado; e </w:t>
      </w:r>
    </w:p>
    <w:p w14:paraId="767D68F6" w14:textId="74E56139" w:rsidR="006567C2" w:rsidRPr="00AC7ADD" w:rsidRDefault="006567C2" w:rsidP="009D4A54">
      <w:pPr>
        <w:pStyle w:val="CommentText"/>
        <w:numPr>
          <w:ilvl w:val="1"/>
          <w:numId w:val="150"/>
        </w:numPr>
        <w:spacing w:after="0"/>
        <w:ind w:left="850" w:hanging="425"/>
        <w:jc w:val="both"/>
        <w:rPr>
          <w:rFonts w:ascii="Arial" w:hAnsi="Arial" w:cs="Arial"/>
          <w:szCs w:val="22"/>
        </w:rPr>
      </w:pPr>
      <w:r>
        <w:rPr>
          <w:rFonts w:ascii="Arial" w:hAnsi="Arial"/>
        </w:rPr>
        <w:t>permitir a avaliação dos resultados pelas agências doadoras e parceiros</w:t>
      </w:r>
      <w:r w:rsidR="008411EA">
        <w:rPr>
          <w:rFonts w:ascii="Arial" w:hAnsi="Arial"/>
        </w:rPr>
        <w:t xml:space="preserve">. </w:t>
      </w:r>
    </w:p>
    <w:p w14:paraId="44308F3E" w14:textId="77777777" w:rsidR="00AD4E99" w:rsidRPr="0024467F" w:rsidRDefault="00AD4E99" w:rsidP="00AD4E99">
      <w:pPr>
        <w:pStyle w:val="CommentText"/>
        <w:spacing w:after="0"/>
        <w:ind w:left="850"/>
        <w:jc w:val="both"/>
        <w:rPr>
          <w:rFonts w:ascii="Arial" w:hAnsi="Arial" w:cs="Arial"/>
          <w:szCs w:val="22"/>
          <w:lang w:eastAsia="en-ZA"/>
        </w:rPr>
      </w:pPr>
    </w:p>
    <w:p w14:paraId="15F40A54" w14:textId="20977109" w:rsidR="006567C2" w:rsidRPr="00AC7ADD" w:rsidRDefault="006567C2" w:rsidP="003017B7">
      <w:pPr>
        <w:pStyle w:val="CommentText"/>
        <w:tabs>
          <w:tab w:val="left" w:pos="709"/>
        </w:tabs>
        <w:ind w:left="425"/>
        <w:jc w:val="both"/>
        <w:rPr>
          <w:szCs w:val="22"/>
        </w:rPr>
      </w:pPr>
      <w:r>
        <w:rPr>
          <w:rFonts w:ascii="Arial" w:hAnsi="Arial"/>
        </w:rPr>
        <w:t>Este registro de eventos de pesquisa auxilia muito o EGPI na tomada de decisões sobre proteção de PI e auxilia na redação de pedidos de patente e no subsequente processo de PI (particularmente para argumentos relacionados à determinação da inventividade)</w:t>
      </w:r>
      <w:r w:rsidR="008411EA">
        <w:rPr>
          <w:rFonts w:ascii="Arial" w:hAnsi="Arial"/>
        </w:rPr>
        <w:t xml:space="preserve">. </w:t>
      </w:r>
      <w:r>
        <w:rPr>
          <w:rFonts w:ascii="Arial" w:hAnsi="Arial"/>
        </w:rPr>
        <w:t>Além disso, o caderno de laboratório garante que haja um registro da criação, por exemplo, da invenção, que será útil em caso de litígio.</w:t>
      </w:r>
      <w:bookmarkEnd w:id="240"/>
      <w:r>
        <w:rPr>
          <w:rFonts w:ascii="Arial" w:hAnsi="Arial"/>
        </w:rPr>
        <w:t xml:space="preserve"> </w:t>
      </w:r>
    </w:p>
    <w:p w14:paraId="4E3CF2F6" w14:textId="3A4F7AB2" w:rsidR="006567C2" w:rsidRPr="00AC7ADD" w:rsidRDefault="006567C2" w:rsidP="00B7519E">
      <w:pPr>
        <w:pStyle w:val="CommentText"/>
        <w:tabs>
          <w:tab w:val="left" w:pos="709"/>
        </w:tabs>
        <w:spacing w:after="0"/>
        <w:ind w:left="425"/>
        <w:jc w:val="both"/>
        <w:rPr>
          <w:rFonts w:ascii="Arial" w:hAnsi="Arial" w:cs="Arial"/>
          <w:szCs w:val="22"/>
        </w:rPr>
      </w:pPr>
      <w:r>
        <w:rPr>
          <w:rFonts w:ascii="Arial" w:hAnsi="Arial"/>
        </w:rPr>
        <w:t>A importância da manutenção precisa de registros não deve ser subestimada, a ponto de algumas universidades e instituições de pesquisa terem políticas independentes sobre manutenção de registros e um manual prático que dá suporte à implementação dessa política de manutenção de registros</w:t>
      </w:r>
      <w:r w:rsidR="008411EA">
        <w:rPr>
          <w:rFonts w:ascii="Arial" w:hAnsi="Arial"/>
        </w:rPr>
        <w:t xml:space="preserve">. </w:t>
      </w:r>
      <w:r>
        <w:rPr>
          <w:rFonts w:ascii="Arial" w:hAnsi="Arial"/>
        </w:rPr>
        <w:t xml:space="preserve">Exemplos são fornecidos em </w:t>
      </w:r>
      <w:hyperlink w:anchor="_Useful_References_to" w:history="1">
        <w:r>
          <w:rPr>
            <w:rStyle w:val="Hyperlink"/>
            <w:rFonts w:ascii="Arial" w:hAnsi="Arial"/>
          </w:rPr>
          <w:t>Recursos Úteis Relacionados ao Artigo 8</w:t>
        </w:r>
      </w:hyperlink>
      <w:r w:rsidR="008411EA">
        <w:rPr>
          <w:rFonts w:ascii="Arial" w:hAnsi="Arial"/>
        </w:rPr>
        <w:t xml:space="preserve">. </w:t>
      </w:r>
    </w:p>
    <w:p w14:paraId="134194EC" w14:textId="77777777" w:rsidR="00A4021B" w:rsidRPr="0024467F" w:rsidRDefault="00A4021B" w:rsidP="00B7519E">
      <w:pPr>
        <w:pStyle w:val="CommentText"/>
        <w:tabs>
          <w:tab w:val="left" w:pos="709"/>
        </w:tabs>
        <w:spacing w:after="0"/>
        <w:ind w:left="425"/>
        <w:jc w:val="both"/>
        <w:rPr>
          <w:rFonts w:ascii="Arial" w:hAnsi="Arial" w:cs="Arial"/>
          <w:szCs w:val="22"/>
        </w:rPr>
      </w:pPr>
    </w:p>
    <w:p w14:paraId="55FAD522" w14:textId="77777777"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AC7ADD">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de cláusula de Manutenção de Registros: Universidade de Glasgow (Canadá)</w:t>
      </w:r>
    </w:p>
    <w:p w14:paraId="12CF6A6C" w14:textId="77777777" w:rsidR="00A4021B" w:rsidRPr="0024467F"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18"/>
          <w:szCs w:val="32"/>
        </w:rPr>
      </w:pPr>
    </w:p>
    <w:p w14:paraId="3A326862" w14:textId="77777777"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32"/>
        </w:rPr>
      </w:pPr>
      <w:r>
        <w:rPr>
          <w:rFonts w:ascii="Arial" w:hAnsi="Arial"/>
          <w:i/>
          <w:sz w:val="20"/>
        </w:rPr>
        <w:t>“Para explorar adequadamente qualquer PI, é provável que seja necessário acesso aos cadernos de laboratório e outros registros escritos (incluindo dados e resultados de pesquisas) gerados pelos funcionários. Portanto, é uma prática recomendada que todos os funcionários mantenham registros escritos completos, precisos e atualizados de toda a PI que eles criam no decurso do seu emprego. Esses registros devem ser assinados regularmente pelo gestor de linha do funcionário e devem ser mantidos protegidos contra acesso não autorizado e serão retidos pela Universidade quando o indivíduo sair</w:t>
      </w:r>
      <w:r>
        <w:rPr>
          <w:rFonts w:ascii="Arial" w:hAnsi="Arial"/>
          <w:sz w:val="20"/>
        </w:rPr>
        <w:t>”.</w:t>
      </w:r>
    </w:p>
    <w:p w14:paraId="3ADB4574" w14:textId="77777777" w:rsidR="00C2732D" w:rsidRPr="0024467F" w:rsidRDefault="00C2732D" w:rsidP="00B7519E">
      <w:pPr>
        <w:pStyle w:val="CommentText"/>
        <w:tabs>
          <w:tab w:val="left" w:pos="709"/>
        </w:tabs>
        <w:spacing w:after="0"/>
        <w:ind w:left="425"/>
        <w:jc w:val="both"/>
        <w:rPr>
          <w:sz w:val="22"/>
          <w:szCs w:val="22"/>
        </w:rPr>
      </w:pPr>
    </w:p>
    <w:p w14:paraId="0904426B" w14:textId="77777777" w:rsidR="003017B7" w:rsidRPr="00AC7ADD" w:rsidRDefault="003017B7" w:rsidP="00AC4662">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r>
        <w:rPr>
          <w:rFonts w:ascii="Arial" w:hAnsi="Arial"/>
          <w:b/>
          <w:sz w:val="20"/>
        </w:rPr>
        <w:lastRenderedPageBreak/>
        <w:t xml:space="preserve">Caixa </w:t>
      </w:r>
      <w:r w:rsidRPr="00FD20EE">
        <w:rPr>
          <w:rFonts w:ascii="Arial" w:hAnsi="Arial" w:cs="Arial"/>
          <w:b/>
          <w:sz w:val="20"/>
        </w:rPr>
        <w:fldChar w:fldCharType="begin"/>
      </w:r>
      <w:r w:rsidRPr="00AC7ADD">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Cadernos Eletrônicos de Laboratório (CEL) São o Futuro</w:t>
      </w:r>
    </w:p>
    <w:p w14:paraId="0374BD18" w14:textId="77777777" w:rsidR="003017B7" w:rsidRPr="0024467F" w:rsidRDefault="003017B7" w:rsidP="00AC4662">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p>
    <w:p w14:paraId="3086FA5E"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Pr>
          <w:rFonts w:ascii="Arial" w:hAnsi="Arial"/>
          <w:sz w:val="20"/>
        </w:rPr>
        <w:t>A quantidade e os tipos de dados produzidos em laboratórios de pesquisa aumentam a cada ano, e monitorar todos esses dados é uma tarefa verdadeiramente hercúlea.</w:t>
      </w:r>
    </w:p>
    <w:p w14:paraId="453FA7EA" w14:textId="77777777" w:rsidR="003017B7" w:rsidRPr="0024467F"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36198597" w14:textId="4EF7BD68"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Pr>
          <w:rFonts w:ascii="Arial" w:hAnsi="Arial"/>
          <w:sz w:val="20"/>
        </w:rPr>
        <w:t>As vantagens dos CELs em relação aos cadernos de papel podem ser agrupadas em quatro áreas:</w:t>
      </w:r>
    </w:p>
    <w:p w14:paraId="0C26B392"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r>
        <w:rPr>
          <w:rFonts w:ascii="Arial" w:hAnsi="Arial"/>
          <w:sz w:val="20"/>
        </w:rPr>
        <w:t xml:space="preserve">Produtividade - automação de fluxos de trabalho e troca de dados entre sistemas; </w:t>
      </w:r>
    </w:p>
    <w:p w14:paraId="43C3A6FB"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r>
        <w:rPr>
          <w:rFonts w:ascii="Arial" w:hAnsi="Arial"/>
          <w:sz w:val="20"/>
        </w:rPr>
        <w:t xml:space="preserve">Usabilidade - ajuda a garantir que os usuários tomem as decisões corretas, sinalizando resultados fora das especificações, por exemplo; </w:t>
      </w:r>
    </w:p>
    <w:p w14:paraId="43E9B4D7"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r>
        <w:rPr>
          <w:rFonts w:ascii="Arial" w:hAnsi="Arial"/>
          <w:sz w:val="20"/>
        </w:rPr>
        <w:t xml:space="preserve">Conformidade - Os CELs fornecem as ferramentas para gerar e defender dados no espaço regulamentado; e </w:t>
      </w:r>
    </w:p>
    <w:p w14:paraId="77CB64C8" w14:textId="77777777" w:rsidR="003017B7" w:rsidRPr="00AC7ADD" w:rsidRDefault="003A2FE2"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r>
        <w:rPr>
          <w:rFonts w:ascii="Arial" w:hAnsi="Arial"/>
          <w:sz w:val="20"/>
        </w:rPr>
        <w:t>PI - Os CELs têm a capacidade de fornecer um “pedigree” para seus dados, incluindo “quem” e “quando”, que geralmente são cruciais em casos de PI.</w:t>
      </w:r>
    </w:p>
    <w:p w14:paraId="50E65433" w14:textId="77777777" w:rsidR="003017B7" w:rsidRPr="0024467F"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2F3918FF" w14:textId="77777777" w:rsidR="003017B7" w:rsidRPr="00FD20EE"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Pr>
          <w:rFonts w:ascii="Arial" w:hAnsi="Arial"/>
          <w:sz w:val="20"/>
        </w:rPr>
        <w:t>Hoje em dia, a tecnologia da computação está impulsionando a maioria das inovações do CEL. A tecnologia blockchain</w:t>
      </w:r>
      <w:r w:rsidRPr="00FD20EE">
        <w:rPr>
          <w:rStyle w:val="FootnoteReference"/>
          <w:rFonts w:ascii="Arial" w:hAnsi="Arial" w:cs="Arial"/>
          <w:sz w:val="20"/>
          <w:szCs w:val="20"/>
          <w:lang w:val="en-US"/>
        </w:rPr>
        <w:footnoteReference w:id="150"/>
      </w:r>
      <w:r>
        <w:rPr>
          <w:rFonts w:ascii="Arial" w:hAnsi="Arial"/>
          <w:sz w:val="20"/>
        </w:rPr>
        <w:t>, que permite que informações digitais sejam distribuídas, mas não copiadas, é de grande interesse ultimamente por sua capacidade potencial de resolver problemas de PI associados ao compartilhamento de dados de pesquisa antes da publicação.</w:t>
      </w:r>
    </w:p>
    <w:p w14:paraId="3C80BAC4" w14:textId="77777777" w:rsidR="00CE1009" w:rsidRPr="0024467F"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Cs w:val="20"/>
        </w:rPr>
      </w:pPr>
    </w:p>
    <w:p w14:paraId="3189B9A9" w14:textId="77777777" w:rsidR="00CE1009" w:rsidRPr="0024467F"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i/>
          <w:szCs w:val="32"/>
          <w:lang w:val="en-US"/>
        </w:rPr>
      </w:pPr>
      <w:r w:rsidRPr="0024467F">
        <w:rPr>
          <w:rFonts w:ascii="Arial" w:hAnsi="Arial"/>
          <w:i/>
          <w:sz w:val="20"/>
          <w:lang w:val="en-US"/>
        </w:rPr>
        <w:t>Fonte: Tamly, O</w:t>
      </w:r>
      <w:hyperlink r:id="rId126" w:history="1">
        <w:r w:rsidRPr="00AC4662">
          <w:rPr>
            <w:rStyle w:val="Hyperlink"/>
            <w:rFonts w:ascii="Arial" w:hAnsi="Arial"/>
            <w:i/>
            <w:color w:val="auto"/>
            <w:sz w:val="20"/>
            <w:u w:val="none"/>
            <w:lang w:val="en-US"/>
          </w:rPr>
          <w:t xml:space="preserve">., </w:t>
        </w:r>
        <w:r w:rsidRPr="0024467F">
          <w:rPr>
            <w:rStyle w:val="Hyperlink"/>
            <w:rFonts w:ascii="Arial" w:hAnsi="Arial"/>
            <w:i/>
            <w:sz w:val="20"/>
            <w:lang w:val="en-US"/>
          </w:rPr>
          <w:t>Electronic Lab Notebooks are the Future</w:t>
        </w:r>
      </w:hyperlink>
      <w:r w:rsidRPr="0024467F">
        <w:rPr>
          <w:rFonts w:ascii="Arial" w:hAnsi="Arial"/>
          <w:i/>
          <w:sz w:val="20"/>
          <w:lang w:val="en-US"/>
        </w:rPr>
        <w:t xml:space="preserve"> (2018)</w:t>
      </w:r>
    </w:p>
    <w:p w14:paraId="0BA454AD" w14:textId="77777777" w:rsidR="003017B7" w:rsidRPr="00FD20EE" w:rsidRDefault="003017B7" w:rsidP="003017B7">
      <w:pPr>
        <w:spacing w:after="0" w:line="240" w:lineRule="auto"/>
        <w:jc w:val="both"/>
        <w:rPr>
          <w:rFonts w:ascii="Arial" w:hAnsi="Arial" w:cs="Arial"/>
          <w:szCs w:val="32"/>
          <w:lang w:val="en-US"/>
        </w:rPr>
      </w:pPr>
    </w:p>
    <w:p w14:paraId="3A5120E1" w14:textId="4C4BF8CC" w:rsidR="00A909C4" w:rsidRPr="00FD20EE" w:rsidRDefault="00AB143D" w:rsidP="009D4A54">
      <w:pPr>
        <w:pStyle w:val="ListParagraph"/>
        <w:numPr>
          <w:ilvl w:val="0"/>
          <w:numId w:val="19"/>
        </w:numPr>
        <w:spacing w:after="0" w:line="240" w:lineRule="auto"/>
        <w:ind w:left="426" w:hanging="426"/>
        <w:jc w:val="both"/>
        <w:rPr>
          <w:rFonts w:ascii="Arial" w:hAnsi="Arial" w:cs="Arial"/>
          <w:sz w:val="20"/>
          <w:szCs w:val="32"/>
        </w:rPr>
      </w:pPr>
      <w:r>
        <w:rPr>
          <w:rFonts w:ascii="Arial" w:hAnsi="Arial"/>
          <w:b/>
          <w:sz w:val="20"/>
        </w:rPr>
        <w:t>Artigo 8.1.2</w:t>
      </w:r>
      <w:r w:rsidR="008411EA">
        <w:rPr>
          <w:rFonts w:ascii="Arial" w:hAnsi="Arial"/>
          <w:b/>
          <w:sz w:val="20"/>
        </w:rPr>
        <w:t xml:space="preserve">. </w:t>
      </w:r>
      <w:r>
        <w:rPr>
          <w:rFonts w:ascii="Arial" w:hAnsi="Arial"/>
          <w:b/>
          <w:sz w:val="20"/>
        </w:rPr>
        <w:t>Divulgação de PI</w:t>
      </w:r>
      <w:r>
        <w:rPr>
          <w:rFonts w:ascii="Arial" w:hAnsi="Arial"/>
          <w:b/>
          <w:i/>
          <w:sz w:val="20"/>
        </w:rPr>
        <w:t>, ele/ela deverá divulgar</w:t>
      </w:r>
      <w:r>
        <w:rPr>
          <w:rFonts w:ascii="Arial" w:hAnsi="Arial"/>
          <w:sz w:val="20"/>
        </w:rPr>
        <w:t>: A Instituição deve deixar bem claro que os Criadores têm a obrigação de relatar, normalmente em um Formulário de Divulgação de PI, qualquer invenção/criação com potencial de PI ao EGPI</w:t>
      </w:r>
      <w:r w:rsidR="008411EA">
        <w:rPr>
          <w:rFonts w:ascii="Arial" w:hAnsi="Arial"/>
          <w:sz w:val="20"/>
        </w:rPr>
        <w:t xml:space="preserve">. </w:t>
      </w:r>
      <w:r>
        <w:rPr>
          <w:rFonts w:ascii="Arial" w:hAnsi="Arial"/>
          <w:sz w:val="20"/>
        </w:rPr>
        <w:t>Uma divulgação de PI é mais do que o simples preenchimento de um formulário para satisfazer algum requisito de política. A divulgação representa o primeiro registro oficial da PI e, se feita corretamente, pode estabelecer uma data e escopo irrefutáveis da invenção/criação.</w:t>
      </w:r>
      <w:r w:rsidR="009A7567" w:rsidRPr="00FD20EE">
        <w:rPr>
          <w:rStyle w:val="FootnoteReference"/>
          <w:rFonts w:ascii="Arial" w:hAnsi="Arial" w:cs="Arial"/>
          <w:sz w:val="20"/>
          <w:szCs w:val="32"/>
          <w:lang w:val="en-US"/>
        </w:rPr>
        <w:footnoteReference w:id="151"/>
      </w:r>
    </w:p>
    <w:p w14:paraId="55671BC6" w14:textId="77777777" w:rsidR="00A909C4" w:rsidRPr="0024467F" w:rsidRDefault="00A909C4" w:rsidP="00A909C4">
      <w:pPr>
        <w:pStyle w:val="ListParagraph"/>
        <w:spacing w:after="0" w:line="240" w:lineRule="auto"/>
        <w:ind w:left="426"/>
        <w:jc w:val="both"/>
        <w:rPr>
          <w:rFonts w:ascii="Arial" w:hAnsi="Arial" w:cs="Arial"/>
          <w:sz w:val="20"/>
          <w:szCs w:val="32"/>
        </w:rPr>
      </w:pPr>
    </w:p>
    <w:p w14:paraId="6FA15212" w14:textId="591DB0B1" w:rsidR="00AB143D" w:rsidRPr="00FD20EE" w:rsidRDefault="00FD7338" w:rsidP="00AB143D">
      <w:pPr>
        <w:tabs>
          <w:tab w:val="left" w:pos="709"/>
        </w:tabs>
        <w:spacing w:after="0" w:line="240" w:lineRule="auto"/>
        <w:ind w:left="426"/>
        <w:jc w:val="both"/>
        <w:rPr>
          <w:rFonts w:ascii="Arial" w:hAnsi="Arial" w:cs="Arial"/>
          <w:sz w:val="20"/>
        </w:rPr>
      </w:pPr>
      <w:r>
        <w:rPr>
          <w:rFonts w:ascii="Arial" w:hAnsi="Arial"/>
          <w:sz w:val="20"/>
        </w:rPr>
        <w:t>Não presuma que os Criadores sabem quando, como, onde e por que fazer uma divulgação de PI corretamente</w:t>
      </w:r>
      <w:r w:rsidR="008411EA">
        <w:rPr>
          <w:rFonts w:ascii="Arial" w:hAnsi="Arial"/>
          <w:sz w:val="20"/>
        </w:rPr>
        <w:t xml:space="preserve">. </w:t>
      </w:r>
      <w:r>
        <w:rPr>
          <w:rFonts w:ascii="Arial" w:hAnsi="Arial"/>
          <w:sz w:val="20"/>
        </w:rPr>
        <w:t>O EGPI deve educar todos os pesquisadores sobre a importância de divulgações completas e oportunas de PI. O Formulário de Divulgação de PI deve ser facilmente acessível aos Criadores, por exemplo, no site ou na intranet da Instituição</w:t>
      </w:r>
      <w:r w:rsidR="008411EA">
        <w:rPr>
          <w:rFonts w:ascii="Arial" w:hAnsi="Arial"/>
          <w:sz w:val="20"/>
        </w:rPr>
        <w:t xml:space="preserve">. </w:t>
      </w:r>
      <w:r>
        <w:rPr>
          <w:rFonts w:ascii="Arial" w:hAnsi="Arial"/>
          <w:sz w:val="20"/>
        </w:rPr>
        <w:t>Da mesma forma, o processo a seguir para fazer uma Divulgação deve ser simples e claro</w:t>
      </w:r>
      <w:r w:rsidR="008411EA">
        <w:rPr>
          <w:rFonts w:ascii="Arial" w:hAnsi="Arial"/>
          <w:sz w:val="20"/>
        </w:rPr>
        <w:t xml:space="preserve">. </w:t>
      </w:r>
      <w:r>
        <w:rPr>
          <w:rFonts w:ascii="Arial" w:hAnsi="Arial"/>
          <w:sz w:val="20"/>
        </w:rPr>
        <w:t>Procedimentos operacionais padrão nesse sentido são úteis, juntamente com cronogramas identificados para que o pesquisador entenda quanto tempo o processo levará e quais etapas estarão envolvidas</w:t>
      </w:r>
      <w:r w:rsidR="008411EA">
        <w:rPr>
          <w:rFonts w:ascii="Arial" w:hAnsi="Arial"/>
          <w:sz w:val="20"/>
        </w:rPr>
        <w:t xml:space="preserve">. </w:t>
      </w:r>
    </w:p>
    <w:p w14:paraId="1AD65FE6" w14:textId="77777777" w:rsidR="00FD7338" w:rsidRPr="0024467F" w:rsidRDefault="00FD7338" w:rsidP="00AB143D">
      <w:pPr>
        <w:spacing w:after="0" w:line="240" w:lineRule="auto"/>
        <w:ind w:left="426"/>
        <w:jc w:val="both"/>
        <w:rPr>
          <w:rFonts w:ascii="Arial" w:hAnsi="Arial" w:cs="Arial"/>
          <w:sz w:val="20"/>
          <w:szCs w:val="32"/>
        </w:rPr>
      </w:pPr>
    </w:p>
    <w:p w14:paraId="2D29A8A3" w14:textId="199487B3"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rPr>
      </w:pPr>
      <w:r>
        <w:rPr>
          <w:rFonts w:ascii="Arial" w:hAnsi="Arial"/>
          <w:b/>
          <w:sz w:val="20"/>
        </w:rPr>
        <w:t>Artigo 8.1.2</w:t>
      </w:r>
      <w:r w:rsidR="008411EA">
        <w:rPr>
          <w:rFonts w:ascii="Arial" w:hAnsi="Arial"/>
          <w:b/>
          <w:sz w:val="20"/>
        </w:rPr>
        <w:t xml:space="preserve">. </w:t>
      </w:r>
      <w:r>
        <w:rPr>
          <w:rFonts w:ascii="Arial" w:hAnsi="Arial"/>
          <w:b/>
          <w:sz w:val="20"/>
        </w:rPr>
        <w:t>Divulgação de PI</w:t>
      </w:r>
      <w:r>
        <w:rPr>
          <w:rFonts w:ascii="Arial" w:hAnsi="Arial"/>
          <w:b/>
          <w:i/>
          <w:sz w:val="20"/>
        </w:rPr>
        <w:t>, Onde um Criador identifica a PI potencial</w:t>
      </w:r>
      <w:r>
        <w:rPr>
          <w:rFonts w:ascii="Arial" w:hAnsi="Arial"/>
          <w:sz w:val="20"/>
        </w:rPr>
        <w:t>: Como os Criadores provavelmente não saberão se a invenção/criação tem potencial de PI, eles devem entrar em contato e discutir com o EGPI o mais cedo possível</w:t>
      </w:r>
      <w:r w:rsidR="008411EA">
        <w:rPr>
          <w:rFonts w:ascii="Arial" w:hAnsi="Arial"/>
          <w:sz w:val="20"/>
        </w:rPr>
        <w:t xml:space="preserve">. </w:t>
      </w:r>
      <w:r>
        <w:rPr>
          <w:rFonts w:ascii="Arial" w:hAnsi="Arial"/>
          <w:sz w:val="20"/>
        </w:rPr>
        <w:t>Este é frequentemente o papel crítico dos “exploradores de PI”, que atuam nos laboratórios e têm uma compreensão mais aprofundada do que pode constituir uma invenção.</w:t>
      </w:r>
    </w:p>
    <w:p w14:paraId="323743E4" w14:textId="77777777" w:rsidR="009A7567" w:rsidRPr="0024467F" w:rsidRDefault="009A7567" w:rsidP="009A7567">
      <w:pPr>
        <w:spacing w:after="0" w:line="240" w:lineRule="auto"/>
        <w:jc w:val="both"/>
        <w:rPr>
          <w:rFonts w:ascii="Arial" w:hAnsi="Arial" w:cs="Arial"/>
          <w:sz w:val="20"/>
          <w:szCs w:val="32"/>
        </w:rPr>
      </w:pPr>
    </w:p>
    <w:p w14:paraId="0D345108" w14:textId="275A5190"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rPr>
      </w:pPr>
      <w:r>
        <w:rPr>
          <w:rFonts w:ascii="Arial" w:hAnsi="Arial"/>
          <w:b/>
          <w:sz w:val="20"/>
        </w:rPr>
        <w:t>Artigo 8.1.2</w:t>
      </w:r>
      <w:r w:rsidR="008411EA">
        <w:rPr>
          <w:rFonts w:ascii="Arial" w:hAnsi="Arial"/>
          <w:b/>
          <w:sz w:val="20"/>
        </w:rPr>
        <w:t xml:space="preserve">. </w:t>
      </w:r>
      <w:r>
        <w:rPr>
          <w:rFonts w:ascii="Arial" w:hAnsi="Arial"/>
          <w:b/>
          <w:sz w:val="20"/>
        </w:rPr>
        <w:t>Divulgação de PI</w:t>
      </w:r>
      <w:r>
        <w:rPr>
          <w:rFonts w:ascii="Arial" w:hAnsi="Arial"/>
          <w:b/>
          <w:i/>
          <w:sz w:val="20"/>
        </w:rPr>
        <w:t>, resultante da sua Pesquisa [ou da sua Equipe]</w:t>
      </w:r>
      <w:r>
        <w:rPr>
          <w:rFonts w:ascii="Arial" w:hAnsi="Arial"/>
          <w:sz w:val="20"/>
        </w:rPr>
        <w:t>: Algumas instituições acreditam que é dever do supervisor relatar PI potenciais de seus subordinados ao EGPI</w:t>
      </w:r>
      <w:r w:rsidR="008411EA">
        <w:rPr>
          <w:rFonts w:ascii="Arial" w:hAnsi="Arial"/>
          <w:sz w:val="20"/>
        </w:rPr>
        <w:t xml:space="preserve">. </w:t>
      </w:r>
      <w:r>
        <w:rPr>
          <w:rFonts w:ascii="Arial" w:hAnsi="Arial"/>
          <w:sz w:val="20"/>
        </w:rPr>
        <w:t>Outras instituições aderem estritamente à responsabilidade exclusiva de cada indivíduo de relatar qualquer PI potencial</w:t>
      </w:r>
      <w:r w:rsidR="008411EA">
        <w:rPr>
          <w:rFonts w:ascii="Arial" w:hAnsi="Arial"/>
          <w:sz w:val="20"/>
        </w:rPr>
        <w:t xml:space="preserve">. </w:t>
      </w:r>
      <w:r>
        <w:rPr>
          <w:rFonts w:ascii="Arial" w:hAnsi="Arial"/>
          <w:sz w:val="20"/>
        </w:rPr>
        <w:t xml:space="preserve">Alguns acreditam que denunciar a PI de outras pessoas tem um ar </w:t>
      </w:r>
      <w:r>
        <w:rPr>
          <w:rFonts w:ascii="Arial" w:hAnsi="Arial"/>
          <w:sz w:val="20"/>
        </w:rPr>
        <w:lastRenderedPageBreak/>
        <w:t>“autoritário” que é inapropriado em uma Instituição</w:t>
      </w:r>
      <w:r w:rsidR="008411EA">
        <w:rPr>
          <w:rFonts w:ascii="Arial" w:hAnsi="Arial"/>
          <w:sz w:val="20"/>
        </w:rPr>
        <w:t xml:space="preserve">. </w:t>
      </w:r>
      <w:r>
        <w:rPr>
          <w:rFonts w:ascii="Arial" w:hAnsi="Arial"/>
          <w:sz w:val="20"/>
        </w:rPr>
        <w:t>Da mesma forma, a maioria das instituições não espera que o supervisor do aluno informe a IP do Aluno.</w:t>
      </w:r>
      <w:r w:rsidRPr="00FD20EE">
        <w:rPr>
          <w:rStyle w:val="FootnoteReference"/>
          <w:rFonts w:ascii="Arial" w:hAnsi="Arial" w:cs="Arial"/>
          <w:sz w:val="20"/>
          <w:szCs w:val="32"/>
          <w:lang w:val="en-US"/>
        </w:rPr>
        <w:footnoteReference w:id="152"/>
      </w:r>
    </w:p>
    <w:p w14:paraId="2B155329" w14:textId="152232E8" w:rsidR="006567C2" w:rsidRPr="00FD20EE" w:rsidRDefault="00BE0BCD" w:rsidP="00BE0BC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ascii="Arial" w:hAnsi="Arial" w:cs="Arial"/>
          <w:szCs w:val="32"/>
        </w:rPr>
      </w:pPr>
      <w:r>
        <w:rPr>
          <w:rFonts w:ascii="Arial" w:hAnsi="Arial"/>
          <w:b/>
          <w:sz w:val="20"/>
          <w:shd w:val="clear" w:color="auto" w:fill="FDE9D9" w:themeFill="accent6" w:themeFillTint="33"/>
        </w:rPr>
        <w:lastRenderedPageBreak/>
        <w:t xml:space="preserve">Caixa </w:t>
      </w:r>
      <w:r w:rsidRPr="00FD20EE">
        <w:rPr>
          <w:rFonts w:ascii="Arial" w:hAnsi="Arial" w:cs="Arial"/>
          <w:b/>
          <w:sz w:val="20"/>
          <w:shd w:val="clear" w:color="auto" w:fill="FDE9D9" w:themeFill="accent6" w:themeFillTint="33"/>
        </w:rPr>
        <w:fldChar w:fldCharType="begin"/>
      </w:r>
      <w:r w:rsidRPr="00FD20EE">
        <w:rPr>
          <w:rFonts w:ascii="Arial" w:hAnsi="Arial" w:cs="Arial"/>
          <w:b/>
          <w:sz w:val="20"/>
          <w:shd w:val="clear" w:color="auto" w:fill="FDE9D9" w:themeFill="accent6" w:themeFillTint="33"/>
        </w:rPr>
        <w:instrText xml:space="preserve"> AUTONUM  \* Arabic </w:instrText>
      </w:r>
      <w:r w:rsidRPr="00FD20EE">
        <w:rPr>
          <w:rFonts w:ascii="Arial" w:hAnsi="Arial" w:cs="Arial"/>
          <w:b/>
          <w:sz w:val="20"/>
          <w:shd w:val="clear" w:color="auto" w:fill="FDE9D9" w:themeFill="accent6" w:themeFillTint="33"/>
        </w:rPr>
        <w:fldChar w:fldCharType="end"/>
      </w:r>
      <w:r>
        <w:rPr>
          <w:rFonts w:ascii="Arial" w:hAnsi="Arial"/>
          <w:b/>
          <w:sz w:val="20"/>
          <w:shd w:val="clear" w:color="auto" w:fill="FDE9D9" w:themeFill="accent6" w:themeFillTint="33"/>
        </w:rPr>
        <w:t xml:space="preserve"> Exemplo de um Formulário de Divulgação de PI - A Universidade do Cabo Ocidental, África do Sul</w:t>
      </w:r>
      <w:r>
        <w:rPr>
          <w:noProof/>
        </w:rPr>
        <w:drawing>
          <wp:inline distT="0" distB="0" distL="0" distR="0" wp14:anchorId="40A838D6" wp14:editId="10993AAB">
            <wp:extent cx="5457825" cy="7637085"/>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57825" cy="7637085"/>
                    </a:xfrm>
                    <a:prstGeom prst="rect">
                      <a:avLst/>
                    </a:prstGeom>
                    <a:ln>
                      <a:solidFill>
                        <a:schemeClr val="tx1"/>
                      </a:solidFill>
                    </a:ln>
                  </pic:spPr>
                </pic:pic>
              </a:graphicData>
            </a:graphic>
          </wp:inline>
        </w:drawing>
      </w:r>
    </w:p>
    <w:p w14:paraId="6C2408A9" w14:textId="77777777" w:rsidR="006567C2" w:rsidRPr="0024467F" w:rsidRDefault="006567C2" w:rsidP="006567C2">
      <w:pPr>
        <w:spacing w:after="0" w:line="240" w:lineRule="auto"/>
        <w:ind w:left="66"/>
        <w:jc w:val="both"/>
        <w:rPr>
          <w:rFonts w:ascii="Arial" w:hAnsi="Arial" w:cs="Arial"/>
          <w:szCs w:val="32"/>
        </w:rPr>
      </w:pPr>
    </w:p>
    <w:p w14:paraId="3D6D2126" w14:textId="77777777" w:rsidR="009A7567" w:rsidRPr="00FD20EE" w:rsidRDefault="00835251" w:rsidP="000C1792">
      <w:pPr>
        <w:pStyle w:val="ListParagraph"/>
        <w:numPr>
          <w:ilvl w:val="0"/>
          <w:numId w:val="19"/>
        </w:numPr>
        <w:tabs>
          <w:tab w:val="left" w:pos="426"/>
        </w:tabs>
        <w:spacing w:after="0" w:line="240" w:lineRule="auto"/>
        <w:ind w:left="426" w:hanging="426"/>
        <w:jc w:val="both"/>
        <w:rPr>
          <w:rFonts w:ascii="Arial" w:hAnsi="Arial" w:cs="Arial"/>
          <w:sz w:val="20"/>
        </w:rPr>
      </w:pPr>
      <w:r>
        <w:rPr>
          <w:rFonts w:ascii="Arial" w:hAnsi="Arial"/>
          <w:b/>
          <w:i/>
          <w:sz w:val="20"/>
        </w:rPr>
        <w:t>Artigo 8.1.3, Divulgação Completa</w:t>
      </w:r>
      <w:r w:rsidRPr="0037079F">
        <w:rPr>
          <w:rFonts w:ascii="Arial" w:hAnsi="Arial"/>
          <w:bCs/>
          <w:iCs/>
          <w:sz w:val="20"/>
        </w:rPr>
        <w:t>:</w:t>
      </w:r>
      <w:r>
        <w:rPr>
          <w:rFonts w:ascii="Arial" w:hAnsi="Arial"/>
          <w:sz w:val="20"/>
        </w:rPr>
        <w:t xml:space="preserve"> Ao receber uma Divulgação de PI, o EGPI deve conduzir uma revisão das fontes de financiamento, autoria, materiais tangíveis de terceiros usados, publicações planejadas e qualquer outra questão que possa afetar os direitos ou o uso de qualquer PI potencial resultante da Divulgação de PI. O EGPI também determinará se a Divulgação de PI </w:t>
      </w:r>
      <w:r>
        <w:rPr>
          <w:rFonts w:ascii="Arial" w:hAnsi="Arial"/>
          <w:sz w:val="20"/>
        </w:rPr>
        <w:lastRenderedPageBreak/>
        <w:t>é suficiente em relação a todos os requisitos de informação e notificará os divulgadores sobre qualquer insuficiência de informação relacionada. Todas as divulgações de PI devem ser registradas pelo EGPI em um Registro confidencial de divulgações de PI.</w:t>
      </w:r>
    </w:p>
    <w:p w14:paraId="1E9D7C0F" w14:textId="77777777" w:rsidR="009A7567" w:rsidRPr="0024467F" w:rsidRDefault="009A7567" w:rsidP="009A7567">
      <w:pPr>
        <w:tabs>
          <w:tab w:val="left" w:pos="709"/>
        </w:tabs>
        <w:spacing w:after="0" w:line="240" w:lineRule="auto"/>
        <w:ind w:left="426"/>
        <w:jc w:val="both"/>
        <w:rPr>
          <w:rFonts w:ascii="Arial" w:hAnsi="Arial" w:cs="Arial"/>
          <w:sz w:val="20"/>
        </w:rPr>
      </w:pPr>
    </w:p>
    <w:p w14:paraId="1AAD0958" w14:textId="79A4BA43" w:rsidR="009A7567" w:rsidRPr="00FD20EE" w:rsidRDefault="00793C0C" w:rsidP="009A7567">
      <w:pPr>
        <w:tabs>
          <w:tab w:val="left" w:pos="709"/>
        </w:tabs>
        <w:spacing w:after="0" w:line="240" w:lineRule="auto"/>
        <w:ind w:left="426"/>
        <w:jc w:val="both"/>
        <w:rPr>
          <w:rFonts w:ascii="Arial" w:hAnsi="Arial" w:cs="Arial"/>
          <w:sz w:val="20"/>
        </w:rPr>
      </w:pPr>
      <w:r>
        <w:rPr>
          <w:rFonts w:ascii="Arial" w:hAnsi="Arial"/>
          <w:sz w:val="20"/>
        </w:rPr>
        <w:t xml:space="preserve">É uma boa prática divulgar uma invenção/criação assim que ela </w:t>
      </w:r>
      <w:r>
        <w:rPr>
          <w:rFonts w:ascii="Arial" w:hAnsi="Arial"/>
          <w:i/>
          <w:iCs/>
          <w:sz w:val="20"/>
        </w:rPr>
        <w:t>for</w:t>
      </w:r>
      <w:r>
        <w:rPr>
          <w:rFonts w:ascii="Arial" w:hAnsi="Arial"/>
          <w:sz w:val="20"/>
        </w:rPr>
        <w:t xml:space="preserve"> uma invenção/criação. Entretanto, na realidade, as divulgações geralmente acontecem imediatamente antes de uma conferência/publicação, exigindo uma análise superficial e o rápido depósito de um pedido de patente provisória</w:t>
      </w:r>
      <w:r w:rsidR="008411EA">
        <w:rPr>
          <w:rFonts w:ascii="Arial" w:hAnsi="Arial"/>
          <w:sz w:val="20"/>
        </w:rPr>
        <w:t xml:space="preserve">. </w:t>
      </w:r>
      <w:r>
        <w:rPr>
          <w:rFonts w:ascii="Arial" w:hAnsi="Arial"/>
          <w:sz w:val="20"/>
        </w:rPr>
        <w:t>Alternativamente, a divulgação pode ser feita em um estágio tão inicial da pesquisa que mais trabalho é necessário antes que seja possível avaliar se um produto, processo ou serviço comercialmente viável pode resultar</w:t>
      </w:r>
      <w:r w:rsidR="008411EA">
        <w:rPr>
          <w:rFonts w:ascii="Arial" w:hAnsi="Arial"/>
          <w:sz w:val="20"/>
        </w:rPr>
        <w:t xml:space="preserve">. </w:t>
      </w:r>
      <w:r>
        <w:rPr>
          <w:rFonts w:ascii="Arial" w:hAnsi="Arial"/>
          <w:sz w:val="20"/>
        </w:rPr>
        <w:t>Quanto maior a experiência da equipe no EGPI, maior a facilidade com que essas decisões são tomadas. No entanto, essa experiência só é desenvolvida com o tempo e por meio da experiência no trabalho</w:t>
      </w:r>
      <w:r w:rsidR="008411EA">
        <w:rPr>
          <w:rFonts w:ascii="Arial" w:hAnsi="Arial"/>
          <w:sz w:val="20"/>
        </w:rPr>
        <w:t xml:space="preserve">. </w:t>
      </w:r>
    </w:p>
    <w:p w14:paraId="7B4C29CA" w14:textId="77777777" w:rsidR="009A7567" w:rsidRPr="0024467F" w:rsidRDefault="009A7567" w:rsidP="009A7567">
      <w:pPr>
        <w:tabs>
          <w:tab w:val="left" w:pos="709"/>
        </w:tabs>
        <w:spacing w:after="0" w:line="240" w:lineRule="auto"/>
        <w:ind w:left="426"/>
        <w:jc w:val="both"/>
        <w:rPr>
          <w:rFonts w:ascii="Arial" w:hAnsi="Arial" w:cs="Arial"/>
          <w:sz w:val="20"/>
        </w:rPr>
      </w:pPr>
    </w:p>
    <w:p w14:paraId="33EC2CC2" w14:textId="77777777" w:rsidR="006567C2" w:rsidRPr="00FD20EE" w:rsidRDefault="006567C2" w:rsidP="009D4A54">
      <w:pPr>
        <w:pStyle w:val="ListParagraph"/>
        <w:numPr>
          <w:ilvl w:val="0"/>
          <w:numId w:val="19"/>
        </w:numPr>
        <w:spacing w:line="240" w:lineRule="auto"/>
        <w:ind w:left="426" w:hanging="426"/>
        <w:jc w:val="both"/>
        <w:rPr>
          <w:rFonts w:ascii="Arial" w:hAnsi="Arial" w:cs="Arial"/>
          <w:sz w:val="20"/>
        </w:rPr>
      </w:pPr>
      <w:r>
        <w:rPr>
          <w:rFonts w:ascii="Arial" w:hAnsi="Arial"/>
          <w:b/>
          <w:sz w:val="20"/>
        </w:rPr>
        <w:t>Artigo 8.1.4 - Cláusula Opcional para PI relacionada a RGs e/ou CT</w:t>
      </w:r>
      <w:r>
        <w:rPr>
          <w:rFonts w:ascii="Arial" w:hAnsi="Arial"/>
          <w:sz w:val="20"/>
        </w:rPr>
        <w:t xml:space="preserve">, </w:t>
      </w:r>
      <w:r>
        <w:rPr>
          <w:rFonts w:ascii="Arial" w:hAnsi="Arial"/>
          <w:b/>
          <w:i/>
          <w:sz w:val="20"/>
        </w:rPr>
        <w:t>[deve/pode]</w:t>
      </w:r>
      <w:r>
        <w:rPr>
          <w:rFonts w:ascii="Arial" w:hAnsi="Arial"/>
          <w:sz w:val="20"/>
        </w:rPr>
        <w:t xml:space="preserve"> </w:t>
      </w:r>
      <w:r>
        <w:rPr>
          <w:rFonts w:ascii="Arial" w:hAnsi="Arial"/>
          <w:b/>
          <w:i/>
          <w:sz w:val="20"/>
        </w:rPr>
        <w:t>exigir que seus Criadores divulguem</w:t>
      </w:r>
      <w:r>
        <w:rPr>
          <w:rFonts w:ascii="Arial" w:hAnsi="Arial"/>
          <w:sz w:val="20"/>
        </w:rPr>
        <w:t xml:space="preserve">: Os países adotaram abordagens diferentes em relação aos requisitos de divulgação especificamente para RGs e CT, e a Instituição terá que seguir as regras nacionais relevantes. Destacamos abaixo três abordagens principais. </w:t>
      </w:r>
    </w:p>
    <w:p w14:paraId="067DEA6B" w14:textId="07E33210" w:rsidR="006567C2" w:rsidRPr="00FD20EE" w:rsidRDefault="006567C2" w:rsidP="009D4A54">
      <w:pPr>
        <w:pStyle w:val="ListParagraph"/>
        <w:numPr>
          <w:ilvl w:val="0"/>
          <w:numId w:val="64"/>
        </w:numPr>
        <w:spacing w:line="240" w:lineRule="auto"/>
        <w:ind w:hanging="294"/>
        <w:jc w:val="both"/>
        <w:rPr>
          <w:rFonts w:ascii="Arial" w:hAnsi="Arial" w:cs="Arial"/>
          <w:sz w:val="20"/>
        </w:rPr>
      </w:pPr>
      <w:r>
        <w:rPr>
          <w:rFonts w:ascii="Arial" w:hAnsi="Arial"/>
          <w:sz w:val="20"/>
        </w:rPr>
        <w:t xml:space="preserve">Na legislação nacional de alguns países, são estabelecidos requisitos de divulgação obrigatória e, portanto, a linguagem “o EGPI </w:t>
      </w:r>
      <w:r>
        <w:rPr>
          <w:rFonts w:ascii="Arial" w:hAnsi="Arial"/>
          <w:b/>
          <w:bCs/>
          <w:sz w:val="20"/>
        </w:rPr>
        <w:t>deve</w:t>
      </w:r>
      <w:r>
        <w:rPr>
          <w:rFonts w:ascii="Arial" w:hAnsi="Arial"/>
          <w:sz w:val="20"/>
        </w:rPr>
        <w:t xml:space="preserve"> requerer</w:t>
      </w:r>
      <w:r>
        <w:rPr>
          <w:rFonts w:ascii="Arial" w:hAnsi="Arial"/>
          <w:b/>
          <w:sz w:val="20"/>
        </w:rPr>
        <w:t xml:space="preserve"> </w:t>
      </w:r>
      <w:r>
        <w:rPr>
          <w:rFonts w:ascii="Arial" w:hAnsi="Arial"/>
          <w:sz w:val="20"/>
        </w:rPr>
        <w:t>…” seria adequada</w:t>
      </w:r>
      <w:r w:rsidR="008411EA">
        <w:rPr>
          <w:rFonts w:ascii="Arial" w:hAnsi="Arial"/>
          <w:sz w:val="20"/>
        </w:rPr>
        <w:t xml:space="preserve">. </w:t>
      </w:r>
      <w:r>
        <w:rPr>
          <w:rFonts w:ascii="Arial" w:hAnsi="Arial"/>
          <w:sz w:val="20"/>
        </w:rPr>
        <w:t>Isso pode exigir o preenchimento de um formulário indicando se a invenção foi gerada usando um CT e/ou RG, para atender aos requisitos formais para o depósito de um pedido de patente [</w:t>
      </w:r>
      <w:hyperlink w:anchor="Box51" w:history="1">
        <w:r>
          <w:rPr>
            <w:rStyle w:val="Hyperlink"/>
            <w:rFonts w:ascii="Arial" w:hAnsi="Arial"/>
            <w:sz w:val="20"/>
          </w:rPr>
          <w:t>Caixa 52</w:t>
        </w:r>
      </w:hyperlink>
      <w:r>
        <w:rPr>
          <w:rFonts w:ascii="Arial" w:hAnsi="Arial"/>
          <w:sz w:val="20"/>
        </w:rPr>
        <w:t xml:space="preserve"> - Formulário P26]</w:t>
      </w:r>
      <w:r w:rsidR="008411EA">
        <w:rPr>
          <w:rFonts w:ascii="Arial" w:hAnsi="Arial"/>
          <w:sz w:val="20"/>
        </w:rPr>
        <w:t xml:space="preserve">. </w:t>
      </w:r>
      <w:r>
        <w:rPr>
          <w:rFonts w:ascii="Arial" w:hAnsi="Arial"/>
          <w:sz w:val="20"/>
        </w:rPr>
        <w:t>Alternativamente, poderiam ser tomadas providências para prever o uso de RG e/ou CT como um critério de patenteabilidade com potenciais implicações para a validade da patente.</w:t>
      </w:r>
    </w:p>
    <w:p w14:paraId="2796B97A" w14:textId="69F4EFC6" w:rsidR="006567C2" w:rsidRPr="00FD20EE" w:rsidRDefault="006567C2" w:rsidP="009D4A54">
      <w:pPr>
        <w:pStyle w:val="ListParagraph"/>
        <w:numPr>
          <w:ilvl w:val="0"/>
          <w:numId w:val="64"/>
        </w:numPr>
        <w:spacing w:line="240" w:lineRule="auto"/>
        <w:ind w:hanging="294"/>
        <w:jc w:val="both"/>
        <w:rPr>
          <w:rFonts w:ascii="Arial" w:hAnsi="Arial" w:cs="Arial"/>
          <w:sz w:val="20"/>
        </w:rPr>
      </w:pPr>
      <w:r>
        <w:rPr>
          <w:rFonts w:ascii="Arial" w:hAnsi="Arial"/>
          <w:sz w:val="20"/>
        </w:rPr>
        <w:t xml:space="preserve">Alguns outros países optaram por incluir requisitos de divulgação voluntária em suas leis nacionais e, portanto, a linguagem “o EGPI </w:t>
      </w:r>
      <w:r>
        <w:rPr>
          <w:rFonts w:ascii="Arial" w:hAnsi="Arial"/>
          <w:b/>
          <w:bCs/>
          <w:sz w:val="20"/>
        </w:rPr>
        <w:t>pode</w:t>
      </w:r>
      <w:r>
        <w:rPr>
          <w:rFonts w:ascii="Arial" w:hAnsi="Arial"/>
          <w:sz w:val="20"/>
        </w:rPr>
        <w:t xml:space="preserve"> exigir…” seria aconselhável</w:t>
      </w:r>
      <w:r w:rsidR="008411EA">
        <w:rPr>
          <w:rFonts w:ascii="Arial" w:hAnsi="Arial"/>
          <w:sz w:val="20"/>
        </w:rPr>
        <w:t xml:space="preserve">. </w:t>
      </w:r>
      <w:r>
        <w:rPr>
          <w:rFonts w:ascii="Arial" w:hAnsi="Arial"/>
          <w:sz w:val="20"/>
        </w:rPr>
        <w:t>Isto se manifestaria através da introdução da divulgação voluntária como parte do procedimento de patente, sem quaisquer consequências para o processo de patente ou para a sua validade.</w:t>
      </w:r>
    </w:p>
    <w:p w14:paraId="5C565669" w14:textId="77777777" w:rsidR="006567C2" w:rsidRPr="00FD20EE" w:rsidRDefault="006567C2" w:rsidP="009D4A54">
      <w:pPr>
        <w:pStyle w:val="ListParagraph"/>
        <w:numPr>
          <w:ilvl w:val="0"/>
          <w:numId w:val="64"/>
        </w:numPr>
        <w:spacing w:line="240" w:lineRule="auto"/>
        <w:ind w:hanging="294"/>
        <w:jc w:val="both"/>
        <w:rPr>
          <w:rFonts w:ascii="Arial" w:hAnsi="Arial" w:cs="Arial"/>
          <w:sz w:val="20"/>
        </w:rPr>
      </w:pPr>
      <w:r>
        <w:rPr>
          <w:rFonts w:ascii="Arial" w:hAnsi="Arial"/>
          <w:sz w:val="20"/>
        </w:rPr>
        <w:t>Outros países não exigem nenhum tipo de divulgação específica para RGs e CT em sua legislação nacional e, portanto, esta cláusula opcional não seria aconselhável.</w:t>
      </w:r>
      <w:r w:rsidRPr="00FD20EE">
        <w:rPr>
          <w:rStyle w:val="FootnoteReference"/>
          <w:rFonts w:ascii="Arial" w:hAnsi="Arial" w:cs="Arial"/>
          <w:sz w:val="20"/>
          <w:lang w:val="en-US"/>
        </w:rPr>
        <w:footnoteReference w:id="153"/>
      </w:r>
      <w:r>
        <w:rPr>
          <w:rFonts w:ascii="Arial" w:hAnsi="Arial"/>
          <w:sz w:val="20"/>
        </w:rPr>
        <w:t xml:space="preserve"> </w:t>
      </w:r>
    </w:p>
    <w:p w14:paraId="773DD2DB" w14:textId="77777777" w:rsidR="00E43208" w:rsidRPr="0024467F" w:rsidRDefault="00E43208" w:rsidP="00E43208">
      <w:pPr>
        <w:tabs>
          <w:tab w:val="left" w:pos="709"/>
        </w:tabs>
        <w:spacing w:after="0" w:line="240" w:lineRule="auto"/>
        <w:jc w:val="both"/>
        <w:rPr>
          <w:rFonts w:ascii="Arial" w:hAnsi="Arial" w:cs="Arial"/>
          <w:sz w:val="20"/>
          <w:szCs w:val="32"/>
        </w:rPr>
      </w:pPr>
    </w:p>
    <w:p w14:paraId="19CF1E29" w14:textId="2ACCED0C"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sz w:val="20"/>
        </w:rPr>
      </w:pPr>
      <w:bookmarkStart w:id="241" w:name="Box51"/>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w:t>
      </w:r>
      <w:bookmarkEnd w:id="241"/>
      <w:r>
        <w:rPr>
          <w:rFonts w:ascii="Arial" w:hAnsi="Arial"/>
          <w:b/>
          <w:sz w:val="20"/>
        </w:rPr>
        <w:t>Requisitos de Divulgação Voluntária e Obrigatória</w:t>
      </w:r>
    </w:p>
    <w:p w14:paraId="39C4D573" w14:textId="77777777" w:rsidR="00835251" w:rsidRPr="0024467F"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rPr>
      </w:pPr>
    </w:p>
    <w:p w14:paraId="4F3D6C5A"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rPr>
      </w:pPr>
      <w:r>
        <w:rPr>
          <w:rFonts w:ascii="Arial" w:hAnsi="Arial"/>
          <w:sz w:val="20"/>
        </w:rPr>
        <w:t>A Alemanha, por exemplo, implementou um requisito voluntário na Seção 34(a) da Lei de Patentes</w:t>
      </w:r>
      <w:r w:rsidRPr="00FD20EE">
        <w:rPr>
          <w:rStyle w:val="FootnoteReference"/>
          <w:rFonts w:ascii="Arial" w:hAnsi="Arial" w:cs="Arial"/>
          <w:iCs/>
          <w:sz w:val="20"/>
          <w:lang w:val="en-US"/>
        </w:rPr>
        <w:footnoteReference w:id="154"/>
      </w:r>
      <w:r>
        <w:rPr>
          <w:rFonts w:ascii="Arial" w:hAnsi="Arial"/>
          <w:sz w:val="20"/>
        </w:rPr>
        <w:t xml:space="preserve"> que prevê: “</w:t>
      </w:r>
      <w:r>
        <w:rPr>
          <w:rFonts w:ascii="Arial" w:hAnsi="Arial"/>
          <w:i/>
          <w:sz w:val="20"/>
        </w:rPr>
        <w:t>Quando uma invenção for baseada em material biológico de origem vegetal ou animal ou se ela usar tal material, o pedido deverá incluir informações sobre a origem geográfica desse material, se conhecida. Isto não prejudicará o exame dos pedidos nem a validade dos direitos decorrentes das patentes concedidas.</w:t>
      </w:r>
      <w:r>
        <w:rPr>
          <w:rFonts w:ascii="Arial" w:hAnsi="Arial"/>
          <w:sz w:val="20"/>
        </w:rPr>
        <w:t xml:space="preserve">”  </w:t>
      </w:r>
    </w:p>
    <w:p w14:paraId="02728ECB" w14:textId="77777777" w:rsidR="00835251" w:rsidRPr="0024467F"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rPr>
      </w:pPr>
    </w:p>
    <w:p w14:paraId="7FDCA9E7"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iCs/>
          <w:sz w:val="20"/>
        </w:rPr>
      </w:pPr>
      <w:r>
        <w:rPr>
          <w:rFonts w:ascii="Arial" w:hAnsi="Arial"/>
          <w:sz w:val="20"/>
        </w:rPr>
        <w:t>Por outro lado, a Suíça implementou um requisito obrigatório no Artigo 49(a) da Lei de Patentes</w:t>
      </w:r>
      <w:r w:rsidRPr="00FD20EE">
        <w:rPr>
          <w:rStyle w:val="FootnoteReference"/>
          <w:rFonts w:ascii="Arial" w:hAnsi="Arial" w:cs="Arial"/>
          <w:sz w:val="20"/>
          <w:lang w:val="en-US"/>
        </w:rPr>
        <w:footnoteReference w:id="155"/>
      </w:r>
      <w:r>
        <w:rPr>
          <w:rFonts w:ascii="Arial" w:hAnsi="Arial"/>
          <w:sz w:val="20"/>
        </w:rPr>
        <w:t xml:space="preserve"> que afirma: “</w:t>
      </w:r>
      <w:r>
        <w:rPr>
          <w:rFonts w:ascii="Arial" w:hAnsi="Arial"/>
          <w:i/>
          <w:sz w:val="20"/>
        </w:rPr>
        <w:t>O pedido de patente deve conter informações sobre a fonte: a) do recurso genético ao qual o inventor ou o requerente da patente teve acesso, desde que a invenção seja diretamente baseada nesse recurso; b) do conhecimento tradicional de comunidades indígenas ou locais ao qual o inventor ou o requerente da patente teve acesso, desde que a invenção seja diretamente baseada nesse conhecimento</w:t>
      </w:r>
      <w:r>
        <w:rPr>
          <w:rFonts w:ascii="Arial" w:hAnsi="Arial"/>
          <w:sz w:val="20"/>
        </w:rPr>
        <w:t>”</w:t>
      </w:r>
      <w:r>
        <w:rPr>
          <w:rStyle w:val="FootnoteReference"/>
          <w:rFonts w:ascii="Arial" w:hAnsi="Arial"/>
          <w:sz w:val="20"/>
        </w:rPr>
        <w:t xml:space="preserve"> </w:t>
      </w:r>
      <w:r w:rsidRPr="00FD20EE">
        <w:rPr>
          <w:rStyle w:val="FootnoteReference"/>
          <w:rFonts w:ascii="Arial" w:hAnsi="Arial" w:cs="Arial"/>
          <w:sz w:val="20"/>
          <w:lang w:val="en-US"/>
        </w:rPr>
        <w:footnoteReference w:id="156"/>
      </w:r>
    </w:p>
    <w:p w14:paraId="4F6F10E9" w14:textId="77777777" w:rsidR="00E43208" w:rsidRPr="0024467F" w:rsidRDefault="00E43208" w:rsidP="00E43208">
      <w:pPr>
        <w:pStyle w:val="ListParagraph"/>
        <w:spacing w:line="240" w:lineRule="auto"/>
        <w:ind w:left="425"/>
        <w:jc w:val="both"/>
        <w:rPr>
          <w:rFonts w:ascii="Arial" w:hAnsi="Arial" w:cs="Arial"/>
          <w:b/>
          <w:sz w:val="20"/>
        </w:rPr>
      </w:pPr>
    </w:p>
    <w:p w14:paraId="72E88D23" w14:textId="77777777" w:rsidR="00B30378" w:rsidRPr="0024467F" w:rsidRDefault="00B30378" w:rsidP="00E43208">
      <w:pPr>
        <w:pStyle w:val="ListParagraph"/>
        <w:spacing w:line="240" w:lineRule="auto"/>
        <w:ind w:left="425"/>
        <w:jc w:val="both"/>
        <w:rPr>
          <w:rFonts w:ascii="Arial" w:hAnsi="Arial" w:cs="Arial"/>
          <w:b/>
          <w:sz w:val="20"/>
        </w:rPr>
      </w:pPr>
    </w:p>
    <w:p w14:paraId="16F21B20" w14:textId="77777777" w:rsidR="00E51CE3" w:rsidRPr="0024467F" w:rsidRDefault="00E51CE3" w:rsidP="00E43208">
      <w:pPr>
        <w:pStyle w:val="ListParagraph"/>
        <w:spacing w:line="240" w:lineRule="auto"/>
        <w:ind w:left="425"/>
        <w:jc w:val="both"/>
        <w:rPr>
          <w:rFonts w:ascii="Arial" w:hAnsi="Arial" w:cs="Arial"/>
          <w:b/>
          <w:sz w:val="20"/>
        </w:rPr>
      </w:pPr>
    </w:p>
    <w:p w14:paraId="6F941564" w14:textId="77777777" w:rsidR="00E51CE3" w:rsidRPr="0024467F" w:rsidRDefault="00E51CE3" w:rsidP="00E43208">
      <w:pPr>
        <w:pStyle w:val="ListParagraph"/>
        <w:spacing w:line="240" w:lineRule="auto"/>
        <w:ind w:left="425"/>
        <w:jc w:val="both"/>
        <w:rPr>
          <w:rFonts w:ascii="Arial" w:hAnsi="Arial" w:cs="Arial"/>
          <w:b/>
          <w:sz w:val="20"/>
        </w:rPr>
      </w:pPr>
    </w:p>
    <w:p w14:paraId="5E7B7764" w14:textId="77777777" w:rsidR="00B30378" w:rsidRPr="0024467F" w:rsidRDefault="00B30378" w:rsidP="00E43208">
      <w:pPr>
        <w:pStyle w:val="ListParagraph"/>
        <w:spacing w:line="240" w:lineRule="auto"/>
        <w:ind w:left="425"/>
        <w:jc w:val="both"/>
        <w:rPr>
          <w:rFonts w:ascii="Arial" w:hAnsi="Arial" w:cs="Arial"/>
          <w:b/>
          <w:sz w:val="20"/>
        </w:rPr>
      </w:pPr>
    </w:p>
    <w:p w14:paraId="41A024F3" w14:textId="3A4F6100"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r>
        <w:rPr>
          <w:rFonts w:ascii="Arial" w:hAnsi="Arial"/>
          <w:b/>
          <w:sz w:val="20"/>
        </w:rPr>
        <w:lastRenderedPageBreak/>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Formulário P26 introduzido na África do Sul</w:t>
      </w:r>
    </w:p>
    <w:p w14:paraId="37B64E27" w14:textId="77777777" w:rsidR="007C2E1E" w:rsidRPr="0024467F"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p>
    <w:p w14:paraId="67E0F9C5"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rPr>
      </w:pPr>
      <w:r>
        <w:rPr>
          <w:rFonts w:ascii="Arial" w:hAnsi="Arial"/>
          <w:sz w:val="20"/>
        </w:rPr>
        <w:t>O formulário P26 introduzido na África do Sul, indicando como o formulário seria preenchido se nenhum recurso biológico indígena, CT ou RGs fosse usado para chegar à invenção.</w:t>
      </w:r>
    </w:p>
    <w:p w14:paraId="3CDADEF9" w14:textId="77777777" w:rsidR="007C2E1E" w:rsidRPr="0024467F"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rPr>
      </w:pPr>
    </w:p>
    <w:p w14:paraId="33A8B938"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Cs/>
        </w:rPr>
      </w:pPr>
      <w:r>
        <w:rPr>
          <w:rFonts w:ascii="Arial" w:hAnsi="Arial"/>
        </w:rPr>
        <w:t xml:space="preserve"> </w:t>
      </w:r>
      <w:r>
        <w:rPr>
          <w:noProof/>
        </w:rPr>
        <w:drawing>
          <wp:inline distT="0" distB="0" distL="0" distR="0" wp14:anchorId="616C6C30" wp14:editId="177F64E0">
            <wp:extent cx="4099302" cy="4493518"/>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11014" cy="4506356"/>
                    </a:xfrm>
                    <a:prstGeom prst="rect">
                      <a:avLst/>
                    </a:prstGeom>
                  </pic:spPr>
                </pic:pic>
              </a:graphicData>
            </a:graphic>
          </wp:inline>
        </w:drawing>
      </w:r>
    </w:p>
    <w:p w14:paraId="6AD66D1C" w14:textId="77777777" w:rsidR="00835251" w:rsidRPr="00FD20EE" w:rsidRDefault="00835251" w:rsidP="00B7519E">
      <w:pPr>
        <w:pStyle w:val="ListParagraph"/>
        <w:tabs>
          <w:tab w:val="left" w:pos="709"/>
        </w:tabs>
        <w:spacing w:after="0" w:line="240" w:lineRule="auto"/>
        <w:ind w:left="425"/>
        <w:jc w:val="both"/>
        <w:rPr>
          <w:rFonts w:ascii="Arial" w:hAnsi="Arial" w:cs="Arial"/>
          <w:szCs w:val="32"/>
          <w:lang w:val="en-US"/>
        </w:rPr>
      </w:pPr>
    </w:p>
    <w:p w14:paraId="3F24CE39" w14:textId="253094C9" w:rsidR="00835251" w:rsidRPr="00FD20EE" w:rsidRDefault="00835251" w:rsidP="00831449">
      <w:pPr>
        <w:autoSpaceDE w:val="0"/>
        <w:autoSpaceDN w:val="0"/>
        <w:adjustRightInd w:val="0"/>
        <w:spacing w:after="0" w:line="240" w:lineRule="auto"/>
        <w:ind w:left="426"/>
        <w:jc w:val="both"/>
        <w:rPr>
          <w:rFonts w:ascii="Arial" w:hAnsi="Arial" w:cs="Arial"/>
          <w:sz w:val="20"/>
        </w:rPr>
      </w:pPr>
      <w:r>
        <w:rPr>
          <w:rFonts w:ascii="Arial" w:hAnsi="Arial"/>
          <w:sz w:val="20"/>
        </w:rPr>
        <w:t>Embora alguns países tenham legislação nacional impondo requisitos de divulgação para RGs e CT, outros países não exigem nenhum tipo de divulgação para RGs e CT em sua legislação nacional</w:t>
      </w:r>
      <w:r w:rsidR="008411EA">
        <w:rPr>
          <w:rFonts w:ascii="Arial" w:hAnsi="Arial"/>
          <w:sz w:val="20"/>
        </w:rPr>
        <w:t xml:space="preserve">. </w:t>
      </w:r>
      <w:r>
        <w:rPr>
          <w:rFonts w:ascii="Arial" w:hAnsi="Arial"/>
          <w:sz w:val="20"/>
        </w:rPr>
        <w:t>Neste contexto, a União Europeia adotou uma abordagem de “devida diligência” no artigo 4 do Regulamento nº 511/2014</w:t>
      </w:r>
      <w:r w:rsidRPr="00FD20EE">
        <w:rPr>
          <w:rStyle w:val="FootnoteReference"/>
          <w:rFonts w:ascii="Arial" w:hAnsi="Arial" w:cs="Arial"/>
          <w:iCs/>
          <w:sz w:val="20"/>
          <w:lang w:val="en-US"/>
        </w:rPr>
        <w:footnoteReference w:id="157"/>
      </w:r>
      <w:r>
        <w:rPr>
          <w:rFonts w:ascii="Arial" w:hAnsi="Arial"/>
          <w:sz w:val="20"/>
        </w:rPr>
        <w:t xml:space="preserve"> que afirma: “</w:t>
      </w:r>
      <w:r>
        <w:rPr>
          <w:rFonts w:ascii="Arial" w:hAnsi="Arial"/>
          <w:i/>
          <w:sz w:val="20"/>
        </w:rPr>
        <w:t>Os usuários devem exercer a devida diligência para verificar se os recursos genéticos e o conhecimento tradicional associado aos recursos genéticos que eles utilizam foram acessados de acordo com a legislação aplicável de acesso e repartição de benefícios ou requisitos regulatórios, e que os benefícios são compartilhados de forma justa e equitativa em termos mutuamente acordados, de acordo com qualquer legislação aplicável ou requisitos regulatórios</w:t>
      </w:r>
      <w:r>
        <w:rPr>
          <w:rFonts w:ascii="Arial" w:hAnsi="Arial"/>
          <w:sz w:val="20"/>
        </w:rPr>
        <w:t>”.</w:t>
      </w:r>
    </w:p>
    <w:p w14:paraId="02082EB6" w14:textId="77777777" w:rsidR="00A50799" w:rsidRPr="00FD20EE" w:rsidRDefault="00A50799" w:rsidP="00B7519E">
      <w:pPr>
        <w:pStyle w:val="Heading3"/>
        <w:spacing w:before="360"/>
        <w:rPr>
          <w:sz w:val="24"/>
        </w:rPr>
      </w:pPr>
      <w:bookmarkStart w:id="242" w:name="_Toc515566159"/>
      <w:bookmarkStart w:id="243" w:name="_Toc516121322"/>
      <w:bookmarkStart w:id="244" w:name="_Toc516160073"/>
      <w:bookmarkStart w:id="245" w:name="_Toc516219416"/>
      <w:bookmarkStart w:id="246" w:name="_Toc516496060"/>
      <w:bookmarkStart w:id="247" w:name="_Toc516829432"/>
      <w:r>
        <w:rPr>
          <w:sz w:val="24"/>
        </w:rPr>
        <w:t>Artigo 8.2 – Autoria e Titularidade</w:t>
      </w:r>
      <w:bookmarkEnd w:id="242"/>
      <w:bookmarkEnd w:id="243"/>
      <w:bookmarkEnd w:id="244"/>
      <w:bookmarkEnd w:id="245"/>
      <w:bookmarkEnd w:id="246"/>
      <w:bookmarkEnd w:id="247"/>
    </w:p>
    <w:p w14:paraId="0EF4B2F8" w14:textId="53C63AD7" w:rsidR="004F5779" w:rsidRPr="00CC0CF0"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Artigo 8.2.1 e 8.2.2.,</w:t>
      </w:r>
      <w:r>
        <w:rPr>
          <w:rFonts w:ascii="Arial" w:hAnsi="Arial"/>
          <w:b/>
          <w:i/>
          <w:sz w:val="20"/>
        </w:rPr>
        <w:t xml:space="preserve"> Autoria e Titularidade</w:t>
      </w:r>
      <w:r w:rsidRPr="00505BDA">
        <w:rPr>
          <w:rFonts w:ascii="Arial" w:hAnsi="Arial"/>
          <w:bCs/>
          <w:iCs/>
          <w:sz w:val="20"/>
        </w:rPr>
        <w:t>:</w:t>
      </w:r>
      <w:r>
        <w:rPr>
          <w:rFonts w:ascii="Arial" w:hAnsi="Arial"/>
          <w:sz w:val="20"/>
        </w:rPr>
        <w:t xml:space="preserve"> É importante entender que “criadores” e “titulares” podem não ser a mesma pessoa</w:t>
      </w:r>
      <w:r w:rsidR="008411EA">
        <w:rPr>
          <w:rFonts w:ascii="Arial" w:hAnsi="Arial"/>
          <w:sz w:val="20"/>
        </w:rPr>
        <w:t xml:space="preserve">. </w:t>
      </w:r>
    </w:p>
    <w:p w14:paraId="5C828612" w14:textId="77777777" w:rsidR="004F5779" w:rsidRPr="0024467F" w:rsidRDefault="004F5779" w:rsidP="004F5779">
      <w:pPr>
        <w:pStyle w:val="ListParagraph"/>
        <w:tabs>
          <w:tab w:val="left" w:pos="851"/>
        </w:tabs>
        <w:spacing w:after="0" w:line="240" w:lineRule="auto"/>
        <w:ind w:left="426"/>
        <w:jc w:val="both"/>
        <w:rPr>
          <w:rFonts w:ascii="Arial" w:hAnsi="Arial" w:cs="Arial"/>
          <w:sz w:val="20"/>
        </w:rPr>
      </w:pPr>
    </w:p>
    <w:p w14:paraId="165E574E" w14:textId="1F6117A0" w:rsidR="00793C0C" w:rsidRPr="00CC0CF0" w:rsidRDefault="004F5779" w:rsidP="004F5779">
      <w:pPr>
        <w:tabs>
          <w:tab w:val="left" w:pos="851"/>
        </w:tabs>
        <w:spacing w:after="0" w:line="240" w:lineRule="auto"/>
        <w:ind w:left="426"/>
        <w:jc w:val="both"/>
        <w:rPr>
          <w:rFonts w:ascii="Arial" w:hAnsi="Arial" w:cs="Arial"/>
          <w:sz w:val="20"/>
        </w:rPr>
      </w:pPr>
      <w:r>
        <w:rPr>
          <w:rFonts w:ascii="Arial" w:hAnsi="Arial"/>
          <w:color w:val="0070C0"/>
          <w:sz w:val="20"/>
        </w:rPr>
        <w:t xml:space="preserve">Autoria/Invenção </w:t>
      </w:r>
      <w:r>
        <w:rPr>
          <w:rFonts w:ascii="Arial" w:hAnsi="Arial"/>
          <w:sz w:val="20"/>
        </w:rPr>
        <w:t>- Em termos de primeiros princípios, qualquer PI desenvolvida pertence ao Criador da PI</w:t>
      </w:r>
      <w:r w:rsidR="008411EA">
        <w:rPr>
          <w:rFonts w:ascii="Arial" w:hAnsi="Arial"/>
          <w:sz w:val="20"/>
        </w:rPr>
        <w:t xml:space="preserve">. </w:t>
      </w:r>
      <w:r>
        <w:rPr>
          <w:rFonts w:ascii="Arial" w:hAnsi="Arial"/>
          <w:sz w:val="20"/>
        </w:rPr>
        <w:t xml:space="preserve">O Criador pode ser obrigado a assinar um documento formal confirmando que ele </w:t>
      </w:r>
      <w:r>
        <w:rPr>
          <w:rFonts w:ascii="Arial" w:hAnsi="Arial"/>
          <w:sz w:val="20"/>
        </w:rPr>
        <w:lastRenderedPageBreak/>
        <w:t>deve ser considerado um inventor, autor ou melhorador, por exemplo, que desenvolveu uma propriedade intelectual específica</w:t>
      </w:r>
      <w:r w:rsidR="008411EA">
        <w:rPr>
          <w:rFonts w:ascii="Arial" w:hAnsi="Arial"/>
          <w:sz w:val="20"/>
        </w:rPr>
        <w:t xml:space="preserve">. </w:t>
      </w:r>
    </w:p>
    <w:p w14:paraId="3C47FAFE" w14:textId="77777777" w:rsidR="00793C0C" w:rsidRPr="0024467F" w:rsidRDefault="00793C0C" w:rsidP="004F5779">
      <w:pPr>
        <w:tabs>
          <w:tab w:val="left" w:pos="851"/>
        </w:tabs>
        <w:spacing w:after="0" w:line="240" w:lineRule="auto"/>
        <w:ind w:left="426"/>
        <w:jc w:val="both"/>
        <w:rPr>
          <w:rFonts w:ascii="Arial" w:hAnsi="Arial" w:cs="Arial"/>
          <w:sz w:val="20"/>
        </w:rPr>
      </w:pPr>
    </w:p>
    <w:p w14:paraId="3074A9D5" w14:textId="57B428EE" w:rsidR="007C2E1E" w:rsidRPr="00C04211" w:rsidRDefault="007C2E1E" w:rsidP="004F5779">
      <w:pPr>
        <w:tabs>
          <w:tab w:val="left" w:pos="851"/>
        </w:tabs>
        <w:spacing w:after="0" w:line="240" w:lineRule="auto"/>
        <w:ind w:left="426"/>
        <w:jc w:val="both"/>
        <w:rPr>
          <w:rFonts w:ascii="Arial" w:hAnsi="Arial" w:cs="Arial"/>
          <w:sz w:val="20"/>
        </w:rPr>
      </w:pPr>
      <w:r>
        <w:rPr>
          <w:rFonts w:ascii="Arial" w:hAnsi="Arial"/>
          <w:sz w:val="20"/>
        </w:rPr>
        <w:t>Se a PI que foi divulgada puder ser atribuída a mais de um Criador (excluindo Facilitadores), então o EGPI precisará ceder a autoria proporcional a cada um dos Criadores de PI</w:t>
      </w:r>
      <w:r w:rsidR="008411EA">
        <w:rPr>
          <w:rFonts w:ascii="Arial" w:hAnsi="Arial"/>
          <w:sz w:val="20"/>
        </w:rPr>
        <w:t xml:space="preserve">. </w:t>
      </w:r>
      <w:r>
        <w:rPr>
          <w:rFonts w:ascii="Arial" w:hAnsi="Arial"/>
          <w:sz w:val="20"/>
        </w:rPr>
        <w:t>Por exemplo, o inventor A desenvolveu 60% da invenção; o inventor B, 25% da invenção; e o inventor C, 15% da invenção</w:t>
      </w:r>
      <w:r w:rsidR="008411EA">
        <w:rPr>
          <w:rFonts w:ascii="Arial" w:hAnsi="Arial"/>
          <w:sz w:val="20"/>
        </w:rPr>
        <w:t xml:space="preserve">. </w:t>
      </w:r>
      <w:r>
        <w:rPr>
          <w:rFonts w:ascii="Arial" w:hAnsi="Arial"/>
          <w:sz w:val="20"/>
        </w:rPr>
        <w:t>Em algumas jurisdições, isso é essencial para poder identificar quais reivindicações podem ser atribuídas a um ou mais dos inventores listados</w:t>
      </w:r>
      <w:r w:rsidR="008411EA">
        <w:rPr>
          <w:rFonts w:ascii="Arial" w:hAnsi="Arial"/>
          <w:sz w:val="20"/>
        </w:rPr>
        <w:t xml:space="preserve">. </w:t>
      </w:r>
      <w:r>
        <w:rPr>
          <w:rFonts w:ascii="Arial" w:hAnsi="Arial"/>
          <w:sz w:val="20"/>
        </w:rPr>
        <w:t xml:space="preserve">Além disso, isso é essencial para compartilhar benefícios (veja também </w:t>
      </w:r>
      <w:hyperlink w:anchor="_Article_10.1_–" w:history="1">
        <w:r>
          <w:rPr>
            <w:rStyle w:val="Hyperlink"/>
            <w:rFonts w:ascii="Arial" w:hAnsi="Arial"/>
            <w:sz w:val="20"/>
          </w:rPr>
          <w:t>Artigo 10.1.1</w:t>
        </w:r>
      </w:hyperlink>
      <w:r>
        <w:rPr>
          <w:rFonts w:ascii="Arial" w:hAnsi="Arial"/>
          <w:sz w:val="20"/>
        </w:rPr>
        <w:t>)</w:t>
      </w:r>
      <w:r w:rsidR="008411EA">
        <w:rPr>
          <w:rFonts w:ascii="Arial" w:hAnsi="Arial"/>
          <w:sz w:val="20"/>
        </w:rPr>
        <w:t xml:space="preserve">. </w:t>
      </w:r>
      <w:r>
        <w:rPr>
          <w:rFonts w:ascii="Arial" w:hAnsi="Arial"/>
          <w:sz w:val="20"/>
        </w:rPr>
        <w:t>Se não for possível determinar o percentual de contribuição de cada inventor para a invenção resultante, então cada inventor pode receber uma parcela igual e indivisível.</w:t>
      </w:r>
    </w:p>
    <w:p w14:paraId="06A415C4" w14:textId="77777777" w:rsidR="007C2E1E" w:rsidRPr="0024467F" w:rsidRDefault="007C2E1E" w:rsidP="007C2E1E">
      <w:pPr>
        <w:tabs>
          <w:tab w:val="left" w:pos="851"/>
        </w:tabs>
        <w:spacing w:after="0" w:line="240" w:lineRule="auto"/>
        <w:ind w:left="851" w:hanging="851"/>
        <w:jc w:val="both"/>
        <w:rPr>
          <w:rFonts w:ascii="Arial" w:hAnsi="Arial" w:cs="Arial"/>
          <w:sz w:val="20"/>
        </w:rPr>
      </w:pPr>
    </w:p>
    <w:p w14:paraId="5FE3BB52" w14:textId="65F27024" w:rsidR="007C2E1E" w:rsidRPr="00CC0CF0" w:rsidRDefault="007C2E1E" w:rsidP="00B7519E">
      <w:pPr>
        <w:tabs>
          <w:tab w:val="left" w:pos="426"/>
        </w:tabs>
        <w:spacing w:after="0" w:line="240" w:lineRule="auto"/>
        <w:ind w:left="426" w:hanging="426"/>
        <w:jc w:val="both"/>
        <w:rPr>
          <w:rFonts w:ascii="Arial" w:hAnsi="Arial" w:cs="Arial"/>
          <w:sz w:val="20"/>
        </w:rPr>
      </w:pPr>
      <w:r>
        <w:rPr>
          <w:rFonts w:ascii="Arial" w:hAnsi="Arial"/>
          <w:sz w:val="20"/>
        </w:rPr>
        <w:tab/>
      </w:r>
      <w:r>
        <w:rPr>
          <w:rFonts w:ascii="Arial" w:hAnsi="Arial"/>
          <w:color w:val="0070C0"/>
          <w:sz w:val="20"/>
        </w:rPr>
        <w:t>Titularidade</w:t>
      </w:r>
      <w:r>
        <w:rPr>
          <w:rFonts w:ascii="Arial" w:hAnsi="Arial"/>
          <w:sz w:val="20"/>
        </w:rPr>
        <w:t xml:space="preserve"> – O criador da PI não é necessariamente o titular. Uma vez determinada a autoria, a legislação nacional e/ou as políticas de PI da Instituição determinarão em quais casos a PI criada por Membros da Equipe, Alunos ou Visitantes pertencerá à Instituição (veja o Artigo 5)</w:t>
      </w:r>
      <w:r w:rsidR="008411EA">
        <w:rPr>
          <w:rFonts w:ascii="Arial" w:hAnsi="Arial"/>
          <w:sz w:val="20"/>
        </w:rPr>
        <w:t xml:space="preserve">. </w:t>
      </w:r>
      <w:r>
        <w:rPr>
          <w:rFonts w:ascii="Arial" w:hAnsi="Arial"/>
          <w:sz w:val="20"/>
        </w:rPr>
        <w:t xml:space="preserve">Caso a PI precise pertencer à Instituição, o Membro da Equipe, Aluno ou Visitante deverá transferir tais direitos à Instituição por meio do que é chamado de Escritura de Cessão. </w:t>
      </w:r>
    </w:p>
    <w:p w14:paraId="3E961EB1" w14:textId="77777777" w:rsidR="00E766D2" w:rsidRPr="0024467F" w:rsidRDefault="00E766D2" w:rsidP="00B7519E">
      <w:pPr>
        <w:tabs>
          <w:tab w:val="left" w:pos="426"/>
        </w:tabs>
        <w:spacing w:after="0" w:line="240" w:lineRule="auto"/>
        <w:ind w:left="426" w:hanging="426"/>
        <w:jc w:val="both"/>
        <w:rPr>
          <w:rFonts w:ascii="Arial" w:hAnsi="Arial" w:cs="Arial"/>
          <w:sz w:val="20"/>
        </w:rPr>
      </w:pPr>
    </w:p>
    <w:p w14:paraId="20244757" w14:textId="1774397F"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Autoria x Invenção: A diferença entre Autores de Periódicos e Inventores de Patentes</w:t>
      </w:r>
      <w:r w:rsidRPr="00FD20EE">
        <w:rPr>
          <w:rStyle w:val="FootnoteReference"/>
          <w:rFonts w:ascii="Arial" w:hAnsi="Arial" w:cs="Arial"/>
          <w:b/>
          <w:sz w:val="20"/>
          <w:szCs w:val="32"/>
          <w:lang w:val="en-US"/>
        </w:rPr>
        <w:footnoteReference w:id="158"/>
      </w:r>
    </w:p>
    <w:p w14:paraId="2AD1A2AF" w14:textId="77777777" w:rsidR="00E766D2" w:rsidRPr="0024467F"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Verdana" w:eastAsia="Times New Roman" w:hAnsi="Verdana" w:cs="Times New Roman"/>
          <w:color w:val="505050"/>
          <w:sz w:val="18"/>
          <w:szCs w:val="19"/>
          <w:lang w:eastAsia="en-US"/>
        </w:rPr>
      </w:pPr>
    </w:p>
    <w:p w14:paraId="475AD164"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rPr>
      </w:pPr>
      <w:r>
        <w:rPr>
          <w:rFonts w:ascii="Arial" w:hAnsi="Arial"/>
          <w:sz w:val="20"/>
        </w:rPr>
        <w:t>Uma das questões mais frequentemente mal compreendidas entre pesquisadores e profissionais de PI é a confusão entre autoria e invenção. Para muitos cientistas, o conceito de que você não é automaticamente um inventor de uma patente, mesmo sendo autor de um artigo sobre o mesmo assunto, é uma noção profunda.</w:t>
      </w:r>
    </w:p>
    <w:p w14:paraId="021FBD8D" w14:textId="77777777" w:rsidR="00E766D2" w:rsidRPr="0024467F"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rPr>
      </w:pPr>
    </w:p>
    <w:p w14:paraId="16B783FF"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rPr>
      </w:pPr>
      <w:r>
        <w:rPr>
          <w:rFonts w:ascii="Arial" w:hAnsi="Arial"/>
          <w:sz w:val="20"/>
        </w:rPr>
        <w:t xml:space="preserve">Em termos gerais, para ser um </w:t>
      </w:r>
      <w:r>
        <w:rPr>
          <w:rFonts w:ascii="Arial" w:hAnsi="Arial"/>
          <w:b/>
          <w:bCs/>
          <w:sz w:val="20"/>
        </w:rPr>
        <w:t>autor</w:t>
      </w:r>
      <w:r>
        <w:rPr>
          <w:rFonts w:ascii="Arial" w:hAnsi="Arial"/>
          <w:sz w:val="20"/>
        </w:rPr>
        <w:t xml:space="preserve"> de um artigo, uma pessoa pode ter realizado a pesquisa subjacente, supervisionado a pesquisa ou escrito o artigo, entre outros critérios. Isto é muito menos rigoroso do que o requisito de ser um </w:t>
      </w:r>
      <w:r>
        <w:rPr>
          <w:rFonts w:ascii="Arial" w:hAnsi="Arial"/>
          <w:b/>
          <w:bCs/>
          <w:sz w:val="20"/>
        </w:rPr>
        <w:t>inventor</w:t>
      </w:r>
      <w:r>
        <w:rPr>
          <w:rFonts w:ascii="Arial" w:hAnsi="Arial"/>
          <w:sz w:val="20"/>
        </w:rPr>
        <w:t>, porque a invenção é uma determinação legal. A listagem inadequada de inventores em uma patente pode ser motivo para invalidação de toda a patente.</w:t>
      </w:r>
    </w:p>
    <w:p w14:paraId="194F82D7" w14:textId="77777777" w:rsidR="00E766D2" w:rsidRPr="0024467F"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rPr>
      </w:pPr>
    </w:p>
    <w:p w14:paraId="1A5B3B3D"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rPr>
      </w:pPr>
      <w:r>
        <w:rPr>
          <w:rFonts w:ascii="Arial" w:hAnsi="Arial"/>
          <w:sz w:val="20"/>
        </w:rPr>
        <w:t>É responsabilidade dos potenciais inventores fazer um esforço de boa-fé para determinar quem entre eles são os verdadeiros inventores.</w:t>
      </w:r>
    </w:p>
    <w:p w14:paraId="38FC516D" w14:textId="77777777" w:rsidR="00E766D2" w:rsidRPr="0024467F" w:rsidRDefault="00E766D2" w:rsidP="00B7519E">
      <w:pPr>
        <w:tabs>
          <w:tab w:val="left" w:pos="426"/>
        </w:tabs>
        <w:spacing w:after="0" w:line="240" w:lineRule="auto"/>
        <w:ind w:left="426" w:hanging="426"/>
        <w:jc w:val="both"/>
        <w:rPr>
          <w:rFonts w:ascii="Arial" w:hAnsi="Arial" w:cs="Arial"/>
          <w:sz w:val="20"/>
        </w:rPr>
      </w:pPr>
    </w:p>
    <w:p w14:paraId="42CC9A44" w14:textId="77777777" w:rsidR="007C2E1E" w:rsidRPr="0024467F" w:rsidRDefault="007C2E1E" w:rsidP="007C2E1E">
      <w:pPr>
        <w:tabs>
          <w:tab w:val="left" w:pos="851"/>
        </w:tabs>
        <w:spacing w:after="0" w:line="240" w:lineRule="auto"/>
        <w:ind w:left="851" w:hanging="851"/>
        <w:jc w:val="both"/>
        <w:rPr>
          <w:rFonts w:ascii="Arial" w:hAnsi="Arial" w:cs="Arial"/>
          <w:sz w:val="20"/>
        </w:rPr>
      </w:pPr>
    </w:p>
    <w:p w14:paraId="3E46EA1C" w14:textId="6ED0BA05"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Divulgação ≠ Cessão</w:t>
      </w:r>
    </w:p>
    <w:p w14:paraId="419011FB" w14:textId="77777777" w:rsidR="007C2E1E" w:rsidRPr="0024467F"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p>
    <w:p w14:paraId="4F0EB3E8" w14:textId="77777777" w:rsidR="007C2E1E" w:rsidRPr="00FD20EE" w:rsidRDefault="00793C0C"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333333"/>
          <w:sz w:val="20"/>
          <w:shd w:val="clear" w:color="auto" w:fill="FFFFED"/>
        </w:rPr>
      </w:pPr>
      <w:r>
        <w:rPr>
          <w:rFonts w:ascii="Arial" w:hAnsi="Arial"/>
          <w:sz w:val="20"/>
        </w:rPr>
        <w:t>O dever de divulgação não deve ser confundido com a cessão</w:t>
      </w:r>
      <w:r w:rsidRPr="00FD20EE">
        <w:rPr>
          <w:rStyle w:val="FootnoteReference"/>
          <w:rFonts w:ascii="Arial" w:hAnsi="Arial" w:cs="Arial"/>
          <w:sz w:val="20"/>
          <w:szCs w:val="32"/>
          <w:lang w:val="en-US"/>
        </w:rPr>
        <w:footnoteReference w:id="159"/>
      </w:r>
      <w:r>
        <w:rPr>
          <w:rFonts w:ascii="Arial" w:hAnsi="Arial"/>
          <w:sz w:val="20"/>
        </w:rPr>
        <w:t xml:space="preserve"> de uma criação. A divulgação de uma criação significa literalmente que a criação/invenção foi descrita em detalhes completos (ou seja, facilitadores). Cessão significa que a titularidade (ou seja, o título legal) da invenção foi dada pelo criador a outra parte (por exemplo, o empregador e, neste caso, a Instituição).</w:t>
      </w:r>
    </w:p>
    <w:p w14:paraId="0218B070" w14:textId="77777777" w:rsidR="00936428" w:rsidRPr="00FD20EE" w:rsidRDefault="00936428" w:rsidP="00936428">
      <w:pPr>
        <w:rPr>
          <w:sz w:val="20"/>
        </w:rPr>
      </w:pPr>
      <w:bookmarkStart w:id="248" w:name="_Article_8.3_–"/>
      <w:bookmarkStart w:id="249" w:name="_Toc515566160"/>
      <w:bookmarkStart w:id="250" w:name="_Toc516121323"/>
      <w:bookmarkStart w:id="251" w:name="_Toc516160074"/>
      <w:bookmarkStart w:id="252" w:name="_Toc516219417"/>
      <w:bookmarkEnd w:id="248"/>
    </w:p>
    <w:p w14:paraId="08357469" w14:textId="77777777" w:rsidR="006C203B" w:rsidRPr="00FD20EE" w:rsidRDefault="006C203B" w:rsidP="00936428">
      <w:pPr>
        <w:pStyle w:val="Heading3"/>
        <w:spacing w:before="360"/>
        <w:jc w:val="both"/>
        <w:rPr>
          <w:sz w:val="24"/>
        </w:rPr>
      </w:pPr>
      <w:bookmarkStart w:id="253" w:name="_Toc516496061"/>
      <w:bookmarkStart w:id="254" w:name="_Toc516829433"/>
      <w:r>
        <w:rPr>
          <w:sz w:val="24"/>
        </w:rPr>
        <w:t>Artigo 8.3 – Determinação quanto à Proteção e Comercialização da PI</w:t>
      </w:r>
      <w:bookmarkEnd w:id="249"/>
      <w:bookmarkEnd w:id="250"/>
      <w:bookmarkEnd w:id="251"/>
      <w:bookmarkEnd w:id="252"/>
      <w:bookmarkEnd w:id="253"/>
      <w:bookmarkEnd w:id="254"/>
    </w:p>
    <w:p w14:paraId="05BF8AB6" w14:textId="0FE82FBF" w:rsidR="008E589B"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Artigo 8.3.1,</w:t>
      </w:r>
      <w:r>
        <w:rPr>
          <w:rFonts w:ascii="Arial" w:hAnsi="Arial"/>
          <w:sz w:val="20"/>
        </w:rPr>
        <w:t xml:space="preserve"> </w:t>
      </w:r>
      <w:r>
        <w:rPr>
          <w:rFonts w:ascii="Arial" w:hAnsi="Arial"/>
          <w:b/>
          <w:i/>
          <w:sz w:val="20"/>
        </w:rPr>
        <w:t>Avaliação e Recomendação</w:t>
      </w:r>
      <w:r w:rsidRPr="00505BDA">
        <w:rPr>
          <w:rFonts w:ascii="Arial" w:hAnsi="Arial"/>
          <w:bCs/>
          <w:iCs/>
          <w:sz w:val="20"/>
        </w:rPr>
        <w:t>:</w:t>
      </w:r>
      <w:r>
        <w:rPr>
          <w:rFonts w:ascii="Arial" w:hAnsi="Arial"/>
          <w:sz w:val="20"/>
        </w:rPr>
        <w:t xml:space="preserve"> Para que o EGPI seja bem-sucedido, os criadores devem ter certeza de que suas invenções/criações receberão uma avaliação aprofundada de sua patenteabilidade e potencial de comercialização. A capacidade de fazer uma avaliação abrangente e, portanto, chegar a uma recomendação depende de quão completa a divulgação é quando recebida (veja o </w:t>
      </w:r>
      <w:hyperlink w:anchor="_Article_8.1_–" w:history="1">
        <w:r>
          <w:rPr>
            <w:rStyle w:val="Hyperlink"/>
            <w:rFonts w:ascii="Arial" w:hAnsi="Arial"/>
            <w:sz w:val="20"/>
          </w:rPr>
          <w:t>Artigo 8.1.3</w:t>
        </w:r>
      </w:hyperlink>
      <w:r>
        <w:rPr>
          <w:rFonts w:ascii="Arial" w:hAnsi="Arial"/>
          <w:sz w:val="20"/>
        </w:rPr>
        <w:t>)</w:t>
      </w:r>
      <w:r w:rsidR="008411EA">
        <w:rPr>
          <w:rFonts w:ascii="Arial" w:hAnsi="Arial"/>
          <w:sz w:val="20"/>
        </w:rPr>
        <w:t xml:space="preserve">. </w:t>
      </w:r>
      <w:r>
        <w:rPr>
          <w:rFonts w:ascii="Arial" w:hAnsi="Arial"/>
          <w:sz w:val="20"/>
        </w:rPr>
        <w:t>O processo de avaliação de uma Divulgação de PI normalmente envolve três aspectos fundamentais:</w:t>
      </w:r>
    </w:p>
    <w:p w14:paraId="203912D2" w14:textId="1CD92044"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rPr>
      </w:pPr>
      <w:r>
        <w:rPr>
          <w:rFonts w:ascii="Arial" w:hAnsi="Arial"/>
          <w:sz w:val="20"/>
        </w:rPr>
        <w:t xml:space="preserve">O aspecto administrativo - a Divulgação é analisada para DPIs que podem ser devidos por terceiros em virtude de patrocínio ou invenção, ou pelo uso de material proprietário de </w:t>
      </w:r>
      <w:r>
        <w:rPr>
          <w:rFonts w:ascii="Arial" w:hAnsi="Arial"/>
          <w:sz w:val="20"/>
        </w:rPr>
        <w:lastRenderedPageBreak/>
        <w:t>terceiros</w:t>
      </w:r>
      <w:r w:rsidR="008411EA">
        <w:rPr>
          <w:rFonts w:ascii="Arial" w:hAnsi="Arial"/>
          <w:sz w:val="20"/>
        </w:rPr>
        <w:t xml:space="preserve">. </w:t>
      </w:r>
      <w:r>
        <w:rPr>
          <w:rFonts w:ascii="Arial" w:hAnsi="Arial"/>
          <w:sz w:val="20"/>
        </w:rPr>
        <w:t>Possíveis direitos ou obrigações governamentais, ou algumas obrigações institucionais internas também são determinadas neste aspecto</w:t>
      </w:r>
      <w:r w:rsidR="008411EA">
        <w:rPr>
          <w:rFonts w:ascii="Arial" w:hAnsi="Arial"/>
          <w:sz w:val="20"/>
        </w:rPr>
        <w:t xml:space="preserve">. </w:t>
      </w:r>
    </w:p>
    <w:p w14:paraId="4893BB0A" w14:textId="2C1461D9"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rPr>
      </w:pPr>
      <w:r>
        <w:rPr>
          <w:rFonts w:ascii="Arial" w:hAnsi="Arial"/>
          <w:sz w:val="20"/>
        </w:rPr>
        <w:t>O aspecto tecnológico - a Divulgação é avaliada pela qualidade da invenção/criação</w:t>
      </w:r>
      <w:r w:rsidR="008411EA">
        <w:rPr>
          <w:rFonts w:ascii="Arial" w:hAnsi="Arial"/>
          <w:sz w:val="20"/>
        </w:rPr>
        <w:t xml:space="preserve">. </w:t>
      </w:r>
      <w:r>
        <w:rPr>
          <w:rFonts w:ascii="Arial" w:hAnsi="Arial"/>
          <w:sz w:val="20"/>
        </w:rPr>
        <w:t>Esta avaliação considera as características de desempenho da invenção/criação e avalia seu valor potencial (desenvolvível, economicamente viável e com um mercado potencial) para aqueles que a implementariam.</w:t>
      </w:r>
    </w:p>
    <w:p w14:paraId="667B3CC8" w14:textId="77777777" w:rsidR="007C2E1E"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rPr>
      </w:pPr>
      <w:r>
        <w:rPr>
          <w:rFonts w:ascii="Arial" w:hAnsi="Arial"/>
          <w:sz w:val="20"/>
        </w:rPr>
        <w:t xml:space="preserve">O aspecto da PI - a viabilidade de possíveis abordagens de proteção da PI é avaliada. </w:t>
      </w:r>
    </w:p>
    <w:p w14:paraId="20D7AFCE" w14:textId="77777777" w:rsidR="009A7567" w:rsidRPr="0024467F" w:rsidRDefault="009A7567" w:rsidP="009A7567">
      <w:pPr>
        <w:tabs>
          <w:tab w:val="left" w:pos="851"/>
        </w:tabs>
        <w:spacing w:after="0" w:line="240" w:lineRule="auto"/>
        <w:jc w:val="both"/>
        <w:rPr>
          <w:rFonts w:ascii="Arial" w:hAnsi="Arial" w:cs="Arial"/>
          <w:sz w:val="20"/>
        </w:rPr>
      </w:pPr>
    </w:p>
    <w:p w14:paraId="0D8041F0" w14:textId="77777777"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hAnsi="Arial" w:cs="Arial"/>
          <w:bCs/>
          <w:color w:val="888888"/>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Trecho da Central de Transferência de Tecnologia – Os três pilares da análise de invenções por </w:t>
      </w:r>
      <w:hyperlink r:id="rId129" w:history="1">
        <w:r>
          <w:rPr>
            <w:rStyle w:val="Hyperlink"/>
            <w:rFonts w:ascii="Arial" w:hAnsi="Arial"/>
            <w:b/>
            <w:sz w:val="20"/>
          </w:rPr>
          <w:t>Debi Melillo</w:t>
        </w:r>
      </w:hyperlink>
      <w:r>
        <w:rPr>
          <w:rFonts w:ascii="Arial" w:hAnsi="Arial"/>
          <w:color w:val="888888"/>
          <w:sz w:val="20"/>
        </w:rPr>
        <w:t xml:space="preserve"> </w:t>
      </w:r>
    </w:p>
    <w:p w14:paraId="0C6E4E56" w14:textId="77777777" w:rsidR="009A7567" w:rsidRPr="0024467F"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color w:val="333333"/>
          <w:sz w:val="20"/>
          <w:shd w:val="clear" w:color="auto" w:fill="FFFFFF"/>
        </w:rPr>
      </w:pPr>
    </w:p>
    <w:p w14:paraId="7EBFEAEB" w14:textId="69D2CC1A"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i/>
          <w:color w:val="333333"/>
          <w:sz w:val="20"/>
          <w:szCs w:val="20"/>
          <w:shd w:val="clear" w:color="auto" w:fill="FFFFFF"/>
        </w:rPr>
      </w:pPr>
      <w:r>
        <w:rPr>
          <w:rFonts w:ascii="Arial" w:hAnsi="Arial"/>
          <w:i/>
          <w:sz w:val="20"/>
        </w:rPr>
        <w:t>“Existem três elementos principais para tornar uma invenção um projeto comercialmente viável, e essa invenção precisa ser forte em todos os três para ter sucesso</w:t>
      </w:r>
      <w:r w:rsidR="008411EA">
        <w:rPr>
          <w:rFonts w:ascii="Arial" w:hAnsi="Arial"/>
          <w:i/>
          <w:sz w:val="20"/>
        </w:rPr>
        <w:t xml:space="preserve">. </w:t>
      </w:r>
      <w:r>
        <w:rPr>
          <w:rFonts w:ascii="Arial" w:hAnsi="Arial"/>
          <w:i/>
          <w:sz w:val="20"/>
        </w:rPr>
        <w:t xml:space="preserve">Primeiro, a tecnologia tem que ser </w:t>
      </w:r>
      <w:r>
        <w:rPr>
          <w:rFonts w:ascii="Arial" w:hAnsi="Arial"/>
          <w:b/>
          <w:bCs/>
          <w:i/>
          <w:sz w:val="20"/>
        </w:rPr>
        <w:t>desenvolvível</w:t>
      </w:r>
      <w:r>
        <w:rPr>
          <w:rFonts w:ascii="Arial" w:hAnsi="Arial"/>
          <w:i/>
          <w:sz w:val="20"/>
        </w:rPr>
        <w:t xml:space="preserve"> e têm obstáculos limitados ao desenvolvimento em termos de tempo, dinheiro e regulamentação. Em segundo lugar, a </w:t>
      </w:r>
      <w:r>
        <w:rPr>
          <w:rFonts w:ascii="Arial" w:hAnsi="Arial"/>
          <w:b/>
          <w:bCs/>
          <w:i/>
          <w:sz w:val="20"/>
        </w:rPr>
        <w:t>patente</w:t>
      </w:r>
      <w:r>
        <w:rPr>
          <w:rFonts w:ascii="Arial" w:hAnsi="Arial"/>
          <w:i/>
          <w:sz w:val="20"/>
        </w:rPr>
        <w:t xml:space="preserve"> precisa ser forte, defensável e executável</w:t>
      </w:r>
      <w:r w:rsidR="008411EA">
        <w:rPr>
          <w:rFonts w:ascii="Arial" w:hAnsi="Arial"/>
          <w:i/>
          <w:sz w:val="20"/>
        </w:rPr>
        <w:t xml:space="preserve">. </w:t>
      </w:r>
      <w:r>
        <w:rPr>
          <w:rFonts w:ascii="Arial" w:hAnsi="Arial"/>
          <w:i/>
          <w:sz w:val="20"/>
        </w:rPr>
        <w:t xml:space="preserve">E terceiro, a invenção deve ter como alvo um </w:t>
      </w:r>
      <w:r>
        <w:rPr>
          <w:rFonts w:ascii="Arial" w:hAnsi="Arial"/>
          <w:b/>
          <w:bCs/>
          <w:i/>
          <w:sz w:val="20"/>
        </w:rPr>
        <w:t>mercado</w:t>
      </w:r>
      <w:r>
        <w:rPr>
          <w:rFonts w:ascii="Arial" w:hAnsi="Arial"/>
          <w:i/>
          <w:sz w:val="20"/>
        </w:rPr>
        <w:t xml:space="preserve"> atraente que possa ser acessado</w:t>
      </w:r>
      <w:r w:rsidR="008411EA">
        <w:rPr>
          <w:rFonts w:ascii="Arial" w:hAnsi="Arial"/>
          <w:i/>
          <w:sz w:val="20"/>
        </w:rPr>
        <w:t xml:space="preserve">. </w:t>
      </w:r>
      <w:r>
        <w:rPr>
          <w:rFonts w:ascii="Arial" w:hAnsi="Arial"/>
          <w:i/>
          <w:sz w:val="20"/>
        </w:rPr>
        <w:t>Um obstáculo em qualquer um desses domínios pode atuar como uma barreira significativa e até mesmo impedir a comercialização”</w:t>
      </w:r>
    </w:p>
    <w:p w14:paraId="23A4239F" w14:textId="77777777" w:rsidR="009A7567" w:rsidRPr="0024467F" w:rsidRDefault="009A7567" w:rsidP="009A7567">
      <w:pPr>
        <w:tabs>
          <w:tab w:val="left" w:pos="851"/>
        </w:tabs>
        <w:spacing w:after="0" w:line="240" w:lineRule="auto"/>
        <w:jc w:val="both"/>
        <w:rPr>
          <w:rFonts w:ascii="Arial" w:hAnsi="Arial" w:cs="Arial"/>
          <w:sz w:val="20"/>
        </w:rPr>
      </w:pPr>
    </w:p>
    <w:p w14:paraId="6AF7541D" w14:textId="190503E9"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 xml:space="preserve">Artigo 8.3.2, </w:t>
      </w:r>
      <w:r>
        <w:rPr>
          <w:rFonts w:ascii="Arial" w:hAnsi="Arial"/>
          <w:b/>
          <w:i/>
          <w:sz w:val="20"/>
        </w:rPr>
        <w:t>Decisão de proteger/comercializar</w:t>
      </w:r>
      <w:r w:rsidRPr="00505BDA">
        <w:rPr>
          <w:rFonts w:ascii="Arial" w:hAnsi="Arial"/>
          <w:bCs/>
          <w:sz w:val="20"/>
        </w:rPr>
        <w:t xml:space="preserve">: </w:t>
      </w:r>
      <w:r>
        <w:rPr>
          <w:rFonts w:ascii="Arial" w:hAnsi="Arial"/>
          <w:sz w:val="20"/>
        </w:rPr>
        <w:t>No caso específico das invenções, a decisão de proteção incluirá uma avaliação do cumprimento dos critérios de patenteabilidade, nomeadamente novidade, inventividade e utilidade</w:t>
      </w:r>
      <w:r w:rsidR="008411EA">
        <w:rPr>
          <w:rFonts w:ascii="Arial" w:hAnsi="Arial"/>
          <w:sz w:val="20"/>
        </w:rPr>
        <w:t xml:space="preserve">. </w:t>
      </w:r>
      <w:r>
        <w:rPr>
          <w:rFonts w:ascii="Arial" w:hAnsi="Arial"/>
          <w:sz w:val="20"/>
        </w:rPr>
        <w:t>Essa avaliação pode revelar que é muito cedo para obter proteção de patente e que a PI deve ser desenvolvida ainda mais, mantendo a confidencialidade para não comprometer o requisito de novidade</w:t>
      </w:r>
      <w:r w:rsidR="008411EA">
        <w:rPr>
          <w:rFonts w:ascii="Arial" w:hAnsi="Arial"/>
          <w:sz w:val="20"/>
        </w:rPr>
        <w:t xml:space="preserve">. </w:t>
      </w:r>
      <w:r>
        <w:rPr>
          <w:rFonts w:ascii="Arial" w:hAnsi="Arial"/>
          <w:sz w:val="20"/>
        </w:rPr>
        <w:t>Na prática, a novidade é uma determinação objetiva e, portanto, pode ser estabelecida relativamente cedo</w:t>
      </w:r>
      <w:r w:rsidR="008411EA">
        <w:rPr>
          <w:rFonts w:ascii="Arial" w:hAnsi="Arial"/>
          <w:sz w:val="20"/>
        </w:rPr>
        <w:t xml:space="preserve">. </w:t>
      </w:r>
      <w:r>
        <w:rPr>
          <w:rFonts w:ascii="Arial" w:hAnsi="Arial"/>
          <w:sz w:val="20"/>
        </w:rPr>
        <w:t>Enquanto isso, a inventividade é subjetiva e pode ser discutida</w:t>
      </w:r>
      <w:r w:rsidR="008411EA">
        <w:rPr>
          <w:rFonts w:ascii="Arial" w:hAnsi="Arial"/>
          <w:sz w:val="20"/>
        </w:rPr>
        <w:t xml:space="preserve">. </w:t>
      </w:r>
      <w:r>
        <w:rPr>
          <w:rFonts w:ascii="Arial" w:hAnsi="Arial"/>
          <w:sz w:val="20"/>
        </w:rPr>
        <w:t>Portanto, se o EGPI estiver confiante de que há novidade e que a invenção é economicamente viável e terá um mercado (pelo menos), então a proteção de patente deve ser buscada.</w:t>
      </w:r>
    </w:p>
    <w:p w14:paraId="2D62D612" w14:textId="77777777" w:rsidR="001B700C" w:rsidRPr="0024467F" w:rsidRDefault="001B700C" w:rsidP="001B700C">
      <w:pPr>
        <w:tabs>
          <w:tab w:val="left" w:pos="851"/>
        </w:tabs>
        <w:spacing w:after="0" w:line="240" w:lineRule="auto"/>
        <w:jc w:val="both"/>
        <w:rPr>
          <w:rFonts w:ascii="Arial" w:hAnsi="Arial" w:cs="Arial"/>
          <w:b/>
          <w:szCs w:val="32"/>
        </w:rPr>
      </w:pPr>
    </w:p>
    <w:p w14:paraId="43BB3BFE" w14:textId="77777777"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32"/>
        </w:rPr>
      </w:pPr>
      <w:bookmarkStart w:id="255" w:name="Box56"/>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255"/>
      <w:r>
        <w:rPr>
          <w:rFonts w:ascii="Arial" w:hAnsi="Arial"/>
          <w:b/>
          <w:sz w:val="20"/>
        </w:rPr>
        <w:t xml:space="preserve"> Considerações sobre se deve ou não Depositar um Pedido de Patente</w:t>
      </w:r>
    </w:p>
    <w:p w14:paraId="00F955BF" w14:textId="77777777" w:rsidR="00425C10" w:rsidRPr="0024467F"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rPr>
      </w:pPr>
    </w:p>
    <w:p w14:paraId="785B2506" w14:textId="77777777" w:rsidR="001B700C"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rPr>
      </w:pPr>
      <w:r>
        <w:rPr>
          <w:rFonts w:ascii="Arial" w:hAnsi="Arial"/>
          <w:sz w:val="20"/>
        </w:rPr>
        <w:t>As considerações típicas incluem:</w:t>
      </w:r>
    </w:p>
    <w:p w14:paraId="5BA85090"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r>
        <w:rPr>
          <w:rFonts w:ascii="Arial" w:hAnsi="Arial"/>
          <w:sz w:val="20"/>
        </w:rPr>
        <w:t>se a invenção é patenteável;</w:t>
      </w:r>
    </w:p>
    <w:p w14:paraId="63279394"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r>
        <w:rPr>
          <w:rFonts w:ascii="Arial" w:hAnsi="Arial"/>
          <w:sz w:val="20"/>
        </w:rPr>
        <w:t>quais são os usos semelhantes da invenção;</w:t>
      </w:r>
    </w:p>
    <w:p w14:paraId="00558ADB"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r>
        <w:rPr>
          <w:rFonts w:ascii="Arial" w:hAnsi="Arial"/>
          <w:sz w:val="20"/>
        </w:rPr>
        <w:t>se uma invenção tem potencial comercial suficiente</w:t>
      </w:r>
      <w:r w:rsidRPr="00FD20EE">
        <w:rPr>
          <w:rStyle w:val="FootnoteReference"/>
          <w:rFonts w:ascii="Arial" w:hAnsi="Arial" w:cs="Arial"/>
          <w:sz w:val="20"/>
          <w:lang w:val="en-US"/>
        </w:rPr>
        <w:footnoteReference w:id="160"/>
      </w:r>
      <w:r>
        <w:rPr>
          <w:rFonts w:ascii="Arial" w:hAnsi="Arial"/>
          <w:sz w:val="20"/>
        </w:rPr>
        <w:t>;</w:t>
      </w:r>
    </w:p>
    <w:p w14:paraId="6CBCB139"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r>
        <w:rPr>
          <w:rFonts w:ascii="Arial" w:hAnsi="Arial"/>
          <w:sz w:val="20"/>
        </w:rPr>
        <w:t xml:space="preserve">se é necessária uma invenção adicional significativa (pesquisa, desenvolvimento, etapas de aprovação regulatória, marketing, etc.); e </w:t>
      </w:r>
    </w:p>
    <w:p w14:paraId="1DE7C45B" w14:textId="77777777" w:rsidR="00EF5739" w:rsidRPr="00FD20EE" w:rsidRDefault="001B700C"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r>
        <w:rPr>
          <w:rFonts w:ascii="Arial" w:hAnsi="Arial"/>
          <w:sz w:val="20"/>
        </w:rPr>
        <w:t>(em algumas instituições) se a invenção é algo sem valor comercial significativo, mas, ainda assim, tem potencial de impacto social por meio de canais não comerciais.</w:t>
      </w:r>
    </w:p>
    <w:p w14:paraId="5F64A774" w14:textId="77777777" w:rsidR="00EF5739" w:rsidRPr="0024467F"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rPr>
      </w:pPr>
    </w:p>
    <w:p w14:paraId="33790986" w14:textId="77777777" w:rsidR="00425C10"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eastAsia="Times New Roman" w:hAnsi="Arial" w:cs="Arial"/>
          <w:sz w:val="20"/>
        </w:rPr>
      </w:pPr>
      <w:r>
        <w:rPr>
          <w:rFonts w:ascii="Arial" w:hAnsi="Arial"/>
          <w:sz w:val="20"/>
        </w:rPr>
        <w:t>Descobertas relacionadas a materiais que não têm valor comercial significativo, mas podem ser úteis em pesquisas não comerciais, às vezes são transferidas de forma não exclusiva para outras partes por meio de acordos de transferência de materiais (ATMs).</w:t>
      </w:r>
      <w:r>
        <w:rPr>
          <w:rStyle w:val="Heading1Char"/>
          <w:sz w:val="20"/>
        </w:rPr>
        <w:t xml:space="preserve"> </w:t>
      </w:r>
      <w:r>
        <w:rPr>
          <w:rFonts w:ascii="Arial" w:hAnsi="Arial"/>
          <w:sz w:val="20"/>
        </w:rPr>
        <w:t xml:space="preserve">Exemplos de descobertas que geralmente se enquadram nos ATMs incluem linhagens celulares, anticorpos monoclonais, reagentes, modelos animais, fatores de crescimento, bibliotecas de ácido desoxirribonucleico (DNA), clones, métodos laboratoriais e alguns softwares de computador. </w:t>
      </w:r>
    </w:p>
    <w:p w14:paraId="456F213C" w14:textId="77777777" w:rsidR="00EF5739" w:rsidRPr="0024467F"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rPr>
      </w:pPr>
    </w:p>
    <w:p w14:paraId="535AE68B" w14:textId="77777777" w:rsidR="00425C10" w:rsidRPr="0024467F" w:rsidRDefault="00425C10" w:rsidP="00425C1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i/>
          <w:sz w:val="16"/>
          <w:szCs w:val="18"/>
          <w:lang w:val="en-US"/>
        </w:rPr>
      </w:pPr>
      <w:r w:rsidRPr="0024467F">
        <w:rPr>
          <w:rFonts w:ascii="Arial" w:hAnsi="Arial"/>
          <w:i/>
          <w:sz w:val="16"/>
          <w:lang w:val="en-US"/>
        </w:rPr>
        <w:t xml:space="preserve">Fonte: Veja Van Norman, G., </w:t>
      </w:r>
      <w:hyperlink r:id="rId130" w:history="1">
        <w:r w:rsidRPr="0024467F">
          <w:rPr>
            <w:rStyle w:val="Hyperlink"/>
            <w:rFonts w:ascii="Arial" w:hAnsi="Arial"/>
            <w:i/>
            <w:sz w:val="16"/>
            <w:lang w:val="en-US"/>
          </w:rPr>
          <w:t>Technology Transfer:</w:t>
        </w:r>
      </w:hyperlink>
      <w:hyperlink r:id="rId131" w:history="1">
        <w:r w:rsidRPr="0024467F">
          <w:rPr>
            <w:rStyle w:val="Hyperlink"/>
            <w:rFonts w:ascii="Arial" w:hAnsi="Arial"/>
            <w:i/>
            <w:sz w:val="16"/>
            <w:lang w:val="en-US"/>
          </w:rPr>
          <w:t xml:space="preserve"> From the Research Bench to Commercialization</w:t>
        </w:r>
      </w:hyperlink>
      <w:r w:rsidRPr="0024467F">
        <w:rPr>
          <w:rFonts w:ascii="Arial" w:hAnsi="Arial"/>
          <w:i/>
          <w:sz w:val="16"/>
          <w:lang w:val="en-US"/>
        </w:rPr>
        <w:t>, Basic to Translational Science, Vol.2, No.2, 2017.</w:t>
      </w:r>
    </w:p>
    <w:p w14:paraId="614B43FA" w14:textId="77777777" w:rsidR="00425C10" w:rsidRPr="00FD20EE" w:rsidRDefault="00425C10" w:rsidP="00425C10">
      <w:pPr>
        <w:pStyle w:val="ListParagraph"/>
        <w:tabs>
          <w:tab w:val="left" w:pos="851"/>
        </w:tabs>
        <w:spacing w:after="0" w:line="240" w:lineRule="auto"/>
        <w:ind w:left="426"/>
        <w:jc w:val="both"/>
        <w:rPr>
          <w:rFonts w:ascii="Arial" w:hAnsi="Arial" w:cs="Arial"/>
          <w:sz w:val="20"/>
          <w:lang w:val="en-US"/>
        </w:rPr>
      </w:pPr>
    </w:p>
    <w:p w14:paraId="1F7BB3BA" w14:textId="15BF52A1"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Artigo 8.3.3,</w:t>
      </w:r>
      <w:r>
        <w:rPr>
          <w:rFonts w:ascii="Arial" w:hAnsi="Arial"/>
          <w:sz w:val="20"/>
        </w:rPr>
        <w:t xml:space="preserve"> </w:t>
      </w:r>
      <w:r>
        <w:rPr>
          <w:rFonts w:ascii="Arial" w:hAnsi="Arial"/>
          <w:b/>
          <w:i/>
          <w:sz w:val="20"/>
        </w:rPr>
        <w:t>O EGPI notificará os Criadores da decisão</w:t>
      </w:r>
      <w:r>
        <w:rPr>
          <w:rFonts w:ascii="Arial" w:hAnsi="Arial"/>
          <w:b/>
          <w:sz w:val="20"/>
        </w:rPr>
        <w:t>.</w:t>
      </w:r>
      <w:r w:rsidRPr="00505BDA">
        <w:rPr>
          <w:rFonts w:ascii="Arial" w:hAnsi="Arial"/>
          <w:bCs/>
          <w:iCs/>
          <w:sz w:val="20"/>
        </w:rPr>
        <w:t xml:space="preserve"> </w:t>
      </w:r>
      <w:r>
        <w:rPr>
          <w:rFonts w:ascii="Arial" w:hAnsi="Arial"/>
          <w:sz w:val="20"/>
        </w:rPr>
        <w:t xml:space="preserve">O EGPI deve simplesmente destacar os pontos importantes que indicam se a divulgação de PI deve ser realizada, suspensa para </w:t>
      </w:r>
      <w:r>
        <w:rPr>
          <w:rFonts w:ascii="Arial" w:hAnsi="Arial"/>
          <w:sz w:val="20"/>
        </w:rPr>
        <w:lastRenderedPageBreak/>
        <w:t>aguardar mais informações ou não realizada</w:t>
      </w:r>
      <w:r w:rsidR="008411EA">
        <w:rPr>
          <w:rFonts w:ascii="Arial" w:hAnsi="Arial"/>
          <w:sz w:val="20"/>
        </w:rPr>
        <w:t xml:space="preserve">. </w:t>
      </w:r>
      <w:r>
        <w:rPr>
          <w:rFonts w:ascii="Arial" w:hAnsi="Arial"/>
          <w:sz w:val="20"/>
        </w:rPr>
        <w:t>O EGPI deve ter cautela, pois, embora os Criadores sejam bem-vindos para fazer contribuições, qualquer decisão final cabe ao EGPI</w:t>
      </w:r>
      <w:r w:rsidR="008411EA">
        <w:rPr>
          <w:rFonts w:ascii="Arial" w:hAnsi="Arial"/>
          <w:sz w:val="20"/>
        </w:rPr>
        <w:t xml:space="preserve">. </w:t>
      </w:r>
      <w:r>
        <w:rPr>
          <w:rFonts w:ascii="Arial" w:hAnsi="Arial"/>
          <w:sz w:val="20"/>
        </w:rPr>
        <w:t>No entanto, é importante garantir a cooperação dos Criadores.</w:t>
      </w:r>
    </w:p>
    <w:p w14:paraId="67AA9B3E" w14:textId="77777777" w:rsidR="007C2E1E" w:rsidRPr="00FD20EE" w:rsidRDefault="007C2E1E" w:rsidP="007C2E1E">
      <w:pPr>
        <w:pStyle w:val="ListParagraph"/>
        <w:tabs>
          <w:tab w:val="left" w:pos="851"/>
        </w:tabs>
        <w:spacing w:after="0" w:line="240" w:lineRule="auto"/>
        <w:ind w:left="426"/>
        <w:jc w:val="both"/>
        <w:rPr>
          <w:rFonts w:ascii="Arial" w:hAnsi="Arial" w:cs="Arial"/>
          <w:lang w:val="en-US"/>
        </w:rPr>
      </w:pPr>
    </w:p>
    <w:p w14:paraId="17128DF7" w14:textId="597C6543" w:rsidR="006C203B" w:rsidRPr="00FD20EE" w:rsidRDefault="00801D1A" w:rsidP="009D4A54">
      <w:pPr>
        <w:pStyle w:val="ListParagraph"/>
        <w:numPr>
          <w:ilvl w:val="0"/>
          <w:numId w:val="19"/>
        </w:numPr>
        <w:spacing w:line="240" w:lineRule="auto"/>
        <w:ind w:left="425" w:hanging="425"/>
        <w:jc w:val="both"/>
        <w:rPr>
          <w:rFonts w:ascii="Arial" w:eastAsia="Times New Roman" w:hAnsi="Arial" w:cs="Arial"/>
          <w:b/>
          <w:sz w:val="20"/>
        </w:rPr>
      </w:pPr>
      <w:r>
        <w:rPr>
          <w:rFonts w:ascii="Arial" w:hAnsi="Arial"/>
          <w:b/>
          <w:sz w:val="20"/>
        </w:rPr>
        <w:t>Artigo 8.3.3,</w:t>
      </w:r>
      <w:r>
        <w:rPr>
          <w:rFonts w:ascii="Arial" w:hAnsi="Arial"/>
          <w:sz w:val="20"/>
        </w:rPr>
        <w:t xml:space="preserve"> </w:t>
      </w:r>
      <w:r>
        <w:rPr>
          <w:rFonts w:ascii="Arial" w:hAnsi="Arial"/>
          <w:b/>
          <w:i/>
          <w:sz w:val="20"/>
        </w:rPr>
        <w:t>No máximo em [geralmente 60-90 dias]</w:t>
      </w:r>
      <w:r w:rsidRPr="00505BDA">
        <w:rPr>
          <w:rFonts w:ascii="Arial" w:hAnsi="Arial"/>
          <w:bCs/>
          <w:sz w:val="20"/>
        </w:rPr>
        <w:t xml:space="preserve">: </w:t>
      </w:r>
      <w:r>
        <w:rPr>
          <w:rFonts w:ascii="Arial" w:hAnsi="Arial"/>
          <w:sz w:val="20"/>
        </w:rPr>
        <w:t>Embora seja essencial que o EGPI atue com razoável rapidez na tomada de decisões sobre qualquer divulgação de PI, pode levar um tempo significativo para coletar, reunir e analisar as informações necessárias para tomar uma decisão informada – o EGPI não deve ser apressado a tomar uma decisão imprudente.</w:t>
      </w:r>
    </w:p>
    <w:p w14:paraId="3DDCFA8C" w14:textId="77777777" w:rsidR="00C42B4A" w:rsidRPr="00C04211" w:rsidRDefault="00C42B4A" w:rsidP="00831449">
      <w:pPr>
        <w:pStyle w:val="Heading3"/>
        <w:spacing w:before="360"/>
        <w:rPr>
          <w:sz w:val="24"/>
        </w:rPr>
      </w:pPr>
      <w:bookmarkStart w:id="256" w:name="_Article_8.4_–"/>
      <w:bookmarkStart w:id="257" w:name="_Toc515566161"/>
      <w:bookmarkStart w:id="258" w:name="_Toc516121324"/>
      <w:bookmarkStart w:id="259" w:name="_Toc516160075"/>
      <w:bookmarkStart w:id="260" w:name="_Toc516219418"/>
      <w:bookmarkStart w:id="261" w:name="_Toc516496062"/>
      <w:bookmarkStart w:id="262" w:name="_Toc516829434"/>
      <w:bookmarkEnd w:id="256"/>
      <w:r>
        <w:rPr>
          <w:sz w:val="24"/>
        </w:rPr>
        <w:t>Artigo 8.4 – A instituição opta por não proteger/Comercializar a PI</w:t>
      </w:r>
      <w:bookmarkEnd w:id="257"/>
      <w:bookmarkEnd w:id="258"/>
      <w:bookmarkEnd w:id="259"/>
      <w:bookmarkEnd w:id="260"/>
      <w:bookmarkEnd w:id="261"/>
      <w:bookmarkEnd w:id="262"/>
    </w:p>
    <w:p w14:paraId="6184A114" w14:textId="7C3BB57F"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rPr>
      </w:pPr>
      <w:r>
        <w:rPr>
          <w:rFonts w:ascii="Arial" w:hAnsi="Arial"/>
          <w:b/>
          <w:color w:val="000000" w:themeColor="text1"/>
          <w:sz w:val="20"/>
        </w:rPr>
        <w:t>Artigo 8.4.1.,</w:t>
      </w:r>
      <w:r>
        <w:rPr>
          <w:rFonts w:ascii="Arial" w:hAnsi="Arial"/>
          <w:b/>
          <w:i/>
          <w:color w:val="000000" w:themeColor="text1"/>
          <w:sz w:val="20"/>
        </w:rPr>
        <w:t xml:space="preserve"> PI abandonada ou não Comercializada</w:t>
      </w:r>
      <w:r w:rsidRPr="00505BDA">
        <w:rPr>
          <w:rFonts w:ascii="Arial" w:hAnsi="Arial"/>
          <w:bCs/>
          <w:iCs/>
          <w:color w:val="000000" w:themeColor="text1"/>
          <w:sz w:val="20"/>
        </w:rPr>
        <w:t>:</w:t>
      </w:r>
      <w:r>
        <w:rPr>
          <w:rFonts w:ascii="Arial" w:hAnsi="Arial"/>
          <w:color w:val="000000" w:themeColor="text1"/>
          <w:sz w:val="20"/>
        </w:rPr>
        <w:t xml:space="preserve"> O EGPI deve fornecer algumas diretrizes aos Criadores de casos em que a Instituição não buscará proteger a PI e/ou não buscará comercializar a PI divulgada</w:t>
      </w:r>
      <w:r w:rsidR="008411EA">
        <w:rPr>
          <w:rFonts w:ascii="Arial" w:hAnsi="Arial"/>
          <w:color w:val="000000" w:themeColor="text1"/>
          <w:sz w:val="20"/>
        </w:rPr>
        <w:t xml:space="preserve">. </w:t>
      </w:r>
      <w:r>
        <w:rPr>
          <w:rFonts w:ascii="Arial" w:hAnsi="Arial"/>
          <w:color w:val="000000" w:themeColor="text1"/>
          <w:sz w:val="20"/>
        </w:rPr>
        <w:t>O raciocínio por trás disso é que o pesquisador raramente é objetivo sobre sua criação e, portanto, pode sentir que o EGPI é obrigado a incluí-la em seu portfólio</w:t>
      </w:r>
      <w:r w:rsidR="008411EA">
        <w:rPr>
          <w:rFonts w:ascii="Arial" w:hAnsi="Arial"/>
          <w:color w:val="000000" w:themeColor="text1"/>
          <w:sz w:val="20"/>
        </w:rPr>
        <w:t xml:space="preserve">. </w:t>
      </w:r>
      <w:r>
        <w:rPr>
          <w:rFonts w:ascii="Arial" w:hAnsi="Arial"/>
          <w:color w:val="000000" w:themeColor="text1"/>
          <w:sz w:val="20"/>
        </w:rPr>
        <w:t>No entanto, muitas vezes há casos em que a divulgação é considerada “não acionável”</w:t>
      </w:r>
      <w:r w:rsidR="008411EA">
        <w:rPr>
          <w:rFonts w:ascii="Arial" w:hAnsi="Arial"/>
          <w:color w:val="000000" w:themeColor="text1"/>
          <w:sz w:val="20"/>
        </w:rPr>
        <w:t xml:space="preserve">. </w:t>
      </w:r>
      <w:r>
        <w:rPr>
          <w:rFonts w:ascii="Arial" w:hAnsi="Arial"/>
          <w:color w:val="000000" w:themeColor="text1"/>
          <w:sz w:val="20"/>
        </w:rPr>
        <w:t>Essas instâncias podem não incluir perspectivas razoáveis para um produto, processo ou serviço comercialmente viável, pesquisas adicionais podem precisar ser feitas, pode não ser do melhor interesse, ou mesmo não ser apropriado, para a Instituição tentar comercializar a tecnologia divulgada, ou como financiamentos públicos foram usados para desenvolver a PI, a comercialização pode não ser do interesse público</w:t>
      </w:r>
      <w:r w:rsidR="008411EA">
        <w:rPr>
          <w:rFonts w:ascii="Arial" w:hAnsi="Arial"/>
          <w:color w:val="000000" w:themeColor="text1"/>
          <w:sz w:val="20"/>
        </w:rPr>
        <w:t xml:space="preserve">. </w:t>
      </w:r>
    </w:p>
    <w:p w14:paraId="38245C66" w14:textId="77777777" w:rsidR="00C42B4A" w:rsidRPr="0024467F" w:rsidRDefault="00C42B4A" w:rsidP="00C42B4A">
      <w:pPr>
        <w:pStyle w:val="ListParagraph"/>
        <w:tabs>
          <w:tab w:val="left" w:pos="567"/>
        </w:tabs>
        <w:spacing w:after="0" w:line="240" w:lineRule="auto"/>
        <w:ind w:left="1985"/>
        <w:jc w:val="both"/>
        <w:rPr>
          <w:rFonts w:ascii="Arial" w:hAnsi="Arial" w:cs="Arial"/>
          <w:sz w:val="20"/>
        </w:rPr>
      </w:pPr>
    </w:p>
    <w:p w14:paraId="65F9909D" w14:textId="57B3ED9D"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szCs w:val="32"/>
        </w:rPr>
      </w:pPr>
      <w:r>
        <w:rPr>
          <w:rFonts w:ascii="Arial" w:hAnsi="Arial"/>
          <w:b/>
          <w:sz w:val="20"/>
        </w:rPr>
        <w:t>Artigo 8.4.2 a 8.4.6</w:t>
      </w:r>
      <w:r>
        <w:rPr>
          <w:rFonts w:ascii="Arial" w:hAnsi="Arial"/>
          <w:b/>
          <w:i/>
          <w:sz w:val="20"/>
        </w:rPr>
        <w:t>, Transferência de Titularidade, notificação por escrito, sem prejuízo da Proteção da PI, cessão e quaisquer termos e condições</w:t>
      </w:r>
      <w:r w:rsidRPr="00505BDA">
        <w:rPr>
          <w:rFonts w:ascii="Arial" w:hAnsi="Arial"/>
          <w:bCs/>
          <w:iCs/>
          <w:sz w:val="20"/>
        </w:rPr>
        <w:t>:</w:t>
      </w:r>
      <w:r>
        <w:rPr>
          <w:rFonts w:ascii="Arial" w:hAnsi="Arial"/>
          <w:sz w:val="20"/>
        </w:rPr>
        <w:t xml:space="preserve"> Se a Instituição decidir não buscar a proteção de PI e/ou Comercialização, é importante garantir que os Criadores ou quaisquer partes externas/patrocinadores tenham a oportunidade de assumir a titularidade</w:t>
      </w:r>
      <w:r w:rsidR="008411EA">
        <w:rPr>
          <w:rFonts w:ascii="Arial" w:hAnsi="Arial"/>
          <w:sz w:val="20"/>
        </w:rPr>
        <w:t xml:space="preserve">. </w:t>
      </w:r>
      <w:r>
        <w:rPr>
          <w:rFonts w:ascii="Arial" w:hAnsi="Arial"/>
          <w:sz w:val="20"/>
        </w:rPr>
        <w:t>Esta decisão deve ser comunicada por escrito aos Criadores ou a quaisquer partes externas/patrocinadores de forma a evitar que quaisquer direitos existentes sejam perdidos</w:t>
      </w:r>
      <w:r w:rsidR="008411EA">
        <w:rPr>
          <w:rFonts w:ascii="Arial" w:hAnsi="Arial"/>
          <w:sz w:val="20"/>
        </w:rPr>
        <w:t xml:space="preserve">. </w:t>
      </w:r>
      <w:r>
        <w:rPr>
          <w:rFonts w:ascii="Arial" w:hAnsi="Arial"/>
          <w:sz w:val="20"/>
        </w:rPr>
        <w:t>Para que os Criadores e/ou partes externas/patrocinadores continuem a processar a PI, eles precisarão fazê-lo em seu próprio nome e, portanto, a Instituição deve transferir seus direitos de titularidade por meio de uma Escritura de Cessão</w:t>
      </w:r>
      <w:r w:rsidR="008411EA">
        <w:rPr>
          <w:rFonts w:ascii="Arial" w:hAnsi="Arial"/>
          <w:sz w:val="20"/>
        </w:rPr>
        <w:t xml:space="preserve">. </w:t>
      </w:r>
      <w:r>
        <w:rPr>
          <w:rFonts w:ascii="Arial" w:hAnsi="Arial"/>
          <w:sz w:val="20"/>
        </w:rPr>
        <w:t>Como esse acordo é feito em termos mutuamente aceitáveis, quaisquer direitos e/ou benefícios contínuos para a Instituição podem ser acordados entre as partes</w:t>
      </w:r>
      <w:r w:rsidR="008411EA">
        <w:rPr>
          <w:rFonts w:ascii="Arial" w:hAnsi="Arial"/>
          <w:sz w:val="20"/>
        </w:rPr>
        <w:t xml:space="preserve">. </w:t>
      </w:r>
      <w:r>
        <w:rPr>
          <w:rFonts w:ascii="Arial" w:hAnsi="Arial"/>
          <w:sz w:val="20"/>
        </w:rPr>
        <w:t>Normalmente, a Instituição é incentivada a buscar uma licença não exclusiva e isenta de royalties para usar a PI para pesquisa e desenvolvimento em andamento.</w:t>
      </w:r>
    </w:p>
    <w:p w14:paraId="322DD5E4" w14:textId="77777777" w:rsidR="00C42B4A" w:rsidRPr="0024467F" w:rsidRDefault="00C42B4A" w:rsidP="00F77A00">
      <w:pPr>
        <w:tabs>
          <w:tab w:val="left" w:pos="851"/>
        </w:tabs>
        <w:spacing w:after="0" w:line="240" w:lineRule="auto"/>
        <w:jc w:val="both"/>
        <w:rPr>
          <w:rFonts w:ascii="Arial" w:hAnsi="Arial" w:cs="Arial"/>
          <w:b/>
          <w:color w:val="0070C0"/>
          <w:sz w:val="20"/>
        </w:rPr>
      </w:pPr>
    </w:p>
    <w:p w14:paraId="23735329" w14:textId="4E646144"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Dicas – Boas Práticas de Divulgação de PI/Invenção</w:t>
      </w:r>
    </w:p>
    <w:p w14:paraId="1A4A22BD" w14:textId="77777777" w:rsidR="00632909" w:rsidRPr="0024467F"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rPr>
      </w:pPr>
    </w:p>
    <w:p w14:paraId="29237425"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rPr>
      </w:pPr>
      <w:bookmarkStart w:id="263" w:name="management"/>
      <w:bookmarkStart w:id="264" w:name="scientists"/>
      <w:bookmarkEnd w:id="263"/>
      <w:bookmarkEnd w:id="264"/>
      <w:r>
        <w:rPr>
          <w:rFonts w:ascii="Arial" w:hAnsi="Arial"/>
          <w:color w:val="0070C0"/>
          <w:sz w:val="20"/>
        </w:rPr>
        <w:t xml:space="preserve">Para Pesquisadores </w:t>
      </w:r>
    </w:p>
    <w:p w14:paraId="502B6DDB"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Saiba o que é uma invenção e quando você deve informar ao EGPI que uma divulgação de invenção deve ser feita. Você tem muito mais invenções do que imagina.</w:t>
      </w:r>
    </w:p>
    <w:p w14:paraId="2D22502A"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As divulgações de invenções ajudam a proteger invenções/criações feitas em seu laboratório porque eles registram a data em que as invenções/criações foram criadas e estabelecem a autoria da invenção/criação.</w:t>
      </w:r>
    </w:p>
    <w:p w14:paraId="186A1A6D" w14:textId="77777777" w:rsidR="00793C0C" w:rsidRPr="00FD20EE" w:rsidRDefault="00793C0C"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Para evitar a potencial publicação indesejada de uma invenção antes do depósito de um pedido de patente, todas as divulgações de PI devem ser enviadas confidencialmente.</w:t>
      </w:r>
    </w:p>
    <w:p w14:paraId="39847FCB"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Seu EGPI pode informá-lo sobre as políticas da sua instituição em relação à divulgação de invenções e fornecer formulários de divulgação de invenções.</w:t>
      </w:r>
    </w:p>
    <w:p w14:paraId="2B27716E" w14:textId="77777777" w:rsidR="00632909" w:rsidRPr="00FD20EE"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rPr>
      </w:pPr>
      <w:bookmarkStart w:id="265" w:name="tech"/>
      <w:bookmarkEnd w:id="265"/>
    </w:p>
    <w:p w14:paraId="233744E8"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rPr>
      </w:pPr>
      <w:r>
        <w:rPr>
          <w:rFonts w:ascii="Arial" w:hAnsi="Arial"/>
          <w:color w:val="0070C0"/>
          <w:sz w:val="20"/>
        </w:rPr>
        <w:t xml:space="preserve">Para Funcionários do EGPI </w:t>
      </w:r>
    </w:p>
    <w:p w14:paraId="1A5B37C0"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Uma maneira de avaliar a eficácia da transferência de tecnologia na instituição é monitorar o número de divulgações de PI depositadas em seu escritório.</w:t>
      </w:r>
    </w:p>
    <w:p w14:paraId="38766E75"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Mantenha um sistema de depósito para divulgações de PI e controle seus depósitos para que você possa determinar quando ou se os pedidos de patente (ou outra PI) devem ser depositados para invenções/criações específicas.</w:t>
      </w:r>
    </w:p>
    <w:p w14:paraId="327850B4" w14:textId="77777777" w:rsidR="003351F2" w:rsidRPr="00FD20EE" w:rsidRDefault="003351F2"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Preste muita atenção a cada divulgação de PI, independentemente do seu conteúdo.</w:t>
      </w:r>
    </w:p>
    <w:p w14:paraId="4CBCC6D5"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As divulgações de invenções podem ser usadas para desenvolver portfólios de patentes.</w:t>
      </w:r>
    </w:p>
    <w:p w14:paraId="0124B120"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t>As divulgações de invenções podem ser usadas para preparar pedidos de patentes de alta qualidade.</w:t>
      </w:r>
    </w:p>
    <w:p w14:paraId="77ABC0A2"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rPr>
      </w:pPr>
      <w:r>
        <w:rPr>
          <w:rFonts w:ascii="Arial" w:hAnsi="Arial"/>
          <w:sz w:val="20"/>
        </w:rPr>
        <w:lastRenderedPageBreak/>
        <w:t>Realize sessões de treinamento obrigatórias sobre divulgação de PI adequada.</w:t>
      </w:r>
    </w:p>
    <w:p w14:paraId="130A06E9" w14:textId="77777777" w:rsidR="00C42B4A" w:rsidRPr="0024467F"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rPr>
      </w:pPr>
    </w:p>
    <w:p w14:paraId="02B7C1A2" w14:textId="77777777" w:rsidR="00632909" w:rsidRPr="0024467F" w:rsidRDefault="00793C0C"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i/>
          <w:sz w:val="20"/>
          <w:szCs w:val="32"/>
          <w:lang w:val="en-US"/>
        </w:rPr>
      </w:pPr>
      <w:r w:rsidRPr="0024467F">
        <w:rPr>
          <w:rFonts w:ascii="Arial" w:hAnsi="Arial"/>
          <w:i/>
          <w:sz w:val="20"/>
          <w:lang w:val="en-US"/>
        </w:rPr>
        <w:t>Veja também:</w:t>
      </w:r>
      <w:r w:rsidRPr="00505BDA">
        <w:rPr>
          <w:rFonts w:ascii="Arial" w:hAnsi="Arial"/>
          <w:bCs/>
          <w:sz w:val="20"/>
          <w:lang w:val="en-US"/>
        </w:rPr>
        <w:t xml:space="preserve"> </w:t>
      </w:r>
      <w:r w:rsidRPr="0024467F">
        <w:rPr>
          <w:rFonts w:ascii="Arial" w:hAnsi="Arial"/>
          <w:i/>
          <w:sz w:val="20"/>
          <w:lang w:val="en-US"/>
        </w:rPr>
        <w:t xml:space="preserve">A. Krattiger et al. </w:t>
      </w:r>
      <w:hyperlink r:id="rId132" w:history="1">
        <w:r w:rsidRPr="0024467F">
          <w:rPr>
            <w:rStyle w:val="Hyperlink"/>
            <w:rFonts w:ascii="Arial" w:hAnsi="Arial"/>
            <w:i/>
            <w:sz w:val="20"/>
            <w:lang w:val="en-US"/>
          </w:rPr>
          <w:t>Sharing the Art of IP Management</w:t>
        </w:r>
      </w:hyperlink>
      <w:r w:rsidRPr="0024467F">
        <w:rPr>
          <w:rFonts w:ascii="Arial" w:hAnsi="Arial"/>
          <w:i/>
          <w:sz w:val="20"/>
          <w:lang w:val="en-US"/>
        </w:rPr>
        <w:t xml:space="preserve"> (2007)</w:t>
      </w:r>
    </w:p>
    <w:p w14:paraId="5E8C250A" w14:textId="77777777" w:rsidR="00C42B4A" w:rsidRPr="00FD20EE" w:rsidRDefault="00C42B4A" w:rsidP="00F77A00">
      <w:pPr>
        <w:tabs>
          <w:tab w:val="left" w:pos="851"/>
        </w:tabs>
        <w:spacing w:after="0" w:line="240" w:lineRule="auto"/>
        <w:jc w:val="both"/>
        <w:rPr>
          <w:rFonts w:ascii="Arial" w:hAnsi="Arial" w:cs="Arial"/>
          <w:b/>
          <w:color w:val="0070C0"/>
          <w:sz w:val="20"/>
          <w:lang w:val="en-US"/>
        </w:rPr>
      </w:pPr>
    </w:p>
    <w:p w14:paraId="4175CB86" w14:textId="77777777" w:rsidR="00C42B4A" w:rsidRPr="00FD20EE" w:rsidRDefault="00C42B4A" w:rsidP="007874CF">
      <w:pPr>
        <w:pStyle w:val="Heading3"/>
        <w:spacing w:before="360"/>
        <w:rPr>
          <w:sz w:val="24"/>
        </w:rPr>
      </w:pPr>
      <w:bookmarkStart w:id="266" w:name="_Useful_References_to"/>
      <w:bookmarkStart w:id="267" w:name="_Toc516219419"/>
      <w:bookmarkStart w:id="268" w:name="_Toc516496063"/>
      <w:bookmarkStart w:id="269" w:name="_Toc516829435"/>
      <w:bookmarkEnd w:id="266"/>
      <w:r>
        <w:rPr>
          <w:sz w:val="24"/>
        </w:rPr>
        <w:t>Recursos Úteis Relacionados ao Artigo 8</w:t>
      </w:r>
      <w:bookmarkEnd w:id="267"/>
      <w:bookmarkEnd w:id="268"/>
      <w:bookmarkEnd w:id="269"/>
    </w:p>
    <w:p w14:paraId="5F0DAAD2" w14:textId="77777777" w:rsidR="00C40775" w:rsidRPr="00FD20EE" w:rsidRDefault="00C40775" w:rsidP="009D4A54">
      <w:pPr>
        <w:pStyle w:val="ListParagraph"/>
        <w:numPr>
          <w:ilvl w:val="0"/>
          <w:numId w:val="133"/>
        </w:numPr>
        <w:tabs>
          <w:tab w:val="left" w:pos="851"/>
        </w:tabs>
        <w:spacing w:after="0" w:line="240" w:lineRule="auto"/>
        <w:ind w:left="426" w:hanging="426"/>
        <w:jc w:val="both"/>
        <w:rPr>
          <w:rFonts w:ascii="Arial" w:hAnsi="Arial" w:cs="Arial"/>
          <w:b/>
          <w:sz w:val="20"/>
        </w:rPr>
      </w:pPr>
      <w:r>
        <w:rPr>
          <w:rFonts w:ascii="Arial" w:hAnsi="Arial"/>
          <w:b/>
          <w:sz w:val="20"/>
        </w:rPr>
        <w:t>Gestão de PI, comercialização de PI e transferência de conhecimento em Universidades e instituições de pesquisa</w:t>
      </w:r>
    </w:p>
    <w:p w14:paraId="2A5F1DA5" w14:textId="77777777" w:rsidR="00C40775" w:rsidRPr="00FD20EE" w:rsidRDefault="00C40775" w:rsidP="00C40775">
      <w:pPr>
        <w:pStyle w:val="ListParagraph"/>
        <w:tabs>
          <w:tab w:val="left" w:pos="851"/>
        </w:tabs>
        <w:spacing w:after="0" w:line="240" w:lineRule="auto"/>
        <w:ind w:left="851" w:hanging="425"/>
        <w:jc w:val="both"/>
        <w:rPr>
          <w:rFonts w:ascii="Arial" w:hAnsi="Arial" w:cs="Arial"/>
          <w:sz w:val="20"/>
        </w:rPr>
      </w:pPr>
      <w:r>
        <w:rPr>
          <w:rFonts w:ascii="Arial" w:hAnsi="Arial"/>
          <w:sz w:val="20"/>
        </w:rPr>
        <w:t>-</w:t>
      </w:r>
      <w:r>
        <w:rPr>
          <w:rFonts w:ascii="Arial" w:hAnsi="Arial"/>
          <w:sz w:val="20"/>
        </w:rPr>
        <w:tab/>
        <w:t xml:space="preserve">Veja abaixo </w:t>
      </w:r>
      <w:hyperlink w:anchor="_Useful_Resources_Related_1" w:history="1">
        <w:r>
          <w:rPr>
            <w:rStyle w:val="Hyperlink"/>
            <w:rFonts w:ascii="Arial" w:hAnsi="Arial"/>
            <w:sz w:val="20"/>
          </w:rPr>
          <w:t>Recursos Úteis Relacionados ao Artigo 4</w:t>
        </w:r>
      </w:hyperlink>
      <w:r>
        <w:rPr>
          <w:rFonts w:ascii="Arial" w:hAnsi="Arial"/>
          <w:sz w:val="20"/>
        </w:rPr>
        <w:t>.</w:t>
      </w:r>
    </w:p>
    <w:p w14:paraId="1E01173D" w14:textId="77777777" w:rsidR="00C40775" w:rsidRPr="0024467F" w:rsidRDefault="00C40775" w:rsidP="00C40775">
      <w:pPr>
        <w:pStyle w:val="ListParagraph"/>
        <w:tabs>
          <w:tab w:val="left" w:pos="851"/>
        </w:tabs>
        <w:spacing w:after="0" w:line="240" w:lineRule="auto"/>
        <w:ind w:left="851" w:hanging="425"/>
        <w:jc w:val="both"/>
        <w:rPr>
          <w:rFonts w:ascii="Arial" w:hAnsi="Arial" w:cs="Arial"/>
          <w:sz w:val="20"/>
        </w:rPr>
      </w:pPr>
    </w:p>
    <w:p w14:paraId="2AE53FE6" w14:textId="77777777" w:rsidR="007F0AC2" w:rsidRPr="0024467F" w:rsidRDefault="007F0AC2" w:rsidP="00C40775">
      <w:pPr>
        <w:pStyle w:val="ListParagraph"/>
        <w:tabs>
          <w:tab w:val="left" w:pos="851"/>
        </w:tabs>
        <w:spacing w:after="0" w:line="240" w:lineRule="auto"/>
        <w:ind w:left="851" w:hanging="425"/>
        <w:jc w:val="both"/>
        <w:rPr>
          <w:rFonts w:ascii="Arial" w:hAnsi="Arial" w:cs="Arial"/>
          <w:sz w:val="20"/>
        </w:rPr>
      </w:pPr>
    </w:p>
    <w:p w14:paraId="37D131FF" w14:textId="77777777" w:rsidR="00C42B4A" w:rsidRPr="00FD20EE" w:rsidRDefault="00C42B4A" w:rsidP="009D4A54">
      <w:pPr>
        <w:pStyle w:val="ListParagraph"/>
        <w:numPr>
          <w:ilvl w:val="0"/>
          <w:numId w:val="133"/>
        </w:numPr>
        <w:tabs>
          <w:tab w:val="left" w:pos="851"/>
        </w:tabs>
        <w:spacing w:after="0" w:line="240" w:lineRule="auto"/>
        <w:ind w:left="426" w:hanging="426"/>
        <w:jc w:val="both"/>
        <w:rPr>
          <w:rFonts w:ascii="Arial" w:hAnsi="Arial" w:cs="Arial"/>
          <w:b/>
          <w:sz w:val="20"/>
        </w:rPr>
      </w:pPr>
      <w:r>
        <w:rPr>
          <w:rFonts w:ascii="Arial" w:hAnsi="Arial"/>
          <w:b/>
          <w:sz w:val="20"/>
        </w:rPr>
        <w:t>Manutenção de registros:</w:t>
      </w:r>
    </w:p>
    <w:p w14:paraId="6F77DC80" w14:textId="77777777" w:rsidR="003B3199" w:rsidRPr="00FD20EE" w:rsidRDefault="00AD4E99" w:rsidP="009D4A54">
      <w:pPr>
        <w:pStyle w:val="ListParagraph"/>
        <w:numPr>
          <w:ilvl w:val="0"/>
          <w:numId w:val="152"/>
        </w:numPr>
        <w:tabs>
          <w:tab w:val="left" w:pos="851"/>
        </w:tabs>
        <w:spacing w:after="0" w:line="240" w:lineRule="auto"/>
        <w:jc w:val="both"/>
        <w:rPr>
          <w:rFonts w:ascii="Arial" w:hAnsi="Arial" w:cs="Arial"/>
          <w:sz w:val="20"/>
        </w:rPr>
      </w:pPr>
      <w:r>
        <w:rPr>
          <w:rFonts w:ascii="Arial" w:hAnsi="Arial"/>
          <w:sz w:val="20"/>
        </w:rPr>
        <w:t xml:space="preserve">Para diretrizes de boas práticas para assistência em relação à manutenção de registros e cadernos de laboratório: </w:t>
      </w:r>
    </w:p>
    <w:p w14:paraId="645304AC" w14:textId="77777777" w:rsidR="003B3199" w:rsidRPr="0024467F" w:rsidRDefault="00F265CB" w:rsidP="009D4A54">
      <w:pPr>
        <w:pStyle w:val="ListParagraph"/>
        <w:numPr>
          <w:ilvl w:val="1"/>
          <w:numId w:val="152"/>
        </w:numPr>
        <w:tabs>
          <w:tab w:val="left" w:pos="851"/>
        </w:tabs>
        <w:spacing w:after="0" w:line="240" w:lineRule="auto"/>
        <w:jc w:val="both"/>
        <w:rPr>
          <w:rFonts w:ascii="Arial" w:hAnsi="Arial" w:cs="Arial"/>
          <w:sz w:val="20"/>
          <w:lang w:val="en-US"/>
        </w:rPr>
      </w:pPr>
      <w:hyperlink r:id="rId133" w:history="1">
        <w:r w:rsidR="00372C70" w:rsidRPr="0024467F">
          <w:rPr>
            <w:rStyle w:val="Hyperlink"/>
            <w:rFonts w:ascii="Arial" w:hAnsi="Arial"/>
            <w:sz w:val="20"/>
            <w:lang w:val="en-US"/>
          </w:rPr>
          <w:t>National Code of Practice for Managing Intellectual Property from Publicly Funded Research</w:t>
        </w:r>
      </w:hyperlink>
      <w:r w:rsidR="00372C70" w:rsidRPr="0024467F">
        <w:rPr>
          <w:rFonts w:ascii="Arial" w:hAnsi="Arial"/>
          <w:sz w:val="20"/>
          <w:lang w:val="en-US"/>
        </w:rPr>
        <w:t>, Irish Council for Science, Technology and Innovation (ICSTI) (2004), p40</w:t>
      </w:r>
    </w:p>
    <w:p w14:paraId="5FE72328" w14:textId="77777777" w:rsidR="00632909" w:rsidRPr="0024467F" w:rsidRDefault="00632909" w:rsidP="009D4A54">
      <w:pPr>
        <w:pStyle w:val="ListParagraph"/>
        <w:numPr>
          <w:ilvl w:val="1"/>
          <w:numId w:val="152"/>
        </w:numPr>
        <w:tabs>
          <w:tab w:val="left" w:pos="851"/>
        </w:tabs>
        <w:spacing w:after="0" w:line="240" w:lineRule="auto"/>
        <w:jc w:val="both"/>
        <w:rPr>
          <w:rFonts w:ascii="Arial" w:hAnsi="Arial" w:cs="Arial"/>
          <w:sz w:val="20"/>
          <w:lang w:val="en-US"/>
        </w:rPr>
      </w:pPr>
      <w:r w:rsidRPr="0024467F">
        <w:rPr>
          <w:rFonts w:ascii="Arial" w:hAnsi="Arial"/>
          <w:sz w:val="20"/>
          <w:lang w:val="en-US"/>
        </w:rPr>
        <w:t xml:space="preserve">Schreier, A., Wilson, K. e Resnik, D., </w:t>
      </w:r>
      <w:hyperlink r:id="rId134" w:history="1">
        <w:r w:rsidRPr="0024467F">
          <w:rPr>
            <w:rStyle w:val="Hyperlink"/>
            <w:rFonts w:ascii="Arial" w:hAnsi="Arial"/>
            <w:i/>
            <w:sz w:val="20"/>
            <w:lang w:val="en-US"/>
          </w:rPr>
          <w:t>Academic Research Record-Keeping:</w:t>
        </w:r>
      </w:hyperlink>
      <w:hyperlink r:id="rId135" w:history="1">
        <w:r w:rsidRPr="0024467F">
          <w:rPr>
            <w:rStyle w:val="Hyperlink"/>
            <w:rFonts w:ascii="Arial" w:hAnsi="Arial"/>
            <w:i/>
            <w:sz w:val="20"/>
            <w:lang w:val="en-US"/>
          </w:rPr>
          <w:t xml:space="preserve"> Best Practices for Individuals, Group Leaders, and Institutions</w:t>
        </w:r>
      </w:hyperlink>
    </w:p>
    <w:p w14:paraId="413CAC38" w14:textId="77777777" w:rsidR="00AD4E99" w:rsidRPr="00FD20EE" w:rsidRDefault="00AD4E99" w:rsidP="009D4A54">
      <w:pPr>
        <w:pStyle w:val="ListParagraph"/>
        <w:numPr>
          <w:ilvl w:val="0"/>
          <w:numId w:val="152"/>
        </w:numPr>
        <w:tabs>
          <w:tab w:val="left" w:pos="851"/>
        </w:tabs>
        <w:spacing w:after="0" w:line="240" w:lineRule="auto"/>
        <w:jc w:val="both"/>
        <w:rPr>
          <w:rFonts w:ascii="Arial" w:hAnsi="Arial" w:cs="Arial"/>
          <w:sz w:val="20"/>
        </w:rPr>
      </w:pPr>
      <w:r>
        <w:rPr>
          <w:rFonts w:ascii="Arial" w:hAnsi="Arial"/>
          <w:sz w:val="20"/>
        </w:rPr>
        <w:t>Exemplos de instituições que fornecem políticas ou diretrizes de manutenção de registros:</w:t>
      </w:r>
    </w:p>
    <w:p w14:paraId="4FA7AF64" w14:textId="77777777" w:rsidR="00AD4E99"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36" w:history="1">
        <w:r w:rsidR="00372C70">
          <w:rPr>
            <w:rStyle w:val="Hyperlink"/>
            <w:rFonts w:ascii="Arial" w:hAnsi="Arial"/>
            <w:sz w:val="20"/>
          </w:rPr>
          <w:t>Universidade de Sydney</w:t>
        </w:r>
      </w:hyperlink>
    </w:p>
    <w:p w14:paraId="6F00815E" w14:textId="77777777" w:rsidR="00C2732D"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37" w:history="1">
        <w:r w:rsidR="00372C70">
          <w:rPr>
            <w:rStyle w:val="Hyperlink"/>
            <w:rFonts w:ascii="Arial" w:hAnsi="Arial"/>
            <w:sz w:val="20"/>
          </w:rPr>
          <w:t>Universidade Tufts</w:t>
        </w:r>
      </w:hyperlink>
    </w:p>
    <w:p w14:paraId="016FDE86" w14:textId="77777777" w:rsidR="00C2732D"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38" w:history="1">
        <w:r w:rsidR="00372C70">
          <w:rPr>
            <w:rStyle w:val="Hyperlink"/>
            <w:rFonts w:ascii="Arial" w:hAnsi="Arial"/>
            <w:sz w:val="20"/>
          </w:rPr>
          <w:t>Universidade de Londres</w:t>
        </w:r>
      </w:hyperlink>
    </w:p>
    <w:p w14:paraId="3BB87965" w14:textId="77777777" w:rsidR="00C2732D"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39" w:history="1">
        <w:r w:rsidR="00372C70">
          <w:rPr>
            <w:rStyle w:val="Hyperlink"/>
            <w:rFonts w:ascii="Arial" w:hAnsi="Arial"/>
            <w:sz w:val="20"/>
          </w:rPr>
          <w:t>Universidade de Massey</w:t>
        </w:r>
      </w:hyperlink>
    </w:p>
    <w:p w14:paraId="2F15F2CF" w14:textId="77777777" w:rsidR="00C2732D"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40" w:history="1">
        <w:r w:rsidR="00372C70">
          <w:rPr>
            <w:rStyle w:val="Hyperlink"/>
            <w:rFonts w:ascii="Arial" w:hAnsi="Arial"/>
            <w:sz w:val="20"/>
          </w:rPr>
          <w:t>Universidade de Syracuse</w:t>
        </w:r>
      </w:hyperlink>
    </w:p>
    <w:p w14:paraId="7810A957" w14:textId="77777777" w:rsidR="00C2732D" w:rsidRPr="00FD20EE" w:rsidRDefault="00F265CB" w:rsidP="009D4A54">
      <w:pPr>
        <w:pStyle w:val="ListParagraph"/>
        <w:numPr>
          <w:ilvl w:val="1"/>
          <w:numId w:val="152"/>
        </w:numPr>
        <w:tabs>
          <w:tab w:val="left" w:pos="851"/>
        </w:tabs>
        <w:spacing w:after="0" w:line="240" w:lineRule="auto"/>
        <w:jc w:val="both"/>
        <w:rPr>
          <w:rFonts w:ascii="Arial" w:hAnsi="Arial" w:cs="Arial"/>
          <w:sz w:val="20"/>
        </w:rPr>
      </w:pPr>
      <w:hyperlink r:id="rId141" w:history="1">
        <w:r w:rsidR="00372C70">
          <w:rPr>
            <w:rStyle w:val="Hyperlink"/>
            <w:rFonts w:ascii="Arial" w:hAnsi="Arial"/>
            <w:sz w:val="20"/>
          </w:rPr>
          <w:t>Universidade da Tasmânia</w:t>
        </w:r>
      </w:hyperlink>
    </w:p>
    <w:p w14:paraId="323D6D03" w14:textId="77777777" w:rsidR="00AD4E99" w:rsidRPr="00FD20EE" w:rsidRDefault="00AD4E99" w:rsidP="00AD4E99">
      <w:pPr>
        <w:pStyle w:val="ListParagraph"/>
        <w:tabs>
          <w:tab w:val="left" w:pos="851"/>
        </w:tabs>
        <w:spacing w:after="0" w:line="240" w:lineRule="auto"/>
        <w:jc w:val="both"/>
        <w:rPr>
          <w:rFonts w:ascii="Arial" w:hAnsi="Arial" w:cs="Arial"/>
          <w:sz w:val="20"/>
          <w:lang w:val="en-US"/>
        </w:rPr>
      </w:pPr>
    </w:p>
    <w:p w14:paraId="798BD00C" w14:textId="68F8A82B" w:rsidR="00C42B4A" w:rsidRPr="00FD20EE" w:rsidRDefault="003351F2" w:rsidP="009D4A54">
      <w:pPr>
        <w:pStyle w:val="ListParagraph"/>
        <w:numPr>
          <w:ilvl w:val="0"/>
          <w:numId w:val="133"/>
        </w:numPr>
        <w:tabs>
          <w:tab w:val="left" w:pos="851"/>
        </w:tabs>
        <w:spacing w:after="0" w:line="240" w:lineRule="auto"/>
        <w:ind w:left="426" w:hanging="426"/>
        <w:jc w:val="both"/>
        <w:rPr>
          <w:rFonts w:ascii="Arial" w:hAnsi="Arial" w:cs="Arial"/>
          <w:b/>
          <w:sz w:val="20"/>
        </w:rPr>
      </w:pPr>
      <w:r>
        <w:rPr>
          <w:rFonts w:ascii="Arial" w:hAnsi="Arial"/>
          <w:b/>
          <w:sz w:val="20"/>
        </w:rPr>
        <w:t>Divulgação da PI:</w:t>
      </w:r>
    </w:p>
    <w:p w14:paraId="03B952E6" w14:textId="77777777" w:rsidR="00C42B4A" w:rsidRPr="00505BDA" w:rsidRDefault="003351F2" w:rsidP="009D4A54">
      <w:pPr>
        <w:pStyle w:val="ListParagraph"/>
        <w:numPr>
          <w:ilvl w:val="0"/>
          <w:numId w:val="151"/>
        </w:numPr>
        <w:tabs>
          <w:tab w:val="left" w:pos="851"/>
        </w:tabs>
        <w:spacing w:after="0" w:line="240" w:lineRule="auto"/>
        <w:jc w:val="both"/>
        <w:rPr>
          <w:rStyle w:val="Hyperlink"/>
          <w:rFonts w:ascii="Arial" w:hAnsi="Arial" w:cs="Arial"/>
          <w:b/>
          <w:color w:val="auto"/>
          <w:u w:val="none"/>
          <w:lang w:val="en-US"/>
        </w:rPr>
      </w:pPr>
      <w:r w:rsidRPr="0024467F">
        <w:rPr>
          <w:rFonts w:ascii="Arial" w:hAnsi="Arial"/>
          <w:sz w:val="20"/>
          <w:lang w:val="en-US"/>
        </w:rPr>
        <w:t xml:space="preserve">McGee, D., </w:t>
      </w:r>
      <w:r w:rsidRPr="0024467F">
        <w:rPr>
          <w:rFonts w:ascii="Arial" w:hAnsi="Arial"/>
          <w:i/>
          <w:sz w:val="20"/>
          <w:lang w:val="en-US"/>
        </w:rPr>
        <w:t>Invention Disclosures and the Role of Inventors</w:t>
      </w:r>
      <w:r w:rsidRPr="0024467F">
        <w:rPr>
          <w:rFonts w:ascii="Arial" w:hAnsi="Arial"/>
          <w:sz w:val="20"/>
          <w:lang w:val="en-US"/>
        </w:rPr>
        <w:t xml:space="preserve">, In Intellectual Property Management in Health and Agricultural Innovation: A Handbook of Best Practices. </w:t>
      </w:r>
      <w:r w:rsidRPr="00505BDA">
        <w:rPr>
          <w:rFonts w:ascii="Arial" w:hAnsi="Arial"/>
          <w:sz w:val="20"/>
          <w:lang w:val="en-US"/>
        </w:rPr>
        <w:t>Disponível online em</w:t>
      </w:r>
      <w:r w:rsidRPr="00505BDA">
        <w:rPr>
          <w:sz w:val="18"/>
          <w:lang w:val="en-US"/>
        </w:rPr>
        <w:t xml:space="preserve"> </w:t>
      </w:r>
      <w:hyperlink r:id="rId142" w:history="1">
        <w:r w:rsidRPr="00505BDA">
          <w:rPr>
            <w:rStyle w:val="Hyperlink"/>
            <w:rFonts w:ascii="Arial" w:hAnsi="Arial"/>
            <w:sz w:val="20"/>
            <w:lang w:val="en-US"/>
          </w:rPr>
          <w:t>www.ipHandbook.org</w:t>
        </w:r>
      </w:hyperlink>
      <w:r w:rsidRPr="00505BDA">
        <w:rPr>
          <w:rFonts w:ascii="Arial" w:hAnsi="Arial"/>
          <w:sz w:val="20"/>
          <w:lang w:val="en-US"/>
        </w:rPr>
        <w:t>.</w:t>
      </w:r>
    </w:p>
    <w:p w14:paraId="77AE02D0" w14:textId="77777777" w:rsidR="003351F2" w:rsidRPr="00FD20EE" w:rsidRDefault="003351F2" w:rsidP="009D4A54">
      <w:pPr>
        <w:pStyle w:val="ListParagraph"/>
        <w:numPr>
          <w:ilvl w:val="0"/>
          <w:numId w:val="151"/>
        </w:numPr>
        <w:tabs>
          <w:tab w:val="left" w:pos="851"/>
        </w:tabs>
        <w:spacing w:after="0" w:line="240" w:lineRule="auto"/>
        <w:jc w:val="both"/>
        <w:rPr>
          <w:rFonts w:ascii="Arial" w:hAnsi="Arial" w:cs="Arial"/>
          <w:b/>
        </w:rPr>
      </w:pPr>
      <w:r>
        <w:rPr>
          <w:rStyle w:val="Hyperlink"/>
          <w:rFonts w:ascii="Arial" w:hAnsi="Arial"/>
          <w:color w:val="auto"/>
          <w:sz w:val="20"/>
          <w:u w:val="none"/>
        </w:rPr>
        <w:t xml:space="preserve">Exemplos de Formulários de Divulgação de PI podem ser facilmente obtidos na internet por qualquer mecanismo de busca. </w:t>
      </w:r>
      <w:r>
        <w:rPr>
          <w:rFonts w:ascii="Arial" w:hAnsi="Arial"/>
          <w:sz w:val="20"/>
        </w:rPr>
        <w:t xml:space="preserve">McGee, D., </w:t>
      </w:r>
      <w:r>
        <w:rPr>
          <w:rFonts w:ascii="Arial" w:hAnsi="Arial"/>
          <w:i/>
          <w:sz w:val="20"/>
        </w:rPr>
        <w:t>Invention Disclosures and the Role of Inventors</w:t>
      </w:r>
      <w:r>
        <w:rPr>
          <w:rFonts w:ascii="Arial" w:hAnsi="Arial"/>
          <w:sz w:val="20"/>
        </w:rPr>
        <w:t xml:space="preserve">, </w:t>
      </w:r>
      <w:hyperlink w:anchor="Box2" w:history="1">
        <w:r>
          <w:rPr>
            <w:rStyle w:val="Hyperlink"/>
            <w:rFonts w:ascii="Arial" w:hAnsi="Arial"/>
            <w:sz w:val="20"/>
          </w:rPr>
          <w:t>Caixa 2</w:t>
        </w:r>
      </w:hyperlink>
      <w:r>
        <w:rPr>
          <w:rFonts w:ascii="Arial" w:hAnsi="Arial"/>
          <w:sz w:val="20"/>
        </w:rPr>
        <w:t>, que lista itens que aparecem comumente nos Formulários de Divulgação de PI.</w:t>
      </w:r>
    </w:p>
    <w:p w14:paraId="69AEEDC8" w14:textId="77777777" w:rsidR="00C42B4A" w:rsidRPr="00B52DF6" w:rsidRDefault="00C42B4A" w:rsidP="00F77A00">
      <w:pPr>
        <w:tabs>
          <w:tab w:val="left" w:pos="851"/>
        </w:tabs>
        <w:spacing w:after="0" w:line="240" w:lineRule="auto"/>
        <w:jc w:val="both"/>
        <w:rPr>
          <w:rFonts w:ascii="Arial" w:hAnsi="Arial" w:cs="Arial"/>
          <w:b/>
          <w:color w:val="0070C0"/>
        </w:rPr>
      </w:pPr>
    </w:p>
    <w:p w14:paraId="76E4F42F" w14:textId="77777777" w:rsidR="00C42B4A" w:rsidRPr="00B52DF6" w:rsidRDefault="00C42B4A" w:rsidP="00F77A00">
      <w:pPr>
        <w:tabs>
          <w:tab w:val="left" w:pos="851"/>
        </w:tabs>
        <w:spacing w:after="0" w:line="240" w:lineRule="auto"/>
        <w:jc w:val="both"/>
        <w:rPr>
          <w:rFonts w:ascii="Arial" w:hAnsi="Arial" w:cs="Arial"/>
          <w:b/>
          <w:color w:val="0070C0"/>
        </w:rPr>
      </w:pPr>
    </w:p>
    <w:p w14:paraId="4878A9CE" w14:textId="77777777" w:rsidR="00F77A00" w:rsidRPr="00B52DF6" w:rsidRDefault="00F77A00" w:rsidP="00F77A00">
      <w:pPr>
        <w:pStyle w:val="Heading2"/>
        <w:rPr>
          <w:sz w:val="22"/>
          <w:szCs w:val="22"/>
        </w:rPr>
      </w:pPr>
    </w:p>
    <w:p w14:paraId="5817320E" w14:textId="77777777" w:rsidR="00F77A00" w:rsidRPr="00FD20EE" w:rsidRDefault="00F77A00" w:rsidP="00F77A00">
      <w:pPr>
        <w:pStyle w:val="Heading2"/>
        <w:rPr>
          <w:sz w:val="22"/>
          <w:szCs w:val="22"/>
        </w:rPr>
      </w:pPr>
      <w:bookmarkStart w:id="270" w:name="_Toc516160076"/>
      <w:bookmarkStart w:id="271" w:name="_Toc516219420"/>
      <w:bookmarkStart w:id="272" w:name="_Toc516496064"/>
      <w:bookmarkStart w:id="273" w:name="_Toc516829436"/>
      <w:bookmarkStart w:id="274" w:name="_Toc185241087"/>
      <w:r>
        <w:rPr>
          <w:sz w:val="22"/>
        </w:rPr>
        <w:t>ARTIGO 9 – COMERCIALIZAÇÃO DE PI</w:t>
      </w:r>
      <w:bookmarkEnd w:id="270"/>
      <w:bookmarkEnd w:id="271"/>
      <w:bookmarkEnd w:id="272"/>
      <w:bookmarkEnd w:id="273"/>
      <w:bookmarkEnd w:id="274"/>
      <w:r>
        <w:rPr>
          <w:sz w:val="22"/>
        </w:rPr>
        <w:t xml:space="preserve"> </w:t>
      </w:r>
    </w:p>
    <w:p w14:paraId="0CE82459" w14:textId="77777777" w:rsidR="00F77A00" w:rsidRPr="0024467F" w:rsidRDefault="00F77A00" w:rsidP="00F77A00">
      <w:pPr>
        <w:pStyle w:val="Heading2"/>
        <w:rPr>
          <w:sz w:val="22"/>
          <w:szCs w:val="22"/>
        </w:rPr>
      </w:pPr>
    </w:p>
    <w:p w14:paraId="40C714F7" w14:textId="77777777" w:rsidR="00F77A00" w:rsidRPr="0024467F" w:rsidRDefault="00F77A00" w:rsidP="00F77A00">
      <w:pPr>
        <w:autoSpaceDE w:val="0"/>
        <w:autoSpaceDN w:val="0"/>
        <w:adjustRightInd w:val="0"/>
        <w:spacing w:after="0" w:line="240" w:lineRule="auto"/>
        <w:rPr>
          <w:rFonts w:ascii="Arial" w:eastAsia="Times New Roman" w:hAnsi="Arial" w:cs="Arial"/>
          <w:i/>
          <w:color w:val="943634" w:themeColor="accent2" w:themeShade="BF"/>
        </w:rPr>
      </w:pPr>
    </w:p>
    <w:p w14:paraId="307C2F22" w14:textId="77777777" w:rsidR="0034779E" w:rsidRPr="00FD20EE" w:rsidRDefault="0034779E" w:rsidP="0034779E">
      <w:pPr>
        <w:autoSpaceDE w:val="0"/>
        <w:autoSpaceDN w:val="0"/>
        <w:adjustRightInd w:val="0"/>
        <w:spacing w:after="0" w:line="240" w:lineRule="auto"/>
        <w:jc w:val="both"/>
        <w:rPr>
          <w:rFonts w:ascii="Arial" w:hAnsi="Arial" w:cs="Arial"/>
          <w:color w:val="000000"/>
          <w:sz w:val="20"/>
        </w:rPr>
      </w:pPr>
      <w:r>
        <w:rPr>
          <w:rFonts w:ascii="Arial" w:hAnsi="Arial"/>
          <w:color w:val="000000"/>
          <w:sz w:val="20"/>
        </w:rPr>
        <w:t>Instituições experientes em comercialização estão mais conscientes do que nunca dos benefícios de fazer parcerias com a indústria para pesquisar, desenvolver e comercializar tecnologias inventadas em seus ambientes acadêmicos. A PI geralmente é o cerne das parcerias entre a academia e a indústria.</w:t>
      </w:r>
    </w:p>
    <w:p w14:paraId="2728F84E" w14:textId="77777777" w:rsidR="0034779E" w:rsidRPr="0024467F" w:rsidRDefault="0034779E" w:rsidP="0034779E">
      <w:pPr>
        <w:autoSpaceDE w:val="0"/>
        <w:autoSpaceDN w:val="0"/>
        <w:adjustRightInd w:val="0"/>
        <w:spacing w:after="0" w:line="240" w:lineRule="auto"/>
        <w:jc w:val="both"/>
        <w:rPr>
          <w:rFonts w:ascii="Arial" w:hAnsi="Arial" w:cs="Arial"/>
          <w:color w:val="000000"/>
          <w:sz w:val="20"/>
        </w:rPr>
      </w:pPr>
    </w:p>
    <w:p w14:paraId="69CA90B7" w14:textId="77777777" w:rsidR="0034779E" w:rsidRPr="00FD20EE" w:rsidRDefault="0034779E" w:rsidP="0034779E">
      <w:pPr>
        <w:autoSpaceDE w:val="0"/>
        <w:autoSpaceDN w:val="0"/>
        <w:adjustRightInd w:val="0"/>
        <w:spacing w:after="0" w:line="240" w:lineRule="auto"/>
        <w:jc w:val="both"/>
        <w:rPr>
          <w:rFonts w:ascii="Arial" w:hAnsi="Arial" w:cs="Arial"/>
          <w:color w:val="000000"/>
          <w:sz w:val="20"/>
        </w:rPr>
      </w:pPr>
      <w:r>
        <w:rPr>
          <w:rFonts w:ascii="Arial" w:hAnsi="Arial"/>
          <w:color w:val="000000"/>
          <w:sz w:val="20"/>
        </w:rPr>
        <w:t>Como tendência geral, a pesquisa acadêmica frequentemente gera benefícios impressionantes para economias locais, regionais e nacionais.</w:t>
      </w:r>
      <w:r w:rsidRPr="00FD20EE">
        <w:rPr>
          <w:rStyle w:val="FootnoteReference"/>
          <w:rFonts w:ascii="Arial" w:hAnsi="Arial" w:cs="Arial"/>
          <w:color w:val="000000"/>
          <w:sz w:val="20"/>
          <w:lang w:val="en-US"/>
        </w:rPr>
        <w:footnoteReference w:id="161"/>
      </w:r>
      <w:r>
        <w:rPr>
          <w:rFonts w:ascii="Arial" w:hAnsi="Arial"/>
          <w:color w:val="000000"/>
          <w:sz w:val="20"/>
        </w:rPr>
        <w:t xml:space="preserve">  Neste contexto, os EGPI estão implementando cada vez mais estratégias de gestão de PI que refletem o incentivo a vias alternativas de comercialização (Veja também </w:t>
      </w:r>
      <w:hyperlink w:anchor="_Article_1.3_–" w:history="1">
        <w:r>
          <w:rPr>
            <w:rStyle w:val="Hyperlink"/>
            <w:rFonts w:ascii="Arial" w:hAnsi="Arial"/>
            <w:sz w:val="20"/>
          </w:rPr>
          <w:t>Artigo 1.3.3</w:t>
        </w:r>
      </w:hyperlink>
      <w:r>
        <w:rPr>
          <w:rFonts w:ascii="Arial" w:hAnsi="Arial"/>
          <w:color w:val="000000"/>
          <w:sz w:val="20"/>
        </w:rPr>
        <w:t>). Em vez de estratégias tradicionais, como busca por licenciados de empresas estabelecidas, os EGPIs estão gradualmente tomando mais decisões de PI que também permitem a comercialização de tecnologias desenvolvidas pela instituição por meio de start-ups lideradas por professores e alunos.</w:t>
      </w:r>
    </w:p>
    <w:p w14:paraId="1B1EA828" w14:textId="77777777" w:rsidR="007E290E" w:rsidRPr="00C04211" w:rsidRDefault="007E290E" w:rsidP="007E290E">
      <w:pPr>
        <w:pStyle w:val="Heading3"/>
        <w:tabs>
          <w:tab w:val="left" w:pos="567"/>
        </w:tabs>
        <w:spacing w:before="360"/>
        <w:rPr>
          <w:sz w:val="24"/>
        </w:rPr>
      </w:pPr>
      <w:bookmarkStart w:id="275" w:name="_Toc516219421"/>
      <w:bookmarkStart w:id="276" w:name="_Toc516496065"/>
      <w:bookmarkStart w:id="277" w:name="_Toc516829437"/>
      <w:r>
        <w:rPr>
          <w:sz w:val="24"/>
        </w:rPr>
        <w:lastRenderedPageBreak/>
        <w:t>Determinação da Estratégia de Comercialização</w:t>
      </w:r>
      <w:bookmarkEnd w:id="275"/>
      <w:bookmarkEnd w:id="276"/>
      <w:bookmarkEnd w:id="277"/>
    </w:p>
    <w:p w14:paraId="0225BAAF" w14:textId="083510DE" w:rsidR="0034779E" w:rsidRPr="00FD20EE" w:rsidRDefault="0034779E" w:rsidP="009D4A54">
      <w:pPr>
        <w:pStyle w:val="ListParagraph"/>
        <w:numPr>
          <w:ilvl w:val="0"/>
          <w:numId w:val="132"/>
        </w:numPr>
        <w:spacing w:after="0" w:line="240" w:lineRule="auto"/>
        <w:ind w:left="425" w:hanging="425"/>
        <w:jc w:val="both"/>
        <w:rPr>
          <w:rFonts w:ascii="Arial" w:hAnsi="Arial" w:cs="Arial"/>
          <w:sz w:val="20"/>
        </w:rPr>
      </w:pPr>
      <w:r>
        <w:rPr>
          <w:rFonts w:ascii="Arial" w:hAnsi="Arial"/>
          <w:b/>
          <w:color w:val="000000" w:themeColor="text1"/>
          <w:sz w:val="20"/>
        </w:rPr>
        <w:t>Artigo 9.1 e 9.3.</w:t>
      </w:r>
      <w:r>
        <w:rPr>
          <w:rFonts w:ascii="Arial" w:hAnsi="Arial"/>
          <w:b/>
          <w:i/>
          <w:color w:val="000000" w:themeColor="text1"/>
          <w:sz w:val="20"/>
        </w:rPr>
        <w:t>, Determinação da Estratégia de Comercialização, e Soberania e Cooperação</w:t>
      </w:r>
      <w:r>
        <w:rPr>
          <w:rFonts w:ascii="Arial" w:hAnsi="Arial"/>
          <w:color w:val="000000" w:themeColor="text1"/>
          <w:sz w:val="20"/>
        </w:rPr>
        <w:t xml:space="preserve">: </w:t>
      </w:r>
      <w:r>
        <w:rPr>
          <w:rFonts w:ascii="Arial" w:hAnsi="Arial"/>
          <w:sz w:val="20"/>
        </w:rPr>
        <w:t xml:space="preserve">Conforme estabelecido no </w:t>
      </w:r>
      <w:hyperlink w:anchor="_Article_8.4_–" w:history="1">
        <w:r>
          <w:rPr>
            <w:rStyle w:val="Hyperlink"/>
            <w:rFonts w:ascii="Arial" w:hAnsi="Arial"/>
            <w:sz w:val="20"/>
          </w:rPr>
          <w:t>Artigo 8.4</w:t>
        </w:r>
      </w:hyperlink>
      <w:r>
        <w:rPr>
          <w:rFonts w:ascii="Arial" w:hAnsi="Arial"/>
          <w:sz w:val="20"/>
        </w:rPr>
        <w:t>, a discrição para determinar a estratégia de comercialização cabe ao EGPI</w:t>
      </w:r>
      <w:r w:rsidR="008411EA">
        <w:rPr>
          <w:rFonts w:ascii="Arial" w:hAnsi="Arial"/>
          <w:sz w:val="20"/>
        </w:rPr>
        <w:t xml:space="preserve">. </w:t>
      </w:r>
      <w:r>
        <w:rPr>
          <w:rFonts w:ascii="Arial" w:hAnsi="Arial"/>
          <w:sz w:val="20"/>
        </w:rPr>
        <w:t>A estratégia determinada pode exigir consideração/aprovação pelo Comitê de PI</w:t>
      </w:r>
      <w:r w:rsidR="008411EA">
        <w:rPr>
          <w:rFonts w:ascii="Arial" w:hAnsi="Arial"/>
          <w:sz w:val="20"/>
        </w:rPr>
        <w:t xml:space="preserve">. </w:t>
      </w:r>
      <w:r>
        <w:rPr>
          <w:rFonts w:ascii="Arial" w:hAnsi="Arial"/>
          <w:sz w:val="20"/>
        </w:rPr>
        <w:t xml:space="preserve">O valor de ter pontos de vista externos/da indústria nesta fase é significativo para trazer perspectivas técnicas práticas adicionais que podem influenciar não apenas a decisão de comercializar, mas também qual caminho de comercialização seguir. </w:t>
      </w:r>
    </w:p>
    <w:p w14:paraId="7C778F3B" w14:textId="77777777" w:rsidR="0034779E" w:rsidRPr="0024467F" w:rsidRDefault="0034779E" w:rsidP="0034779E">
      <w:pPr>
        <w:tabs>
          <w:tab w:val="left" w:pos="0"/>
        </w:tabs>
        <w:spacing w:after="0" w:line="240" w:lineRule="auto"/>
        <w:ind w:left="851" w:hanging="851"/>
        <w:jc w:val="both"/>
        <w:rPr>
          <w:rFonts w:ascii="Arial" w:hAnsi="Arial" w:cs="Arial"/>
          <w:sz w:val="20"/>
        </w:rPr>
      </w:pPr>
    </w:p>
    <w:p w14:paraId="11BECB77" w14:textId="77777777" w:rsidR="0034779E" w:rsidRPr="00FD20EE" w:rsidRDefault="001A3B9D" w:rsidP="009D4A54">
      <w:pPr>
        <w:pStyle w:val="ListParagraph"/>
        <w:numPr>
          <w:ilvl w:val="0"/>
          <w:numId w:val="132"/>
        </w:numPr>
        <w:tabs>
          <w:tab w:val="left" w:pos="0"/>
        </w:tabs>
        <w:spacing w:after="0" w:line="240" w:lineRule="auto"/>
        <w:ind w:left="426" w:hanging="426"/>
        <w:jc w:val="both"/>
        <w:rPr>
          <w:rFonts w:ascii="Arial" w:hAnsi="Arial" w:cs="Arial"/>
          <w:sz w:val="20"/>
        </w:rPr>
      </w:pPr>
      <w:r>
        <w:rPr>
          <w:rFonts w:ascii="Arial" w:hAnsi="Arial"/>
          <w:b/>
          <w:color w:val="000000" w:themeColor="text1"/>
          <w:sz w:val="20"/>
        </w:rPr>
        <w:t>Artigo 9.3.</w:t>
      </w:r>
      <w:r>
        <w:rPr>
          <w:rFonts w:ascii="Arial" w:hAnsi="Arial"/>
          <w:b/>
          <w:i/>
          <w:color w:val="000000" w:themeColor="text1"/>
          <w:sz w:val="20"/>
        </w:rPr>
        <w:t>, Os Criadores […] devem fornecer ao EGPI todo o suporte razoável.</w:t>
      </w:r>
      <w:r w:rsidRPr="00505BDA">
        <w:rPr>
          <w:rFonts w:ascii="Arial" w:hAnsi="Arial"/>
          <w:bCs/>
          <w:iCs/>
          <w:color w:val="000000" w:themeColor="text1"/>
          <w:sz w:val="20"/>
        </w:rPr>
        <w:t xml:space="preserve"> </w:t>
      </w:r>
      <w:r>
        <w:rPr>
          <w:rFonts w:ascii="Arial" w:hAnsi="Arial"/>
          <w:sz w:val="20"/>
        </w:rPr>
        <w:t>Embora o Comitê do EGPI/PI tenha soberania com relação à estratégia de comercialização da PI da Instituição, a assistência e a cooperação dos Criadores são inestimáveis durante o processo de comercialização, mesmo que essa cooperação seja cultivada apenas por meio do fornecimento aos Criadores de atualizações regulares sobre o progresso feito na comercialização da PI específica.</w:t>
      </w:r>
    </w:p>
    <w:p w14:paraId="5F90568A" w14:textId="77777777" w:rsidR="0034779E" w:rsidRPr="0024467F" w:rsidRDefault="0034779E" w:rsidP="0034779E">
      <w:pPr>
        <w:tabs>
          <w:tab w:val="left" w:pos="0"/>
        </w:tabs>
        <w:spacing w:after="0" w:line="240" w:lineRule="auto"/>
        <w:ind w:left="426"/>
        <w:jc w:val="both"/>
        <w:rPr>
          <w:rFonts w:ascii="Arial" w:hAnsi="Arial" w:cs="Arial"/>
          <w:sz w:val="20"/>
        </w:rPr>
      </w:pPr>
    </w:p>
    <w:p w14:paraId="3F54E2D2" w14:textId="2AEA69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rPr>
      </w:pPr>
      <w:bookmarkStart w:id="278" w:name="Box58"/>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278"/>
      <w:r>
        <w:rPr>
          <w:rFonts w:ascii="Arial" w:hAnsi="Arial"/>
          <w:b/>
          <w:sz w:val="20"/>
        </w:rPr>
        <w:t xml:space="preserve"> Um trecho da Política de PI do Conselho de Pesquisa Médica (CPM) da África do Sul afirma o seguinte:</w:t>
      </w:r>
    </w:p>
    <w:p w14:paraId="368E6157" w14:textId="77777777" w:rsidR="0034779E" w:rsidRPr="0024467F"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ascii="Arial" w:hAnsi="Arial" w:cs="Arial"/>
        </w:rPr>
      </w:pPr>
    </w:p>
    <w:p w14:paraId="0F391249"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r>
        <w:rPr>
          <w:rFonts w:ascii="Arial" w:hAnsi="Arial"/>
          <w:i/>
          <w:color w:val="000000"/>
          <w:sz w:val="20"/>
        </w:rPr>
        <w:t xml:space="preserve">3.4.2. O ETT é responsável pela identificação, avaliação, proteção (com exceção da oposição a solicitações, acusação ou defesa de infrações e redação de contratos relevantes, que são domínios dos Serviços Jurídicos e de Conformidade), gestão e comercialização de PI, todos os acordos de repartição de benefícios de acordo com o Esquema de Repartição de Benefícios do CPM e capacitação adequada relacionada a eles. O ETT pode, em nome do CPM e, quando relevante, de quaisquer cotitulares, solicitar uma patente ou qualquer outra forma de registro de PI em relação a qualquer PI, e o CPM será considerado o requerente ou cessionário da patente ou outra forma de proteção de PI. O depósito de todos os pedidos de patentes e o registro de desenhos e marcas registradas ficarão a critério do ETT. O ETT deverá </w:t>
      </w:r>
      <w:r>
        <w:rPr>
          <w:rFonts w:ascii="Arial" w:hAnsi="Arial"/>
          <w:b/>
          <w:i/>
          <w:color w:val="000000"/>
          <w:sz w:val="20"/>
        </w:rPr>
        <w:t xml:space="preserve">fazer uma </w:t>
      </w:r>
      <w:r>
        <w:rPr>
          <w:rFonts w:ascii="Arial" w:hAnsi="Arial"/>
          <w:b/>
          <w:i/>
          <w:sz w:val="20"/>
        </w:rPr>
        <w:t>recomendação sobre a rota de comercialização mais adequada ao Comitê Executivo de Gestão (CEG), que tomará a decisão final sobre a mesma em nome do CPM</w:t>
      </w:r>
      <w:r>
        <w:rPr>
          <w:rFonts w:ascii="Arial" w:hAnsi="Arial"/>
          <w:i/>
          <w:sz w:val="20"/>
        </w:rPr>
        <w:t xml:space="preserve">. </w:t>
      </w:r>
    </w:p>
    <w:p w14:paraId="1B7F3F88" w14:textId="77777777" w:rsidR="0034779E" w:rsidRPr="0024467F"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color w:val="000000"/>
          <w:sz w:val="20"/>
        </w:rPr>
      </w:pPr>
    </w:p>
    <w:p w14:paraId="7BB5030B"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ascii="Arial" w:hAnsi="Arial" w:cs="Arial"/>
          <w:i/>
          <w:sz w:val="20"/>
        </w:rPr>
      </w:pPr>
      <w:r>
        <w:rPr>
          <w:rFonts w:ascii="Arial" w:hAnsi="Arial"/>
          <w:i/>
          <w:sz w:val="20"/>
        </w:rPr>
        <w:t xml:space="preserve">3.4.3. O CPM reconhece o direito dos criadores de PI de </w:t>
      </w:r>
      <w:r>
        <w:rPr>
          <w:rFonts w:ascii="Arial" w:hAnsi="Arial"/>
          <w:b/>
          <w:i/>
          <w:sz w:val="20"/>
        </w:rPr>
        <w:t>participar das decisões relativas à comercialização e uso da PI por eles gerada</w:t>
      </w:r>
      <w:r>
        <w:rPr>
          <w:rFonts w:ascii="Arial" w:hAnsi="Arial"/>
          <w:i/>
          <w:sz w:val="20"/>
        </w:rPr>
        <w:t>. Os criadores de PI têm direito à divulgação completa do status da PI e serão informados pelo ETT sobre a celebração de quaisquer contratos pelo CPM para comercialização, uso ou venda dessa PI.</w:t>
      </w:r>
    </w:p>
    <w:p w14:paraId="6A42B780" w14:textId="77777777" w:rsidR="007E290E" w:rsidRPr="00C04211" w:rsidRDefault="007E290E" w:rsidP="007E290E">
      <w:pPr>
        <w:pStyle w:val="Heading3"/>
        <w:tabs>
          <w:tab w:val="left" w:pos="567"/>
        </w:tabs>
        <w:spacing w:before="360"/>
        <w:rPr>
          <w:sz w:val="24"/>
        </w:rPr>
      </w:pPr>
      <w:bookmarkStart w:id="279" w:name="_Commercialization_Pathways"/>
      <w:bookmarkStart w:id="280" w:name="_Toc516219422"/>
      <w:bookmarkStart w:id="281" w:name="_Toc516496066"/>
      <w:bookmarkStart w:id="282" w:name="_Toc516829438"/>
      <w:bookmarkEnd w:id="279"/>
      <w:r>
        <w:rPr>
          <w:sz w:val="24"/>
        </w:rPr>
        <w:t>Vias de Comercialização</w:t>
      </w:r>
      <w:bookmarkEnd w:id="280"/>
      <w:bookmarkEnd w:id="281"/>
      <w:bookmarkEnd w:id="282"/>
    </w:p>
    <w:p w14:paraId="1C86A91B" w14:textId="7DDCBE0A" w:rsidR="0034779E" w:rsidRPr="00E51CE3" w:rsidRDefault="0034779E" w:rsidP="009D4A54">
      <w:pPr>
        <w:pStyle w:val="ListParagraph"/>
        <w:numPr>
          <w:ilvl w:val="0"/>
          <w:numId w:val="132"/>
        </w:numPr>
        <w:tabs>
          <w:tab w:val="left" w:pos="851"/>
        </w:tabs>
        <w:spacing w:after="0" w:line="240" w:lineRule="auto"/>
        <w:ind w:left="426" w:hanging="426"/>
        <w:jc w:val="both"/>
        <w:rPr>
          <w:rFonts w:ascii="Arial" w:hAnsi="Arial" w:cs="Arial"/>
          <w:color w:val="000000" w:themeColor="text1"/>
          <w:sz w:val="20"/>
        </w:rPr>
      </w:pPr>
      <w:bookmarkStart w:id="283" w:name="Article9point4"/>
      <w:r>
        <w:rPr>
          <w:rFonts w:ascii="Arial" w:hAnsi="Arial"/>
          <w:b/>
          <w:color w:val="000000" w:themeColor="text1"/>
          <w:sz w:val="20"/>
        </w:rPr>
        <w:t>Artigo 9.4.</w:t>
      </w:r>
      <w:bookmarkEnd w:id="283"/>
      <w:r>
        <w:rPr>
          <w:rFonts w:ascii="Arial" w:hAnsi="Arial"/>
          <w:b/>
          <w:i/>
          <w:color w:val="000000" w:themeColor="text1"/>
          <w:sz w:val="20"/>
        </w:rPr>
        <w:t>, Vias de Comercialização</w:t>
      </w:r>
      <w:r w:rsidRPr="00505BDA">
        <w:rPr>
          <w:rFonts w:ascii="Arial" w:hAnsi="Arial"/>
          <w:bCs/>
          <w:iCs/>
          <w:color w:val="000000" w:themeColor="text1"/>
          <w:sz w:val="20"/>
        </w:rPr>
        <w:t>:</w:t>
      </w:r>
      <w:r>
        <w:rPr>
          <w:rFonts w:ascii="Arial" w:hAnsi="Arial"/>
          <w:color w:val="000000" w:themeColor="text1"/>
          <w:sz w:val="20"/>
        </w:rPr>
        <w:t xml:space="preserve"> Há várias vias diferentes que podem ser seguidas na comercialização de PI institucional</w:t>
      </w:r>
      <w:r w:rsidR="008411EA">
        <w:rPr>
          <w:rFonts w:ascii="Arial" w:hAnsi="Arial"/>
          <w:color w:val="000000" w:themeColor="text1"/>
          <w:sz w:val="20"/>
        </w:rPr>
        <w:t xml:space="preserve">. </w:t>
      </w:r>
      <w:r>
        <w:rPr>
          <w:rFonts w:ascii="Arial" w:hAnsi="Arial"/>
          <w:color w:val="000000" w:themeColor="text1"/>
          <w:sz w:val="20"/>
        </w:rPr>
        <w:t xml:space="preserve">O que é fundamental estabelecer é que a comercialização não é um processo linear desde a </w:t>
      </w:r>
      <w:r>
        <w:rPr>
          <w:rFonts w:ascii="Arial" w:hAnsi="Arial"/>
          <w:color w:val="000000" w:themeColor="text1"/>
          <w:sz w:val="20"/>
        </w:rPr>
        <w:sym w:font="Symbol" w:char="F0AE"/>
      </w:r>
      <w:r>
        <w:rPr>
          <w:rFonts w:ascii="Arial" w:hAnsi="Arial"/>
          <w:color w:val="000000" w:themeColor="text1"/>
          <w:sz w:val="20"/>
        </w:rPr>
        <w:t xml:space="preserve"> divulgação da pesquisa, </w:t>
      </w:r>
      <w:r>
        <w:rPr>
          <w:rFonts w:ascii="Arial" w:hAnsi="Arial"/>
          <w:color w:val="000000" w:themeColor="text1"/>
          <w:sz w:val="20"/>
        </w:rPr>
        <w:sym w:font="Symbol" w:char="F0AE"/>
      </w:r>
      <w:r>
        <w:rPr>
          <w:rFonts w:ascii="Arial" w:hAnsi="Arial"/>
          <w:color w:val="000000" w:themeColor="text1"/>
          <w:sz w:val="20"/>
        </w:rPr>
        <w:t xml:space="preserve"> avaliação da  </w:t>
      </w:r>
      <w:r>
        <w:rPr>
          <w:rFonts w:ascii="Arial" w:hAnsi="Arial"/>
          <w:color w:val="000000" w:themeColor="text1"/>
          <w:sz w:val="20"/>
        </w:rPr>
        <w:sym w:font="Symbol" w:char="F0AE"/>
      </w:r>
      <w:r>
        <w:rPr>
          <w:rFonts w:ascii="Arial" w:hAnsi="Arial"/>
          <w:color w:val="000000" w:themeColor="text1"/>
          <w:sz w:val="20"/>
        </w:rPr>
        <w:t xml:space="preserve"> proteção de PI, </w:t>
      </w:r>
      <w:r>
        <w:rPr>
          <w:rFonts w:ascii="Arial" w:hAnsi="Arial"/>
          <w:color w:val="000000" w:themeColor="text1"/>
          <w:sz w:val="20"/>
        </w:rPr>
        <w:sym w:font="Symbol" w:char="F0AE"/>
      </w:r>
      <w:r>
        <w:rPr>
          <w:rFonts w:ascii="Arial" w:hAnsi="Arial"/>
          <w:color w:val="000000" w:themeColor="text1"/>
          <w:sz w:val="20"/>
        </w:rPr>
        <w:t xml:space="preserve"> licenciamento/cessão/formação de start-up, </w:t>
      </w:r>
      <w:r>
        <w:rPr>
          <w:rFonts w:ascii="Arial" w:hAnsi="Arial"/>
          <w:color w:val="000000" w:themeColor="text1"/>
          <w:sz w:val="20"/>
        </w:rPr>
        <w:sym w:font="Symbol" w:char="F0AE"/>
      </w:r>
      <w:r>
        <w:rPr>
          <w:rFonts w:ascii="Arial" w:hAnsi="Arial"/>
          <w:color w:val="000000" w:themeColor="text1"/>
          <w:sz w:val="20"/>
        </w:rPr>
        <w:t xml:space="preserve"> produto, processo e serviço disponibilizados no mercado. </w:t>
      </w:r>
      <w:hyperlink w:anchor="Box58" w:history="1">
        <w:r>
          <w:rPr>
            <w:rStyle w:val="Hyperlink"/>
            <w:rFonts w:ascii="Arial" w:hAnsi="Arial"/>
            <w:sz w:val="20"/>
          </w:rPr>
          <w:t>Caixa 59</w:t>
        </w:r>
      </w:hyperlink>
      <w:r>
        <w:rPr>
          <w:rFonts w:ascii="Arial" w:hAnsi="Arial"/>
          <w:color w:val="000000" w:themeColor="text1"/>
          <w:sz w:val="20"/>
        </w:rPr>
        <w:t xml:space="preserve"> tenta ilustrar que o caminho para a comercialização é cheio de ciclos de feedback e reavaliações contínuas até que se alcance o objetivo final, que é o impacto</w:t>
      </w:r>
      <w:r w:rsidR="008411EA">
        <w:rPr>
          <w:rFonts w:ascii="Arial" w:hAnsi="Arial"/>
          <w:color w:val="000000" w:themeColor="text1"/>
          <w:sz w:val="20"/>
        </w:rPr>
        <w:t xml:space="preserve">. </w:t>
      </w:r>
    </w:p>
    <w:p w14:paraId="34B00535" w14:textId="77777777" w:rsidR="00E51CE3" w:rsidRPr="00E51CE3" w:rsidRDefault="00E51CE3" w:rsidP="00E51CE3">
      <w:pPr>
        <w:tabs>
          <w:tab w:val="left" w:pos="851"/>
        </w:tabs>
        <w:spacing w:after="0" w:line="240" w:lineRule="auto"/>
        <w:jc w:val="both"/>
        <w:rPr>
          <w:rFonts w:ascii="Arial" w:hAnsi="Arial" w:cs="Arial"/>
          <w:color w:val="000000" w:themeColor="text1"/>
          <w:sz w:val="20"/>
        </w:rPr>
      </w:pPr>
    </w:p>
    <w:p w14:paraId="75123118" w14:textId="77777777" w:rsidR="00404124" w:rsidRPr="0024467F" w:rsidRDefault="00404124" w:rsidP="00404124">
      <w:pPr>
        <w:tabs>
          <w:tab w:val="left" w:pos="851"/>
        </w:tabs>
        <w:spacing w:after="0" w:line="240" w:lineRule="auto"/>
        <w:jc w:val="both"/>
        <w:rPr>
          <w:rFonts w:ascii="Arial" w:hAnsi="Arial" w:cs="Arial"/>
          <w:b/>
          <w:szCs w:val="32"/>
        </w:rPr>
      </w:pPr>
    </w:p>
    <w:p w14:paraId="55F26013" w14:textId="1F58BD27" w:rsidR="00404124" w:rsidRPr="000B07E9" w:rsidRDefault="00404124" w:rsidP="00505BDA">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color w:val="000000" w:themeColor="text1"/>
          <w:sz w:val="20"/>
          <w:szCs w:val="20"/>
        </w:rPr>
      </w:pPr>
      <w:bookmarkStart w:id="284" w:name="Box59"/>
      <w:r>
        <w:rPr>
          <w:rFonts w:ascii="Arial" w:hAnsi="Arial"/>
          <w:b/>
          <w:sz w:val="20"/>
        </w:rPr>
        <w:lastRenderedPageBreak/>
        <w:t xml:space="preserve">Caixa </w:t>
      </w:r>
      <w:r w:rsidRPr="000B07E9">
        <w:rPr>
          <w:rFonts w:ascii="Arial" w:hAnsi="Arial" w:cs="Arial"/>
          <w:b/>
          <w:sz w:val="20"/>
        </w:rPr>
        <w:fldChar w:fldCharType="begin"/>
      </w:r>
      <w:r w:rsidRPr="000B07E9">
        <w:rPr>
          <w:rFonts w:ascii="Arial" w:hAnsi="Arial" w:cs="Arial"/>
          <w:b/>
          <w:sz w:val="20"/>
        </w:rPr>
        <w:instrText xml:space="preserve"> AUTONUM  \* Arabic </w:instrText>
      </w:r>
      <w:r w:rsidRPr="000B07E9">
        <w:rPr>
          <w:rFonts w:ascii="Arial" w:hAnsi="Arial" w:cs="Arial"/>
          <w:b/>
          <w:sz w:val="20"/>
        </w:rPr>
        <w:fldChar w:fldCharType="end"/>
      </w:r>
      <w:r>
        <w:rPr>
          <w:rFonts w:ascii="Arial" w:hAnsi="Arial"/>
          <w:b/>
          <w:sz w:val="20"/>
        </w:rPr>
        <w:t xml:space="preserve"> </w:t>
      </w:r>
      <w:bookmarkEnd w:id="284"/>
      <w:r>
        <w:rPr>
          <w:rFonts w:ascii="Arial" w:hAnsi="Arial"/>
          <w:b/>
          <w:sz w:val="20"/>
        </w:rPr>
        <w:t>O Processo de Transferência de Conhecimento</w:t>
      </w:r>
      <w:r w:rsidRPr="000B07E9">
        <w:rPr>
          <w:rStyle w:val="FootnoteReference"/>
          <w:rFonts w:ascii="Arial" w:hAnsi="Arial" w:cs="Arial"/>
          <w:i/>
          <w:color w:val="000000" w:themeColor="text1"/>
          <w:sz w:val="20"/>
          <w:szCs w:val="20"/>
          <w:lang w:val="en-US"/>
        </w:rPr>
        <w:footnoteReference w:id="162"/>
      </w:r>
      <w:r>
        <w:rPr>
          <w:rFonts w:ascii="Arial" w:hAnsi="Arial"/>
          <w:b/>
          <w:sz w:val="20"/>
        </w:rPr>
        <w:t xml:space="preserve"> </w:t>
      </w:r>
    </w:p>
    <w:p w14:paraId="4E5CAA91" w14:textId="77777777" w:rsidR="000C1792" w:rsidRPr="00FD20EE" w:rsidRDefault="0034779E"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rPr>
      </w:pPr>
      <w:r>
        <w:rPr>
          <w:rFonts w:ascii="Arial" w:hAnsi="Arial"/>
          <w:noProof/>
          <w:color w:val="000000" w:themeColor="text1"/>
        </w:rPr>
        <w:drawing>
          <wp:inline distT="0" distB="0" distL="0" distR="0" wp14:anchorId="0D4DAD62" wp14:editId="7801516E">
            <wp:extent cx="4138651" cy="3046443"/>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45694" cy="3051628"/>
                    </a:xfrm>
                    <a:prstGeom prst="rect">
                      <a:avLst/>
                    </a:prstGeom>
                    <a:ln>
                      <a:solidFill>
                        <a:schemeClr val="tx1"/>
                      </a:solidFill>
                    </a:ln>
                  </pic:spPr>
                </pic:pic>
              </a:graphicData>
            </a:graphic>
          </wp:inline>
        </w:drawing>
      </w:r>
    </w:p>
    <w:p w14:paraId="54086B92" w14:textId="030E8768" w:rsidR="000C1792" w:rsidRPr="00505BDA" w:rsidRDefault="000C1792"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r w:rsidRPr="00505BDA">
        <w:rPr>
          <w:rFonts w:ascii="Arial" w:hAnsi="Arial"/>
          <w:sz w:val="20"/>
          <w:szCs w:val="20"/>
        </w:rPr>
        <w:t>É importante considerar todas as vias possíveis de comercialização e, portanto, as diversas opções devem ser previstas na Política de PI</w:t>
      </w:r>
      <w:r w:rsidR="008411EA" w:rsidRPr="00505BDA">
        <w:rPr>
          <w:rFonts w:ascii="Arial" w:hAnsi="Arial"/>
          <w:sz w:val="20"/>
          <w:szCs w:val="20"/>
        </w:rPr>
        <w:t xml:space="preserve">. </w:t>
      </w:r>
      <w:r w:rsidRPr="00505BDA">
        <w:rPr>
          <w:rFonts w:ascii="Arial" w:hAnsi="Arial"/>
          <w:sz w:val="20"/>
          <w:szCs w:val="20"/>
        </w:rPr>
        <w:t>A rota de comercialização específica a ser seguida será ditada por, mas não limitada a, um ou mais dos seguintes fatores a serem considerados:</w:t>
      </w:r>
    </w:p>
    <w:p w14:paraId="62139348" w14:textId="77777777" w:rsidR="0034779E" w:rsidRPr="00505BDA" w:rsidRDefault="00404124" w:rsidP="000C1792">
      <w:pPr>
        <w:pStyle w:val="ListParagraph"/>
        <w:numPr>
          <w:ilvl w:val="0"/>
          <w:numId w:val="17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Arial" w:hAnsi="Arial" w:cs="Arial"/>
          <w:sz w:val="20"/>
          <w:szCs w:val="20"/>
        </w:rPr>
      </w:pPr>
      <w:r w:rsidRPr="00505BDA">
        <w:rPr>
          <w:rFonts w:ascii="Arial" w:hAnsi="Arial"/>
          <w:sz w:val="20"/>
          <w:szCs w:val="20"/>
        </w:rPr>
        <w:t>o investimento financeiro necessário para cada rota;</w:t>
      </w:r>
    </w:p>
    <w:p w14:paraId="240629CB"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o potencial retorno do investimento para cada rota;</w:t>
      </w:r>
    </w:p>
    <w:p w14:paraId="1B7E1528"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a natureza da tecnologia/produto/processo/serviço;</w:t>
      </w:r>
    </w:p>
    <w:p w14:paraId="4EFE7327"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o mercado alvo e como ele pode ser melhor alcançado;</w:t>
      </w:r>
    </w:p>
    <w:p w14:paraId="12946DEC"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o estágio de desenvolvimento do mercado;</w:t>
      </w:r>
    </w:p>
    <w:p w14:paraId="6349A689"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a concentração de mercado;</w:t>
      </w:r>
    </w:p>
    <w:p w14:paraId="1B86D1A1"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a disponibilidade da gestão;</w:t>
      </w:r>
    </w:p>
    <w:p w14:paraId="1E24CAA2"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r w:rsidRPr="00505BDA">
        <w:rPr>
          <w:rFonts w:ascii="Arial" w:hAnsi="Arial"/>
          <w:sz w:val="20"/>
          <w:szCs w:val="20"/>
        </w:rPr>
        <w:t>as aspirações do inventor; e</w:t>
      </w:r>
    </w:p>
    <w:p w14:paraId="047E64B9" w14:textId="77777777" w:rsidR="0034779E" w:rsidRPr="00505BDA"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ascii="Arial" w:hAnsi="Arial" w:cs="Arial"/>
          <w:sz w:val="20"/>
          <w:szCs w:val="20"/>
        </w:rPr>
      </w:pPr>
      <w:r w:rsidRPr="00505BDA">
        <w:rPr>
          <w:rFonts w:ascii="Arial" w:hAnsi="Arial"/>
          <w:sz w:val="20"/>
          <w:szCs w:val="20"/>
        </w:rPr>
        <w:t>requisitos legislativos.</w:t>
      </w:r>
    </w:p>
    <w:p w14:paraId="7FEAC5B3" w14:textId="77777777" w:rsidR="0034779E" w:rsidRPr="00FD20EE" w:rsidRDefault="0034779E" w:rsidP="0034779E">
      <w:pPr>
        <w:spacing w:after="0" w:line="240" w:lineRule="auto"/>
        <w:jc w:val="both"/>
        <w:rPr>
          <w:rFonts w:ascii="Arial" w:hAnsi="Arial" w:cs="Arial"/>
          <w:lang w:val="en-US"/>
        </w:rPr>
      </w:pPr>
    </w:p>
    <w:p w14:paraId="6CAF6294"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 w:val="20"/>
        </w:rPr>
      </w:pPr>
      <w:bookmarkStart w:id="285" w:name="Box60"/>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285"/>
      <w:r>
        <w:rPr>
          <w:rFonts w:ascii="Arial" w:hAnsi="Arial"/>
          <w:b/>
          <w:sz w:val="20"/>
        </w:rPr>
        <w:t xml:space="preserve"> Um trecho da Política de PI da Universidade da Malásia</w:t>
      </w:r>
      <w:r w:rsidR="003B01CB" w:rsidRPr="00FD20EE">
        <w:rPr>
          <w:rStyle w:val="FootnoteReference"/>
          <w:rFonts w:ascii="Arial" w:hAnsi="Arial" w:cs="Arial"/>
          <w:b/>
          <w:sz w:val="20"/>
          <w:lang w:val="en-US"/>
        </w:rPr>
        <w:footnoteReference w:id="163"/>
      </w:r>
      <w:r>
        <w:rPr>
          <w:rFonts w:ascii="Arial" w:hAnsi="Arial"/>
          <w:sz w:val="20"/>
        </w:rPr>
        <w:t xml:space="preserve"> define as diferentes opções para a comercialização da PI da Instituição:</w:t>
      </w:r>
    </w:p>
    <w:p w14:paraId="1F65C007"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5.3</w:t>
      </w:r>
      <w:r>
        <w:rPr>
          <w:rFonts w:ascii="Arial" w:hAnsi="Arial"/>
          <w:b/>
          <w:sz w:val="20"/>
        </w:rPr>
        <w:t xml:space="preserve"> Licenciamento</w:t>
      </w:r>
      <w:r>
        <w:rPr>
          <w:rFonts w:ascii="Arial" w:hAnsi="Arial"/>
          <w:sz w:val="20"/>
        </w:rPr>
        <w:t xml:space="preserve"> </w:t>
      </w:r>
    </w:p>
    <w:p w14:paraId="1D84948D"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 xml:space="preserve">5.3.1 O licenciamento pode ser na forma de Licença exclusiva, Licença não exclusiva, Licença única e Licença cruzada, sujeita ao parágrafo 5.3.4. Todos os acordos de licenciamento podem ser contratualmente limitados por localizações geográficas, tempo, setor e campos de aplicação. </w:t>
      </w:r>
    </w:p>
    <w:p w14:paraId="0243AE0F"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u w:val="single"/>
        </w:rPr>
        <w:t>Licença Exclusiva</w:t>
      </w:r>
      <w:r>
        <w:rPr>
          <w:rFonts w:ascii="Arial" w:hAnsi="Arial"/>
          <w:sz w:val="20"/>
        </w:rPr>
        <w:t xml:space="preserve"> - o Destinatário transfere todos os direitos de exploração da Propriedade Intelectual ao licenciado. Isso significa que o Destinatário renuncia aos direitos de explorar a Propriedade Intelectual por conta própria ou de conceder quaisquer Licenças adicionais e subsequentes a outra parte. O Destinatário deve manter os direitos de uso, conduzir pesquisas e desenvolvimentos adicionais e explorar a Propriedade Intelectual para uso não comercial. </w:t>
      </w:r>
    </w:p>
    <w:p w14:paraId="797917D7"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u w:val="single"/>
        </w:rPr>
        <w:lastRenderedPageBreak/>
        <w:t>Licença Não Exclusiva</w:t>
      </w:r>
      <w:r>
        <w:rPr>
          <w:rFonts w:ascii="Arial" w:hAnsi="Arial"/>
          <w:sz w:val="20"/>
        </w:rPr>
        <w:t xml:space="preserve"> - o Destinatário pode conceder os direitos de exploração da Propriedade Intelectual a uma ou mais partes, incluindo o direito de explorar a Propriedade Intelectual por conta própria. Em uma Licença não exclusiva, o Destinatário pode conceder ao licenciado direitos de sublicenciamento. </w:t>
      </w:r>
    </w:p>
    <w:p w14:paraId="35947B42"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u w:val="single"/>
        </w:rPr>
        <w:t>Licença Individual</w:t>
      </w:r>
      <w:r>
        <w:rPr>
          <w:rFonts w:ascii="Arial" w:hAnsi="Arial"/>
          <w:sz w:val="20"/>
        </w:rPr>
        <w:t xml:space="preserve"> - o Destinatário transfere todos os direitos de exploração da Propriedade Intelectual ao licenciado, mas retém seus direitos de explorar a Propriedade Intelectual por conta própria. </w:t>
      </w:r>
    </w:p>
    <w:p w14:paraId="1C496FF7"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u w:val="single"/>
        </w:rPr>
        <w:t>Licença Cruzada</w:t>
      </w:r>
      <w:r>
        <w:rPr>
          <w:rFonts w:ascii="Arial" w:hAnsi="Arial"/>
          <w:sz w:val="20"/>
        </w:rPr>
        <w:t xml:space="preserve"> - Esta opção permite que dois ou mais titulares de Propriedade Intelectual autorizem contratualmente um ao outro a usar sua Propriedade Intelectual para fins comerciais e não comerciais. Em um acordo de licenciamento cruzado, a contrapartida pelos direitos conferidos por uma parte é uma concessão recíproca de direitos pela outra. Os termos de licenciamento cruzado podem incluir o pagamento de uma taxa de licenciamento ou royalties se os direitos transferidos pelas partes não forem iguais em valor. </w:t>
      </w:r>
    </w:p>
    <w:p w14:paraId="48591A2A"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 xml:space="preserve">5.3.4 </w:t>
      </w:r>
      <w:r>
        <w:rPr>
          <w:rFonts w:ascii="Arial" w:hAnsi="Arial"/>
          <w:b/>
          <w:sz w:val="20"/>
        </w:rPr>
        <w:t xml:space="preserve">Cessão </w:t>
      </w:r>
    </w:p>
    <w:p w14:paraId="1D4DA962"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 xml:space="preserve">O Destinatário transfere a titularidade completa para outra parte (cessionário). A cessão envolve uma venda direta de direitos de Propriedade Intelectual ao cessionário. Entretanto, Cessões parciais são permitidas, sujeitas ao parágrafo 5.3. Por exemplo, uma Cessão pode ser restrita por localizações geográficas. </w:t>
      </w:r>
    </w:p>
    <w:p w14:paraId="4767CC33" w14:textId="77777777" w:rsidR="003B01CB"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 xml:space="preserve">5.3.5 </w:t>
      </w:r>
      <w:r>
        <w:rPr>
          <w:rFonts w:ascii="Arial" w:hAnsi="Arial"/>
          <w:b/>
          <w:sz w:val="20"/>
        </w:rPr>
        <w:t>Empresa Spin-Off</w:t>
      </w:r>
      <w:r>
        <w:rPr>
          <w:rFonts w:ascii="Arial" w:hAnsi="Arial"/>
          <w:sz w:val="20"/>
        </w:rPr>
        <w:t xml:space="preserve"> </w:t>
      </w:r>
    </w:p>
    <w:p w14:paraId="741191D2"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rPr>
      </w:pPr>
      <w:r>
        <w:rPr>
          <w:rFonts w:ascii="Arial" w:hAnsi="Arial"/>
          <w:sz w:val="20"/>
        </w:rPr>
        <w:t>O Destinatário estabelece uma empresa com a finalidade de Comercialização da Propriedade Intelectual, onde o(s) Inventor(es) e o Destinatário podem possuir participação societária na empresa juntamente com terceiros, em proporções a serem negociadas.5.3.6 Empresa de Joint Venture. O Destinatário constitui uma entidade em conjunto com um terceiro para efeitos de Comercialização da Propriedade Intelectual, onde o Destinatário e o terceiro são acionistas da referida empresa.</w:t>
      </w:r>
    </w:p>
    <w:p w14:paraId="61142890" w14:textId="0B7AB87B" w:rsidR="004B3FAF"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sz w:val="20"/>
          <w:szCs w:val="22"/>
        </w:rPr>
      </w:pPr>
      <w:r>
        <w:rPr>
          <w:rFonts w:ascii="Arial" w:hAnsi="Arial"/>
          <w:b/>
          <w:sz w:val="20"/>
        </w:rPr>
        <w:t xml:space="preserve">Artigo 9.4.a, </w:t>
      </w:r>
      <w:r>
        <w:rPr>
          <w:rFonts w:ascii="Arial" w:hAnsi="Arial"/>
          <w:b/>
          <w:i/>
          <w:sz w:val="20"/>
        </w:rPr>
        <w:t>licença, exclusiva ou não exclusiva, e suas variações</w:t>
      </w:r>
      <w:r w:rsidR="008411EA">
        <w:rPr>
          <w:rFonts w:ascii="Arial" w:hAnsi="Arial"/>
          <w:sz w:val="20"/>
        </w:rPr>
        <w:t xml:space="preserve">. </w:t>
      </w:r>
      <w:r>
        <w:rPr>
          <w:rFonts w:ascii="Arial" w:hAnsi="Arial"/>
          <w:sz w:val="20"/>
        </w:rPr>
        <w:t>Uma licença é um contrato pelo qual o titular de uma PI (licenciante) concede permissão para o uso de sua PI a outra pessoa (licenciado), dentro dos limites estabelecidos pelas disposições do contrato, sem renunciar à titularidade da PI</w:t>
      </w:r>
      <w:r w:rsidR="008411EA">
        <w:rPr>
          <w:rFonts w:ascii="Arial" w:hAnsi="Arial"/>
          <w:sz w:val="20"/>
        </w:rPr>
        <w:t xml:space="preserve">. </w:t>
      </w:r>
      <w:r>
        <w:rPr>
          <w:rFonts w:ascii="Arial" w:hAnsi="Arial"/>
          <w:sz w:val="20"/>
        </w:rPr>
        <w:t>É aqui onde o acesso a “</w:t>
      </w:r>
      <w:r>
        <w:rPr>
          <w:rFonts w:ascii="Arial" w:hAnsi="Arial"/>
          <w:i/>
          <w:sz w:val="20"/>
        </w:rPr>
        <w:t>fazer, usar, exercer, oferecer para dispor, dispor ou importar a invenção</w:t>
      </w:r>
      <w:r>
        <w:rPr>
          <w:rFonts w:ascii="Arial" w:hAnsi="Arial"/>
          <w:sz w:val="20"/>
        </w:rPr>
        <w:t>” é dado enquanto a Instituição retém a titularidade da PI</w:t>
      </w:r>
      <w:r w:rsidR="008411EA">
        <w:rPr>
          <w:rFonts w:ascii="Arial" w:hAnsi="Arial"/>
          <w:sz w:val="20"/>
        </w:rPr>
        <w:t xml:space="preserve">. </w:t>
      </w:r>
      <w:r>
        <w:rPr>
          <w:rFonts w:ascii="Arial" w:hAnsi="Arial"/>
          <w:sz w:val="20"/>
        </w:rPr>
        <w:t>A Instituição é, portanto, responsável por qualquer processo contínuo de PI e manutenção de direitos associados</w:t>
      </w:r>
      <w:r w:rsidR="008411EA">
        <w:rPr>
          <w:rFonts w:ascii="Arial" w:hAnsi="Arial"/>
          <w:sz w:val="20"/>
        </w:rPr>
        <w:t xml:space="preserve">. </w:t>
      </w:r>
      <w:r>
        <w:rPr>
          <w:rFonts w:ascii="Arial" w:hAnsi="Arial"/>
          <w:sz w:val="20"/>
        </w:rPr>
        <w:t xml:space="preserve">   </w:t>
      </w:r>
    </w:p>
    <w:p w14:paraId="5D64FF24" w14:textId="77777777"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rPr>
      </w:pPr>
      <w:r>
        <w:rPr>
          <w:rFonts w:ascii="Arial" w:hAnsi="Arial"/>
          <w:sz w:val="20"/>
        </w:rPr>
        <w:t xml:space="preserve">A diferença entre uma licença não exclusiva, uma licença exclusiva, uma licença única e uma licença cruzada está definida na </w:t>
      </w:r>
      <w:hyperlink w:anchor="Box59" w:history="1">
        <w:r>
          <w:rPr>
            <w:rStyle w:val="Hyperlink"/>
            <w:rFonts w:ascii="Arial" w:hAnsi="Arial"/>
            <w:sz w:val="20"/>
          </w:rPr>
          <w:t>Caixa 60</w:t>
        </w:r>
      </w:hyperlink>
      <w:r>
        <w:rPr>
          <w:rFonts w:ascii="Arial" w:hAnsi="Arial"/>
          <w:sz w:val="20"/>
        </w:rPr>
        <w:t>. Em geral, quando se trata de PI financiada publicamente, a preferência é dada ao licenciamento não exclusivo e, além disso, é oferecida preferência a pequenas e médias empresas (PMEs). Na África do Sul, essas preferências são estendidas às Entidades de Empoderamento Econômico do Negro de Base Ampla (entidades de EENBA).</w:t>
      </w:r>
    </w:p>
    <w:tbl>
      <w:tblPr>
        <w:tblStyle w:val="LightShading-Accent11"/>
        <w:tblW w:w="0" w:type="auto"/>
        <w:tblLook w:val="04A0" w:firstRow="1" w:lastRow="0" w:firstColumn="1" w:lastColumn="0" w:noHBand="0" w:noVBand="1"/>
      </w:tblPr>
      <w:tblGrid>
        <w:gridCol w:w="2804"/>
        <w:gridCol w:w="6222"/>
      </w:tblGrid>
      <w:tr w:rsidR="004B3FAF" w:rsidRPr="00FD20EE" w14:paraId="4EEF3F60" w14:textId="77777777" w:rsidTr="004B3FA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14:paraId="069CF853" w14:textId="77777777" w:rsidR="004B3FAF" w:rsidRPr="00FD20EE" w:rsidRDefault="004B3FAF" w:rsidP="00380BE6">
            <w:pPr>
              <w:jc w:val="both"/>
              <w:rPr>
                <w:rFonts w:ascii="Arial" w:hAnsi="Arial" w:cs="Arial"/>
                <w:sz w:val="20"/>
                <w:szCs w:val="20"/>
              </w:rPr>
            </w:pPr>
            <w:bookmarkStart w:id="286" w:name="Box61"/>
            <w:r>
              <w:rPr>
                <w:rFonts w:ascii="Arial" w:hAnsi="Arial"/>
                <w:sz w:val="20"/>
              </w:rPr>
              <w:t xml:space="preserve">Caixa </w:t>
            </w:r>
            <w:r w:rsidRPr="00FD20EE">
              <w:rPr>
                <w:rFonts w:ascii="Arial" w:hAnsi="Arial" w:cs="Arial"/>
                <w:sz w:val="20"/>
              </w:rPr>
              <w:fldChar w:fldCharType="begin"/>
            </w:r>
            <w:r w:rsidRPr="00FD20EE">
              <w:rPr>
                <w:rFonts w:ascii="Arial" w:hAnsi="Arial" w:cs="Arial"/>
                <w:sz w:val="20"/>
              </w:rPr>
              <w:instrText xml:space="preserve"> AUTONUM  \* Arabic </w:instrText>
            </w:r>
            <w:r w:rsidRPr="00FD20EE">
              <w:rPr>
                <w:rFonts w:ascii="Arial" w:hAnsi="Arial" w:cs="Arial"/>
                <w:sz w:val="20"/>
              </w:rPr>
              <w:fldChar w:fldCharType="end"/>
            </w:r>
            <w:bookmarkEnd w:id="286"/>
            <w:r>
              <w:rPr>
                <w:rFonts w:ascii="Arial" w:hAnsi="Arial"/>
                <w:b w:val="0"/>
                <w:sz w:val="20"/>
              </w:rPr>
              <w:t xml:space="preserve"> </w:t>
            </w:r>
            <w:r>
              <w:rPr>
                <w:rFonts w:ascii="Arial" w:hAnsi="Arial"/>
                <w:sz w:val="20"/>
              </w:rPr>
              <w:t>Dar Preferência à Emissão de Licenças para PMEs - África do Sul e Estados Unidos</w:t>
            </w:r>
          </w:p>
        </w:tc>
      </w:tr>
      <w:tr w:rsidR="004B3FAF" w:rsidRPr="00FD20EE" w14:paraId="1E09D7E3" w14:textId="77777777" w:rsidTr="004B3FA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08" w:type="dxa"/>
          </w:tcPr>
          <w:p w14:paraId="4B5F1AB2" w14:textId="77777777" w:rsidR="004B3FAF" w:rsidRPr="00FD20EE" w:rsidRDefault="004B3FAF" w:rsidP="004B3FAF">
            <w:pPr>
              <w:jc w:val="both"/>
              <w:rPr>
                <w:rFonts w:ascii="Arial" w:hAnsi="Arial" w:cs="Arial"/>
                <w:b w:val="0"/>
                <w:sz w:val="20"/>
                <w:szCs w:val="20"/>
              </w:rPr>
            </w:pPr>
            <w:r>
              <w:rPr>
                <w:rFonts w:ascii="Arial" w:hAnsi="Arial"/>
                <w:sz w:val="20"/>
              </w:rPr>
              <w:t>Lei e regulamentos de DPI</w:t>
            </w:r>
          </w:p>
        </w:tc>
        <w:tc>
          <w:tcPr>
            <w:tcW w:w="6236" w:type="dxa"/>
          </w:tcPr>
          <w:p w14:paraId="1A8FE9D2" w14:textId="77777777" w:rsidR="004B3FAF" w:rsidRPr="00FD20EE" w:rsidRDefault="004B3FAF" w:rsidP="004B3FAF">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sz w:val="20"/>
              </w:rPr>
              <w:t>Lei Bayh-Dole e regulamentos</w:t>
            </w:r>
          </w:p>
        </w:tc>
      </w:tr>
      <w:tr w:rsidR="004B3FAF" w:rsidRPr="00FD20EE" w14:paraId="74F9B67B" w14:textId="77777777" w:rsidTr="004B3FAF">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7AABD496" w14:textId="77777777" w:rsidR="004B3FAF" w:rsidRPr="00FD20EE" w:rsidRDefault="004B3FAF" w:rsidP="004B3FAF">
            <w:pPr>
              <w:jc w:val="both"/>
              <w:rPr>
                <w:rFonts w:ascii="Arial" w:hAnsi="Arial" w:cs="Arial"/>
                <w:b w:val="0"/>
                <w:i/>
                <w:sz w:val="20"/>
                <w:szCs w:val="20"/>
              </w:rPr>
            </w:pPr>
            <w:r>
              <w:rPr>
                <w:rFonts w:ascii="Arial" w:hAnsi="Arial"/>
                <w:sz w:val="20"/>
              </w:rPr>
              <w:t xml:space="preserve">Seção 11(1)(a) a (c) </w:t>
            </w:r>
            <w:r>
              <w:rPr>
                <w:rFonts w:ascii="Arial" w:hAnsi="Arial"/>
                <w:i/>
                <w:sz w:val="20"/>
              </w:rPr>
              <w:t>(resumido)</w:t>
            </w:r>
            <w:r>
              <w:rPr>
                <w:rFonts w:ascii="Arial" w:hAnsi="Arial"/>
                <w:sz w:val="20"/>
              </w:rPr>
              <w:t>:</w:t>
            </w:r>
          </w:p>
          <w:p w14:paraId="2D077661" w14:textId="77777777" w:rsidR="004B3FAF" w:rsidRPr="00FD20EE" w:rsidRDefault="004B3FAF" w:rsidP="004B3FAF">
            <w:pPr>
              <w:jc w:val="both"/>
              <w:rPr>
                <w:rFonts w:ascii="Arial" w:hAnsi="Arial" w:cs="Arial"/>
                <w:b w:val="0"/>
                <w:sz w:val="20"/>
                <w:szCs w:val="20"/>
              </w:rPr>
            </w:pPr>
            <w:r>
              <w:rPr>
                <w:rFonts w:ascii="Arial" w:hAnsi="Arial"/>
                <w:sz w:val="20"/>
              </w:rPr>
              <w:t xml:space="preserve">Deve ser dada preferência a licenciamentos não exclusivos, entidades de EENBA e pequenas empresas e partes que buscam usar a PI de maneiras que proporcionem benefícios ideais para a economia e a qualidade de vida do povo </w:t>
            </w:r>
            <w:r>
              <w:rPr>
                <w:rFonts w:ascii="Arial" w:hAnsi="Arial"/>
                <w:sz w:val="20"/>
              </w:rPr>
              <w:lastRenderedPageBreak/>
              <w:t>da África do Sul (entre outros).</w:t>
            </w:r>
          </w:p>
        </w:tc>
        <w:tc>
          <w:tcPr>
            <w:tcW w:w="6236" w:type="dxa"/>
            <w:shd w:val="clear" w:color="auto" w:fill="D9D9D9" w:themeFill="background1" w:themeFillShade="D9"/>
          </w:tcPr>
          <w:p w14:paraId="125532B2"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b/>
                <w:sz w:val="20"/>
              </w:rPr>
              <w:lastRenderedPageBreak/>
              <w:t>Seção 209(c)(3):</w:t>
            </w:r>
          </w:p>
          <w:p w14:paraId="698686C4"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sz w:val="20"/>
              </w:rPr>
              <w:t>“</w:t>
            </w:r>
            <w:r>
              <w:rPr>
                <w:rFonts w:ascii="Arial" w:hAnsi="Arial"/>
                <w:i/>
                <w:sz w:val="20"/>
              </w:rPr>
              <w:t>A primeira preferência no licenciamento exclusivo ou parcialmente exclusivo de invenções de propriedade federal será dada a pequenas empresas que apresentarem planos que sejam determinados pela agência como estando dentro das capacidades das empresas e igualmente propensos, se executados, a levar a invenção a aplicações práticas como quaisquer planos apresentados por requerentes que não sejam pequenas empresas”.</w:t>
            </w:r>
          </w:p>
          <w:p w14:paraId="68ECFE91" w14:textId="77777777" w:rsidR="004B3FAF" w:rsidRPr="0024467F"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66EEFA0F"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b/>
                <w:sz w:val="20"/>
              </w:rPr>
              <w:t xml:space="preserve">Regulamento 401.14(i): </w:t>
            </w:r>
          </w:p>
          <w:p w14:paraId="78FBF52D"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sz w:val="20"/>
              </w:rPr>
              <w:t>“</w:t>
            </w:r>
            <w:r>
              <w:rPr>
                <w:rFonts w:ascii="Arial" w:hAnsi="Arial"/>
                <w:i/>
                <w:sz w:val="20"/>
              </w:rPr>
              <w:t>Preferência pela Indústria dos Estados Unidos: Não obstante qualquer outra disposição desta cláusula</w:t>
            </w:r>
            <w:r>
              <w:rPr>
                <w:rFonts w:ascii="Arial" w:hAnsi="Arial"/>
                <w:sz w:val="20"/>
              </w:rPr>
              <w:t xml:space="preserve">, </w:t>
            </w:r>
            <w:r>
              <w:rPr>
                <w:rFonts w:ascii="Arial" w:hAnsi="Arial"/>
                <w:i/>
                <w:sz w:val="20"/>
              </w:rPr>
              <w:t xml:space="preserve">o contratante concorda </w:t>
            </w:r>
            <w:r>
              <w:rPr>
                <w:rFonts w:ascii="Arial" w:hAnsi="Arial"/>
                <w:i/>
                <w:sz w:val="20"/>
              </w:rPr>
              <w:lastRenderedPageBreak/>
              <w:t>que nem ele nem qualquer cessionário concederá a qualquer pessoa o direito exclusivo de usar ou vender quaisquer invenções em questão nos Estados Unidos, a menos que essa pessoa concorde que quaisquer produtos que incorporem a invenção em questão ou produzidos por meio do uso da invenção em questão serão fabricados substancialmente nos Estados Unidos. No entanto, em casos individuais, a exigência de tal acordo pode ser dispensada pela agência federal mediante demonstração pelo contratante ou seu cessionário de que esforços razoáveis, mas sem sucesso, foram feitos para conceder licenças em termos semelhantes a potenciais licenciados que provavelmente fabricariam substancialmente nos Estados Unidos ou que, nas circunstâncias, a fabricação nacional não é comercialmente viável</w:t>
            </w:r>
            <w:r>
              <w:rPr>
                <w:rFonts w:ascii="Arial" w:hAnsi="Arial"/>
                <w:sz w:val="20"/>
              </w:rPr>
              <w:t>”.</w:t>
            </w:r>
          </w:p>
        </w:tc>
      </w:tr>
    </w:tbl>
    <w:p w14:paraId="2ADA85B2" w14:textId="77777777" w:rsidR="004B3FAF" w:rsidRPr="0024467F" w:rsidRDefault="004B3FAF" w:rsidP="00505BDA">
      <w:pPr>
        <w:pStyle w:val="NormalWeb"/>
        <w:tabs>
          <w:tab w:val="left" w:pos="851"/>
        </w:tabs>
        <w:spacing w:before="0" w:beforeAutospacing="0" w:after="0" w:afterAutospacing="0"/>
        <w:jc w:val="both"/>
        <w:rPr>
          <w:rFonts w:ascii="Arial" w:eastAsiaTheme="minorEastAsia" w:hAnsi="Arial" w:cs="Arial"/>
          <w:sz w:val="22"/>
          <w:szCs w:val="22"/>
        </w:rPr>
      </w:pPr>
    </w:p>
    <w:p w14:paraId="1C47BEA1" w14:textId="47F909E7"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rPr>
      </w:pPr>
      <w:r>
        <w:rPr>
          <w:rFonts w:ascii="Arial" w:hAnsi="Arial"/>
          <w:sz w:val="20"/>
        </w:rPr>
        <w:t>É possível licenciar uma tecnologia em uma base diferente por uso da tecnologia ou jurisdição, por exemplo</w:t>
      </w:r>
      <w:r w:rsidR="008411EA">
        <w:rPr>
          <w:rFonts w:ascii="Arial" w:hAnsi="Arial"/>
          <w:sz w:val="20"/>
        </w:rPr>
        <w:t xml:space="preserve">. </w:t>
      </w:r>
      <w:r>
        <w:rPr>
          <w:rFonts w:ascii="Arial" w:hAnsi="Arial"/>
          <w:sz w:val="20"/>
        </w:rPr>
        <w:t>Assim, seria possível licenciar uma empresa na Austrália com exclusividade para fabricar, usar e vender a tecnologia, enquanto uma empresa em Hong Kong poderia receber direitos semelhantes naquela jurisdição</w:t>
      </w:r>
      <w:r w:rsidR="008411EA">
        <w:rPr>
          <w:rFonts w:ascii="Arial" w:hAnsi="Arial"/>
          <w:sz w:val="20"/>
        </w:rPr>
        <w:t xml:space="preserve">. </w:t>
      </w:r>
      <w:r>
        <w:rPr>
          <w:rFonts w:ascii="Arial" w:hAnsi="Arial"/>
          <w:sz w:val="20"/>
        </w:rPr>
        <w:t>Alternativamente, seria possível licenciar uma empresa Chilena para direitos exclusivos mundiais sobre a tecnologia para aplicação no setor de cosméticos, enquanto uma empresa na Malásia receberia direitos exclusivos sobre a tecnologia no setor marítimo.</w:t>
      </w:r>
    </w:p>
    <w:p w14:paraId="0768EC7A" w14:textId="0BFC4988" w:rsidR="008905C0" w:rsidRPr="00FD20EE" w:rsidRDefault="008C13DD" w:rsidP="004B3FAF">
      <w:pPr>
        <w:pStyle w:val="NormalWeb"/>
        <w:tabs>
          <w:tab w:val="left" w:pos="851"/>
        </w:tabs>
        <w:spacing w:before="0" w:beforeAutospacing="0" w:after="200" w:afterAutospacing="0"/>
        <w:ind w:left="426"/>
        <w:jc w:val="both"/>
        <w:rPr>
          <w:rFonts w:ascii="Arial" w:eastAsiaTheme="minorEastAsia" w:hAnsi="Arial" w:cs="Arial"/>
          <w:sz w:val="20"/>
          <w:szCs w:val="22"/>
        </w:rPr>
      </w:pPr>
      <w:r>
        <w:rPr>
          <w:rFonts w:ascii="Arial" w:hAnsi="Arial"/>
          <w:b/>
          <w:sz w:val="20"/>
        </w:rPr>
        <w:t>Licenças exclusivas</w:t>
      </w:r>
      <w:r>
        <w:rPr>
          <w:rFonts w:ascii="Arial" w:hAnsi="Arial"/>
          <w:sz w:val="20"/>
        </w:rPr>
        <w:t>. Partes externas ou patrocinadores geralmente exigem uma licença exclusiva, pois oferecem mais proteção para o desenvolvimento necessário a ser conduzido antes que uma invenção fornecida pela universidade possa se tornar um produto comercializado. A questão é particularmente crucial para start-ups que têm poucos ativos além de sua propriedade intelectual</w:t>
      </w:r>
      <w:r w:rsidR="008411EA">
        <w:rPr>
          <w:rFonts w:ascii="Arial" w:hAnsi="Arial"/>
          <w:sz w:val="20"/>
        </w:rPr>
        <w:t xml:space="preserve">. </w:t>
      </w:r>
      <w:r>
        <w:rPr>
          <w:rFonts w:ascii="Arial" w:hAnsi="Arial"/>
          <w:sz w:val="20"/>
        </w:rPr>
        <w:t>Por outro lado, por definição, as licenças exclusivas limitam a difusão de tecnologias</w:t>
      </w:r>
      <w:r w:rsidR="008411EA">
        <w:rPr>
          <w:rFonts w:ascii="Arial" w:hAnsi="Arial"/>
          <w:sz w:val="20"/>
        </w:rPr>
        <w:t xml:space="preserve">. </w:t>
      </w:r>
      <w:r>
        <w:rPr>
          <w:rFonts w:ascii="Arial" w:hAnsi="Arial"/>
          <w:sz w:val="20"/>
        </w:rPr>
        <w:t>A opinião geral é que as instituições devem licenciar exclusivamente sempre que tal exclusividade for necessária para fornecer ao setor privado a justificativa de retorno sobre o investimento (RSI) para investir no desenvolvimento da tecnologia</w:t>
      </w:r>
      <w:r w:rsidR="008411EA">
        <w:rPr>
          <w:rFonts w:ascii="Arial" w:hAnsi="Arial"/>
          <w:sz w:val="20"/>
        </w:rPr>
        <w:t xml:space="preserve">. </w:t>
      </w:r>
      <w:r>
        <w:rPr>
          <w:rFonts w:ascii="Arial" w:hAnsi="Arial"/>
          <w:sz w:val="20"/>
        </w:rPr>
        <w:t>Quase todas as tecnologias universitárias exigem investimento adicional para serem comercializadas e a não exclusividade normalmente não é suficiente para justificar o investimento</w:t>
      </w:r>
      <w:r w:rsidR="008411EA">
        <w:rPr>
          <w:rFonts w:ascii="Arial" w:hAnsi="Arial"/>
          <w:sz w:val="20"/>
        </w:rPr>
        <w:t xml:space="preserve">. </w:t>
      </w:r>
      <w:r>
        <w:rPr>
          <w:rFonts w:ascii="Arial" w:hAnsi="Arial"/>
          <w:sz w:val="20"/>
        </w:rPr>
        <w:t>Ao mesmo tempo, a exclusividade é frequentemente concedida com restrições por parte do licenciado</w:t>
      </w:r>
      <w:r w:rsidR="004B3FAF" w:rsidRPr="00FD20EE">
        <w:rPr>
          <w:rStyle w:val="FootnoteReference"/>
          <w:rFonts w:ascii="Arial" w:eastAsiaTheme="minorEastAsia" w:hAnsi="Arial" w:cs="Arial"/>
          <w:sz w:val="20"/>
          <w:szCs w:val="22"/>
          <w:lang w:val="en-US"/>
        </w:rPr>
        <w:footnoteReference w:id="164"/>
      </w:r>
      <w:r>
        <w:rPr>
          <w:rFonts w:ascii="Arial" w:hAnsi="Arial"/>
          <w:sz w:val="20"/>
        </w:rPr>
        <w:t xml:space="preserve">: </w:t>
      </w:r>
    </w:p>
    <w:p w14:paraId="5F44AA75" w14:textId="35E07829" w:rsidR="008905C0"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rPr>
      </w:pPr>
      <w:r>
        <w:rPr>
          <w:rFonts w:ascii="Arial" w:hAnsi="Arial"/>
          <w:sz w:val="20"/>
        </w:rPr>
        <w:t xml:space="preserve">As instituições geralmente incluem cláusulas em contratos de licença para proteger os interesses públicos e o acesso à PI para pesquisa e desenvolvimento futuros; </w:t>
      </w:r>
    </w:p>
    <w:p w14:paraId="684C35CD" w14:textId="03476C35" w:rsidR="004B3FAF"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rPr>
      </w:pPr>
      <w:r>
        <w:rPr>
          <w:rFonts w:ascii="Arial" w:hAnsi="Arial"/>
          <w:sz w:val="20"/>
        </w:rPr>
        <w:t>Os acordos de licenciamento em muitas instituições incluem um compromisso de exploração da invenção por parte do licenciado, principalmente se a licença for exclusiva, e de concordar com marcos para garantir que a comercialização ocorra</w:t>
      </w:r>
      <w:r w:rsidR="008411EA">
        <w:rPr>
          <w:rFonts w:ascii="Arial" w:hAnsi="Arial"/>
          <w:sz w:val="20"/>
        </w:rPr>
        <w:t xml:space="preserve">. </w:t>
      </w:r>
      <w:r>
        <w:rPr>
          <w:rFonts w:ascii="Arial" w:hAnsi="Arial"/>
          <w:sz w:val="20"/>
        </w:rPr>
        <w:t>Essas salvaguardas podem ser usadas para garantir que a tecnologia seja transferida e que as patentes licenciadas não sejam usadas simplesmente para bloquear concorrentes.</w:t>
      </w:r>
      <w:r w:rsidRPr="00FD20EE">
        <w:rPr>
          <w:rStyle w:val="FootnoteReference"/>
          <w:rFonts w:ascii="Arial" w:eastAsiaTheme="minorEastAsia" w:hAnsi="Arial" w:cs="Arial"/>
          <w:sz w:val="20"/>
          <w:szCs w:val="22"/>
          <w:lang w:val="en-US"/>
        </w:rPr>
        <w:footnoteReference w:id="165"/>
      </w:r>
      <w:r>
        <w:rPr>
          <w:rFonts w:ascii="Arial" w:hAnsi="Arial"/>
          <w:i/>
          <w:sz w:val="20"/>
        </w:rPr>
        <w:t xml:space="preserve"> </w:t>
      </w:r>
    </w:p>
    <w:p w14:paraId="4EB8D782" w14:textId="77777777" w:rsidR="00577265" w:rsidRPr="00FD20EE" w:rsidRDefault="00577265"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No Interesse Público: Nove Pontos a Considerar no Licenciamento de Tecnologia da Universidade</w:t>
      </w:r>
    </w:p>
    <w:p w14:paraId="24306E7E" w14:textId="77777777" w:rsidR="00E568EC" w:rsidRPr="00FD20EE" w:rsidRDefault="00E568EC"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eastAsiaTheme="minorEastAsia" w:hAnsi="Arial" w:cs="Arial"/>
          <w:sz w:val="20"/>
          <w:szCs w:val="22"/>
        </w:rPr>
      </w:pPr>
      <w:r>
        <w:rPr>
          <w:rFonts w:ascii="Arial" w:hAnsi="Arial"/>
          <w:sz w:val="20"/>
        </w:rPr>
        <w:t>Nos Estados Unidos, as principais universidades de pesquisa do país e a Associação Americana de Escolas de Medicina (AAEM) emitiram um conjunto de diretrizes compartilhadas</w:t>
      </w:r>
      <w:r>
        <w:rPr>
          <w:rStyle w:val="element-invisible"/>
          <w:rFonts w:ascii="Arial" w:hAnsi="Arial"/>
          <w:sz w:val="20"/>
        </w:rPr>
        <w:t xml:space="preserve"> </w:t>
      </w:r>
      <w:r>
        <w:rPr>
          <w:rFonts w:ascii="Arial" w:hAnsi="Arial"/>
          <w:sz w:val="20"/>
        </w:rPr>
        <w:t>pretende proteger o interesse público quando as universidades concedem licenças para os direitos dos seus mais recentes avanços científicos a entidades privadas. Entre outros, os “</w:t>
      </w:r>
      <w:hyperlink r:id="rId144" w:history="1">
        <w:r>
          <w:rPr>
            <w:rStyle w:val="Hyperlink"/>
            <w:rFonts w:ascii="Arial" w:hAnsi="Arial"/>
            <w:sz w:val="20"/>
          </w:rPr>
          <w:t>Nove Pontos</w:t>
        </w:r>
      </w:hyperlink>
      <w:r>
        <w:rPr>
          <w:rFonts w:ascii="Arial" w:hAnsi="Arial"/>
          <w:sz w:val="20"/>
        </w:rPr>
        <w:t xml:space="preserve">” estabeleceu que os licenciados muitas vezes buscam acesso garantido a futuras melhorias de invenções licenciadas e que tal acesso pode efetivamente envolver o programa de pesquisa de um membro da faculdade. Como tal, os “Nove Pontos” desencorajam a concessão de licenças exclusivas para “melhorias” ou invenções “subsequentes” e, em vez disso, declaram que os </w:t>
      </w:r>
      <w:r>
        <w:rPr>
          <w:rFonts w:ascii="Arial" w:hAnsi="Arial"/>
          <w:sz w:val="20"/>
        </w:rPr>
        <w:lastRenderedPageBreak/>
        <w:t>direitos licenciados devem ser limitados a pedidos de patentes e patentes existentes. (Veja os Pontos 1, 2 e 3)</w:t>
      </w:r>
    </w:p>
    <w:p w14:paraId="710BB090" w14:textId="5E811095" w:rsidR="008905C0"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i/>
          <w:sz w:val="18"/>
          <w:szCs w:val="22"/>
        </w:rPr>
      </w:pPr>
      <w:r>
        <w:rPr>
          <w:rFonts w:ascii="Arial" w:hAnsi="Arial"/>
          <w:b/>
          <w:sz w:val="20"/>
        </w:rPr>
        <w:t xml:space="preserve">Artigo 9.4.b, </w:t>
      </w:r>
      <w:r>
        <w:rPr>
          <w:rFonts w:ascii="Arial" w:hAnsi="Arial"/>
          <w:b/>
          <w:i/>
          <w:sz w:val="20"/>
        </w:rPr>
        <w:t>cessão (venda)</w:t>
      </w:r>
      <w:r w:rsidRPr="00505BDA">
        <w:rPr>
          <w:rFonts w:ascii="Arial" w:hAnsi="Arial"/>
          <w:bCs/>
          <w:sz w:val="20"/>
        </w:rPr>
        <w:t xml:space="preserve">: </w:t>
      </w:r>
      <w:r>
        <w:rPr>
          <w:rFonts w:ascii="Arial" w:hAnsi="Arial"/>
          <w:sz w:val="20"/>
        </w:rPr>
        <w:t>Há um debate sobre se o licenciamento ou a cessão da PI da Instituição é mais apropriado</w:t>
      </w:r>
      <w:r w:rsidR="008411EA">
        <w:rPr>
          <w:rFonts w:ascii="Arial" w:hAnsi="Arial"/>
          <w:sz w:val="20"/>
        </w:rPr>
        <w:t xml:space="preserve">. </w:t>
      </w:r>
      <w:r>
        <w:rPr>
          <w:rFonts w:ascii="Arial" w:hAnsi="Arial"/>
          <w:sz w:val="20"/>
        </w:rPr>
        <w:t>Muitas instituições (nos EUA, por exemplo, devido às disposições legais da Lei Bayh-Dole) raramente cedem sua PI, apenas a licença. Outras instituições (na Europa, por exemplo) acreditam que a cessão é necessária em certas situações, incluindo contratos de pesquisa patrocinados com empresas privadas</w:t>
      </w:r>
      <w:r w:rsidR="008411EA">
        <w:rPr>
          <w:rFonts w:ascii="Arial" w:hAnsi="Arial"/>
          <w:sz w:val="20"/>
        </w:rPr>
        <w:t xml:space="preserve">. </w:t>
      </w:r>
      <w:r>
        <w:rPr>
          <w:rFonts w:ascii="Arial" w:hAnsi="Arial"/>
          <w:sz w:val="20"/>
        </w:rPr>
        <w:t>Na África do Sul, a Lei de Direitos de Propriedade Intelectual de Pesquisa e Desenvolvimento Financiados Publicamente prevê a cessão de PI como uma exceção e não como a norma, com qualquer cessão exigindo aprovação do ENGPI, a agência de supervisão</w:t>
      </w:r>
      <w:r w:rsidR="008411EA">
        <w:rPr>
          <w:rFonts w:ascii="Arial" w:hAnsi="Arial"/>
          <w:sz w:val="20"/>
        </w:rPr>
        <w:t xml:space="preserve">. </w:t>
      </w:r>
    </w:p>
    <w:p w14:paraId="68816784" w14:textId="55EFF8BE" w:rsidR="004B3FAF" w:rsidRPr="00FD20EE" w:rsidRDefault="004B3FAF" w:rsidP="008905C0">
      <w:pPr>
        <w:pStyle w:val="NormalWeb"/>
        <w:tabs>
          <w:tab w:val="left" w:pos="851"/>
        </w:tabs>
        <w:spacing w:before="0" w:beforeAutospacing="0" w:after="200" w:afterAutospacing="0"/>
        <w:ind w:left="426"/>
        <w:jc w:val="both"/>
        <w:rPr>
          <w:rFonts w:ascii="Arial" w:eastAsiaTheme="minorEastAsia" w:hAnsi="Arial" w:cs="Arial"/>
          <w:i/>
          <w:sz w:val="18"/>
          <w:szCs w:val="22"/>
        </w:rPr>
      </w:pPr>
      <w:r>
        <w:rPr>
          <w:rFonts w:ascii="Arial" w:hAnsi="Arial"/>
          <w:sz w:val="20"/>
        </w:rPr>
        <w:t>O licenciamento é geralmente visto como a forma mais apropriada de comercialização de PI de instituições, pois permite que mais partes tenham acesso à PI e, consequentemente, pode resultar em maior disseminação da PI e impacto generalizado</w:t>
      </w:r>
      <w:r w:rsidR="008411EA">
        <w:rPr>
          <w:rFonts w:ascii="Arial" w:hAnsi="Arial"/>
          <w:sz w:val="20"/>
        </w:rPr>
        <w:t xml:space="preserve">. </w:t>
      </w:r>
      <w:r>
        <w:rPr>
          <w:rFonts w:ascii="Arial" w:hAnsi="Arial"/>
          <w:sz w:val="20"/>
        </w:rPr>
        <w:t>No entanto, em casos em que a PI ainda exige investimento significativo para ser colocada no mercado, e também onde há parceiros industriais limitados que podem desbloquear valor na PI, uma cessão pode ser considerada e, se não for permitida pela legislação, uma licença exclusiva seria a melhor opção, pois a PI só pode ser explorada pelo licenciado</w:t>
      </w:r>
      <w:r w:rsidR="008411EA">
        <w:rPr>
          <w:rFonts w:ascii="Arial" w:hAnsi="Arial"/>
          <w:sz w:val="20"/>
        </w:rPr>
        <w:t xml:space="preserve">. </w:t>
      </w:r>
      <w:r>
        <w:rPr>
          <w:rFonts w:ascii="Arial" w:hAnsi="Arial"/>
          <w:sz w:val="20"/>
        </w:rPr>
        <w:t>Caso uma licença exclusiva seja considerada, é aconselhável que haja termos de desempenho incluídos no acordo, para garantir que a PI não se torne estéril nas mãos do licenciado</w:t>
      </w:r>
      <w:r w:rsidR="008411EA">
        <w:rPr>
          <w:rFonts w:ascii="Arial" w:hAnsi="Arial"/>
          <w:sz w:val="20"/>
        </w:rPr>
        <w:t xml:space="preserve">. </w:t>
      </w:r>
      <w:r>
        <w:rPr>
          <w:rFonts w:ascii="Arial" w:hAnsi="Arial"/>
          <w:sz w:val="20"/>
        </w:rPr>
        <w:t>Também pode ser uma boa ideia vincular os termos de desempenho a marcos claros, que também devem ser acompanhados por pagamentos de marcos pelo licenciado à Instituição.</w:t>
      </w:r>
    </w:p>
    <w:p w14:paraId="476D1FAD" w14:textId="3B21A4F0" w:rsidR="008F2873" w:rsidRPr="00FD20EE" w:rsidRDefault="004B3FAF" w:rsidP="009D4A54">
      <w:pPr>
        <w:pStyle w:val="NormalWeb"/>
        <w:numPr>
          <w:ilvl w:val="0"/>
          <w:numId w:val="19"/>
        </w:numPr>
        <w:tabs>
          <w:tab w:val="left" w:pos="851"/>
        </w:tabs>
        <w:spacing w:before="0" w:beforeAutospacing="0" w:after="240" w:afterAutospacing="0"/>
        <w:ind w:left="425" w:hanging="425"/>
        <w:jc w:val="both"/>
        <w:rPr>
          <w:rFonts w:ascii="Arial" w:hAnsi="Arial" w:cs="Arial"/>
          <w:sz w:val="22"/>
        </w:rPr>
      </w:pPr>
      <w:r w:rsidRPr="00505BDA">
        <w:rPr>
          <w:rFonts w:ascii="Arial" w:hAnsi="Arial"/>
          <w:b/>
          <w:sz w:val="20"/>
        </w:rPr>
        <w:t>Artigo 9.4.c,</w:t>
      </w:r>
      <w:r>
        <w:rPr>
          <w:rFonts w:ascii="Arial" w:hAnsi="Arial"/>
          <w:b/>
          <w:i/>
          <w:sz w:val="22"/>
        </w:rPr>
        <w:t xml:space="preserve"> </w:t>
      </w:r>
      <w:r>
        <w:rPr>
          <w:rFonts w:ascii="Arial" w:hAnsi="Arial"/>
          <w:b/>
          <w:i/>
          <w:sz w:val="20"/>
        </w:rPr>
        <w:t>formação de uma Entidade de Comercialização</w:t>
      </w:r>
      <w:r w:rsidRPr="00505BDA">
        <w:rPr>
          <w:rFonts w:ascii="Arial" w:hAnsi="Arial"/>
          <w:bCs/>
          <w:iCs/>
          <w:sz w:val="20"/>
        </w:rPr>
        <w:t>:</w:t>
      </w:r>
      <w:r w:rsidRPr="00505BDA">
        <w:rPr>
          <w:rFonts w:ascii="Arial" w:hAnsi="Arial"/>
          <w:bCs/>
          <w:iCs/>
          <w:sz w:val="22"/>
        </w:rPr>
        <w:t xml:space="preserve"> </w:t>
      </w:r>
      <w:r>
        <w:rPr>
          <w:rFonts w:ascii="Arial" w:hAnsi="Arial"/>
          <w:sz w:val="20"/>
        </w:rPr>
        <w:t xml:space="preserve">Uma Entidade de Comercialização (spin-off ou start-up) é uma entidade autônoma criada por uma organização controladora (neste caso, a Instituição) para colocar seus ativos de PI no mercado. </w:t>
      </w:r>
    </w:p>
    <w:p w14:paraId="4064F8D4" w14:textId="14C14E40" w:rsidR="008F2873" w:rsidRPr="00FD20EE" w:rsidRDefault="004B3FAF" w:rsidP="00442A35">
      <w:pPr>
        <w:pStyle w:val="NormalWeb"/>
        <w:tabs>
          <w:tab w:val="left" w:pos="851"/>
        </w:tabs>
        <w:spacing w:before="0" w:beforeAutospacing="0" w:after="240" w:afterAutospacing="0"/>
        <w:ind w:left="426"/>
        <w:jc w:val="both"/>
        <w:rPr>
          <w:rFonts w:ascii="Arial" w:hAnsi="Arial" w:cs="Arial"/>
          <w:sz w:val="22"/>
        </w:rPr>
      </w:pPr>
      <w:r>
        <w:rPr>
          <w:rFonts w:ascii="Arial" w:hAnsi="Arial"/>
          <w:sz w:val="20"/>
        </w:rPr>
        <w:t>Esta rota é normalmente escolhida:</w:t>
      </w:r>
    </w:p>
    <w:p w14:paraId="7CAAB3B4" w14:textId="77777777"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rPr>
      </w:pPr>
      <w:r>
        <w:rPr>
          <w:rFonts w:ascii="Arial" w:hAnsi="Arial"/>
          <w:sz w:val="20"/>
          <w:u w:val="single"/>
        </w:rPr>
        <w:t>quando não há nenhuma empresa existente para abordar</w:t>
      </w:r>
      <w:r>
        <w:rPr>
          <w:rFonts w:ascii="Arial" w:hAnsi="Arial"/>
          <w:sz w:val="20"/>
        </w:rPr>
        <w:t xml:space="preserve"> sobre um avanço significativo em um campo de tecnologia. A rota da Entidade de Comercialização pode ser a única opção quando nenhum licenciado pode ser recrutado para comercializar um produto (ou seja, se a tecnologia não se enquadra nas ofertas de produtos e mercados das empresas existentes) e quando ainda não existe um mercado para o produto; ou</w:t>
      </w:r>
    </w:p>
    <w:p w14:paraId="3BBD06AA" w14:textId="3475ABB0"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rPr>
      </w:pPr>
      <w:r>
        <w:rPr>
          <w:rFonts w:ascii="Arial" w:hAnsi="Arial"/>
          <w:sz w:val="20"/>
          <w:u w:val="single"/>
        </w:rPr>
        <w:t>porque a tecnologia tem possibilidades claras</w:t>
      </w:r>
      <w:r>
        <w:rPr>
          <w:rFonts w:ascii="Arial" w:hAnsi="Arial"/>
          <w:sz w:val="20"/>
        </w:rPr>
        <w:t xml:space="preserve"> para gerar muitos produtos e aplicações e, portanto, potencialmente poderia ser extremamente valioso. Quando a tecnologia é suficientemente ampla (por exemplo, uma tecnologia de plataforma que permite a produção de uma gama de produtos diferentes, possivelmente para uma gama de mercados diferentes) e quando o investimento de capital necessário para o desenvolvimento e comercialização do produto é justificado pelos retornos potenciais</w:t>
      </w:r>
      <w:r w:rsidR="008411EA">
        <w:rPr>
          <w:rFonts w:ascii="Arial" w:hAnsi="Arial"/>
          <w:sz w:val="20"/>
        </w:rPr>
        <w:t xml:space="preserve">. </w:t>
      </w:r>
      <w:r>
        <w:rPr>
          <w:rFonts w:ascii="Arial" w:hAnsi="Arial"/>
          <w:sz w:val="20"/>
        </w:rPr>
        <w:t>Os custos e riscos devem ser ponderados em relação aos retornos potenciais ao decidir se deve formar uma nova empresa ou licenciar a tecnologia para uma empresa existente que tenha a infraestrutura necessária, como canais de marketing, conhecimento do setor, instalações, gestão comercial e uma rede de contatos existente no local</w:t>
      </w:r>
      <w:r w:rsidR="008411EA">
        <w:rPr>
          <w:rFonts w:ascii="Arial" w:hAnsi="Arial"/>
          <w:sz w:val="20"/>
        </w:rPr>
        <w:t xml:space="preserve">. </w:t>
      </w:r>
    </w:p>
    <w:p w14:paraId="5DB56E6A" w14:textId="6DBC7065" w:rsidR="004B3FAF" w:rsidRPr="00FD20EE" w:rsidRDefault="004B3FAF" w:rsidP="00442A35">
      <w:pPr>
        <w:pStyle w:val="NormalWeb"/>
        <w:tabs>
          <w:tab w:val="left" w:pos="851"/>
        </w:tabs>
        <w:spacing w:before="0" w:beforeAutospacing="0" w:after="240" w:afterAutospacing="0"/>
        <w:ind w:left="426"/>
        <w:jc w:val="both"/>
        <w:rPr>
          <w:rFonts w:ascii="Arial" w:hAnsi="Arial" w:cs="Arial"/>
          <w:sz w:val="22"/>
        </w:rPr>
      </w:pPr>
      <w:r>
        <w:rPr>
          <w:rFonts w:ascii="Arial" w:hAnsi="Arial"/>
          <w:sz w:val="20"/>
        </w:rPr>
        <w:t>Por outro lado, uma licença pode ser a única opção se o financiamento para desenvolvimento e marketing do produto não estiver disponível</w:t>
      </w:r>
      <w:r w:rsidR="008411EA">
        <w:rPr>
          <w:rFonts w:ascii="Arial" w:hAnsi="Arial"/>
          <w:sz w:val="20"/>
        </w:rPr>
        <w:t xml:space="preserve">. </w:t>
      </w:r>
      <w:r>
        <w:rPr>
          <w:rFonts w:ascii="Arial" w:hAnsi="Arial"/>
          <w:sz w:val="20"/>
        </w:rPr>
        <w:t xml:space="preserve">A formação de uma nova empresa como meio de comercializar tecnologia apresenta um risco maior do que a rota tradicional de licenciamento; no entanto, tem o potencial de contribuir para o desenvolvimento econômico por meio da criação de empregos. Há muitos desafios enfrentados por novas empresas, especialmente spin-outs baseadas em tecnologia. Uma grande variedade de habilidades, expertise e recursos são necessários para que elas desenvolvam e comercializem seus próprios produtos. Elas geralmente exigem um grande investimento durante um período de tempo relativamente longo antes que as vendas e as receitas sejam realizadas. Spin-offs de empresas existentes geralmente têm uma infraestrutura e base de suporte fortes, enquanto spin-offs de Universidades e instituições de pesquisa podem correr maior risco, já que as instituições normalmente são limitadas em termos de pessoal, recursos financeiros e capacidades que podem dedicar à comercialização de </w:t>
      </w:r>
      <w:r>
        <w:rPr>
          <w:rFonts w:ascii="Arial" w:hAnsi="Arial"/>
          <w:sz w:val="20"/>
        </w:rPr>
        <w:lastRenderedPageBreak/>
        <w:t xml:space="preserve">tecnologia. Em ambos os casos, um plano operacional e de negócios sólido e bem pesquisado, além de acesso aos recursos financeiros necessários, são essenciais. </w:t>
      </w:r>
    </w:p>
    <w:p w14:paraId="1459BD5D" w14:textId="56E3B687" w:rsidR="00C21221"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bookmarkStart w:id="287" w:name="Box63"/>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287"/>
      <w:r w:rsidR="00505BDA">
        <w:rPr>
          <w:rFonts w:ascii="Arial" w:hAnsi="Arial" w:cs="Arial"/>
          <w:b/>
          <w:sz w:val="20"/>
        </w:rPr>
        <w:t xml:space="preserve"> </w:t>
      </w:r>
      <w:r>
        <w:rPr>
          <w:rFonts w:ascii="Arial" w:hAnsi="Arial"/>
          <w:b/>
          <w:sz w:val="20"/>
        </w:rPr>
        <w:t>Dicas para Promover a Formação de Entidades de Comercialização</w:t>
      </w:r>
      <w:r w:rsidR="00C21221" w:rsidRPr="00FD20EE">
        <w:rPr>
          <w:rStyle w:val="FootnoteReference"/>
          <w:rFonts w:ascii="Arial" w:hAnsi="Arial" w:cs="Arial"/>
          <w:b/>
          <w:sz w:val="20"/>
          <w:szCs w:val="32"/>
          <w:lang w:val="en-US"/>
        </w:rPr>
        <w:footnoteReference w:id="166"/>
      </w:r>
    </w:p>
    <w:p w14:paraId="51C25EFE" w14:textId="77777777" w:rsidR="00C21221" w:rsidRPr="0024467F" w:rsidRDefault="00C21221"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p>
    <w:p w14:paraId="28C317AF" w14:textId="77777777" w:rsidR="007E290E"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color w:val="000000" w:themeColor="text1"/>
          <w:sz w:val="20"/>
        </w:rPr>
      </w:pPr>
      <w:r>
        <w:rPr>
          <w:rFonts w:ascii="Arial" w:hAnsi="Arial"/>
          <w:color w:val="000000" w:themeColor="text1"/>
          <w:sz w:val="20"/>
        </w:rPr>
        <w:t>Os fatores que provavelmente influenciarão positivamente a capacidade de spin-off de uma instituição são:</w:t>
      </w:r>
    </w:p>
    <w:p w14:paraId="5F704D25"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Permitir participação societária - Instituições (e Criadores) que podem assumir participação societária em uma spin-off em vez de taxas de royalties de licenciamento têm uma taxa de startups que é maior que aquelas que recusam a participação societária;</w:t>
      </w:r>
    </w:p>
    <w:p w14:paraId="724C6399"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Permitir licenciamento exclusivo;</w:t>
      </w:r>
    </w:p>
    <w:p w14:paraId="7795D8A5"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Oferecer licenças de ausência;</w:t>
      </w:r>
    </w:p>
    <w:p w14:paraId="4AA519B7"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Permitir o uso de recursos da Instituição;</w:t>
      </w:r>
    </w:p>
    <w:p w14:paraId="3AD87159"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Atribuir uma parcela menor de royalties aos inventores;</w:t>
      </w:r>
    </w:p>
    <w:p w14:paraId="1C814471"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Fornecer acesso ao capital na fase pré-seed;</w:t>
      </w:r>
    </w:p>
    <w:p w14:paraId="262B661D"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Permitir colaboração em pesquisa;</w:t>
      </w:r>
    </w:p>
    <w:p w14:paraId="69F92FD0"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r>
        <w:rPr>
          <w:rFonts w:ascii="Arial" w:hAnsi="Arial"/>
          <w:color w:val="000000" w:themeColor="text1"/>
          <w:sz w:val="20"/>
        </w:rPr>
        <w:t>Recrutar e treinar funcionários do EGPI com habilidades comerciais amplas e pagar uma remuneração adequada ao pessoal do EGPI.</w:t>
      </w:r>
    </w:p>
    <w:p w14:paraId="17AC3121" w14:textId="77777777" w:rsidR="007E290E" w:rsidRPr="0024467F" w:rsidRDefault="007E290E" w:rsidP="007E290E">
      <w:pPr>
        <w:pStyle w:val="NormalWeb"/>
        <w:tabs>
          <w:tab w:val="left" w:pos="851"/>
        </w:tabs>
        <w:spacing w:before="0" w:beforeAutospacing="0" w:after="200" w:afterAutospacing="0"/>
        <w:jc w:val="both"/>
        <w:rPr>
          <w:rFonts w:ascii="Arial" w:hAnsi="Arial" w:cs="Arial"/>
          <w:sz w:val="22"/>
          <w:lang w:eastAsia="en-US"/>
        </w:rPr>
      </w:pPr>
    </w:p>
    <w:p w14:paraId="43E58E6A" w14:textId="78DE4B9B" w:rsidR="004B3FAF" w:rsidRPr="00C0421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b/>
          <w:i/>
          <w:sz w:val="22"/>
        </w:rPr>
      </w:pPr>
      <w:r>
        <w:rPr>
          <w:rFonts w:ascii="Arial" w:hAnsi="Arial"/>
          <w:b/>
          <w:sz w:val="20"/>
        </w:rPr>
        <w:t>Artigo 9.4.d,</w:t>
      </w:r>
      <w:r>
        <w:rPr>
          <w:rFonts w:ascii="Arial" w:hAnsi="Arial"/>
          <w:b/>
          <w:i/>
          <w:sz w:val="20"/>
        </w:rPr>
        <w:t xml:space="preserve"> uso sem fins lucrativos ou doação</w:t>
      </w:r>
      <w:r w:rsidRPr="00505BDA">
        <w:rPr>
          <w:rFonts w:ascii="Arial" w:hAnsi="Arial"/>
          <w:bCs/>
          <w:sz w:val="20"/>
        </w:rPr>
        <w:t>:</w:t>
      </w:r>
      <w:r>
        <w:rPr>
          <w:rFonts w:ascii="Arial" w:hAnsi="Arial"/>
          <w:sz w:val="20"/>
        </w:rPr>
        <w:t xml:space="preserve"> Há casos em que não é apropriado comercializar a PI da Instituição para obter retornos financeiros</w:t>
      </w:r>
      <w:r w:rsidR="008411EA">
        <w:rPr>
          <w:rFonts w:ascii="Arial" w:hAnsi="Arial"/>
          <w:sz w:val="20"/>
        </w:rPr>
        <w:t xml:space="preserve">. </w:t>
      </w:r>
      <w:r>
        <w:rPr>
          <w:rFonts w:ascii="Arial" w:hAnsi="Arial"/>
          <w:sz w:val="20"/>
        </w:rPr>
        <w:t>Isso pode incluir casos quando a pesquisa foi patrocinada por uma organização filantrópica (como a Fundação Bill e Melinda Gates ou a Organização Mundial da Saúde) e a doação da PI ou a concessão de direitos de acesso para uso sem fins lucrativos é importante para o sucesso do projeto</w:t>
      </w:r>
      <w:r w:rsidR="008411EA">
        <w:rPr>
          <w:rFonts w:ascii="Arial" w:hAnsi="Arial"/>
          <w:sz w:val="20"/>
        </w:rPr>
        <w:t xml:space="preserve">. </w:t>
      </w:r>
      <w:r>
        <w:rPr>
          <w:rFonts w:ascii="Arial" w:hAnsi="Arial"/>
          <w:sz w:val="20"/>
        </w:rPr>
        <w:t>Esses patrocinadores normalmente executam projetos semelhantes em jurisdições diferentes e essa é a análise da soma dos dados de cada jurisdição que é útil para, por exemplo, elaborar regimes de dosagem para um fármaco específico</w:t>
      </w:r>
      <w:r w:rsidR="008411EA">
        <w:rPr>
          <w:rFonts w:ascii="Arial" w:hAnsi="Arial"/>
          <w:sz w:val="20"/>
        </w:rPr>
        <w:t xml:space="preserve">. </w:t>
      </w:r>
      <w:r>
        <w:rPr>
          <w:rFonts w:ascii="Arial" w:hAnsi="Arial"/>
          <w:sz w:val="20"/>
        </w:rPr>
        <w:t>Essa rota provavelmente estaria alinhada com a visão da Instituição para o bem público.</w:t>
      </w:r>
    </w:p>
    <w:p w14:paraId="589540AA" w14:textId="4F3DDA3D" w:rsidR="004B3FAF" w:rsidRPr="00FD20EE" w:rsidRDefault="004B3FAF" w:rsidP="009D4A54">
      <w:pPr>
        <w:pStyle w:val="ListParagraph"/>
        <w:numPr>
          <w:ilvl w:val="1"/>
          <w:numId w:val="19"/>
        </w:numPr>
        <w:spacing w:after="0" w:line="240" w:lineRule="auto"/>
        <w:ind w:left="426"/>
        <w:jc w:val="both"/>
        <w:rPr>
          <w:rFonts w:ascii="Arial" w:hAnsi="Arial" w:cs="Arial"/>
          <w:sz w:val="20"/>
        </w:rPr>
      </w:pPr>
      <w:r>
        <w:rPr>
          <w:rFonts w:ascii="Arial" w:hAnsi="Arial"/>
          <w:b/>
          <w:sz w:val="20"/>
        </w:rPr>
        <w:t>Artigo 9.4.e</w:t>
      </w:r>
      <w:r>
        <w:rPr>
          <w:rFonts w:ascii="Arial" w:hAnsi="Arial"/>
          <w:b/>
          <w:i/>
          <w:sz w:val="20"/>
        </w:rPr>
        <w:t>, joint ventures</w:t>
      </w:r>
      <w:r>
        <w:rPr>
          <w:rFonts w:ascii="Arial" w:hAnsi="Arial"/>
          <w:sz w:val="20"/>
        </w:rPr>
        <w:t>: Uma Instituição pode optar por formar uma joint venture (JV) com uma parte externa ou patrocinador para realizar a comercialização da PI da Instituição</w:t>
      </w:r>
      <w:r w:rsidR="008411EA">
        <w:rPr>
          <w:rFonts w:ascii="Arial" w:hAnsi="Arial"/>
          <w:sz w:val="20"/>
        </w:rPr>
        <w:t xml:space="preserve">. </w:t>
      </w:r>
      <w:r>
        <w:rPr>
          <w:rFonts w:ascii="Arial" w:hAnsi="Arial"/>
          <w:sz w:val="20"/>
        </w:rPr>
        <w:t>Isso pode exigir que a Instituição e a parte externa ou patrocinador licenciem e/ou cedam a PI ou o conjunto de DPIs à JV</w:t>
      </w:r>
      <w:r w:rsidR="008411EA">
        <w:rPr>
          <w:rFonts w:ascii="Arial" w:hAnsi="Arial"/>
          <w:sz w:val="20"/>
        </w:rPr>
        <w:t>.</w:t>
      </w:r>
      <w:r>
        <w:rPr>
          <w:rFonts w:ascii="Arial" w:hAnsi="Arial"/>
          <w:sz w:val="20"/>
        </w:rPr>
        <w:t xml:space="preserve"> A justificativa para entrar em uma joint venture é que o risco é compartilhado e as partes co-lideram a comercialização da PI</w:t>
      </w:r>
      <w:r w:rsidR="008411EA">
        <w:rPr>
          <w:rFonts w:ascii="Arial" w:hAnsi="Arial"/>
          <w:sz w:val="20"/>
        </w:rPr>
        <w:t xml:space="preserve">. </w:t>
      </w:r>
      <w:r>
        <w:rPr>
          <w:rFonts w:ascii="Arial" w:hAnsi="Arial"/>
          <w:sz w:val="20"/>
        </w:rPr>
        <w:t>A PI que cada parte traz para a JV precisa ser claramente definida, assim como a PI que é co-desenvolvida como parte da JV.</w:t>
      </w:r>
    </w:p>
    <w:p w14:paraId="70DE9086" w14:textId="77777777" w:rsidR="004B3FAF" w:rsidRPr="0024467F" w:rsidRDefault="004B3FAF" w:rsidP="004B3FAF">
      <w:pPr>
        <w:pStyle w:val="ListParagraph"/>
        <w:spacing w:after="0" w:line="240" w:lineRule="auto"/>
        <w:ind w:left="426"/>
        <w:jc w:val="both"/>
        <w:rPr>
          <w:rFonts w:ascii="Arial" w:hAnsi="Arial" w:cs="Arial"/>
          <w:b/>
          <w:i/>
        </w:rPr>
      </w:pPr>
    </w:p>
    <w:p w14:paraId="39BAAD25" w14:textId="77777777" w:rsidR="00B30378" w:rsidRPr="0024467F" w:rsidRDefault="00B30378" w:rsidP="004B3FAF">
      <w:pPr>
        <w:pStyle w:val="ListParagraph"/>
        <w:spacing w:after="0" w:line="240" w:lineRule="auto"/>
        <w:ind w:left="426"/>
        <w:jc w:val="both"/>
        <w:rPr>
          <w:rFonts w:ascii="Arial" w:hAnsi="Arial" w:cs="Arial"/>
          <w:b/>
          <w:i/>
        </w:rPr>
      </w:pPr>
    </w:p>
    <w:p w14:paraId="4991495F" w14:textId="77777777" w:rsidR="004B3FAF" w:rsidRPr="00C04211" w:rsidRDefault="007E290E"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Um trecho da Política de PI do Conselho de Pesquisa Médica (África do Sul) sobre Joint Ventures</w:t>
      </w:r>
      <w:r>
        <w:rPr>
          <w:rFonts w:ascii="Arial" w:hAnsi="Arial"/>
          <w:sz w:val="20"/>
        </w:rPr>
        <w:t xml:space="preserve">: </w:t>
      </w:r>
    </w:p>
    <w:p w14:paraId="65B88EB0" w14:textId="77777777" w:rsidR="004B3FAF" w:rsidRPr="0024467F"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rPr>
      </w:pPr>
    </w:p>
    <w:p w14:paraId="7446D338" w14:textId="77777777"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r>
        <w:rPr>
          <w:rFonts w:ascii="Arial" w:hAnsi="Arial"/>
          <w:i/>
          <w:color w:val="000000"/>
          <w:sz w:val="20"/>
        </w:rPr>
        <w:t xml:space="preserve">O CPM pode optar, sujeito à aprovação do Ministro da Saúde e do Tesouro Nacional, quando a estrutura de materialidade e significância exigirem tal aprovação, por firmar uma empresa de Joint Venture (JV) com uma entidade ou organização externa para a exploração de PI, a produção de produtos ou a prestação de serviços, caso em que uma subsidiária, como a MedRes, se tornará acionista da empresa JV em nome do CPM. </w:t>
      </w:r>
    </w:p>
    <w:p w14:paraId="5C221104" w14:textId="77777777" w:rsidR="004B3FAF" w:rsidRPr="0024467F"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p>
    <w:p w14:paraId="21F3A218" w14:textId="77777777" w:rsidR="004B3FAF" w:rsidRPr="00CC0CF0"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sz w:val="20"/>
        </w:rPr>
      </w:pPr>
      <w:r>
        <w:rPr>
          <w:rFonts w:ascii="Arial" w:hAnsi="Arial"/>
          <w:i/>
          <w:color w:val="000000"/>
          <w:sz w:val="20"/>
        </w:rPr>
        <w:t>O CPM pode licenciar ou ceder a PI à empresa JV. Qualquer cessão de PI à empresa JV deverá ser feita sob a condição de que a empresa esteja domiciliada na África do Sul e que, no caso de liquidação da empresa JV, a PI deverá reverter para a CPM antes de tal liquidação. Qualquer cessão de PI pelo CPM estará sujeita à aprovação do ENGPI</w:t>
      </w:r>
      <w:r>
        <w:rPr>
          <w:rFonts w:ascii="Arial" w:hAnsi="Arial"/>
          <w:i/>
          <w:color w:val="000000"/>
          <w:sz w:val="18"/>
        </w:rPr>
        <w:t>.</w:t>
      </w:r>
    </w:p>
    <w:p w14:paraId="1A9E2BD1" w14:textId="77777777" w:rsidR="009B74C8" w:rsidRPr="00CC0CF0" w:rsidRDefault="009B74C8" w:rsidP="004228B2">
      <w:pPr>
        <w:pStyle w:val="Heading3"/>
        <w:tabs>
          <w:tab w:val="left" w:pos="567"/>
        </w:tabs>
        <w:spacing w:before="0" w:after="0"/>
        <w:rPr>
          <w:sz w:val="24"/>
        </w:rPr>
      </w:pPr>
      <w:bookmarkStart w:id="288" w:name="_Toc516219423"/>
      <w:bookmarkStart w:id="289" w:name="_Toc515566173"/>
      <w:bookmarkStart w:id="290" w:name="_Toc516121336"/>
    </w:p>
    <w:p w14:paraId="4103B423" w14:textId="3F4FBFA7" w:rsidR="009B74C8" w:rsidRPr="00C0421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sidR="00505BDA">
        <w:rPr>
          <w:rFonts w:ascii="Arial" w:hAnsi="Arial" w:cs="Arial"/>
          <w:b/>
          <w:sz w:val="20"/>
        </w:rPr>
        <w:t xml:space="preserve"> </w:t>
      </w:r>
      <w:r>
        <w:rPr>
          <w:rFonts w:ascii="Arial" w:hAnsi="Arial"/>
          <w:b/>
          <w:sz w:val="20"/>
        </w:rPr>
        <w:t>Um trecho de “Analisando a Eficácia da Transferência de Tecnologia da Universidade”</w:t>
      </w:r>
      <w:r w:rsidR="00867E12" w:rsidRPr="00C04211">
        <w:rPr>
          <w:rStyle w:val="FootnoteReference"/>
          <w:rFonts w:ascii="Arial" w:hAnsi="Arial" w:cs="Arial"/>
          <w:b/>
          <w:sz w:val="20"/>
          <w:lang w:val="en-US"/>
        </w:rPr>
        <w:footnoteReference w:id="167"/>
      </w:r>
    </w:p>
    <w:p w14:paraId="462279EE" w14:textId="77777777" w:rsidR="009B74C8" w:rsidRPr="0024467F"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rPr>
      </w:pPr>
    </w:p>
    <w:p w14:paraId="33AC89C9" w14:textId="77777777" w:rsidR="00867E12" w:rsidRPr="00C0421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r>
        <w:rPr>
          <w:rFonts w:ascii="Arial" w:hAnsi="Arial"/>
          <w:i/>
          <w:color w:val="000000"/>
          <w:sz w:val="20"/>
        </w:rPr>
        <w:t>As universidades devem ser transparentes, diretas e consistentes sobre seus objetivos estratégicos e prioridades para transferência de tecnologia. […]</w:t>
      </w:r>
    </w:p>
    <w:p w14:paraId="7D2EB430" w14:textId="77777777" w:rsidR="004228B2" w:rsidRPr="0024467F"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p>
    <w:p w14:paraId="03C3A348" w14:textId="77777777" w:rsidR="004228B2"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r>
        <w:rPr>
          <w:rFonts w:ascii="Arial" w:hAnsi="Arial"/>
          <w:i/>
          <w:color w:val="000000"/>
          <w:sz w:val="20"/>
        </w:rPr>
        <w:t xml:space="preserve">As decisões de alocação de recursos também devem ser orientadas por escolhas estratégicas que a universidade faz em relação a vários modelos de transferência de tecnologia. As universidades podem escolher entre uma variedade de “produtos” para enfatizar, incluindo licenciamento, start-ups, pesquisa patrocinada e outros mecanismos de transferência de tecnologia que são focados mais diretamente em estimular o desenvolvimento econômico e regional, como incubadoras e parques científicos. </w:t>
      </w:r>
    </w:p>
    <w:p w14:paraId="035BAECB" w14:textId="77777777" w:rsidR="004228B2" w:rsidRPr="0024467F"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p>
    <w:p w14:paraId="6F4D469C" w14:textId="77777777" w:rsidR="009B74C8"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rPr>
      </w:pPr>
      <w:r>
        <w:rPr>
          <w:rFonts w:ascii="Arial" w:hAnsi="Arial"/>
          <w:i/>
          <w:color w:val="000000"/>
          <w:sz w:val="20"/>
        </w:rPr>
        <w:t>O licenciamento e pesquisa patrocinada geram receita, enquanto a participação societária em start-ups pode gerar um retorno a longo prazo. As universidades que enfatizam os resultados do desenvolvimento econômico são aconselhadas a se concentrar em start-ups, pois essas empresas podem potencialmente criar empregos na região ou no estado local. Observe também que, embora uma estratégia de start-up envolva maior risco (já que a probabilidade de fracasso para novas empresas é relativamente alta), ela pode potencialmente gerar altos retornos se a start-up for aberta. No entanto, uma estratégia de start-up envolve recursos adicionais se a universidade decidir ajudar o empreendedor acadêmico a lançar e desenvolver sua start-up.</w:t>
      </w:r>
    </w:p>
    <w:p w14:paraId="029AB69A" w14:textId="2F972ED2" w:rsidR="004B3FAF" w:rsidRPr="00CC0CF0" w:rsidRDefault="007E290E" w:rsidP="007E290E">
      <w:pPr>
        <w:pStyle w:val="Heading3"/>
        <w:tabs>
          <w:tab w:val="left" w:pos="567"/>
        </w:tabs>
        <w:spacing w:before="360"/>
        <w:rPr>
          <w:sz w:val="24"/>
        </w:rPr>
      </w:pPr>
      <w:bookmarkStart w:id="291" w:name="_Toc516496067"/>
      <w:bookmarkStart w:id="292" w:name="_Toc516829439"/>
      <w:r>
        <w:rPr>
          <w:sz w:val="24"/>
        </w:rPr>
        <w:t>Diretrizes de Comercialização</w:t>
      </w:r>
      <w:bookmarkEnd w:id="288"/>
      <w:bookmarkEnd w:id="291"/>
      <w:bookmarkEnd w:id="292"/>
    </w:p>
    <w:p w14:paraId="045BE307" w14:textId="77777777" w:rsidR="004B3FAF" w:rsidRPr="00CC0CF0" w:rsidRDefault="004B3FAF" w:rsidP="007E290E">
      <w:pPr>
        <w:spacing w:after="0" w:line="240" w:lineRule="auto"/>
        <w:jc w:val="both"/>
        <w:rPr>
          <w:rFonts w:ascii="Arial" w:hAnsi="Arial" w:cs="Arial"/>
          <w:sz w:val="20"/>
        </w:rPr>
      </w:pPr>
      <w:r>
        <w:rPr>
          <w:rFonts w:ascii="Arial" w:hAnsi="Arial"/>
          <w:sz w:val="20"/>
        </w:rPr>
        <w:t xml:space="preserve">As Diretrizes estabelecem objetivos primordiais para a maneira como a Instituição utiliza/comercializa sua PI, entre outros, de maneira socialmente responsável. </w:t>
      </w:r>
      <w:bookmarkEnd w:id="289"/>
      <w:bookmarkEnd w:id="290"/>
    </w:p>
    <w:p w14:paraId="5421360C" w14:textId="77777777" w:rsidR="007E290E" w:rsidRPr="0024467F" w:rsidRDefault="007E290E" w:rsidP="007E290E">
      <w:pPr>
        <w:spacing w:after="0"/>
        <w:jc w:val="both"/>
        <w:rPr>
          <w:sz w:val="20"/>
        </w:rPr>
      </w:pPr>
    </w:p>
    <w:p w14:paraId="1923452A" w14:textId="77777777" w:rsidR="004B3FAF" w:rsidRPr="00FD20EE" w:rsidRDefault="004B3FAF" w:rsidP="009D4A54">
      <w:pPr>
        <w:pStyle w:val="NormalWeb"/>
        <w:numPr>
          <w:ilvl w:val="0"/>
          <w:numId w:val="19"/>
        </w:numPr>
        <w:spacing w:before="0" w:beforeAutospacing="0" w:after="200" w:afterAutospacing="0"/>
        <w:ind w:left="426" w:hanging="426"/>
        <w:jc w:val="both"/>
        <w:rPr>
          <w:rFonts w:ascii="Arial" w:eastAsiaTheme="minorEastAsia" w:hAnsi="Arial" w:cs="Arial"/>
          <w:color w:val="000000" w:themeColor="text1"/>
          <w:sz w:val="20"/>
          <w:szCs w:val="22"/>
        </w:rPr>
      </w:pPr>
      <w:r>
        <w:rPr>
          <w:rFonts w:ascii="Arial" w:hAnsi="Arial"/>
          <w:b/>
          <w:color w:val="000000" w:themeColor="text1"/>
          <w:sz w:val="20"/>
        </w:rPr>
        <w:t>Artigo 9.5.e, “</w:t>
      </w:r>
      <w:r>
        <w:rPr>
          <w:rFonts w:ascii="Arial" w:hAnsi="Arial"/>
          <w:b/>
          <w:i/>
          <w:color w:val="000000" w:themeColor="text1"/>
          <w:sz w:val="20"/>
        </w:rPr>
        <w:t>arquivamento” ou “suspensão”</w:t>
      </w:r>
      <w:r>
        <w:rPr>
          <w:rStyle w:val="FootnoteReference"/>
          <w:rFonts w:ascii="Arial" w:hAnsi="Arial"/>
          <w:b/>
          <w:i/>
          <w:sz w:val="20"/>
        </w:rPr>
        <w:t xml:space="preserve"> </w:t>
      </w:r>
      <w:r w:rsidRPr="00FD20EE">
        <w:rPr>
          <w:rStyle w:val="FootnoteReference"/>
          <w:rFonts w:ascii="Arial" w:hAnsi="Arial" w:cs="Arial"/>
          <w:b/>
          <w:i/>
          <w:sz w:val="20"/>
          <w:szCs w:val="22"/>
          <w:lang w:val="en-US"/>
        </w:rPr>
        <w:footnoteReference w:id="168"/>
      </w:r>
      <w:r>
        <w:rPr>
          <w:rFonts w:ascii="Arial" w:hAnsi="Arial"/>
          <w:b/>
          <w:i/>
          <w:color w:val="000000" w:themeColor="text1"/>
          <w:sz w:val="20"/>
        </w:rPr>
        <w:t xml:space="preserve"> da PI ou seu uso de qualquer forma ilegal ou antiética</w:t>
      </w:r>
      <w:r w:rsidRPr="00505BDA">
        <w:rPr>
          <w:rFonts w:ascii="Arial" w:hAnsi="Arial"/>
          <w:bCs/>
          <w:iCs/>
          <w:color w:val="000000" w:themeColor="text1"/>
          <w:sz w:val="20"/>
        </w:rPr>
        <w:t>:</w:t>
      </w:r>
      <w:r>
        <w:rPr>
          <w:rFonts w:ascii="Arial" w:hAnsi="Arial"/>
          <w:color w:val="000000" w:themeColor="text1"/>
          <w:sz w:val="20"/>
        </w:rPr>
        <w:t xml:space="preserve"> Como as invenções acadêmicas estão em áreas mais próximas da pesquisa básica, os cientistas e formuladores de políticas também estão preocupados com o fato de que patentear certas invenções possa bloquear pesquisas posteriores. Um exemplo é o das ferramentas de pesquisa, em que a concessão de uma patente poderia inibir a difusão, aumentando os custos e a dificuldade de uso dessas ferramentas na pesquisa aplicada. Em resposta, as agências de financiamento e instituições de pesquisa adotaram uma política que desencoraja patentes desnecessárias e incentiva o licenciamento não exclusivo.</w:t>
      </w:r>
      <w:r w:rsidRPr="00FD20EE">
        <w:rPr>
          <w:rStyle w:val="FootnoteReference"/>
          <w:rFonts w:ascii="Arial" w:eastAsiaTheme="minorEastAsia" w:hAnsi="Arial" w:cs="Arial"/>
          <w:color w:val="000000" w:themeColor="text1"/>
          <w:sz w:val="20"/>
          <w:szCs w:val="22"/>
          <w:lang w:val="en-US"/>
        </w:rPr>
        <w:footnoteReference w:id="169"/>
      </w:r>
      <w:r>
        <w:rPr>
          <w:rFonts w:ascii="Arial" w:hAnsi="Arial"/>
          <w:color w:val="000000" w:themeColor="text1"/>
          <w:sz w:val="20"/>
        </w:rPr>
        <w:t xml:space="preserve"> </w:t>
      </w:r>
    </w:p>
    <w:p w14:paraId="79212C81" w14:textId="77777777" w:rsidR="00C2707B" w:rsidRPr="00FD20EE" w:rsidRDefault="00B626EE" w:rsidP="00B30378">
      <w:pPr>
        <w:pStyle w:val="Heading3"/>
        <w:numPr>
          <w:ilvl w:val="0"/>
          <w:numId w:val="19"/>
        </w:numPr>
        <w:tabs>
          <w:tab w:val="left" w:pos="567"/>
        </w:tabs>
        <w:spacing w:before="360" w:after="0"/>
        <w:ind w:left="432" w:hanging="432"/>
        <w:jc w:val="both"/>
        <w:rPr>
          <w:rFonts w:eastAsiaTheme="minorEastAsia"/>
          <w:b w:val="0"/>
          <w:color w:val="000000" w:themeColor="text1"/>
          <w:sz w:val="20"/>
          <w:szCs w:val="22"/>
        </w:rPr>
      </w:pPr>
      <w:r>
        <w:rPr>
          <w:b w:val="0"/>
          <w:color w:val="000000" w:themeColor="text1"/>
          <w:sz w:val="20"/>
        </w:rPr>
        <w:t xml:space="preserve">Além disso, governos e instituições estabeleceram diretrizes ou melhores práticas com o objetivo de instituir salvaguardas contra consequências negativas não intencionais da comercialização baseada em PI (Veja </w:t>
      </w:r>
      <w:hyperlink w:anchor="Box6" w:history="1">
        <w:r>
          <w:rPr>
            <w:rStyle w:val="Hyperlink"/>
            <w:b w:val="0"/>
            <w:sz w:val="20"/>
          </w:rPr>
          <w:t>Caixa 6</w:t>
        </w:r>
      </w:hyperlink>
      <w:r>
        <w:rPr>
          <w:b w:val="0"/>
          <w:color w:val="000000" w:themeColor="text1"/>
          <w:sz w:val="20"/>
        </w:rPr>
        <w:t>). Exemplos de tais recomendações incluem:</w:t>
      </w:r>
      <w:r w:rsidR="00D457D9" w:rsidRPr="00FD20EE">
        <w:rPr>
          <w:rStyle w:val="FootnoteReference"/>
          <w:rFonts w:eastAsiaTheme="minorEastAsia"/>
          <w:b w:val="0"/>
          <w:color w:val="000000" w:themeColor="text1"/>
          <w:sz w:val="20"/>
          <w:szCs w:val="22"/>
        </w:rPr>
        <w:footnoteReference w:id="170"/>
      </w:r>
      <w:r>
        <w:rPr>
          <w:b w:val="0"/>
          <w:color w:val="000000" w:themeColor="text1"/>
          <w:sz w:val="20"/>
        </w:rPr>
        <w:t>:</w:t>
      </w:r>
    </w:p>
    <w:p w14:paraId="08B53F50" w14:textId="77777777" w:rsidR="00C2707B" w:rsidRPr="00FD20EE" w:rsidRDefault="00C2707B" w:rsidP="009D4A54">
      <w:pPr>
        <w:numPr>
          <w:ilvl w:val="0"/>
          <w:numId w:val="165"/>
        </w:numPr>
        <w:spacing w:after="0" w:line="240" w:lineRule="auto"/>
        <w:jc w:val="both"/>
        <w:rPr>
          <w:rFonts w:ascii="Arial" w:eastAsia="SimSun" w:hAnsi="Arial" w:cs="Arial"/>
          <w:sz w:val="20"/>
          <w:szCs w:val="20"/>
        </w:rPr>
      </w:pPr>
      <w:r>
        <w:rPr>
          <w:rFonts w:ascii="Arial" w:hAnsi="Arial"/>
          <w:sz w:val="20"/>
        </w:rPr>
        <w:t>As diretrizes podem exigir que patentes sejam solicitadas e licenças exclusivas sejam atribuídas somente quando forem uma condição necessária para sua comercialização;</w:t>
      </w:r>
    </w:p>
    <w:p w14:paraId="2C4A89A6" w14:textId="77777777" w:rsidR="00C2707B" w:rsidRPr="00FD20EE" w:rsidRDefault="00C2707B" w:rsidP="009D4A54">
      <w:pPr>
        <w:numPr>
          <w:ilvl w:val="0"/>
          <w:numId w:val="165"/>
        </w:numPr>
        <w:spacing w:after="0" w:line="240" w:lineRule="auto"/>
        <w:jc w:val="both"/>
        <w:rPr>
          <w:rFonts w:ascii="Arial" w:eastAsia="SimSun" w:hAnsi="Arial" w:cs="Arial"/>
          <w:sz w:val="20"/>
          <w:szCs w:val="20"/>
        </w:rPr>
      </w:pPr>
      <w:r>
        <w:rPr>
          <w:rFonts w:ascii="Arial" w:hAnsi="Arial"/>
          <w:sz w:val="20"/>
        </w:rPr>
        <w:t xml:space="preserve">As políticas de instituição e os órgãos governamentais podem declarar certas áreas proibidas para patentes institucionais: pesquisa básica, ferramentas de pesquisa, tecnologias críticas para a saúde pública em países de baixa renda, etc.; </w:t>
      </w:r>
    </w:p>
    <w:p w14:paraId="428F77E0" w14:textId="77777777" w:rsidR="00D457D9" w:rsidRPr="00FD20EE" w:rsidRDefault="00C2707B" w:rsidP="009D4A54">
      <w:pPr>
        <w:numPr>
          <w:ilvl w:val="0"/>
          <w:numId w:val="165"/>
        </w:numPr>
        <w:spacing w:after="0" w:line="240" w:lineRule="auto"/>
        <w:jc w:val="both"/>
        <w:rPr>
          <w:rFonts w:eastAsia="SimSun"/>
          <w:sz w:val="20"/>
          <w:szCs w:val="20"/>
        </w:rPr>
      </w:pPr>
      <w:r>
        <w:rPr>
          <w:rFonts w:ascii="Arial" w:hAnsi="Arial"/>
          <w:sz w:val="20"/>
        </w:rPr>
        <w:t xml:space="preserve">Os licenciados de tecnologias financiadas pelo governo podem ser obrigados a divulgar o investimento subsequente e o uso real da patente, evitando, por exemplo, que essas patentes sejam usadas para bloquear invenções subsequentes por agregadores de patentes; </w:t>
      </w:r>
    </w:p>
    <w:p w14:paraId="14F6ACA9" w14:textId="77777777" w:rsidR="00D457D9" w:rsidRPr="00FD20EE" w:rsidRDefault="00C2707B" w:rsidP="009D4A54">
      <w:pPr>
        <w:numPr>
          <w:ilvl w:val="0"/>
          <w:numId w:val="165"/>
        </w:numPr>
        <w:spacing w:after="0" w:line="240" w:lineRule="auto"/>
        <w:jc w:val="both"/>
        <w:rPr>
          <w:rStyle w:val="FootnoteReference"/>
          <w:rFonts w:eastAsia="SimSun"/>
          <w:sz w:val="20"/>
          <w:szCs w:val="20"/>
          <w:vertAlign w:val="baseline"/>
        </w:rPr>
      </w:pPr>
      <w:r>
        <w:rPr>
          <w:rFonts w:ascii="Arial" w:hAnsi="Arial"/>
          <w:sz w:val="20"/>
        </w:rPr>
        <w:lastRenderedPageBreak/>
        <w:t>Certos requisitos podem ser instituídos para garantir que os produtos derivados dessas invenções sejam vendidos aos consumidores de países mais pobres em condições razoáveis;</w:t>
      </w:r>
    </w:p>
    <w:p w14:paraId="564A9287" w14:textId="77777777" w:rsidR="00D457D9" w:rsidRPr="00FD20EE" w:rsidRDefault="00C2707B" w:rsidP="009D4A54">
      <w:pPr>
        <w:numPr>
          <w:ilvl w:val="0"/>
          <w:numId w:val="165"/>
        </w:numPr>
        <w:spacing w:after="0" w:line="240" w:lineRule="auto"/>
        <w:jc w:val="both"/>
        <w:rPr>
          <w:rFonts w:eastAsia="SimSun"/>
          <w:sz w:val="20"/>
          <w:szCs w:val="20"/>
        </w:rPr>
      </w:pPr>
      <w:r>
        <w:rPr>
          <w:rFonts w:ascii="Arial" w:hAnsi="Arial"/>
          <w:sz w:val="20"/>
        </w:rPr>
        <w:t xml:space="preserve">As restrições de campo de uso podem ser implementadas para garantir que a PI seja disponibilizada para pesquisas futuras, inclusive para outras empresas; e </w:t>
      </w:r>
    </w:p>
    <w:p w14:paraId="05E43BA9" w14:textId="77777777" w:rsidR="00C2707B" w:rsidRPr="00FD20EE" w:rsidRDefault="00C2707B" w:rsidP="009D4A54">
      <w:pPr>
        <w:numPr>
          <w:ilvl w:val="0"/>
          <w:numId w:val="165"/>
        </w:numPr>
        <w:spacing w:after="0" w:line="240" w:lineRule="auto"/>
        <w:jc w:val="both"/>
        <w:rPr>
          <w:rFonts w:ascii="Arial" w:eastAsia="SimSun" w:hAnsi="Arial" w:cs="Arial"/>
          <w:sz w:val="20"/>
          <w:szCs w:val="20"/>
        </w:rPr>
      </w:pPr>
      <w:r>
        <w:rPr>
          <w:rFonts w:ascii="Arial" w:hAnsi="Arial"/>
          <w:sz w:val="20"/>
        </w:rPr>
        <w:t>Os governos podem reservar o direito de praticar a invenção ou anular direitos exclusivos de licenciamento (“direitos de intercedência”).</w:t>
      </w:r>
    </w:p>
    <w:p w14:paraId="1FD1641D" w14:textId="77777777" w:rsidR="00C21221" w:rsidRPr="00C04211" w:rsidRDefault="00C21221" w:rsidP="00C2707B">
      <w:pPr>
        <w:pStyle w:val="Heading3"/>
        <w:tabs>
          <w:tab w:val="left" w:pos="567"/>
        </w:tabs>
        <w:spacing w:before="360"/>
        <w:rPr>
          <w:sz w:val="24"/>
        </w:rPr>
      </w:pPr>
      <w:bookmarkStart w:id="293" w:name="_Toc516219424"/>
      <w:bookmarkStart w:id="294" w:name="_Toc516496068"/>
      <w:bookmarkStart w:id="295" w:name="_Toc516829440"/>
      <w:r>
        <w:rPr>
          <w:sz w:val="24"/>
        </w:rPr>
        <w:t>Recursos Úteis Relacionados ao Artigo 9</w:t>
      </w:r>
      <w:bookmarkEnd w:id="293"/>
      <w:bookmarkEnd w:id="294"/>
      <w:bookmarkEnd w:id="295"/>
    </w:p>
    <w:p w14:paraId="3EFA7C56" w14:textId="0F147DE3" w:rsidR="00464282" w:rsidRPr="00FD20EE" w:rsidRDefault="00464282" w:rsidP="00464282">
      <w:pPr>
        <w:pStyle w:val="ListParagraph"/>
        <w:numPr>
          <w:ilvl w:val="0"/>
          <w:numId w:val="12"/>
        </w:numPr>
        <w:spacing w:line="240" w:lineRule="auto"/>
        <w:ind w:left="426" w:hanging="426"/>
        <w:jc w:val="both"/>
        <w:rPr>
          <w:rFonts w:ascii="Arial" w:hAnsi="Arial" w:cs="Arial"/>
          <w:sz w:val="20"/>
          <w:szCs w:val="32"/>
        </w:rPr>
      </w:pPr>
      <w:r>
        <w:rPr>
          <w:rFonts w:ascii="Arial" w:hAnsi="Arial"/>
          <w:b/>
          <w:sz w:val="20"/>
        </w:rPr>
        <w:t>Associações profissionais, industriais e comerciais</w:t>
      </w:r>
      <w:r w:rsidRPr="00505BDA">
        <w:rPr>
          <w:rFonts w:ascii="Arial" w:hAnsi="Arial"/>
          <w:bCs/>
          <w:sz w:val="20"/>
        </w:rPr>
        <w:t xml:space="preserve"> </w:t>
      </w:r>
      <w:r>
        <w:rPr>
          <w:rFonts w:ascii="Arial" w:hAnsi="Arial"/>
          <w:sz w:val="20"/>
        </w:rPr>
        <w:t>são fontes úteis para informações e aconselhamento sobre comercialização de PI e transferência de conhecimento</w:t>
      </w:r>
      <w:r w:rsidR="008411EA">
        <w:rPr>
          <w:rFonts w:ascii="Arial" w:hAnsi="Arial"/>
          <w:sz w:val="20"/>
        </w:rPr>
        <w:t xml:space="preserve">. </w:t>
      </w:r>
      <w:r>
        <w:rPr>
          <w:rFonts w:ascii="Arial" w:hAnsi="Arial"/>
          <w:sz w:val="20"/>
        </w:rPr>
        <w:t xml:space="preserve">Uma lista abrangente das associações mais proeminentes está disponível na página da web da </w:t>
      </w:r>
      <w:hyperlink r:id="rId145" w:history="1">
        <w:r>
          <w:rPr>
            <w:rStyle w:val="Hyperlink"/>
            <w:rFonts w:ascii="Arial" w:hAnsi="Arial"/>
            <w:sz w:val="20"/>
          </w:rPr>
          <w:t>Tech Transfer Central</w:t>
        </w:r>
      </w:hyperlink>
      <w:r>
        <w:rPr>
          <w:rFonts w:ascii="Arial" w:hAnsi="Arial"/>
          <w:sz w:val="20"/>
        </w:rPr>
        <w:t>.</w:t>
      </w:r>
    </w:p>
    <w:p w14:paraId="2A80B3E1" w14:textId="77777777" w:rsidR="00464282" w:rsidRPr="0024467F" w:rsidRDefault="00464282" w:rsidP="00464282">
      <w:pPr>
        <w:pStyle w:val="ListParagraph"/>
        <w:spacing w:line="240" w:lineRule="auto"/>
        <w:ind w:left="426"/>
        <w:jc w:val="both"/>
        <w:rPr>
          <w:rFonts w:ascii="Arial" w:hAnsi="Arial" w:cs="Arial"/>
          <w:sz w:val="20"/>
          <w:szCs w:val="32"/>
        </w:rPr>
      </w:pPr>
    </w:p>
    <w:p w14:paraId="268180E7" w14:textId="77777777" w:rsidR="00C21221" w:rsidRPr="00FD20EE" w:rsidRDefault="00C21221" w:rsidP="009D4A54">
      <w:pPr>
        <w:pStyle w:val="ListParagraph"/>
        <w:numPr>
          <w:ilvl w:val="0"/>
          <w:numId w:val="57"/>
        </w:numPr>
        <w:ind w:left="426" w:hanging="426"/>
        <w:jc w:val="both"/>
        <w:rPr>
          <w:rFonts w:ascii="Arial" w:eastAsia="Times New Roman" w:hAnsi="Arial" w:cs="Arial"/>
          <w:b/>
          <w:bCs/>
          <w:sz w:val="20"/>
        </w:rPr>
      </w:pPr>
      <w:r>
        <w:rPr>
          <w:rFonts w:ascii="Arial" w:hAnsi="Arial"/>
          <w:b/>
          <w:sz w:val="20"/>
        </w:rPr>
        <w:t>Diretrizes sobre o Processo de Transferência de Conhecimento/Tecnologia</w:t>
      </w:r>
    </w:p>
    <w:p w14:paraId="513AE04E" w14:textId="2E9C44DE"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rPr>
      </w:pPr>
      <w:r>
        <w:rPr>
          <w:rFonts w:ascii="Arial" w:hAnsi="Arial"/>
          <w:sz w:val="20"/>
        </w:rPr>
        <w:t>O</w:t>
      </w:r>
      <w:r>
        <w:rPr>
          <w:rFonts w:ascii="Arial" w:hAnsi="Arial"/>
          <w:color w:val="666666"/>
          <w:sz w:val="20"/>
        </w:rPr>
        <w:t xml:space="preserve"> </w:t>
      </w:r>
      <w:hyperlink r:id="rId146" w:tgtFrame="_self" w:history="1">
        <w:r>
          <w:rPr>
            <w:rStyle w:val="Hyperlink"/>
            <w:rFonts w:ascii="Arial" w:hAnsi="Arial"/>
            <w:sz w:val="20"/>
          </w:rPr>
          <w:t>Biocat</w:t>
        </w:r>
      </w:hyperlink>
      <w:r>
        <w:rPr>
          <w:rFonts w:ascii="Arial" w:hAnsi="Arial"/>
          <w:color w:val="666666"/>
          <w:sz w:val="20"/>
        </w:rPr>
        <w:t xml:space="preserve"> </w:t>
      </w:r>
      <w:r>
        <w:rPr>
          <w:rFonts w:ascii="Arial" w:hAnsi="Arial"/>
          <w:sz w:val="20"/>
        </w:rPr>
        <w:t xml:space="preserve">/ </w:t>
      </w:r>
      <w:hyperlink r:id="rId147" w:tgtFrame="_blank" w:history="1">
        <w:r>
          <w:rPr>
            <w:rStyle w:val="Hyperlink"/>
            <w:rFonts w:ascii="Arial" w:hAnsi="Arial"/>
            <w:sz w:val="20"/>
          </w:rPr>
          <w:t>Interbio</w:t>
        </w:r>
      </w:hyperlink>
      <w:r>
        <w:rPr>
          <w:rFonts w:ascii="Arial" w:hAnsi="Arial"/>
          <w:color w:val="666666"/>
          <w:sz w:val="20"/>
        </w:rPr>
        <w:t xml:space="preserve"> </w:t>
      </w:r>
      <w:r>
        <w:rPr>
          <w:rFonts w:ascii="Arial" w:hAnsi="Arial"/>
          <w:sz w:val="20"/>
        </w:rPr>
        <w:t>white book (2012) “</w:t>
      </w:r>
      <w:hyperlink r:id="rId148" w:history="1">
        <w:r>
          <w:rPr>
            <w:rStyle w:val="Hyperlink"/>
            <w:rFonts w:ascii="Arial" w:hAnsi="Arial"/>
            <w:sz w:val="20"/>
          </w:rPr>
          <w:t>From Research to Market:</w:t>
        </w:r>
      </w:hyperlink>
      <w:hyperlink r:id="rId149" w:history="1">
        <w:r>
          <w:rPr>
            <w:rStyle w:val="Hyperlink"/>
            <w:rFonts w:ascii="Arial" w:hAnsi="Arial"/>
            <w:sz w:val="20"/>
          </w:rPr>
          <w:t xml:space="preserve"> Key Issues of Technology Transfer from Public Research Centers</w:t>
        </w:r>
      </w:hyperlink>
      <w:r w:rsidR="00505BDA" w:rsidRPr="00505BDA">
        <w:rPr>
          <w:rStyle w:val="Hyperlink"/>
          <w:rFonts w:ascii="Arial" w:hAnsi="Arial" w:cs="Arial"/>
          <w:color w:val="auto"/>
          <w:sz w:val="20"/>
          <w:u w:val="none"/>
        </w:rPr>
        <w:t>”</w:t>
      </w:r>
      <w:r>
        <w:rPr>
          <w:rFonts w:ascii="Arial" w:hAnsi="Arial"/>
          <w:sz w:val="20"/>
        </w:rPr>
        <w:t xml:space="preserve"> contém diretrizes práticas para transferência de tecnologia no campo da pesquisa pública em biotecnologia, biomedicina e tecnologias médicas. Este trata de boas práticas, avaliação, apreciação, licenças, spin-offs e marketing</w:t>
      </w:r>
      <w:r w:rsidRPr="00FD20EE">
        <w:rPr>
          <w:rStyle w:val="FootnoteReference"/>
          <w:rFonts w:ascii="Arial" w:hAnsi="Arial" w:cs="Arial"/>
          <w:sz w:val="20"/>
          <w:lang w:val="en-US"/>
        </w:rPr>
        <w:footnoteReference w:id="171"/>
      </w:r>
      <w:r>
        <w:rPr>
          <w:rFonts w:ascii="Arial" w:hAnsi="Arial"/>
          <w:sz w:val="20"/>
        </w:rPr>
        <w:t>.</w:t>
      </w:r>
    </w:p>
    <w:p w14:paraId="5ABBE7A0" w14:textId="77777777"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rPr>
      </w:pPr>
      <w:r>
        <w:t>O</w:t>
      </w:r>
      <w:r>
        <w:rPr>
          <w:rFonts w:ascii="Arial" w:hAnsi="Arial"/>
          <w:sz w:val="20"/>
        </w:rPr>
        <w:t xml:space="preserve"> European IPR Helpdesk (2016) “</w:t>
      </w:r>
      <w:hyperlink r:id="rId150" w:history="1">
        <w:r>
          <w:rPr>
            <w:rStyle w:val="Hyperlink"/>
            <w:rFonts w:ascii="Arial" w:hAnsi="Arial"/>
            <w:sz w:val="20"/>
          </w:rPr>
          <w:t>Your Guide to IP Commercialization</w:t>
        </w:r>
      </w:hyperlink>
      <w:r>
        <w:rPr>
          <w:rFonts w:ascii="Arial" w:hAnsi="Arial"/>
          <w:sz w:val="20"/>
        </w:rPr>
        <w:t>” fornece fatos básicos sobre aspectos de PI em atividades de comercialização.</w:t>
      </w:r>
    </w:p>
    <w:p w14:paraId="75B1D66A" w14:textId="77777777" w:rsidR="00660745" w:rsidRPr="00FD20EE" w:rsidRDefault="00660745" w:rsidP="009D4A54">
      <w:pPr>
        <w:pStyle w:val="ListParagraph"/>
        <w:numPr>
          <w:ilvl w:val="1"/>
          <w:numId w:val="156"/>
        </w:numPr>
        <w:spacing w:line="240" w:lineRule="auto"/>
        <w:ind w:left="851" w:hanging="425"/>
        <w:jc w:val="both"/>
        <w:rPr>
          <w:rFonts w:ascii="Arial" w:eastAsia="Times New Roman" w:hAnsi="Arial" w:cs="Arial"/>
          <w:b/>
          <w:bCs/>
          <w:sz w:val="20"/>
        </w:rPr>
      </w:pPr>
      <w:r>
        <w:rPr>
          <w:rFonts w:ascii="Arial" w:hAnsi="Arial"/>
          <w:sz w:val="20"/>
        </w:rPr>
        <w:t xml:space="preserve">Para obter uma lista de diretrizes nacionais ou códigos de práticas, veja </w:t>
      </w:r>
      <w:hyperlink w:anchor="Box6" w:history="1">
        <w:r>
          <w:rPr>
            <w:rStyle w:val="Hyperlink"/>
            <w:rFonts w:ascii="Arial" w:hAnsi="Arial"/>
            <w:sz w:val="20"/>
          </w:rPr>
          <w:t>Caixa 6</w:t>
        </w:r>
      </w:hyperlink>
      <w:r>
        <w:rPr>
          <w:rFonts w:ascii="Arial" w:hAnsi="Arial"/>
          <w:sz w:val="20"/>
        </w:rPr>
        <w:t>.</w:t>
      </w:r>
    </w:p>
    <w:p w14:paraId="427B92EC" w14:textId="77777777" w:rsidR="00C21221" w:rsidRPr="0024467F" w:rsidRDefault="00C21221" w:rsidP="00C21221">
      <w:pPr>
        <w:pStyle w:val="ListParagraph"/>
        <w:ind w:left="426"/>
        <w:jc w:val="both"/>
        <w:rPr>
          <w:rFonts w:ascii="Arial" w:eastAsia="Times New Roman" w:hAnsi="Arial" w:cs="Arial"/>
          <w:b/>
          <w:bCs/>
          <w:sz w:val="20"/>
        </w:rPr>
      </w:pPr>
    </w:p>
    <w:p w14:paraId="19C04FAA" w14:textId="77777777" w:rsidR="00C21221" w:rsidRPr="00FD20EE" w:rsidRDefault="00B30378" w:rsidP="009D4A54">
      <w:pPr>
        <w:pStyle w:val="ListParagraph"/>
        <w:numPr>
          <w:ilvl w:val="0"/>
          <w:numId w:val="57"/>
        </w:numPr>
        <w:ind w:left="426" w:hanging="426"/>
        <w:jc w:val="both"/>
        <w:rPr>
          <w:rFonts w:ascii="Arial" w:eastAsia="Times New Roman" w:hAnsi="Arial" w:cs="Arial"/>
          <w:b/>
          <w:bCs/>
          <w:sz w:val="20"/>
        </w:rPr>
      </w:pPr>
      <w:r>
        <w:rPr>
          <w:rFonts w:ascii="Arial" w:hAnsi="Arial"/>
          <w:b/>
          <w:sz w:val="20"/>
        </w:rPr>
        <w:t>Licenciamento</w:t>
      </w:r>
    </w:p>
    <w:p w14:paraId="01BCDDC4" w14:textId="77777777" w:rsidR="00E568EC" w:rsidRPr="00FD20EE" w:rsidRDefault="00C21221" w:rsidP="009D4A54">
      <w:pPr>
        <w:pStyle w:val="ListParagraph"/>
        <w:numPr>
          <w:ilvl w:val="0"/>
          <w:numId w:val="59"/>
        </w:numPr>
        <w:jc w:val="both"/>
        <w:rPr>
          <w:rFonts w:ascii="Arial" w:eastAsia="Times New Roman" w:hAnsi="Arial" w:cs="Arial"/>
          <w:b/>
          <w:bCs/>
          <w:sz w:val="20"/>
        </w:rPr>
      </w:pPr>
      <w:r>
        <w:rPr>
          <w:rFonts w:ascii="Arial" w:hAnsi="Arial"/>
          <w:sz w:val="20"/>
        </w:rPr>
        <w:t xml:space="preserve">Publicação da OMPI: </w:t>
      </w:r>
      <w:hyperlink r:id="rId151" w:history="1">
        <w:r>
          <w:rPr>
            <w:rStyle w:val="Hyperlink"/>
            <w:rFonts w:ascii="Arial" w:hAnsi="Arial"/>
            <w:sz w:val="20"/>
          </w:rPr>
          <w:t>Licenciamento de Tecnologia Bem-sucedido</w:t>
        </w:r>
      </w:hyperlink>
      <w:r>
        <w:rPr>
          <w:rFonts w:ascii="Arial" w:hAnsi="Arial"/>
          <w:sz w:val="20"/>
        </w:rPr>
        <w:t xml:space="preserve"> </w:t>
      </w:r>
    </w:p>
    <w:p w14:paraId="459453BD" w14:textId="2F45CB34" w:rsidR="00E568EC" w:rsidRPr="00FD20EE" w:rsidRDefault="00E568EC" w:rsidP="009D4A54">
      <w:pPr>
        <w:pStyle w:val="ListParagraph"/>
        <w:numPr>
          <w:ilvl w:val="0"/>
          <w:numId w:val="59"/>
        </w:numPr>
        <w:jc w:val="both"/>
        <w:rPr>
          <w:rFonts w:ascii="Arial" w:eastAsia="Times New Roman" w:hAnsi="Arial" w:cs="Arial"/>
          <w:b/>
          <w:bCs/>
          <w:sz w:val="20"/>
        </w:rPr>
      </w:pPr>
      <w:r>
        <w:rPr>
          <w:rFonts w:ascii="Arial" w:hAnsi="Arial"/>
          <w:sz w:val="20"/>
        </w:rPr>
        <w:t xml:space="preserve">Documento técnico </w:t>
      </w:r>
      <w:hyperlink r:id="rId152" w:history="1">
        <w:r>
          <w:rPr>
            <w:rStyle w:val="Hyperlink"/>
            <w:rFonts w:ascii="Arial" w:hAnsi="Arial"/>
            <w:sz w:val="20"/>
          </w:rPr>
          <w:t>No Interesse Público:</w:t>
        </w:r>
      </w:hyperlink>
      <w:hyperlink r:id="rId153" w:history="1">
        <w:r>
          <w:rPr>
            <w:rStyle w:val="Hyperlink"/>
            <w:rFonts w:ascii="Arial" w:hAnsi="Arial"/>
            <w:sz w:val="20"/>
          </w:rPr>
          <w:t xml:space="preserve"> Nove Pontos a Considerar no Licenciamento de Tecnologia da Universidade</w:t>
        </w:r>
      </w:hyperlink>
      <w:r w:rsidR="008411EA">
        <w:rPr>
          <w:rFonts w:ascii="Arial" w:hAnsi="Arial"/>
          <w:sz w:val="20"/>
        </w:rPr>
        <w:t xml:space="preserve">. </w:t>
      </w:r>
      <w:r>
        <w:rPr>
          <w:rFonts w:ascii="Arial" w:hAnsi="Arial"/>
          <w:sz w:val="20"/>
        </w:rPr>
        <w:t>Redigido por 12 instituições participantes e endossado pela AUTM e mais de 70 outras instituições</w:t>
      </w:r>
      <w:r w:rsidR="008411EA">
        <w:rPr>
          <w:rFonts w:ascii="Arial" w:hAnsi="Arial"/>
          <w:sz w:val="20"/>
        </w:rPr>
        <w:t xml:space="preserve">. </w:t>
      </w:r>
      <w:r>
        <w:rPr>
          <w:rFonts w:ascii="Arial" w:hAnsi="Arial"/>
          <w:sz w:val="20"/>
        </w:rPr>
        <w:t>O artigo tem um anexo com exemplos de cláusulas.</w:t>
      </w:r>
    </w:p>
    <w:p w14:paraId="665D4197" w14:textId="77777777" w:rsidR="00C21221" w:rsidRPr="00FD20EE" w:rsidRDefault="00C21221" w:rsidP="00C21221">
      <w:pPr>
        <w:pStyle w:val="ListParagraph"/>
        <w:ind w:left="426"/>
        <w:jc w:val="both"/>
        <w:rPr>
          <w:rFonts w:ascii="Arial" w:eastAsia="Times New Roman" w:hAnsi="Arial" w:cs="Arial"/>
          <w:b/>
          <w:bCs/>
          <w:sz w:val="20"/>
          <w:lang w:val="en-US"/>
        </w:rPr>
      </w:pPr>
    </w:p>
    <w:p w14:paraId="22AA3D16" w14:textId="77777777" w:rsidR="00C21221" w:rsidRPr="00FD20EE" w:rsidRDefault="00C21221" w:rsidP="009D4A54">
      <w:pPr>
        <w:pStyle w:val="ListParagraph"/>
        <w:numPr>
          <w:ilvl w:val="0"/>
          <w:numId w:val="57"/>
        </w:numPr>
        <w:ind w:left="426" w:hanging="426"/>
        <w:jc w:val="both"/>
        <w:rPr>
          <w:rFonts w:ascii="Arial" w:eastAsia="Times New Roman" w:hAnsi="Arial" w:cs="Arial"/>
          <w:b/>
          <w:bCs/>
          <w:sz w:val="20"/>
        </w:rPr>
      </w:pPr>
      <w:r>
        <w:rPr>
          <w:rFonts w:ascii="Arial" w:hAnsi="Arial"/>
          <w:b/>
          <w:sz w:val="20"/>
        </w:rPr>
        <w:t>Estabelecimento de Spin-offs</w:t>
      </w:r>
    </w:p>
    <w:p w14:paraId="77F638CD" w14:textId="77777777" w:rsidR="00C21221" w:rsidRPr="00FD20EE" w:rsidRDefault="002D1000" w:rsidP="009D4A54">
      <w:pPr>
        <w:pStyle w:val="ListParagraph"/>
        <w:numPr>
          <w:ilvl w:val="0"/>
          <w:numId w:val="59"/>
        </w:numPr>
        <w:spacing w:line="240" w:lineRule="auto"/>
        <w:jc w:val="both"/>
        <w:rPr>
          <w:rFonts w:ascii="Arial" w:hAnsi="Arial" w:cs="Arial"/>
          <w:sz w:val="20"/>
        </w:rPr>
      </w:pPr>
      <w:r>
        <w:rPr>
          <w:rFonts w:ascii="Arial" w:hAnsi="Arial"/>
          <w:sz w:val="20"/>
        </w:rPr>
        <w:t xml:space="preserve">Guias práticos UNICO. </w:t>
      </w:r>
      <w:hyperlink r:id="rId154" w:history="1">
        <w:r>
          <w:rPr>
            <w:rStyle w:val="Hyperlink"/>
            <w:rFonts w:ascii="Arial" w:hAnsi="Arial"/>
            <w:sz w:val="20"/>
          </w:rPr>
          <w:t>Transações de Spin-out</w:t>
        </w:r>
      </w:hyperlink>
      <w:r>
        <w:rPr>
          <w:rFonts w:ascii="Arial" w:hAnsi="Arial"/>
          <w:sz w:val="20"/>
        </w:rPr>
        <w:t>. Fornece uma introdução às transações de spin-off; modelos sugeridos; discussão de questões legais e de negociação; e algumas questões subjacentes que são de particular preocupação para as universidades.</w:t>
      </w:r>
    </w:p>
    <w:p w14:paraId="3BEDF913" w14:textId="77777777" w:rsidR="00C21221" w:rsidRPr="00FD20EE" w:rsidRDefault="00C21221" w:rsidP="009D4A54">
      <w:pPr>
        <w:pStyle w:val="ListParagraph"/>
        <w:numPr>
          <w:ilvl w:val="0"/>
          <w:numId w:val="59"/>
        </w:numPr>
        <w:spacing w:line="240" w:lineRule="auto"/>
        <w:jc w:val="both"/>
        <w:rPr>
          <w:rFonts w:ascii="Arial" w:hAnsi="Arial" w:cs="Arial"/>
          <w:sz w:val="20"/>
        </w:rPr>
      </w:pPr>
      <w:r w:rsidRPr="0024467F">
        <w:rPr>
          <w:rFonts w:ascii="Arial" w:hAnsi="Arial"/>
          <w:sz w:val="20"/>
          <w:lang w:val="en-US"/>
        </w:rPr>
        <w:t>E. Rasmussen, E. M. Wright (2015). "</w:t>
      </w:r>
      <w:hyperlink r:id="rId155" w:history="1">
        <w:r w:rsidRPr="0024467F">
          <w:rPr>
            <w:rStyle w:val="Hyperlink"/>
            <w:rFonts w:ascii="Arial" w:hAnsi="Arial"/>
            <w:sz w:val="20"/>
            <w:lang w:val="en-US"/>
          </w:rPr>
          <w:t>How can universities facilitate academic spin-offs?</w:t>
        </w:r>
      </w:hyperlink>
      <w:hyperlink r:id="rId156" w:history="1">
        <w:r w:rsidRPr="0024467F">
          <w:rPr>
            <w:rStyle w:val="Hyperlink"/>
            <w:rFonts w:ascii="Arial" w:hAnsi="Arial"/>
            <w:sz w:val="20"/>
            <w:lang w:val="en-US"/>
          </w:rPr>
          <w:t xml:space="preserve"> </w:t>
        </w:r>
        <w:r>
          <w:rPr>
            <w:rStyle w:val="Hyperlink"/>
            <w:rFonts w:ascii="Arial" w:hAnsi="Arial"/>
            <w:sz w:val="20"/>
          </w:rPr>
          <w:t>An entrepreneurial competency perspective</w:t>
        </w:r>
      </w:hyperlink>
      <w:r>
        <w:rPr>
          <w:rFonts w:ascii="Arial" w:hAnsi="Arial"/>
          <w:sz w:val="20"/>
        </w:rPr>
        <w:t xml:space="preserve">." The Journal of Technology Transfer 40(5): 782-799. </w:t>
      </w:r>
    </w:p>
    <w:p w14:paraId="33791742" w14:textId="77777777" w:rsidR="00C21221" w:rsidRPr="0024467F" w:rsidRDefault="00C21221" w:rsidP="009D4A54">
      <w:pPr>
        <w:pStyle w:val="ListParagraph"/>
        <w:numPr>
          <w:ilvl w:val="0"/>
          <w:numId w:val="59"/>
        </w:numPr>
        <w:spacing w:after="0" w:line="240" w:lineRule="auto"/>
        <w:ind w:left="714" w:hanging="357"/>
        <w:jc w:val="both"/>
        <w:rPr>
          <w:rFonts w:ascii="Arial" w:hAnsi="Arial" w:cs="Arial"/>
          <w:sz w:val="20"/>
          <w:lang w:val="en-US"/>
        </w:rPr>
      </w:pPr>
      <w:r w:rsidRPr="0024467F">
        <w:rPr>
          <w:rFonts w:ascii="Arial" w:hAnsi="Arial"/>
          <w:sz w:val="20"/>
          <w:lang w:val="en-US"/>
        </w:rPr>
        <w:t xml:space="preserve">Comissão Europeia, </w:t>
      </w:r>
      <w:hyperlink r:id="rId157" w:history="1">
        <w:r w:rsidRPr="0024467F">
          <w:rPr>
            <w:rStyle w:val="Hyperlink"/>
            <w:rFonts w:ascii="Arial" w:hAnsi="Arial"/>
            <w:sz w:val="20"/>
            <w:lang w:val="en-US"/>
          </w:rPr>
          <w:t>University spin-outs in Europe - Overview and good practice</w:t>
        </w:r>
      </w:hyperlink>
      <w:r w:rsidRPr="0024467F">
        <w:rPr>
          <w:rFonts w:ascii="Arial" w:hAnsi="Arial"/>
          <w:sz w:val="20"/>
          <w:lang w:val="en-US"/>
        </w:rPr>
        <w:t xml:space="preserve">, 2002. </w:t>
      </w:r>
    </w:p>
    <w:p w14:paraId="477E1226" w14:textId="77777777" w:rsidR="00C21221" w:rsidRPr="00B30378" w:rsidRDefault="00C21221" w:rsidP="009D4A54">
      <w:pPr>
        <w:pStyle w:val="ListParagraph"/>
        <w:numPr>
          <w:ilvl w:val="0"/>
          <w:numId w:val="59"/>
        </w:numPr>
        <w:spacing w:line="240" w:lineRule="auto"/>
        <w:jc w:val="both"/>
        <w:rPr>
          <w:rFonts w:ascii="Arial" w:hAnsi="Arial" w:cs="Arial"/>
          <w:sz w:val="20"/>
        </w:rPr>
      </w:pPr>
      <w:r>
        <w:rPr>
          <w:rFonts w:ascii="Arial" w:hAnsi="Arial"/>
          <w:sz w:val="20"/>
        </w:rPr>
        <w:t xml:space="preserve">Universidade do Colorado, </w:t>
      </w:r>
      <w:r>
        <w:rPr>
          <w:rFonts w:ascii="Arial" w:hAnsi="Arial"/>
          <w:color w:val="333333"/>
          <w:sz w:val="20"/>
        </w:rPr>
        <w:t>"</w:t>
      </w:r>
      <w:hyperlink r:id="rId158" w:tgtFrame="_blank" w:history="1">
        <w:r>
          <w:rPr>
            <w:rStyle w:val="Hyperlink"/>
            <w:rFonts w:ascii="Arial" w:hAnsi="Arial"/>
            <w:sz w:val="20"/>
          </w:rPr>
          <w:t>Starting a Start-up:</w:t>
        </w:r>
      </w:hyperlink>
      <w:hyperlink r:id="rId159" w:tgtFrame="_blank" w:history="1">
        <w:r>
          <w:rPr>
            <w:rStyle w:val="Hyperlink"/>
            <w:rFonts w:ascii="Arial" w:hAnsi="Arial"/>
            <w:sz w:val="20"/>
          </w:rPr>
          <w:t xml:space="preserve"> Successfully Managing the Dynamics of a New Company</w:t>
        </w:r>
      </w:hyperlink>
      <w:r>
        <w:rPr>
          <w:rFonts w:ascii="Arial" w:hAnsi="Arial"/>
          <w:color w:val="333333"/>
          <w:sz w:val="20"/>
        </w:rPr>
        <w:t>" contém informações detalhadas sobre o processo de inicialização e considerações legais e comerciais importantes, além de recursos adicionais para ajudar as start-ups a começarem da maneira certa.</w:t>
      </w:r>
    </w:p>
    <w:p w14:paraId="4A8B071B" w14:textId="77777777" w:rsidR="00B30378" w:rsidRPr="00B52DF6" w:rsidRDefault="00B30378" w:rsidP="00B30378">
      <w:pPr>
        <w:pStyle w:val="ListParagraph"/>
        <w:spacing w:line="240" w:lineRule="auto"/>
        <w:jc w:val="both"/>
        <w:rPr>
          <w:rFonts w:ascii="Arial" w:hAnsi="Arial" w:cs="Arial"/>
          <w:sz w:val="20"/>
        </w:rPr>
      </w:pPr>
    </w:p>
    <w:p w14:paraId="529C85B4" w14:textId="77777777" w:rsidR="00C21221" w:rsidRPr="00FD20EE" w:rsidRDefault="00C21221" w:rsidP="009D4A54">
      <w:pPr>
        <w:pStyle w:val="ListParagraph"/>
        <w:numPr>
          <w:ilvl w:val="0"/>
          <w:numId w:val="57"/>
        </w:numPr>
        <w:spacing w:line="240" w:lineRule="auto"/>
        <w:ind w:left="426" w:hanging="426"/>
        <w:rPr>
          <w:rFonts w:ascii="Arial" w:eastAsia="Times New Roman" w:hAnsi="Arial" w:cs="Arial"/>
          <w:b/>
          <w:bCs/>
          <w:sz w:val="20"/>
        </w:rPr>
      </w:pPr>
      <w:r>
        <w:rPr>
          <w:rFonts w:ascii="Arial" w:hAnsi="Arial"/>
          <w:b/>
          <w:sz w:val="20"/>
        </w:rPr>
        <w:t>Joint Ventures</w:t>
      </w:r>
    </w:p>
    <w:p w14:paraId="59C21DA2" w14:textId="77777777" w:rsidR="00C21221" w:rsidRPr="00FD20EE" w:rsidRDefault="00660745" w:rsidP="009D4A54">
      <w:pPr>
        <w:pStyle w:val="ListParagraph"/>
        <w:numPr>
          <w:ilvl w:val="1"/>
          <w:numId w:val="59"/>
        </w:numPr>
        <w:ind w:left="851" w:hanging="425"/>
        <w:jc w:val="both"/>
        <w:rPr>
          <w:rFonts w:ascii="Arial" w:eastAsia="Times New Roman" w:hAnsi="Arial" w:cs="Arial"/>
          <w:b/>
          <w:bCs/>
          <w:sz w:val="20"/>
        </w:rPr>
      </w:pPr>
      <w:r>
        <w:rPr>
          <w:rFonts w:ascii="Arial" w:hAnsi="Arial"/>
          <w:sz w:val="20"/>
        </w:rPr>
        <w:t xml:space="preserve">European IPR Helpdesk, </w:t>
      </w:r>
      <w:hyperlink r:id="rId160" w:history="1">
        <w:r>
          <w:rPr>
            <w:rStyle w:val="Hyperlink"/>
            <w:rFonts w:ascii="Arial" w:hAnsi="Arial"/>
            <w:sz w:val="20"/>
          </w:rPr>
          <w:t>Factsheet – Commercialising IP:</w:t>
        </w:r>
      </w:hyperlink>
      <w:hyperlink r:id="rId161" w:history="1">
        <w:r>
          <w:rPr>
            <w:rStyle w:val="Hyperlink"/>
            <w:rFonts w:ascii="Arial" w:hAnsi="Arial"/>
            <w:sz w:val="20"/>
          </w:rPr>
          <w:t xml:space="preserve"> Joint Ventures</w:t>
        </w:r>
      </w:hyperlink>
    </w:p>
    <w:p w14:paraId="06F7C87D" w14:textId="77777777" w:rsidR="00DB735F" w:rsidRPr="00FD20EE" w:rsidRDefault="00DB735F" w:rsidP="00765009">
      <w:pPr>
        <w:pStyle w:val="Heading2"/>
        <w:keepNext/>
      </w:pPr>
      <w:bookmarkStart w:id="296" w:name="_Toc490468525"/>
      <w:bookmarkStart w:id="297" w:name="_Toc490821213"/>
    </w:p>
    <w:p w14:paraId="6AD327D1" w14:textId="77777777" w:rsidR="00BB7028" w:rsidRPr="00FD20EE" w:rsidRDefault="00BB7028" w:rsidP="00765009">
      <w:pPr>
        <w:pStyle w:val="Heading2"/>
        <w:keepNext/>
      </w:pPr>
      <w:bookmarkStart w:id="298" w:name="_ARTICLE_10_-"/>
      <w:bookmarkStart w:id="299" w:name="_Toc516160089"/>
      <w:bookmarkStart w:id="300" w:name="_Toc516219425"/>
      <w:bookmarkStart w:id="301" w:name="_Toc516496069"/>
      <w:bookmarkStart w:id="302" w:name="_Toc516829441"/>
      <w:bookmarkStart w:id="303" w:name="_Toc185241088"/>
      <w:bookmarkEnd w:id="298"/>
      <w:r>
        <w:t>ARTIGO 10 – INCENTIVOS E DISTRIBUIÇÃO DE RECEITAS</w:t>
      </w:r>
      <w:bookmarkEnd w:id="299"/>
      <w:bookmarkEnd w:id="300"/>
      <w:bookmarkEnd w:id="301"/>
      <w:bookmarkEnd w:id="302"/>
      <w:bookmarkEnd w:id="303"/>
      <w:r>
        <w:t xml:space="preserve"> </w:t>
      </w:r>
      <w:bookmarkEnd w:id="296"/>
      <w:bookmarkEnd w:id="297"/>
    </w:p>
    <w:p w14:paraId="41AB76E9" w14:textId="77777777" w:rsidR="00E22076" w:rsidRPr="0024467F" w:rsidRDefault="00E22076" w:rsidP="00765009">
      <w:pPr>
        <w:pStyle w:val="Heading2"/>
        <w:keepNext/>
      </w:pPr>
    </w:p>
    <w:p w14:paraId="69FD9764" w14:textId="77777777" w:rsidR="00437015" w:rsidRPr="00FD20EE" w:rsidRDefault="00517252" w:rsidP="00B7519E">
      <w:pPr>
        <w:pStyle w:val="Heading3"/>
        <w:jc w:val="both"/>
        <w:rPr>
          <w:sz w:val="24"/>
        </w:rPr>
      </w:pPr>
      <w:bookmarkStart w:id="304" w:name="_Article_10.1_–"/>
      <w:bookmarkStart w:id="305" w:name="_Toc516160090"/>
      <w:bookmarkStart w:id="306" w:name="_Toc516219426"/>
      <w:bookmarkStart w:id="307" w:name="_Toc516496070"/>
      <w:bookmarkStart w:id="308" w:name="_Toc516829442"/>
      <w:bookmarkStart w:id="309" w:name="_Toc494115993"/>
      <w:bookmarkEnd w:id="304"/>
      <w:r>
        <w:rPr>
          <w:sz w:val="24"/>
        </w:rPr>
        <w:t>Artigo 10.1 – As Estrutura de Incentivos da Instituição</w:t>
      </w:r>
      <w:bookmarkEnd w:id="305"/>
      <w:bookmarkEnd w:id="306"/>
      <w:bookmarkEnd w:id="307"/>
      <w:bookmarkEnd w:id="308"/>
      <w:r>
        <w:rPr>
          <w:sz w:val="24"/>
        </w:rPr>
        <w:t xml:space="preserve"> </w:t>
      </w:r>
    </w:p>
    <w:p w14:paraId="40A5D3DC" w14:textId="77777777" w:rsidR="00517252" w:rsidRPr="00FD20EE" w:rsidRDefault="00437015" w:rsidP="00B7519E">
      <w:pPr>
        <w:pStyle w:val="Heading3"/>
        <w:jc w:val="both"/>
        <w:rPr>
          <w:sz w:val="20"/>
        </w:rPr>
      </w:pPr>
      <w:bookmarkStart w:id="310" w:name="_Toc516160091"/>
      <w:bookmarkStart w:id="311" w:name="_Toc516219427"/>
      <w:bookmarkStart w:id="312" w:name="_Toc516496071"/>
      <w:bookmarkStart w:id="313" w:name="_Toc516829443"/>
      <w:r>
        <w:rPr>
          <w:sz w:val="20"/>
        </w:rPr>
        <w:t>Finalidade - por que os incentivos são necessários?</w:t>
      </w:r>
      <w:bookmarkEnd w:id="310"/>
      <w:bookmarkEnd w:id="311"/>
      <w:bookmarkEnd w:id="312"/>
      <w:bookmarkEnd w:id="313"/>
    </w:p>
    <w:p w14:paraId="34BD746B" w14:textId="77777777" w:rsidR="0068766A" w:rsidRPr="00FD20EE" w:rsidRDefault="0068766A" w:rsidP="00B7519E">
      <w:pPr>
        <w:spacing w:after="0" w:line="240" w:lineRule="auto"/>
        <w:jc w:val="both"/>
        <w:rPr>
          <w:rFonts w:ascii="Arial" w:hAnsi="Arial" w:cs="Arial"/>
          <w:sz w:val="20"/>
        </w:rPr>
      </w:pPr>
      <w:r>
        <w:rPr>
          <w:rFonts w:ascii="Arial" w:hAnsi="Arial"/>
          <w:sz w:val="20"/>
        </w:rPr>
        <w:t>Os incentivos institucionais desempenham um papel importante na melhoria da eficácia da transferência de conhecimento. O Modelo ressalta a importância de abordar sistemas de recompensa que sejam consistentes com maior atividade empreendedora.</w:t>
      </w:r>
    </w:p>
    <w:p w14:paraId="6327EA03" w14:textId="77777777" w:rsidR="0068766A" w:rsidRPr="0024467F" w:rsidRDefault="0068766A" w:rsidP="00B7519E">
      <w:pPr>
        <w:spacing w:after="0" w:line="240" w:lineRule="auto"/>
        <w:jc w:val="both"/>
        <w:rPr>
          <w:rFonts w:ascii="Arial" w:hAnsi="Arial" w:cs="Arial"/>
          <w:sz w:val="20"/>
        </w:rPr>
      </w:pPr>
    </w:p>
    <w:p w14:paraId="0D495753" w14:textId="63C1CBDF" w:rsidR="0095482B" w:rsidRPr="00FD20EE" w:rsidRDefault="0095482B" w:rsidP="009D4A54">
      <w:pPr>
        <w:pStyle w:val="ListParagraph"/>
        <w:numPr>
          <w:ilvl w:val="0"/>
          <w:numId w:val="52"/>
        </w:numPr>
        <w:spacing w:after="0" w:line="240" w:lineRule="auto"/>
        <w:ind w:left="426" w:hanging="426"/>
        <w:jc w:val="both"/>
        <w:rPr>
          <w:rFonts w:ascii="Arial" w:hAnsi="Arial" w:cs="Arial"/>
          <w:sz w:val="20"/>
        </w:rPr>
      </w:pPr>
      <w:r>
        <w:rPr>
          <w:rFonts w:ascii="Arial" w:hAnsi="Arial"/>
          <w:b/>
          <w:sz w:val="20"/>
        </w:rPr>
        <w:t>Artigo 10.1.1,</w:t>
      </w:r>
      <w:r>
        <w:rPr>
          <w:sz w:val="20"/>
        </w:rPr>
        <w:t xml:space="preserve"> </w:t>
      </w:r>
      <w:r>
        <w:rPr>
          <w:rFonts w:ascii="Arial" w:hAnsi="Arial"/>
          <w:b/>
          <w:i/>
          <w:sz w:val="20"/>
        </w:rPr>
        <w:t>com o interesse de promover a transferência de conhecimento</w:t>
      </w:r>
      <w:r w:rsidRPr="00D52D58">
        <w:rPr>
          <w:rFonts w:ascii="Arial" w:hAnsi="Arial"/>
          <w:bCs/>
          <w:sz w:val="20"/>
        </w:rPr>
        <w:t>:</w:t>
      </w:r>
      <w:r>
        <w:rPr>
          <w:rFonts w:ascii="Arial" w:hAnsi="Arial"/>
          <w:sz w:val="20"/>
        </w:rPr>
        <w:t xml:space="preserve"> Os pesquisadores têm sido há muito tempo atormentados pelo mantra “publicar ou perecer”, em que o avanço da sua carreira acadêmica requer publicações frequentes revistas por pares em revistas onde quanto maior for o fator de impacto</w:t>
      </w:r>
      <w:r w:rsidRPr="00FD20EE">
        <w:rPr>
          <w:rStyle w:val="FootnoteReference"/>
          <w:rFonts w:ascii="Arial" w:hAnsi="Arial" w:cs="Arial"/>
          <w:sz w:val="20"/>
          <w:lang w:val="en-US"/>
        </w:rPr>
        <w:footnoteReference w:id="172"/>
      </w:r>
      <w:r>
        <w:rPr>
          <w:rFonts w:ascii="Arial" w:hAnsi="Arial"/>
          <w:sz w:val="20"/>
        </w:rPr>
        <w:t xml:space="preserve"> mais respeitada será a produção acadêmica</w:t>
      </w:r>
      <w:r w:rsidR="008411EA">
        <w:rPr>
          <w:rFonts w:ascii="Arial" w:hAnsi="Arial"/>
          <w:sz w:val="20"/>
        </w:rPr>
        <w:t xml:space="preserve">. </w:t>
      </w:r>
      <w:r>
        <w:rPr>
          <w:rFonts w:ascii="Arial" w:hAnsi="Arial"/>
          <w:sz w:val="20"/>
        </w:rPr>
        <w:t>Um papel na comercialização de resultados de pesquisa continua sendo um papel não familiar para a maioria dos pesquisadores</w:t>
      </w:r>
      <w:r w:rsidR="008411EA">
        <w:rPr>
          <w:rFonts w:ascii="Arial" w:hAnsi="Arial"/>
          <w:sz w:val="20"/>
        </w:rPr>
        <w:t xml:space="preserve">. </w:t>
      </w:r>
      <w:r>
        <w:rPr>
          <w:rFonts w:ascii="Arial" w:hAnsi="Arial"/>
          <w:sz w:val="20"/>
        </w:rPr>
        <w:t xml:space="preserve">À medida que o papel das universidades e instituições de pesquisa, especialmente em economias emergentes e em desenvolvimento, está se transformando como um meio de fornecer soluções locais para problemas locais, a expectativa de que os pesquisadores adotem um papel maior nas atividades de inovação tem aumentado. </w:t>
      </w:r>
    </w:p>
    <w:p w14:paraId="51A7C3A6" w14:textId="77777777" w:rsidR="0095482B" w:rsidRPr="0024467F" w:rsidRDefault="0095482B" w:rsidP="00B7519E">
      <w:pPr>
        <w:spacing w:after="0" w:line="240" w:lineRule="auto"/>
        <w:jc w:val="both"/>
        <w:rPr>
          <w:rFonts w:ascii="Arial" w:hAnsi="Arial" w:cs="Arial"/>
          <w:sz w:val="20"/>
        </w:rPr>
      </w:pPr>
    </w:p>
    <w:p w14:paraId="2C098F7F" w14:textId="38CFFDAE" w:rsidR="007F7961" w:rsidRPr="00FD20EE" w:rsidRDefault="0095482B" w:rsidP="007F7961">
      <w:pPr>
        <w:spacing w:after="0" w:line="240" w:lineRule="auto"/>
        <w:ind w:left="426"/>
        <w:jc w:val="both"/>
        <w:rPr>
          <w:rFonts w:ascii="Arial" w:hAnsi="Arial" w:cs="Arial"/>
          <w:sz w:val="20"/>
        </w:rPr>
      </w:pPr>
      <w:r>
        <w:rPr>
          <w:rFonts w:ascii="Arial" w:hAnsi="Arial"/>
          <w:sz w:val="20"/>
        </w:rPr>
        <w:t>Até certo ponto, os pesquisadores acadêmicos adotaram voluntariamente esse papel mais ativo na transferência de conhecimento</w:t>
      </w:r>
      <w:r w:rsidR="008411EA">
        <w:rPr>
          <w:rFonts w:ascii="Arial" w:hAnsi="Arial"/>
          <w:sz w:val="20"/>
        </w:rPr>
        <w:t xml:space="preserve">. </w:t>
      </w:r>
      <w:r>
        <w:rPr>
          <w:rFonts w:ascii="Arial" w:hAnsi="Arial"/>
          <w:sz w:val="20"/>
        </w:rPr>
        <w:t>No entanto, uma estrutura de incentivo apropriada é essencial para impulsionar e, de fato, encorajar os pesquisadores a esse tipo de comportamento.</w:t>
      </w:r>
      <w:r w:rsidR="007F7961" w:rsidRPr="00FD20EE">
        <w:rPr>
          <w:rStyle w:val="FootnoteReference"/>
          <w:rFonts w:ascii="Arial" w:hAnsi="Arial" w:cs="Arial"/>
          <w:sz w:val="20"/>
          <w:lang w:val="en-US"/>
        </w:rPr>
        <w:footnoteReference w:id="173"/>
      </w:r>
      <w:r>
        <w:rPr>
          <w:rFonts w:ascii="Arial" w:hAnsi="Arial"/>
          <w:sz w:val="20"/>
        </w:rPr>
        <w:t xml:space="preserve"> </w:t>
      </w:r>
    </w:p>
    <w:p w14:paraId="05D2CCF6" w14:textId="77777777" w:rsidR="00A23549" w:rsidRPr="0024467F" w:rsidRDefault="00A23549" w:rsidP="00B7519E">
      <w:pPr>
        <w:spacing w:after="0" w:line="240" w:lineRule="auto"/>
        <w:ind w:left="426"/>
        <w:jc w:val="both"/>
        <w:rPr>
          <w:rFonts w:ascii="Arial" w:hAnsi="Arial" w:cs="Arial"/>
          <w:sz w:val="20"/>
        </w:rPr>
      </w:pPr>
    </w:p>
    <w:p w14:paraId="030DBA56" w14:textId="26625152" w:rsidR="0095482B" w:rsidRPr="00FD20EE" w:rsidRDefault="0095482B" w:rsidP="00B7519E">
      <w:pPr>
        <w:spacing w:after="0" w:line="240" w:lineRule="auto"/>
        <w:ind w:left="426"/>
        <w:jc w:val="both"/>
        <w:rPr>
          <w:rFonts w:ascii="Arial" w:hAnsi="Arial" w:cs="Arial"/>
          <w:sz w:val="20"/>
        </w:rPr>
      </w:pPr>
      <w:r>
        <w:rPr>
          <w:rFonts w:ascii="Arial" w:hAnsi="Arial"/>
          <w:sz w:val="20"/>
        </w:rPr>
        <w:t xml:space="preserve">Os incentivos podem exigir implementação </w:t>
      </w:r>
      <w:r>
        <w:rPr>
          <w:rFonts w:ascii="Arial" w:hAnsi="Arial"/>
          <w:b/>
          <w:bCs/>
          <w:sz w:val="20"/>
        </w:rPr>
        <w:t>obrigatória</w:t>
      </w:r>
      <w:r>
        <w:rPr>
          <w:rFonts w:ascii="Arial" w:hAnsi="Arial"/>
          <w:sz w:val="20"/>
        </w:rPr>
        <w:t xml:space="preserve"> de acordo com um quadro legislativo</w:t>
      </w:r>
      <w:r w:rsidRPr="00FD20EE">
        <w:rPr>
          <w:rStyle w:val="FootnoteReference"/>
          <w:rFonts w:ascii="Arial" w:hAnsi="Arial" w:cs="Arial"/>
          <w:sz w:val="20"/>
          <w:lang w:val="en-US"/>
        </w:rPr>
        <w:footnoteReference w:id="174"/>
      </w:r>
      <w:r>
        <w:rPr>
          <w:rFonts w:ascii="Arial" w:hAnsi="Arial"/>
          <w:sz w:val="20"/>
        </w:rPr>
        <w:t xml:space="preserve"> ou podem estar de acordo com a </w:t>
      </w:r>
      <w:r>
        <w:rPr>
          <w:rFonts w:ascii="Arial" w:hAnsi="Arial"/>
          <w:b/>
          <w:sz w:val="20"/>
        </w:rPr>
        <w:t>visão da instituição</w:t>
      </w:r>
      <w:r w:rsidR="007F7961" w:rsidRPr="00FD20EE">
        <w:rPr>
          <w:rStyle w:val="FootnoteReference"/>
          <w:rFonts w:ascii="Arial" w:hAnsi="Arial" w:cs="Arial"/>
          <w:b/>
          <w:sz w:val="20"/>
          <w:lang w:val="en-US"/>
        </w:rPr>
        <w:footnoteReference w:id="175"/>
      </w:r>
      <w:r>
        <w:rPr>
          <w:rFonts w:ascii="Arial" w:hAnsi="Arial"/>
          <w:sz w:val="20"/>
        </w:rPr>
        <w:t xml:space="preserve"> para garantir que a pesquisa tenha aplicação socioeconômica</w:t>
      </w:r>
      <w:r w:rsidR="008411EA">
        <w:rPr>
          <w:rFonts w:ascii="Arial" w:hAnsi="Arial"/>
          <w:sz w:val="20"/>
        </w:rPr>
        <w:t xml:space="preserve">. </w:t>
      </w:r>
      <w:r>
        <w:rPr>
          <w:rFonts w:ascii="Arial" w:hAnsi="Arial"/>
          <w:sz w:val="20"/>
        </w:rPr>
        <w:t>O primeiro exemplo de incentivos obrigatórios por lei foi a Lei Bayh-Dole dos Estados Unidos de 1980</w:t>
      </w:r>
      <w:r w:rsidRPr="00FD20EE">
        <w:rPr>
          <w:rStyle w:val="FootnoteReference"/>
          <w:rFonts w:ascii="Arial" w:hAnsi="Arial" w:cs="Arial"/>
          <w:sz w:val="20"/>
          <w:lang w:val="en-US"/>
        </w:rPr>
        <w:footnoteReference w:id="176"/>
      </w:r>
      <w:r w:rsidR="008411EA">
        <w:rPr>
          <w:rFonts w:ascii="Arial" w:hAnsi="Arial"/>
          <w:sz w:val="20"/>
        </w:rPr>
        <w:t xml:space="preserve">. </w:t>
      </w:r>
      <w:r>
        <w:rPr>
          <w:rFonts w:ascii="Arial" w:hAnsi="Arial"/>
          <w:sz w:val="20"/>
        </w:rPr>
        <w:t>Essa intervenção foi adotada posteriormente por vários outros países desenvolvidos e, posteriormente, por países em desenvolvimento e países em transição</w:t>
      </w:r>
      <w:r w:rsidR="008411EA">
        <w:rPr>
          <w:rFonts w:ascii="Arial" w:hAnsi="Arial"/>
          <w:sz w:val="20"/>
        </w:rPr>
        <w:t xml:space="preserve">. </w:t>
      </w:r>
      <w:r>
        <w:rPr>
          <w:rFonts w:ascii="Arial" w:hAnsi="Arial"/>
          <w:sz w:val="20"/>
        </w:rPr>
        <w:t>Exemplos incluem África do Sul (veja o trecho abaixo), China, Brasil, Índia, México e Filipinas, todos com disposições legislativas, enquanto Uganda e Botsuana são exemplos em que uma ou mais de suas instituições estabeleceram provisões para incentivos de acordo com sua visão institucional</w:t>
      </w:r>
      <w:r w:rsidR="008411EA">
        <w:rPr>
          <w:rFonts w:ascii="Arial" w:hAnsi="Arial"/>
          <w:sz w:val="20"/>
        </w:rPr>
        <w:t xml:space="preserve">. </w:t>
      </w:r>
    </w:p>
    <w:p w14:paraId="40B214DD" w14:textId="77777777" w:rsidR="0095482B" w:rsidRPr="0024467F" w:rsidRDefault="0095482B" w:rsidP="00B7519E">
      <w:pPr>
        <w:spacing w:after="0" w:line="240" w:lineRule="auto"/>
        <w:ind w:left="567" w:hanging="567"/>
        <w:jc w:val="both"/>
        <w:rPr>
          <w:rFonts w:ascii="Arial" w:hAnsi="Arial" w:cs="Arial"/>
          <w:sz w:val="20"/>
          <w:lang w:eastAsia="en-US"/>
        </w:rPr>
      </w:pPr>
    </w:p>
    <w:p w14:paraId="0AD72ECB" w14:textId="77777777"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b/>
          <w:sz w:val="20"/>
          <w:szCs w:val="32"/>
        </w:rPr>
      </w:pPr>
      <w:bookmarkStart w:id="314" w:name="Box66"/>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314"/>
      <w:r>
        <w:rPr>
          <w:rFonts w:ascii="Arial" w:hAnsi="Arial"/>
          <w:b/>
          <w:sz w:val="20"/>
        </w:rPr>
        <w:t xml:space="preserve"> Incentivos obrigatórios na África do Sul </w:t>
      </w:r>
    </w:p>
    <w:p w14:paraId="7C2AD751" w14:textId="77777777" w:rsidR="007F7961" w:rsidRPr="0024467F" w:rsidRDefault="007F7961"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rPr>
      </w:pPr>
    </w:p>
    <w:p w14:paraId="129339C3" w14:textId="5332C7CB"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rPr>
      </w:pPr>
      <w:r>
        <w:rPr>
          <w:rFonts w:ascii="Arial" w:hAnsi="Arial"/>
          <w:sz w:val="20"/>
        </w:rPr>
        <w:t>A Lei dos Direitos de Propriedade Intelectual da África do Sul sobre Pesquisa e Desenvolvimento Financiados Publicamente (n.º 51 de 2008; Lei dos DPI) fornece um dispositivo em que a seção (2)(1)(d), ao abrigo dos objetos da legislação, determina que “</w:t>
      </w:r>
      <w:r>
        <w:rPr>
          <w:rFonts w:ascii="Arial" w:hAnsi="Arial"/>
          <w:i/>
          <w:sz w:val="20"/>
        </w:rPr>
        <w:t>a engenhosidade e a criatividade humanas são reconhecidas e recompensadas</w:t>
      </w:r>
      <w:r>
        <w:rPr>
          <w:rFonts w:ascii="Arial" w:hAnsi="Arial"/>
          <w:sz w:val="20"/>
        </w:rPr>
        <w:t>”</w:t>
      </w:r>
      <w:r w:rsidR="008411EA">
        <w:rPr>
          <w:rFonts w:ascii="Arial" w:hAnsi="Arial"/>
          <w:sz w:val="20"/>
        </w:rPr>
        <w:t xml:space="preserve">. </w:t>
      </w:r>
      <w:r>
        <w:rPr>
          <w:rFonts w:ascii="Arial" w:hAnsi="Arial"/>
          <w:sz w:val="20"/>
        </w:rPr>
        <w:t xml:space="preserve">Veja também </w:t>
      </w:r>
      <w:hyperlink w:anchor="Box56" w:history="1">
        <w:r>
          <w:rPr>
            <w:rStyle w:val="Hyperlink"/>
            <w:rFonts w:ascii="Arial" w:hAnsi="Arial"/>
            <w:sz w:val="20"/>
          </w:rPr>
          <w:t>Caixa 57</w:t>
        </w:r>
      </w:hyperlink>
      <w:r>
        <w:rPr>
          <w:rFonts w:ascii="Arial" w:hAnsi="Arial"/>
          <w:sz w:val="20"/>
        </w:rPr>
        <w:t>.</w:t>
      </w:r>
    </w:p>
    <w:p w14:paraId="351BA0B8" w14:textId="77777777" w:rsidR="0095482B" w:rsidRPr="0024467F" w:rsidRDefault="0095482B" w:rsidP="00B7519E">
      <w:pPr>
        <w:spacing w:after="0" w:line="240" w:lineRule="auto"/>
        <w:jc w:val="both"/>
        <w:rPr>
          <w:rFonts w:ascii="Arial" w:hAnsi="Arial" w:cs="Arial"/>
          <w:sz w:val="20"/>
          <w:lang w:eastAsia="en-US"/>
        </w:rPr>
      </w:pPr>
    </w:p>
    <w:p w14:paraId="7FF17321" w14:textId="6C660847" w:rsidR="0095482B" w:rsidRPr="00C04211" w:rsidRDefault="0095482B" w:rsidP="00B7519E">
      <w:pPr>
        <w:spacing w:after="0" w:line="240" w:lineRule="auto"/>
        <w:ind w:left="426"/>
        <w:jc w:val="both"/>
        <w:rPr>
          <w:rFonts w:ascii="Arial" w:hAnsi="Arial" w:cs="Arial"/>
          <w:sz w:val="20"/>
        </w:rPr>
      </w:pPr>
      <w:r>
        <w:rPr>
          <w:rFonts w:ascii="Arial" w:hAnsi="Arial"/>
          <w:sz w:val="20"/>
        </w:rPr>
        <w:t xml:space="preserve">A Instituição, no interesse de promover a transferência de conhecimento e, em particular, a transferência de tecnologia, é incentivada a dar a devida consideração a </w:t>
      </w:r>
      <w:r>
        <w:rPr>
          <w:rFonts w:ascii="Arial" w:hAnsi="Arial"/>
          <w:b/>
          <w:bCs/>
          <w:sz w:val="20"/>
        </w:rPr>
        <w:t>tipos diferentes</w:t>
      </w:r>
      <w:r>
        <w:rPr>
          <w:rFonts w:ascii="Arial" w:hAnsi="Arial"/>
          <w:sz w:val="20"/>
        </w:rPr>
        <w:t xml:space="preserve"> de incentivos aos pesquisadores para promover pesquisas que tenham impacto socioeconômico</w:t>
      </w:r>
      <w:r w:rsidR="008411EA">
        <w:rPr>
          <w:rFonts w:ascii="Arial" w:hAnsi="Arial"/>
          <w:sz w:val="20"/>
        </w:rPr>
        <w:t xml:space="preserve">. </w:t>
      </w:r>
      <w:r>
        <w:rPr>
          <w:rFonts w:ascii="Arial" w:hAnsi="Arial"/>
          <w:sz w:val="20"/>
        </w:rPr>
        <w:t>O Modelo distingue entre repartição de receita e outros incentivos</w:t>
      </w:r>
      <w:r w:rsidR="008411EA">
        <w:rPr>
          <w:rFonts w:ascii="Arial" w:hAnsi="Arial"/>
          <w:sz w:val="20"/>
        </w:rPr>
        <w:t xml:space="preserve">. </w:t>
      </w:r>
    </w:p>
    <w:p w14:paraId="6CDAB358" w14:textId="77777777" w:rsidR="007F7961" w:rsidRPr="0024467F" w:rsidRDefault="007F7961" w:rsidP="00B7519E">
      <w:pPr>
        <w:spacing w:after="0" w:line="240" w:lineRule="auto"/>
        <w:ind w:left="426"/>
        <w:jc w:val="both"/>
        <w:rPr>
          <w:rFonts w:ascii="Arial" w:hAnsi="Arial" w:cs="Arial"/>
          <w:sz w:val="20"/>
          <w:lang w:eastAsia="en-US"/>
        </w:rPr>
      </w:pPr>
    </w:p>
    <w:p w14:paraId="1D1F28A3" w14:textId="77777777" w:rsidR="007F7961" w:rsidRPr="00FD20EE" w:rsidRDefault="007F7961"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ascii="Arial" w:hAnsi="Arial" w:cs="Arial"/>
          <w:b/>
          <w:sz w:val="20"/>
        </w:rPr>
      </w:pPr>
      <w:r w:rsidRPr="00FA002B">
        <w:rPr>
          <w:rFonts w:ascii="Arial" w:hAnsi="Arial"/>
          <w:b/>
          <w:sz w:val="20"/>
        </w:rPr>
        <w:lastRenderedPageBreak/>
        <w:t>Caixa</w:t>
      </w:r>
      <w:r>
        <w:rPr>
          <w:rFonts w:ascii="Arial" w:hAnsi="Arial"/>
          <w:b/>
          <w:sz w:val="20"/>
        </w:rPr>
        <w:t xml:space="preserve">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Dicas para Desenvolver um Programa de Incentivos</w:t>
      </w:r>
    </w:p>
    <w:p w14:paraId="4F66BDD2" w14:textId="77777777" w:rsidR="00E8794D" w:rsidRPr="00FD20EE" w:rsidRDefault="00E8794D"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u w:val="single"/>
        </w:rPr>
        <w:t>Publique</w:t>
      </w:r>
      <w:r>
        <w:rPr>
          <w:rFonts w:ascii="Arial" w:hAnsi="Arial"/>
          <w:sz w:val="20"/>
        </w:rPr>
        <w:t xml:space="preserve"> uma política de incentivos que explique claramente a política de repartição de receitas e de renda baseada em comercialização com base em participação societária, incluindo disposições para repartição com Criadores e Facilitadores.</w:t>
      </w:r>
    </w:p>
    <w:p w14:paraId="338CFB81" w14:textId="77777777" w:rsidR="00E8794D" w:rsidRPr="00FD20EE" w:rsidRDefault="007F796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rPr>
        <w:t>Os incentivos podem incluir “</w:t>
      </w:r>
      <w:r>
        <w:rPr>
          <w:rFonts w:ascii="Arial" w:hAnsi="Arial"/>
          <w:sz w:val="20"/>
          <w:u w:val="single"/>
        </w:rPr>
        <w:t>punições</w:t>
      </w:r>
      <w:r>
        <w:rPr>
          <w:rFonts w:ascii="Arial" w:hAnsi="Arial"/>
          <w:sz w:val="20"/>
        </w:rPr>
        <w:t>”</w:t>
      </w:r>
      <w:r>
        <w:rPr>
          <w:rFonts w:ascii="Arial" w:hAnsi="Arial"/>
          <w:b/>
          <w:sz w:val="20"/>
        </w:rPr>
        <w:t xml:space="preserve"> </w:t>
      </w:r>
      <w:r>
        <w:rPr>
          <w:rFonts w:ascii="Arial" w:hAnsi="Arial"/>
          <w:sz w:val="20"/>
        </w:rPr>
        <w:t xml:space="preserve">como exigências legais ou administrativas para que os pesquisadores divulguem invenções à Instituição que os emprega, mas também </w:t>
      </w:r>
      <w:r>
        <w:rPr>
          <w:rFonts w:ascii="Arial" w:hAnsi="Arial"/>
          <w:b/>
          <w:sz w:val="20"/>
        </w:rPr>
        <w:t>“</w:t>
      </w:r>
      <w:r>
        <w:rPr>
          <w:rFonts w:ascii="Arial" w:hAnsi="Arial"/>
          <w:sz w:val="20"/>
          <w:u w:val="single"/>
        </w:rPr>
        <w:t>recompensas”</w:t>
      </w:r>
      <w:r>
        <w:rPr>
          <w:rFonts w:ascii="Arial" w:hAnsi="Arial"/>
          <w:sz w:val="20"/>
        </w:rPr>
        <w:t xml:space="preserve">. </w:t>
      </w:r>
    </w:p>
    <w:p w14:paraId="42995203" w14:textId="77777777"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rPr>
        <w:t xml:space="preserve">Não restrinja suas estruturas de incentivos a benefícios </w:t>
      </w:r>
      <w:r>
        <w:rPr>
          <w:rFonts w:ascii="Arial" w:hAnsi="Arial"/>
          <w:sz w:val="20"/>
          <w:u w:val="single"/>
        </w:rPr>
        <w:t>financeiros</w:t>
      </w:r>
      <w:r>
        <w:rPr>
          <w:rFonts w:ascii="Arial" w:hAnsi="Arial"/>
          <w:sz w:val="20"/>
        </w:rPr>
        <w:t xml:space="preserve"> apenas; considere também </w:t>
      </w:r>
      <w:r>
        <w:rPr>
          <w:rFonts w:ascii="Arial" w:hAnsi="Arial"/>
          <w:sz w:val="20"/>
          <w:u w:val="single"/>
        </w:rPr>
        <w:t>outros tipos</w:t>
      </w:r>
      <w:r>
        <w:rPr>
          <w:rFonts w:ascii="Arial" w:hAnsi="Arial"/>
          <w:sz w:val="20"/>
        </w:rPr>
        <w:t xml:space="preserve"> de benefícios (veja o </w:t>
      </w:r>
      <w:hyperlink w:anchor="Article10p3" w:history="1">
        <w:r>
          <w:rPr>
            <w:rStyle w:val="Hyperlink"/>
            <w:rFonts w:ascii="Arial" w:hAnsi="Arial"/>
            <w:sz w:val="20"/>
          </w:rPr>
          <w:t>Artigo 10.3</w:t>
        </w:r>
      </w:hyperlink>
      <w:r>
        <w:rPr>
          <w:rFonts w:ascii="Arial" w:hAnsi="Arial"/>
          <w:sz w:val="20"/>
        </w:rPr>
        <w:t xml:space="preserve">). </w:t>
      </w:r>
    </w:p>
    <w:p w14:paraId="0EEC283E" w14:textId="77777777"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rPr>
        <w:t xml:space="preserve">Estabeleça os parâmetros de repartição de receitas, tanto quanto possível, através de uma abordagem normalizada (veja o </w:t>
      </w:r>
      <w:hyperlink w:anchor="Article10p2" w:history="1">
        <w:r>
          <w:rPr>
            <w:rStyle w:val="Hyperlink"/>
            <w:rFonts w:ascii="Arial" w:hAnsi="Arial"/>
            <w:sz w:val="20"/>
          </w:rPr>
          <w:t>Artigo 10.2</w:t>
        </w:r>
      </w:hyperlink>
      <w:r>
        <w:rPr>
          <w:rFonts w:ascii="Arial" w:hAnsi="Arial"/>
          <w:sz w:val="20"/>
        </w:rPr>
        <w:t>).</w:t>
      </w:r>
    </w:p>
    <w:p w14:paraId="14D07C43" w14:textId="77777777" w:rsidR="00AD755F"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rPr>
        <w:t xml:space="preserve">Certifique-se de que suas políticas de repartição de receitas reconheçam termos e condições específicos em </w:t>
      </w:r>
      <w:r>
        <w:rPr>
          <w:rFonts w:ascii="Arial" w:hAnsi="Arial"/>
          <w:sz w:val="20"/>
          <w:u w:val="single"/>
        </w:rPr>
        <w:t>contratos de financiamento</w:t>
      </w:r>
      <w:r>
        <w:rPr>
          <w:rFonts w:ascii="Arial" w:hAnsi="Arial"/>
          <w:sz w:val="20"/>
        </w:rPr>
        <w:t xml:space="preserve"> relevantes.</w:t>
      </w:r>
    </w:p>
    <w:p w14:paraId="1D3BD07D" w14:textId="77777777" w:rsidR="00A23549" w:rsidRPr="00FD20EE" w:rsidRDefault="0073034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rPr>
      </w:pPr>
      <w:r>
        <w:rPr>
          <w:rFonts w:ascii="Arial" w:hAnsi="Arial"/>
          <w:sz w:val="20"/>
        </w:rPr>
        <w:t xml:space="preserve">Escolha cuidadosamente os tipos de incentivos; uma estrutura de incentivo específica ou uma fórmula de distribuição de royalties que possa melhorar potencialmente o licenciamento de tecnologia, enquanto outras têm maior probabilidade de impulsionar spin-offs (veja </w:t>
      </w:r>
      <w:hyperlink w:anchor="Box61" w:history="1">
        <w:r>
          <w:rPr>
            <w:rStyle w:val="Hyperlink"/>
            <w:rFonts w:ascii="Arial" w:hAnsi="Arial"/>
            <w:sz w:val="20"/>
          </w:rPr>
          <w:t>Caixa 62</w:t>
        </w:r>
      </w:hyperlink>
      <w:r>
        <w:rPr>
          <w:rFonts w:ascii="Arial" w:hAnsi="Arial"/>
          <w:sz w:val="20"/>
        </w:rPr>
        <w:t>).</w:t>
      </w:r>
    </w:p>
    <w:p w14:paraId="1AB9FD17" w14:textId="77777777" w:rsidR="00437015" w:rsidRPr="00FD20EE" w:rsidRDefault="00437015" w:rsidP="00831449">
      <w:pPr>
        <w:pStyle w:val="Heading3"/>
        <w:spacing w:before="360"/>
        <w:jc w:val="both"/>
        <w:rPr>
          <w:sz w:val="24"/>
        </w:rPr>
      </w:pPr>
      <w:bookmarkStart w:id="315" w:name="_Toc516160092"/>
      <w:bookmarkStart w:id="316" w:name="_Toc516219428"/>
      <w:bookmarkStart w:id="317" w:name="_Toc516496072"/>
      <w:bookmarkStart w:id="318" w:name="_Toc516829444"/>
      <w:r>
        <w:rPr>
          <w:sz w:val="24"/>
        </w:rPr>
        <w:t>Escopo – a quem os incentivos devem ser aplicados?</w:t>
      </w:r>
      <w:bookmarkEnd w:id="315"/>
      <w:bookmarkEnd w:id="316"/>
      <w:bookmarkEnd w:id="317"/>
      <w:bookmarkEnd w:id="318"/>
    </w:p>
    <w:p w14:paraId="6C2F1F3D" w14:textId="5CDD08EF" w:rsidR="0095482B" w:rsidRPr="00C04211" w:rsidRDefault="006D4C25" w:rsidP="009D4A54">
      <w:pPr>
        <w:pStyle w:val="ListParagraph"/>
        <w:numPr>
          <w:ilvl w:val="0"/>
          <w:numId w:val="99"/>
        </w:numPr>
        <w:spacing w:after="0" w:line="240" w:lineRule="auto"/>
        <w:ind w:left="426" w:hanging="284"/>
        <w:jc w:val="both"/>
        <w:rPr>
          <w:rFonts w:ascii="Arial" w:hAnsi="Arial" w:cs="Arial"/>
          <w:sz w:val="20"/>
        </w:rPr>
      </w:pPr>
      <w:r>
        <w:rPr>
          <w:rFonts w:ascii="Arial" w:hAnsi="Arial"/>
          <w:b/>
          <w:sz w:val="20"/>
        </w:rPr>
        <w:t>Artigo 10.1.1,</w:t>
      </w:r>
      <w:r>
        <w:rPr>
          <w:sz w:val="20"/>
        </w:rPr>
        <w:t xml:space="preserve"> </w:t>
      </w:r>
      <w:r>
        <w:rPr>
          <w:rFonts w:ascii="Arial" w:hAnsi="Arial"/>
          <w:b/>
          <w:i/>
          <w:sz w:val="20"/>
        </w:rPr>
        <w:t>Criadores</w:t>
      </w:r>
      <w:r w:rsidRPr="00E67619">
        <w:rPr>
          <w:rFonts w:ascii="Arial" w:hAnsi="Arial"/>
          <w:bCs/>
          <w:iCs/>
          <w:sz w:val="20"/>
        </w:rPr>
        <w:t xml:space="preserve">: </w:t>
      </w:r>
      <w:r>
        <w:rPr>
          <w:rFonts w:ascii="Arial" w:hAnsi="Arial"/>
          <w:color w:val="000000" w:themeColor="text1"/>
          <w:sz w:val="20"/>
        </w:rPr>
        <w:t xml:space="preserve">Os incentivos são designados principalmente para pesquisadores que estejam </w:t>
      </w:r>
      <w:r>
        <w:rPr>
          <w:rFonts w:ascii="Arial" w:hAnsi="Arial"/>
          <w:sz w:val="20"/>
        </w:rPr>
        <w:t>diretamente envolvidos na criação da PI resultante de suas pesquisas/esforços intelectuais</w:t>
      </w:r>
      <w:r w:rsidR="008411EA">
        <w:rPr>
          <w:rFonts w:ascii="Arial" w:hAnsi="Arial"/>
          <w:sz w:val="20"/>
        </w:rPr>
        <w:t xml:space="preserve">. </w:t>
      </w:r>
      <w:r>
        <w:rPr>
          <w:rFonts w:ascii="Arial" w:hAnsi="Arial"/>
          <w:sz w:val="20"/>
        </w:rPr>
        <w:t>Esses indivíduos são considerados Criadores de PI, conforme definido no Artigo 2, que é um termo geral abrangente, no entanto, dependendo do tipo de PI e do direito legal de PI associado criado, os Criadores de PI receberão uma terminologia mais específica, conforme estabelecido na tabela abaixo:</w:t>
      </w:r>
    </w:p>
    <w:p w14:paraId="66CE56BA" w14:textId="77777777" w:rsidR="0095482B" w:rsidRPr="0024467F" w:rsidRDefault="0095482B" w:rsidP="0095482B">
      <w:pPr>
        <w:pStyle w:val="ListParagraph"/>
        <w:spacing w:after="0"/>
        <w:ind w:left="426"/>
        <w:jc w:val="both"/>
        <w:rPr>
          <w:rFonts w:ascii="Arial" w:hAnsi="Arial" w:cs="Arial"/>
          <w:sz w:val="20"/>
          <w:lang w:eastAsia="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437015" w:rsidRPr="00FD20EE" w14:paraId="3E896A0A" w14:textId="77777777" w:rsidTr="00F841B0">
        <w:tc>
          <w:tcPr>
            <w:tcW w:w="8930" w:type="dxa"/>
            <w:gridSpan w:val="3"/>
            <w:shd w:val="clear" w:color="auto" w:fill="D9D9D9" w:themeFill="background1" w:themeFillShade="D9"/>
            <w:vAlign w:val="center"/>
          </w:tcPr>
          <w:p w14:paraId="14E2093F" w14:textId="77777777" w:rsidR="00437015" w:rsidRPr="00FD20EE" w:rsidRDefault="00437015" w:rsidP="00CA48D2">
            <w:pPr>
              <w:pStyle w:val="Style2"/>
              <w:keepNext/>
              <w:keepLines/>
              <w:spacing w:line="276" w:lineRule="auto"/>
              <w:ind w:left="0"/>
              <w:rPr>
                <w:rStyle w:val="CharacterStyle1"/>
                <w:rFonts w:ascii="Arial" w:hAnsi="Arial" w:cs="Arial"/>
                <w:b/>
                <w:szCs w:val="22"/>
              </w:rPr>
            </w:pPr>
            <w:r>
              <w:rPr>
                <w:rFonts w:ascii="Arial" w:hAnsi="Arial"/>
                <w:b/>
              </w:rPr>
              <w:t xml:space="preserve">Caixa </w:t>
            </w:r>
            <w:r w:rsidRPr="00FD20EE">
              <w:rPr>
                <w:rFonts w:ascii="Arial" w:hAnsi="Arial" w:cs="Arial"/>
                <w:b/>
              </w:rPr>
              <w:fldChar w:fldCharType="begin"/>
            </w:r>
            <w:r w:rsidRPr="00FD20EE">
              <w:rPr>
                <w:rFonts w:ascii="Arial" w:hAnsi="Arial" w:cs="Arial"/>
                <w:b/>
              </w:rPr>
              <w:instrText xml:space="preserve"> AUTONUM  \* Arabic </w:instrText>
            </w:r>
            <w:r w:rsidRPr="00FD20EE">
              <w:rPr>
                <w:rFonts w:ascii="Arial" w:hAnsi="Arial" w:cs="Arial"/>
                <w:b/>
              </w:rPr>
              <w:fldChar w:fldCharType="end"/>
            </w:r>
            <w:r>
              <w:rPr>
                <w:rFonts w:ascii="Arial" w:hAnsi="Arial"/>
                <w:b/>
              </w:rPr>
              <w:t xml:space="preserve"> Tipos de Criadores</w:t>
            </w:r>
          </w:p>
        </w:tc>
      </w:tr>
      <w:tr w:rsidR="0095482B" w:rsidRPr="00FD20EE" w14:paraId="45AF50F2" w14:textId="77777777" w:rsidTr="00CA48D2">
        <w:tc>
          <w:tcPr>
            <w:tcW w:w="1431" w:type="dxa"/>
            <w:shd w:val="clear" w:color="auto" w:fill="95B3D7" w:themeFill="accent1" w:themeFillTint="99"/>
            <w:vAlign w:val="center"/>
          </w:tcPr>
          <w:p w14:paraId="38B5C54B" w14:textId="77777777" w:rsidR="0095482B" w:rsidRPr="00FD20EE" w:rsidRDefault="0095482B" w:rsidP="00CA48D2">
            <w:pPr>
              <w:pStyle w:val="Style2"/>
              <w:keepNext/>
              <w:keepLines/>
              <w:tabs>
                <w:tab w:val="left" w:pos="0"/>
              </w:tabs>
              <w:spacing w:line="276" w:lineRule="auto"/>
              <w:ind w:left="0"/>
              <w:rPr>
                <w:rStyle w:val="CharacterStyle1"/>
                <w:rFonts w:ascii="Arial" w:hAnsi="Arial" w:cs="Arial"/>
                <w:b/>
                <w:szCs w:val="22"/>
              </w:rPr>
            </w:pPr>
            <w:r>
              <w:rPr>
                <w:rStyle w:val="CharacterStyle1"/>
                <w:rFonts w:ascii="Arial" w:hAnsi="Arial"/>
                <w:b/>
              </w:rPr>
              <w:t>Criador de PI</w:t>
            </w:r>
          </w:p>
        </w:tc>
        <w:tc>
          <w:tcPr>
            <w:tcW w:w="5089" w:type="dxa"/>
            <w:shd w:val="clear" w:color="auto" w:fill="95B3D7" w:themeFill="accent1" w:themeFillTint="99"/>
            <w:vAlign w:val="center"/>
          </w:tcPr>
          <w:p w14:paraId="305EA8E9"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Pr>
                <w:rStyle w:val="CharacterStyle1"/>
                <w:rFonts w:ascii="Arial" w:hAnsi="Arial"/>
                <w:b/>
              </w:rPr>
              <w:t>Exemplo(s)</w:t>
            </w:r>
          </w:p>
        </w:tc>
        <w:tc>
          <w:tcPr>
            <w:tcW w:w="2410" w:type="dxa"/>
            <w:shd w:val="clear" w:color="auto" w:fill="95B3D7" w:themeFill="accent1" w:themeFillTint="99"/>
            <w:vAlign w:val="center"/>
          </w:tcPr>
          <w:p w14:paraId="3A82C43E"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Pr>
                <w:rStyle w:val="CharacterStyle1"/>
                <w:rFonts w:ascii="Arial" w:hAnsi="Arial"/>
                <w:b/>
              </w:rPr>
              <w:t xml:space="preserve">Direito legal de PI </w:t>
            </w:r>
          </w:p>
        </w:tc>
      </w:tr>
      <w:tr w:rsidR="0095482B" w:rsidRPr="00FD20EE" w14:paraId="2ECC0326" w14:textId="77777777" w:rsidTr="00CA48D2">
        <w:tc>
          <w:tcPr>
            <w:tcW w:w="1431" w:type="dxa"/>
            <w:vAlign w:val="center"/>
          </w:tcPr>
          <w:p w14:paraId="71C12642"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Pr>
                <w:rStyle w:val="CharacterStyle1"/>
                <w:rFonts w:ascii="Arial" w:hAnsi="Arial"/>
              </w:rPr>
              <w:t>Inventor</w:t>
            </w:r>
          </w:p>
        </w:tc>
        <w:tc>
          <w:tcPr>
            <w:tcW w:w="5089" w:type="dxa"/>
            <w:vAlign w:val="center"/>
          </w:tcPr>
          <w:p w14:paraId="19E5A3B8"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Pr>
                <w:rStyle w:val="CharacterStyle1"/>
                <w:rFonts w:ascii="Arial" w:hAnsi="Arial"/>
              </w:rPr>
              <w:t xml:space="preserve">Invenção </w:t>
            </w:r>
          </w:p>
          <w:p w14:paraId="19C6997F"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Pr>
                <w:rStyle w:val="CharacterStyle1"/>
                <w:rFonts w:ascii="Arial" w:hAnsi="Arial"/>
              </w:rPr>
              <w:t>(incluindo variedades de plantas geneticamente modificadas)</w:t>
            </w:r>
          </w:p>
        </w:tc>
        <w:tc>
          <w:tcPr>
            <w:tcW w:w="2410" w:type="dxa"/>
            <w:vAlign w:val="center"/>
          </w:tcPr>
          <w:p w14:paraId="72FB53D5" w14:textId="77777777" w:rsidR="0095482B" w:rsidRPr="00FD20EE" w:rsidRDefault="0095482B" w:rsidP="00CA48D2">
            <w:pPr>
              <w:pStyle w:val="Style2"/>
              <w:keepNext/>
              <w:keepLines/>
              <w:spacing w:line="276" w:lineRule="auto"/>
              <w:ind w:left="0" w:right="-252"/>
              <w:jc w:val="both"/>
              <w:rPr>
                <w:rStyle w:val="CharacterStyle1"/>
                <w:rFonts w:ascii="Arial" w:hAnsi="Arial" w:cs="Arial"/>
                <w:szCs w:val="22"/>
              </w:rPr>
            </w:pPr>
            <w:r>
              <w:rPr>
                <w:rStyle w:val="CharacterStyle1"/>
                <w:rFonts w:ascii="Arial" w:hAnsi="Arial"/>
              </w:rPr>
              <w:t>Patente</w:t>
            </w:r>
          </w:p>
        </w:tc>
      </w:tr>
      <w:tr w:rsidR="0095482B" w:rsidRPr="00FD20EE" w14:paraId="33686F88" w14:textId="77777777" w:rsidTr="00CA48D2">
        <w:tc>
          <w:tcPr>
            <w:tcW w:w="1431" w:type="dxa"/>
            <w:vAlign w:val="center"/>
          </w:tcPr>
          <w:p w14:paraId="63A18A84"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Autor/ Titular</w:t>
            </w:r>
          </w:p>
        </w:tc>
        <w:tc>
          <w:tcPr>
            <w:tcW w:w="5089" w:type="dxa"/>
            <w:vAlign w:val="center"/>
          </w:tcPr>
          <w:p w14:paraId="474BCF42"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Desenho funcional ou estético</w:t>
            </w:r>
          </w:p>
        </w:tc>
        <w:tc>
          <w:tcPr>
            <w:tcW w:w="2410" w:type="dxa"/>
            <w:vAlign w:val="center"/>
          </w:tcPr>
          <w:p w14:paraId="425AE0A2"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Desenho industrial</w:t>
            </w:r>
          </w:p>
        </w:tc>
      </w:tr>
      <w:tr w:rsidR="0095482B" w:rsidRPr="00FD20EE" w14:paraId="3D2BEEB4" w14:textId="77777777" w:rsidTr="00CA48D2">
        <w:tc>
          <w:tcPr>
            <w:tcW w:w="1431" w:type="dxa"/>
            <w:vAlign w:val="center"/>
          </w:tcPr>
          <w:p w14:paraId="488B9597"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Melhorador</w:t>
            </w:r>
          </w:p>
        </w:tc>
        <w:tc>
          <w:tcPr>
            <w:tcW w:w="5089" w:type="dxa"/>
            <w:vAlign w:val="center"/>
          </w:tcPr>
          <w:p w14:paraId="2DF68BE3"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Variedade de Plantas</w:t>
            </w:r>
          </w:p>
        </w:tc>
        <w:tc>
          <w:tcPr>
            <w:tcW w:w="2410" w:type="dxa"/>
            <w:vAlign w:val="center"/>
          </w:tcPr>
          <w:p w14:paraId="6661489F" w14:textId="77777777" w:rsidR="0095482B" w:rsidRPr="00FD20EE" w:rsidRDefault="0095482B" w:rsidP="00CA48D2">
            <w:pPr>
              <w:pStyle w:val="Style2"/>
              <w:spacing w:line="276" w:lineRule="auto"/>
              <w:ind w:left="0" w:right="-252"/>
              <w:rPr>
                <w:rStyle w:val="CharacterStyle1"/>
                <w:rFonts w:ascii="Arial" w:hAnsi="Arial" w:cs="Arial"/>
                <w:szCs w:val="22"/>
              </w:rPr>
            </w:pPr>
            <w:r>
              <w:rPr>
                <w:rStyle w:val="CharacterStyle1"/>
                <w:rFonts w:ascii="Arial" w:hAnsi="Arial"/>
              </w:rPr>
              <w:t>Direito dos Melhoradores de Plantas</w:t>
            </w:r>
          </w:p>
        </w:tc>
      </w:tr>
      <w:tr w:rsidR="0095482B" w:rsidRPr="00FD20EE" w14:paraId="50C87C0A" w14:textId="77777777" w:rsidTr="00CA48D2">
        <w:tc>
          <w:tcPr>
            <w:tcW w:w="1431" w:type="dxa"/>
            <w:vAlign w:val="center"/>
          </w:tcPr>
          <w:p w14:paraId="59713B4B"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Titular</w:t>
            </w:r>
          </w:p>
        </w:tc>
        <w:tc>
          <w:tcPr>
            <w:tcW w:w="5089" w:type="dxa"/>
            <w:vAlign w:val="center"/>
          </w:tcPr>
          <w:p w14:paraId="67FC8628"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Marca</w:t>
            </w:r>
          </w:p>
        </w:tc>
        <w:tc>
          <w:tcPr>
            <w:tcW w:w="2410" w:type="dxa"/>
            <w:vAlign w:val="center"/>
          </w:tcPr>
          <w:p w14:paraId="5DB3AB89"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Marca comercial</w:t>
            </w:r>
          </w:p>
        </w:tc>
      </w:tr>
      <w:tr w:rsidR="0095482B" w:rsidRPr="00FD20EE" w14:paraId="5A57E972" w14:textId="77777777" w:rsidTr="00CA48D2">
        <w:tc>
          <w:tcPr>
            <w:tcW w:w="1431" w:type="dxa"/>
            <w:vAlign w:val="center"/>
          </w:tcPr>
          <w:p w14:paraId="364B5A3C"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Autor</w:t>
            </w:r>
          </w:p>
        </w:tc>
        <w:tc>
          <w:tcPr>
            <w:tcW w:w="5089" w:type="dxa"/>
            <w:vAlign w:val="center"/>
          </w:tcPr>
          <w:p w14:paraId="03D17808"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Obras literárias/musicais/artísticas</w:t>
            </w:r>
          </w:p>
          <w:p w14:paraId="15F68248"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Filmes cinematográficos</w:t>
            </w:r>
          </w:p>
          <w:p w14:paraId="2CF0C08D"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Gravações sonoras</w:t>
            </w:r>
          </w:p>
          <w:p w14:paraId="2B17A423"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Radiodifusões</w:t>
            </w:r>
          </w:p>
          <w:p w14:paraId="45008E0F"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Sinais portadores de programas</w:t>
            </w:r>
          </w:p>
          <w:p w14:paraId="4156A9E5"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Edições publicadas</w:t>
            </w:r>
          </w:p>
          <w:p w14:paraId="34C084DE" w14:textId="77777777" w:rsidR="0095482B" w:rsidRPr="00FD20EE" w:rsidRDefault="0095482B" w:rsidP="00CA48D2">
            <w:pPr>
              <w:pStyle w:val="Style2"/>
              <w:spacing w:line="276" w:lineRule="auto"/>
              <w:ind w:left="0"/>
              <w:jc w:val="both"/>
              <w:rPr>
                <w:rStyle w:val="CharacterStyle1"/>
                <w:rFonts w:ascii="Arial" w:hAnsi="Arial" w:cs="Arial"/>
                <w:i/>
                <w:szCs w:val="22"/>
              </w:rPr>
            </w:pPr>
            <w:r>
              <w:rPr>
                <w:rStyle w:val="CharacterStyle1"/>
                <w:rFonts w:ascii="Arial" w:hAnsi="Arial"/>
              </w:rPr>
              <w:t>Programas de computador etc.</w:t>
            </w:r>
          </w:p>
        </w:tc>
        <w:tc>
          <w:tcPr>
            <w:tcW w:w="2410" w:type="dxa"/>
            <w:vAlign w:val="center"/>
          </w:tcPr>
          <w:p w14:paraId="58B607D9"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Direito autoral</w:t>
            </w:r>
          </w:p>
        </w:tc>
      </w:tr>
    </w:tbl>
    <w:p w14:paraId="79A39D8A" w14:textId="77777777" w:rsidR="0095482B" w:rsidRPr="00C04211" w:rsidRDefault="0095482B" w:rsidP="0095482B">
      <w:pPr>
        <w:pStyle w:val="ListParagraph"/>
        <w:spacing w:after="0"/>
        <w:ind w:left="426"/>
        <w:jc w:val="both"/>
        <w:rPr>
          <w:rFonts w:ascii="Arial" w:hAnsi="Arial" w:cs="Arial"/>
          <w:lang w:val="en-US" w:eastAsia="en-US"/>
        </w:rPr>
      </w:pPr>
    </w:p>
    <w:p w14:paraId="14DFC340" w14:textId="4826D70A" w:rsidR="0095482B" w:rsidRPr="00CC0CF0" w:rsidRDefault="0095482B" w:rsidP="00B7519E">
      <w:pPr>
        <w:pStyle w:val="ListParagraph"/>
        <w:spacing w:after="0" w:line="240" w:lineRule="auto"/>
        <w:ind w:left="426"/>
        <w:jc w:val="both"/>
        <w:rPr>
          <w:rFonts w:ascii="Arial" w:hAnsi="Arial" w:cs="Arial"/>
          <w:color w:val="000000" w:themeColor="text1"/>
          <w:sz w:val="20"/>
        </w:rPr>
      </w:pPr>
      <w:r>
        <w:rPr>
          <w:rFonts w:ascii="Arial" w:hAnsi="Arial"/>
          <w:color w:val="000000" w:themeColor="text1"/>
          <w:sz w:val="20"/>
        </w:rPr>
        <w:t>Os incentivos serão aplicados a inventores, autores, proprietários e melhoradores</w:t>
      </w:r>
      <w:r w:rsidR="008411EA">
        <w:rPr>
          <w:rFonts w:ascii="Arial" w:hAnsi="Arial"/>
          <w:color w:val="000000" w:themeColor="text1"/>
          <w:sz w:val="20"/>
        </w:rPr>
        <w:t xml:space="preserve">. </w:t>
      </w:r>
      <w:r>
        <w:rPr>
          <w:rFonts w:ascii="Arial" w:hAnsi="Arial"/>
          <w:color w:val="000000" w:themeColor="text1"/>
          <w:sz w:val="20"/>
        </w:rPr>
        <w:t>É importante que os Criadores sejam claramente definidos e identificados por meio do processo de divulgação.</w:t>
      </w:r>
      <w:r w:rsidR="00DC4182" w:rsidRPr="00C04211">
        <w:rPr>
          <w:rStyle w:val="FootnoteReference"/>
          <w:rFonts w:ascii="Arial" w:hAnsi="Arial" w:cs="Arial"/>
          <w:color w:val="000000" w:themeColor="text1"/>
          <w:sz w:val="20"/>
          <w:lang w:val="en-US" w:eastAsia="en-US"/>
        </w:rPr>
        <w:footnoteReference w:id="177"/>
      </w:r>
    </w:p>
    <w:p w14:paraId="67523B80" w14:textId="77777777" w:rsidR="0095482B" w:rsidRPr="0024467F" w:rsidRDefault="0095482B" w:rsidP="00B7519E">
      <w:pPr>
        <w:pStyle w:val="ListParagraph"/>
        <w:spacing w:after="0" w:line="240" w:lineRule="auto"/>
        <w:ind w:left="0"/>
        <w:jc w:val="both"/>
        <w:rPr>
          <w:rFonts w:ascii="Arial" w:hAnsi="Arial" w:cs="Arial"/>
          <w:color w:val="000000" w:themeColor="text1"/>
          <w:sz w:val="20"/>
          <w:lang w:eastAsia="en-US"/>
        </w:rPr>
      </w:pPr>
    </w:p>
    <w:p w14:paraId="58C181C1" w14:textId="363FFF67" w:rsidR="0095482B" w:rsidRPr="00C04211" w:rsidRDefault="006D4C25" w:rsidP="009D4A54">
      <w:pPr>
        <w:pStyle w:val="ListParagraph"/>
        <w:numPr>
          <w:ilvl w:val="0"/>
          <w:numId w:val="99"/>
        </w:numPr>
        <w:spacing w:after="0" w:line="240" w:lineRule="auto"/>
        <w:ind w:left="426" w:hanging="426"/>
        <w:jc w:val="both"/>
        <w:rPr>
          <w:rFonts w:ascii="Arial" w:hAnsi="Arial" w:cs="Arial"/>
          <w:color w:val="000000" w:themeColor="text1"/>
          <w:sz w:val="20"/>
        </w:rPr>
      </w:pPr>
      <w:r>
        <w:rPr>
          <w:rFonts w:ascii="Arial" w:hAnsi="Arial"/>
          <w:b/>
          <w:sz w:val="20"/>
        </w:rPr>
        <w:t>Artigo 10.1.1,</w:t>
      </w:r>
      <w:r>
        <w:rPr>
          <w:sz w:val="20"/>
        </w:rPr>
        <w:t xml:space="preserve"> </w:t>
      </w:r>
      <w:r>
        <w:rPr>
          <w:rFonts w:ascii="Arial" w:hAnsi="Arial"/>
          <w:b/>
          <w:i/>
          <w:sz w:val="20"/>
        </w:rPr>
        <w:t>Facilitadores</w:t>
      </w:r>
      <w:r w:rsidRPr="00E67619">
        <w:rPr>
          <w:rFonts w:ascii="Arial" w:hAnsi="Arial"/>
          <w:bCs/>
          <w:sz w:val="20"/>
        </w:rPr>
        <w:t>:</w:t>
      </w:r>
      <w:r w:rsidRPr="00E67619">
        <w:rPr>
          <w:rFonts w:ascii="Arial" w:hAnsi="Arial"/>
          <w:bCs/>
          <w:i/>
          <w:sz w:val="20"/>
        </w:rPr>
        <w:t xml:space="preserve"> </w:t>
      </w:r>
      <w:r>
        <w:rPr>
          <w:rFonts w:ascii="Arial" w:hAnsi="Arial"/>
          <w:color w:val="000000" w:themeColor="text1"/>
          <w:sz w:val="20"/>
        </w:rPr>
        <w:t xml:space="preserve">Incentivos também podem ser projetados para Facilitadores de PI, conforme definido no Artigo 2, que não são diretamente responsáveis pela criação de PI por meio </w:t>
      </w:r>
      <w:r>
        <w:rPr>
          <w:rFonts w:ascii="Arial" w:hAnsi="Arial"/>
          <w:color w:val="000000" w:themeColor="text1"/>
          <w:sz w:val="20"/>
        </w:rPr>
        <w:lastRenderedPageBreak/>
        <w:t>de uma contribuição intelectual para resolver o problema de forma complexa e não óbvia, mas contribuem em uma função de apoio, geralmente executando instruções e realizando procedimentos padrão, mas sem os quais a criação de PI não ocorreria</w:t>
      </w:r>
      <w:r w:rsidR="008411EA">
        <w:rPr>
          <w:rFonts w:ascii="Arial" w:hAnsi="Arial"/>
          <w:color w:val="000000" w:themeColor="text1"/>
          <w:sz w:val="20"/>
        </w:rPr>
        <w:t xml:space="preserve">. </w:t>
      </w:r>
      <w:r>
        <w:rPr>
          <w:rFonts w:ascii="Arial" w:hAnsi="Arial"/>
          <w:color w:val="000000" w:themeColor="text1"/>
          <w:sz w:val="20"/>
        </w:rPr>
        <w:t>Por exemplo, um técnico que realiza análises de GC-MS, cultura de tecidos e sequenciamento de DNA, seguido pela limpeza dos dados de sequência resultantes, etc</w:t>
      </w:r>
      <w:r w:rsidR="008411EA">
        <w:rPr>
          <w:rFonts w:ascii="Arial" w:hAnsi="Arial"/>
          <w:color w:val="000000" w:themeColor="text1"/>
          <w:sz w:val="20"/>
        </w:rPr>
        <w:t xml:space="preserve">. </w:t>
      </w:r>
    </w:p>
    <w:p w14:paraId="129BA44E" w14:textId="77777777" w:rsidR="00C209E5" w:rsidRPr="0024467F" w:rsidRDefault="00C209E5" w:rsidP="00B7519E">
      <w:pPr>
        <w:pStyle w:val="ListParagraph"/>
        <w:spacing w:after="0" w:line="240" w:lineRule="auto"/>
        <w:ind w:left="426"/>
        <w:jc w:val="both"/>
        <w:rPr>
          <w:rFonts w:ascii="Arial" w:hAnsi="Arial" w:cs="Arial"/>
          <w:color w:val="000000" w:themeColor="text1"/>
          <w:sz w:val="20"/>
          <w:lang w:eastAsia="en-US"/>
        </w:rPr>
      </w:pPr>
    </w:p>
    <w:p w14:paraId="77FAF9FB" w14:textId="19099568" w:rsidR="00C209E5" w:rsidRPr="00FD20EE" w:rsidRDefault="00C209E5"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color w:val="000000" w:themeColor="text1"/>
          <w:sz w:val="20"/>
        </w:rPr>
        <w:t>Outros</w:t>
      </w:r>
      <w:r>
        <w:rPr>
          <w:rFonts w:ascii="Arial" w:hAnsi="Arial"/>
          <w:color w:val="000000" w:themeColor="text1"/>
          <w:sz w:val="20"/>
        </w:rPr>
        <w:t xml:space="preserve">. </w:t>
      </w:r>
      <w:r>
        <w:rPr>
          <w:rFonts w:ascii="Arial" w:hAnsi="Arial"/>
          <w:sz w:val="20"/>
        </w:rPr>
        <w:t>O objetivo do Modelo é motivar os pesquisadores a participar do processo de transferência de conhecimento, principalmente fornecendo-lhes compensação por meio de royalties</w:t>
      </w:r>
      <w:r w:rsidR="008411EA">
        <w:rPr>
          <w:rFonts w:ascii="Arial" w:hAnsi="Arial"/>
          <w:sz w:val="20"/>
        </w:rPr>
        <w:t xml:space="preserve">. </w:t>
      </w:r>
      <w:r>
        <w:rPr>
          <w:rFonts w:ascii="Arial" w:hAnsi="Arial"/>
          <w:sz w:val="20"/>
        </w:rPr>
        <w:t>No entanto, a transferência de conhecimento envolve diferentes grupos, incluindo os cientistas acadêmicos</w:t>
      </w:r>
      <w:r w:rsidR="00DB1B01" w:rsidRPr="00FD20EE">
        <w:rPr>
          <w:rStyle w:val="FootnoteReference"/>
          <w:rFonts w:ascii="Arial" w:hAnsi="Arial" w:cs="Arial"/>
          <w:sz w:val="20"/>
          <w:lang w:val="en-US"/>
        </w:rPr>
        <w:footnoteReference w:id="178"/>
      </w:r>
      <w:r>
        <w:rPr>
          <w:rFonts w:ascii="Arial" w:hAnsi="Arial"/>
          <w:sz w:val="20"/>
        </w:rPr>
        <w:t>, o Escritório de Gestão da PI (EGPI), administradores da instituição</w:t>
      </w:r>
      <w:r w:rsidR="00DB1B01" w:rsidRPr="00FD20EE">
        <w:rPr>
          <w:rStyle w:val="FootnoteReference"/>
          <w:rFonts w:ascii="Arial" w:hAnsi="Arial" w:cs="Arial"/>
          <w:sz w:val="20"/>
          <w:lang w:val="en-US"/>
        </w:rPr>
        <w:footnoteReference w:id="179"/>
      </w:r>
      <w:r>
        <w:rPr>
          <w:rFonts w:ascii="Arial" w:hAnsi="Arial"/>
          <w:sz w:val="20"/>
        </w:rPr>
        <w:t>, e as empresas/empreendedores</w:t>
      </w:r>
      <w:r w:rsidR="00DB1B01" w:rsidRPr="00FD20EE">
        <w:rPr>
          <w:rStyle w:val="FootnoteReference"/>
          <w:rFonts w:ascii="Arial" w:hAnsi="Arial" w:cs="Arial"/>
          <w:sz w:val="20"/>
          <w:lang w:val="en-US"/>
        </w:rPr>
        <w:footnoteReference w:id="180"/>
      </w:r>
      <w:r w:rsidR="008411EA">
        <w:rPr>
          <w:rFonts w:ascii="Arial" w:hAnsi="Arial"/>
          <w:sz w:val="20"/>
        </w:rPr>
        <w:t xml:space="preserve">. </w:t>
      </w:r>
      <w:r>
        <w:rPr>
          <w:rFonts w:ascii="Arial" w:hAnsi="Arial"/>
          <w:sz w:val="20"/>
        </w:rPr>
        <w:t>As instituições devem abordar sistemas de recompensa para cada uma dessas partes interessadas e levar em consideração seus respectivos motivos, perspectivas e culturas.</w:t>
      </w:r>
    </w:p>
    <w:p w14:paraId="7255147B" w14:textId="77777777" w:rsidR="00C209E5" w:rsidRPr="0024467F" w:rsidRDefault="00C209E5" w:rsidP="00B7519E">
      <w:pPr>
        <w:pStyle w:val="ListParagraph"/>
        <w:spacing w:after="0" w:line="240" w:lineRule="auto"/>
        <w:ind w:left="426"/>
        <w:jc w:val="both"/>
        <w:rPr>
          <w:rFonts w:ascii="Arial" w:hAnsi="Arial" w:cs="Arial"/>
          <w:color w:val="000000" w:themeColor="text1"/>
          <w:sz w:val="20"/>
          <w:lang w:eastAsia="en-US"/>
        </w:rPr>
      </w:pPr>
    </w:p>
    <w:p w14:paraId="44FFAE17" w14:textId="77777777" w:rsidR="00BB7028" w:rsidRPr="00FD20EE" w:rsidRDefault="003F24F3" w:rsidP="002F3C51">
      <w:pPr>
        <w:pStyle w:val="Heading3"/>
        <w:rPr>
          <w:sz w:val="24"/>
        </w:rPr>
      </w:pPr>
      <w:bookmarkStart w:id="319" w:name="Article10p2"/>
      <w:bookmarkStart w:id="320" w:name="_Toc494115994"/>
      <w:bookmarkStart w:id="321" w:name="_Toc516160093"/>
      <w:bookmarkStart w:id="322" w:name="_Toc516219429"/>
      <w:bookmarkStart w:id="323" w:name="_Toc516496073"/>
      <w:bookmarkStart w:id="324" w:name="_Toc516829445"/>
      <w:bookmarkEnd w:id="309"/>
      <w:r>
        <w:rPr>
          <w:sz w:val="24"/>
        </w:rPr>
        <w:t>Artigo 10.2</w:t>
      </w:r>
      <w:bookmarkEnd w:id="319"/>
      <w:r>
        <w:rPr>
          <w:sz w:val="24"/>
        </w:rPr>
        <w:t xml:space="preserve"> – </w:t>
      </w:r>
      <w:bookmarkEnd w:id="320"/>
      <w:r>
        <w:rPr>
          <w:sz w:val="24"/>
        </w:rPr>
        <w:t>Repartição de Receitas</w:t>
      </w:r>
      <w:bookmarkEnd w:id="321"/>
      <w:bookmarkEnd w:id="322"/>
      <w:bookmarkEnd w:id="323"/>
      <w:bookmarkEnd w:id="324"/>
    </w:p>
    <w:p w14:paraId="1FC6887E" w14:textId="77777777" w:rsidR="008E29A8" w:rsidRPr="00FD20EE" w:rsidRDefault="008E29A8" w:rsidP="00B7519E">
      <w:pPr>
        <w:pStyle w:val="Heading3"/>
        <w:spacing w:after="240"/>
        <w:jc w:val="both"/>
        <w:rPr>
          <w:sz w:val="24"/>
        </w:rPr>
      </w:pPr>
      <w:bookmarkStart w:id="325" w:name="_Toc516160094"/>
      <w:bookmarkStart w:id="326" w:name="_Toc516219430"/>
      <w:bookmarkStart w:id="327" w:name="_Toc516496074"/>
      <w:bookmarkStart w:id="328" w:name="_Toc516829446"/>
      <w:r>
        <w:rPr>
          <w:sz w:val="24"/>
        </w:rPr>
        <w:t>Geral</w:t>
      </w:r>
      <w:bookmarkEnd w:id="325"/>
      <w:bookmarkEnd w:id="326"/>
      <w:bookmarkEnd w:id="327"/>
      <w:bookmarkEnd w:id="328"/>
    </w:p>
    <w:p w14:paraId="1E6EFEFA" w14:textId="6F87A171" w:rsidR="00E8794D" w:rsidRPr="00C04211" w:rsidRDefault="008B479F" w:rsidP="00B7519E">
      <w:pPr>
        <w:spacing w:after="0" w:line="240" w:lineRule="auto"/>
        <w:jc w:val="both"/>
        <w:rPr>
          <w:rFonts w:ascii="Arial" w:hAnsi="Arial" w:cs="Arial"/>
          <w:color w:val="000000" w:themeColor="text1"/>
          <w:sz w:val="20"/>
        </w:rPr>
      </w:pPr>
      <w:r>
        <w:rPr>
          <w:rFonts w:ascii="Arial" w:hAnsi="Arial"/>
          <w:color w:val="000000" w:themeColor="text1"/>
          <w:sz w:val="20"/>
        </w:rPr>
        <w:t xml:space="preserve">A parcela de um inventor nos rendimentos da comercialização é o incentivo mais comum </w:t>
      </w:r>
      <w:r>
        <w:rPr>
          <w:rFonts w:ascii="Arial" w:hAnsi="Arial"/>
          <w:sz w:val="20"/>
        </w:rPr>
        <w:t>para pesquisadores acadêmicos comercializarem os resultados de suas pesquisas</w:t>
      </w:r>
      <w:r w:rsidR="008411EA">
        <w:rPr>
          <w:rFonts w:ascii="Arial" w:hAnsi="Arial"/>
          <w:color w:val="000000" w:themeColor="text1"/>
          <w:sz w:val="20"/>
        </w:rPr>
        <w:t xml:space="preserve">. </w:t>
      </w:r>
      <w:r>
        <w:rPr>
          <w:rFonts w:ascii="Arial" w:hAnsi="Arial"/>
          <w:color w:val="000000" w:themeColor="text1"/>
          <w:sz w:val="20"/>
        </w:rPr>
        <w:t>Tais incentivos podem encontrar aplicação mínima por meio de disposições legislativas ou podem ser uma decisão eletiva da Instituição para atingir sua visão geral.</w:t>
      </w:r>
    </w:p>
    <w:p w14:paraId="23386EF3" w14:textId="77777777" w:rsidR="008B479F" w:rsidRPr="0024467F" w:rsidRDefault="008B479F" w:rsidP="00B7519E">
      <w:pPr>
        <w:spacing w:after="0" w:line="240" w:lineRule="auto"/>
        <w:jc w:val="both"/>
        <w:rPr>
          <w:rFonts w:ascii="Arial" w:hAnsi="Arial" w:cs="Arial"/>
          <w:color w:val="000000" w:themeColor="text1"/>
          <w:sz w:val="20"/>
          <w:lang w:eastAsia="en-US"/>
        </w:rPr>
      </w:pPr>
    </w:p>
    <w:p w14:paraId="4705279C" w14:textId="6C2C3EDB" w:rsidR="00E8794D" w:rsidRPr="00C04211" w:rsidRDefault="00E8794D" w:rsidP="009D4A54">
      <w:pPr>
        <w:pStyle w:val="ListParagraph"/>
        <w:numPr>
          <w:ilvl w:val="0"/>
          <w:numId w:val="100"/>
        </w:numPr>
        <w:spacing w:after="0" w:line="240" w:lineRule="auto"/>
        <w:ind w:left="425" w:hanging="425"/>
        <w:jc w:val="both"/>
        <w:rPr>
          <w:rFonts w:ascii="Arial" w:hAnsi="Arial" w:cs="Arial"/>
          <w:color w:val="000000" w:themeColor="text1"/>
          <w:sz w:val="20"/>
        </w:rPr>
      </w:pPr>
      <w:r>
        <w:rPr>
          <w:rFonts w:ascii="Arial" w:hAnsi="Arial"/>
          <w:b/>
          <w:color w:val="000000" w:themeColor="text1"/>
          <w:sz w:val="20"/>
        </w:rPr>
        <w:t xml:space="preserve">Artigo 10.2.1, </w:t>
      </w:r>
      <w:r>
        <w:rPr>
          <w:rFonts w:ascii="Arial" w:hAnsi="Arial"/>
          <w:b/>
          <w:i/>
          <w:color w:val="000000" w:themeColor="text1"/>
          <w:sz w:val="20"/>
        </w:rPr>
        <w:t>em conformidade com os requisitos mínimos estabelecidos na legislação nacional relevante</w:t>
      </w:r>
      <w:r w:rsidRPr="00E67619">
        <w:rPr>
          <w:rFonts w:ascii="Arial" w:hAnsi="Arial"/>
          <w:bCs/>
          <w:color w:val="000000" w:themeColor="text1"/>
          <w:sz w:val="20"/>
        </w:rPr>
        <w:t xml:space="preserve">: </w:t>
      </w:r>
      <w:r>
        <w:rPr>
          <w:rFonts w:ascii="Arial" w:hAnsi="Arial"/>
          <w:color w:val="000000" w:themeColor="text1"/>
          <w:sz w:val="20"/>
        </w:rPr>
        <w:t xml:space="preserve">Os governos têm desempenhado um papel importante no incentivo ao desenvolvimento e à comercialização de resultados de pesquisas acadêmicas. Nos últimos anos, vários países têm adotado legislações que preveem acordos mínimos de repartição de benefícios. </w:t>
      </w:r>
    </w:p>
    <w:p w14:paraId="2BCD6284" w14:textId="77777777" w:rsidR="00E8794D" w:rsidRPr="0024467F" w:rsidRDefault="00E8794D" w:rsidP="00B7519E">
      <w:pPr>
        <w:pStyle w:val="ListParagraph"/>
        <w:spacing w:after="0" w:line="240" w:lineRule="auto"/>
        <w:ind w:left="426"/>
        <w:jc w:val="both"/>
        <w:rPr>
          <w:rFonts w:ascii="Arial" w:hAnsi="Arial" w:cs="Arial"/>
          <w:color w:val="000000" w:themeColor="text1"/>
          <w:sz w:val="20"/>
          <w:lang w:eastAsia="en-US"/>
        </w:rPr>
      </w:pPr>
    </w:p>
    <w:p w14:paraId="01492970" w14:textId="48D6B4DD" w:rsidR="00E8794D" w:rsidRPr="00C04211" w:rsidRDefault="00E8794D" w:rsidP="00B7519E">
      <w:pPr>
        <w:spacing w:after="0" w:line="240" w:lineRule="auto"/>
        <w:ind w:left="425"/>
        <w:jc w:val="both"/>
        <w:rPr>
          <w:rFonts w:ascii="Arial" w:hAnsi="Arial" w:cs="Arial"/>
          <w:color w:val="000000" w:themeColor="text1"/>
          <w:sz w:val="20"/>
        </w:rPr>
      </w:pPr>
      <w:r>
        <w:rPr>
          <w:rFonts w:ascii="Arial" w:hAnsi="Arial"/>
          <w:color w:val="000000" w:themeColor="text1"/>
          <w:sz w:val="20"/>
        </w:rPr>
        <w:t xml:space="preserve">Alguns exemplos de tais disposições legislativas são fornecidos nas </w:t>
      </w:r>
      <w:hyperlink w:anchor="Box63" w:history="1">
        <w:r>
          <w:rPr>
            <w:rStyle w:val="Hyperlink"/>
            <w:rFonts w:ascii="Arial" w:hAnsi="Arial"/>
            <w:sz w:val="20"/>
          </w:rPr>
          <w:t>Caixas 64-66</w:t>
        </w:r>
      </w:hyperlink>
      <w:r>
        <w:rPr>
          <w:rFonts w:ascii="Arial" w:hAnsi="Arial"/>
          <w:color w:val="000000" w:themeColor="text1"/>
          <w:sz w:val="20"/>
        </w:rPr>
        <w:t xml:space="preserve">, e sob </w:t>
      </w:r>
      <w:hyperlink w:anchor="_Useful_Resources_Related" w:history="1">
        <w:r>
          <w:rPr>
            <w:rStyle w:val="Hyperlink"/>
            <w:rFonts w:ascii="Arial" w:hAnsi="Arial"/>
            <w:sz w:val="20"/>
          </w:rPr>
          <w:t>Recursos Úteis para o Artigo 10</w:t>
        </w:r>
      </w:hyperlink>
      <w:r>
        <w:rPr>
          <w:rFonts w:ascii="Arial" w:hAnsi="Arial"/>
          <w:color w:val="000000" w:themeColor="text1"/>
          <w:sz w:val="20"/>
        </w:rPr>
        <w:t>. A África do Sul prevê uma disposição mínima de repartição de benefícios para Criadores de PI sobre a Receita Bruta de PI antes que as Despesas de PI sejam deduzidas e, posteriormente, uma porcentagem mínima da Receita Líquida de PI</w:t>
      </w:r>
      <w:r w:rsidR="008411EA">
        <w:rPr>
          <w:rFonts w:ascii="Arial" w:hAnsi="Arial"/>
          <w:color w:val="000000" w:themeColor="text1"/>
          <w:sz w:val="20"/>
        </w:rPr>
        <w:t xml:space="preserve">. </w:t>
      </w:r>
      <w:r>
        <w:rPr>
          <w:rFonts w:ascii="Arial" w:hAnsi="Arial"/>
          <w:color w:val="000000" w:themeColor="text1"/>
          <w:sz w:val="20"/>
        </w:rPr>
        <w:t>O Brasil tem uma disposição legislativa que prevê a repartição de benefícios e também porcentagens mínimas e máximas específicas, enquanto a China determina a repartição de benefícios em geral</w:t>
      </w:r>
      <w:r w:rsidR="008411EA">
        <w:rPr>
          <w:rFonts w:ascii="Arial" w:hAnsi="Arial"/>
          <w:color w:val="000000" w:themeColor="text1"/>
          <w:sz w:val="20"/>
        </w:rPr>
        <w:t xml:space="preserve">. </w:t>
      </w:r>
      <w:r>
        <w:rPr>
          <w:rFonts w:ascii="Arial" w:hAnsi="Arial"/>
          <w:color w:val="000000" w:themeColor="text1"/>
          <w:sz w:val="20"/>
        </w:rPr>
        <w:t>A decisão sobre qual abordagem adotar cabe ao governo nacional ou à Instituição, conforme o caso.</w:t>
      </w:r>
    </w:p>
    <w:p w14:paraId="6EC76C1A" w14:textId="77777777" w:rsidR="00E8794D" w:rsidRPr="0024467F" w:rsidRDefault="00E8794D" w:rsidP="00B7519E">
      <w:pPr>
        <w:spacing w:after="0" w:line="240" w:lineRule="auto"/>
        <w:ind w:left="425"/>
        <w:rPr>
          <w:rFonts w:ascii="Arial" w:hAnsi="Arial" w:cs="Arial"/>
          <w:color w:val="000000" w:themeColor="text1"/>
          <w:sz w:val="20"/>
          <w:lang w:eastAsia="en-US"/>
        </w:rPr>
      </w:pPr>
    </w:p>
    <w:p w14:paraId="738B070C" w14:textId="77777777" w:rsidR="00E8794D" w:rsidRPr="00C04211" w:rsidRDefault="00166FF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w:t>
      </w:r>
      <w:r>
        <w:rPr>
          <w:rFonts w:ascii="Arial" w:hAnsi="Arial"/>
          <w:b/>
          <w:color w:val="000000" w:themeColor="text1"/>
          <w:sz w:val="20"/>
        </w:rPr>
        <w:t xml:space="preserve">Repartição de Benefícios – Exemplo da África do Sul </w:t>
      </w:r>
    </w:p>
    <w:p w14:paraId="379A486D" w14:textId="77777777" w:rsidR="00F841B0" w:rsidRPr="0024467F"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en-US"/>
        </w:rPr>
      </w:pPr>
    </w:p>
    <w:p w14:paraId="34D95B2F" w14:textId="77777777" w:rsidR="009E4A63"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 xml:space="preserve">A Lei de DPI, seção 10(1) a (4) prescreve os seguintes benefícios mínimos aos criadores de PI: </w:t>
      </w:r>
    </w:p>
    <w:p w14:paraId="118BEEE5" w14:textId="77777777" w:rsidR="009E4A63" w:rsidRPr="0024467F"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en-US"/>
        </w:rPr>
      </w:pPr>
    </w:p>
    <w:p w14:paraId="40589258"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color w:val="000000" w:themeColor="text1"/>
          <w:sz w:val="20"/>
        </w:rPr>
        <w:t>“</w:t>
      </w:r>
      <w:r>
        <w:rPr>
          <w:rFonts w:ascii="Arial" w:hAnsi="Arial"/>
          <w:i/>
          <w:sz w:val="20"/>
        </w:rPr>
        <w:t>Os criadores de propriedade intelectual em uma instituição e seus herdeiros recebem um direito específico a uma parcela das receitas que advêm da propriedade intelectual da instituição nos termos desta Lei até que tal direito expire.</w:t>
      </w:r>
    </w:p>
    <w:p w14:paraId="20F31AEE"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(2) Os criadores de propriedade intelectual em uma instituição e os seus herdeiros têm direito as seguintes repartições de benefícios:</w:t>
      </w:r>
    </w:p>
    <w:p w14:paraId="295CD196"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xml:space="preserve">(a) </w:t>
      </w:r>
      <w:r>
        <w:rPr>
          <w:rFonts w:ascii="Arial" w:hAnsi="Arial"/>
          <w:b/>
          <w:i/>
          <w:sz w:val="20"/>
        </w:rPr>
        <w:t>pelo menos 20 por cento das receitas</w:t>
      </w:r>
      <w:r>
        <w:rPr>
          <w:rFonts w:ascii="Arial" w:hAnsi="Arial"/>
          <w:i/>
          <w:sz w:val="20"/>
        </w:rPr>
        <w:t xml:space="preserve"> </w:t>
      </w:r>
      <w:r>
        <w:rPr>
          <w:rFonts w:ascii="Arial" w:hAnsi="Arial"/>
          <w:sz w:val="20"/>
        </w:rPr>
        <w:t xml:space="preserve">receita bruta de PI] </w:t>
      </w:r>
      <w:r>
        <w:rPr>
          <w:rFonts w:ascii="Arial" w:hAnsi="Arial"/>
          <w:i/>
          <w:sz w:val="20"/>
        </w:rPr>
        <w:t>que a instituição obtiver de tal propriedade intelectual para o primeiro milhão de rands de receitas, ou outro valor maior que o Ministro possa prescrever; e</w:t>
      </w:r>
    </w:p>
    <w:p w14:paraId="68E13903"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 xml:space="preserve">(b) depois disso, </w:t>
      </w:r>
      <w:r>
        <w:rPr>
          <w:rFonts w:ascii="Arial" w:hAnsi="Arial"/>
          <w:b/>
          <w:bCs/>
          <w:i/>
          <w:sz w:val="20"/>
        </w:rPr>
        <w:t>pelo menos 30 por cento da receita líquida</w:t>
      </w:r>
      <w:r>
        <w:rPr>
          <w:rFonts w:ascii="Arial" w:hAnsi="Arial"/>
          <w:i/>
          <w:sz w:val="20"/>
        </w:rPr>
        <w:t xml:space="preserve"> que a instituição obtiver de tal propriedade intelectual.</w:t>
      </w:r>
    </w:p>
    <w:p w14:paraId="235519E8"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lastRenderedPageBreak/>
        <w:t>(3) Os benefícios contemplados na subseção (2) devem ser repartidos em proporções iguais entre os criadores qualificados da propriedade intelectual ou os seus herdeiros, salvo acordo em contrário entre esses criadores e o destinatário ou determinado de acordo com as políticas institucionais.</w:t>
      </w:r>
    </w:p>
    <w:p w14:paraId="12CFAFC0"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rPr>
      </w:pPr>
      <w:r>
        <w:rPr>
          <w:rFonts w:ascii="Arial" w:hAnsi="Arial"/>
          <w:i/>
          <w:sz w:val="20"/>
        </w:rPr>
        <w:t>(4) Os benefícios para os criadores de propriedade intelectual e seus herdeiros contemplados na subseção (2)(a) devem ser uma primeira chamada sobre a receita aplicável antes de qualquer distribuição institucional</w:t>
      </w:r>
      <w:r>
        <w:rPr>
          <w:rFonts w:ascii="Arial" w:hAnsi="Arial"/>
          <w:sz w:val="20"/>
        </w:rPr>
        <w:t>”. [ênfase própria adicionada]</w:t>
      </w:r>
    </w:p>
    <w:p w14:paraId="449623C1" w14:textId="77777777" w:rsidR="00E8794D" w:rsidRPr="0024467F" w:rsidRDefault="00E8794D" w:rsidP="00B7519E">
      <w:pPr>
        <w:spacing w:after="0" w:line="240" w:lineRule="auto"/>
        <w:ind w:left="567"/>
        <w:jc w:val="both"/>
        <w:rPr>
          <w:rFonts w:ascii="Arial" w:hAnsi="Arial" w:cs="Arial"/>
          <w:color w:val="000000" w:themeColor="text1"/>
          <w:lang w:eastAsia="en-US"/>
        </w:rPr>
      </w:pPr>
    </w:p>
    <w:p w14:paraId="4EE67622" w14:textId="77777777"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w:t>
      </w:r>
      <w:r>
        <w:rPr>
          <w:rFonts w:ascii="Arial" w:hAnsi="Arial"/>
          <w:b/>
          <w:color w:val="000000" w:themeColor="text1"/>
          <w:sz w:val="20"/>
        </w:rPr>
        <w:t xml:space="preserve">Repartição de benefícios – Exemplo do Brasil </w:t>
      </w:r>
    </w:p>
    <w:p w14:paraId="7A4EDA14" w14:textId="77777777" w:rsidR="00F841B0" w:rsidRPr="0024467F"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en-US"/>
        </w:rPr>
      </w:pPr>
    </w:p>
    <w:p w14:paraId="3E112867" w14:textId="77777777"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Considere o Artigo 13 da Nova Lei de Ciência, Tecnologia e Inovação</w:t>
      </w:r>
      <w:r w:rsidR="009E4A63" w:rsidRPr="00C04211">
        <w:rPr>
          <w:rStyle w:val="FootnoteReference"/>
          <w:rFonts w:ascii="Arial" w:hAnsi="Arial" w:cs="Arial"/>
          <w:color w:val="000000" w:themeColor="text1"/>
          <w:sz w:val="20"/>
          <w:lang w:val="en-US" w:eastAsia="en-US"/>
        </w:rPr>
        <w:footnoteReference w:id="181"/>
      </w:r>
      <w:r>
        <w:rPr>
          <w:rFonts w:ascii="Arial" w:hAnsi="Arial"/>
          <w:color w:val="000000" w:themeColor="text1"/>
          <w:sz w:val="20"/>
        </w:rPr>
        <w:t xml:space="preserve"> :</w:t>
      </w:r>
    </w:p>
    <w:p w14:paraId="3347CA11" w14:textId="77777777" w:rsidR="00E8794D" w:rsidRPr="0024467F"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en-US"/>
        </w:rPr>
      </w:pPr>
    </w:p>
    <w:p w14:paraId="641FAF10"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w:t>
      </w:r>
      <w:r>
        <w:rPr>
          <w:rFonts w:ascii="Arial" w:hAnsi="Arial"/>
          <w:i/>
          <w:color w:val="000000" w:themeColor="text1"/>
          <w:sz w:val="20"/>
        </w:rPr>
        <w:t xml:space="preserve">É assegurada ao criador uma </w:t>
      </w:r>
      <w:r>
        <w:rPr>
          <w:rFonts w:ascii="Arial" w:hAnsi="Arial"/>
          <w:b/>
          <w:bCs/>
          <w:i/>
          <w:color w:val="000000" w:themeColor="text1"/>
          <w:sz w:val="20"/>
        </w:rPr>
        <w:t>participação mínima de 5%</w:t>
      </w:r>
      <w:r>
        <w:rPr>
          <w:rFonts w:ascii="Arial" w:hAnsi="Arial"/>
          <w:i/>
          <w:color w:val="000000" w:themeColor="text1"/>
          <w:sz w:val="20"/>
        </w:rPr>
        <w:t xml:space="preserve"> (cinco por cento) e uma </w:t>
      </w:r>
      <w:r>
        <w:rPr>
          <w:rFonts w:ascii="Arial" w:hAnsi="Arial"/>
          <w:b/>
          <w:bCs/>
          <w:i/>
          <w:color w:val="000000" w:themeColor="text1"/>
          <w:sz w:val="20"/>
        </w:rPr>
        <w:t>participação máxima de 1/3</w:t>
      </w:r>
      <w:r>
        <w:rPr>
          <w:rFonts w:ascii="Arial" w:hAnsi="Arial"/>
          <w:i/>
          <w:color w:val="000000" w:themeColor="text1"/>
          <w:sz w:val="20"/>
        </w:rPr>
        <w:t xml:space="preserve"> (um terço) nos ganhos econômicos auferidos pela ICT [STI sob a Nova Lei da Inovação], resultantes de contratos de transferência de tecnologia e de licenciamento para outorga de direito de uso ou de exploração de uma criação protegida da qual tenha sido o inventor, obtentor ou autor, aplicando-se, no que couber, o disposto no parágrafo único do Art. 93 da Lei nº 9.279, de 1996</w:t>
      </w:r>
      <w:r>
        <w:rPr>
          <w:rFonts w:ascii="Arial" w:hAnsi="Arial"/>
          <w:color w:val="000000" w:themeColor="text1"/>
          <w:sz w:val="20"/>
        </w:rPr>
        <w:t>" [conforme a Lei de Inovação]</w:t>
      </w:r>
    </w:p>
    <w:p w14:paraId="2E8BDE31"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i/>
          <w:color w:val="000000" w:themeColor="text1"/>
          <w:sz w:val="20"/>
        </w:rPr>
        <w:t xml:space="preserve">"§ 4º A participação referida no caput deste artigo deverá ocorrer em prazo não superior a </w:t>
      </w:r>
      <w:r>
        <w:rPr>
          <w:rFonts w:ascii="Arial" w:hAnsi="Arial"/>
          <w:b/>
          <w:bCs/>
          <w:i/>
          <w:color w:val="000000" w:themeColor="text1"/>
          <w:sz w:val="20"/>
        </w:rPr>
        <w:t>1 (um) ano após a realização</w:t>
      </w:r>
      <w:r>
        <w:rPr>
          <w:rFonts w:ascii="Arial" w:hAnsi="Arial"/>
          <w:i/>
          <w:color w:val="000000" w:themeColor="text1"/>
          <w:sz w:val="20"/>
        </w:rPr>
        <w:t xml:space="preserve"> da receita que lhe servir de base, contado a partir da regulamentação pela autoridade interna competente</w:t>
      </w:r>
      <w:r>
        <w:rPr>
          <w:rFonts w:ascii="Arial" w:hAnsi="Arial"/>
          <w:color w:val="000000" w:themeColor="text1"/>
          <w:sz w:val="20"/>
        </w:rPr>
        <w:t>”</w:t>
      </w:r>
    </w:p>
    <w:p w14:paraId="46D7CE6C" w14:textId="77777777" w:rsidR="00E8794D" w:rsidRPr="0024467F" w:rsidRDefault="00E8794D" w:rsidP="00F841B0">
      <w:pPr>
        <w:shd w:val="clear" w:color="auto" w:fill="FFFFFF" w:themeFill="background1"/>
        <w:spacing w:after="0" w:line="240" w:lineRule="auto"/>
        <w:jc w:val="both"/>
        <w:rPr>
          <w:rFonts w:ascii="Arial" w:hAnsi="Arial" w:cs="Arial"/>
          <w:b/>
          <w:color w:val="000000" w:themeColor="text1"/>
        </w:rPr>
      </w:pPr>
    </w:p>
    <w:p w14:paraId="6016F028" w14:textId="77777777"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w:t>
      </w:r>
      <w:r>
        <w:rPr>
          <w:rFonts w:ascii="Arial" w:hAnsi="Arial"/>
          <w:b/>
          <w:color w:val="000000" w:themeColor="text1"/>
          <w:sz w:val="20"/>
        </w:rPr>
        <w:t xml:space="preserve">Repartição de Benefícios – Exemplo da China </w:t>
      </w:r>
    </w:p>
    <w:p w14:paraId="6B081016" w14:textId="77777777" w:rsidR="00F841B0" w:rsidRPr="0024467F"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en-US"/>
        </w:rPr>
      </w:pPr>
    </w:p>
    <w:p w14:paraId="2F5E08DD" w14:textId="77777777" w:rsidR="009E4A63"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 xml:space="preserve">O artigo 20 da Lei da República Popular da China sobre o Progresso da Ciência e Tecnologia afirma: </w:t>
      </w:r>
    </w:p>
    <w:p w14:paraId="4586DD47" w14:textId="77777777" w:rsidR="009E4A63" w:rsidRPr="0024467F"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rPr>
      </w:pPr>
    </w:p>
    <w:p w14:paraId="61E3C236" w14:textId="77777777"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w:t>
      </w:r>
      <w:r>
        <w:rPr>
          <w:rFonts w:ascii="Arial" w:hAnsi="Arial"/>
          <w:i/>
          <w:color w:val="000000" w:themeColor="text1"/>
          <w:sz w:val="20"/>
        </w:rPr>
        <w:t>Os benefícios decorrentes do exercício dos direitos de propriedade intelectual, previstos no primeiro parágrafo deste artigo</w:t>
      </w:r>
      <w:r w:rsidRPr="00FD20EE">
        <w:rPr>
          <w:rStyle w:val="FootnoteReference"/>
          <w:rFonts w:ascii="Arial" w:hAnsi="Arial" w:cs="Arial"/>
          <w:i/>
          <w:color w:val="000000" w:themeColor="text1"/>
          <w:sz w:val="20"/>
          <w:lang w:val="en-US"/>
        </w:rPr>
        <w:footnoteReference w:id="182"/>
      </w:r>
      <w:r>
        <w:rPr>
          <w:rFonts w:ascii="Arial" w:hAnsi="Arial"/>
          <w:i/>
          <w:color w:val="000000" w:themeColor="text1"/>
          <w:sz w:val="20"/>
        </w:rPr>
        <w:t>, serão distribuídos entre os empreendedores do projeto de acordo com as disposições das leis e regulamentos administrativos relevantes; e quando tais disposições não estiverem presentes nas leis ou regulamentos administrativos, os benefícios serão distribuídos conforme acordado”.</w:t>
      </w:r>
    </w:p>
    <w:p w14:paraId="799E6E27" w14:textId="77777777" w:rsidR="008E29A8" w:rsidRPr="00FD20EE" w:rsidRDefault="008E29A8" w:rsidP="00B7519E">
      <w:pPr>
        <w:pStyle w:val="Heading3"/>
        <w:spacing w:after="240"/>
        <w:jc w:val="both"/>
        <w:rPr>
          <w:sz w:val="24"/>
        </w:rPr>
      </w:pPr>
      <w:bookmarkStart w:id="329" w:name="_Toc516160095"/>
      <w:bookmarkStart w:id="330" w:name="_Toc516219431"/>
      <w:bookmarkStart w:id="331" w:name="_Toc516496075"/>
      <w:bookmarkStart w:id="332" w:name="_Toc516829447"/>
      <w:r>
        <w:rPr>
          <w:sz w:val="24"/>
        </w:rPr>
        <w:t>Cálculo de receitas para distribuição</w:t>
      </w:r>
      <w:bookmarkEnd w:id="329"/>
      <w:bookmarkEnd w:id="330"/>
      <w:bookmarkEnd w:id="331"/>
      <w:bookmarkEnd w:id="332"/>
    </w:p>
    <w:p w14:paraId="4DF4B485" w14:textId="78743AD6"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10.2.2, </w:t>
      </w:r>
      <w:r>
        <w:rPr>
          <w:rFonts w:ascii="Arial" w:hAnsi="Arial"/>
          <w:b/>
          <w:i/>
          <w:color w:val="000000" w:themeColor="text1"/>
          <w:sz w:val="20"/>
        </w:rPr>
        <w:t>Cálculo de receitas para distribuição</w:t>
      </w:r>
      <w:r w:rsidRPr="00E67619">
        <w:rPr>
          <w:rFonts w:ascii="Arial" w:hAnsi="Arial"/>
          <w:bCs/>
          <w:color w:val="000000" w:themeColor="text1"/>
          <w:sz w:val="20"/>
        </w:rPr>
        <w:t>:</w:t>
      </w:r>
      <w:r w:rsidRPr="00E67619">
        <w:rPr>
          <w:rFonts w:ascii="Arial" w:hAnsi="Arial"/>
          <w:bCs/>
          <w:i/>
          <w:color w:val="000000" w:themeColor="text1"/>
          <w:sz w:val="20"/>
        </w:rPr>
        <w:t xml:space="preserve"> </w:t>
      </w:r>
      <w:r>
        <w:rPr>
          <w:rFonts w:ascii="Arial" w:hAnsi="Arial"/>
          <w:color w:val="000000" w:themeColor="text1"/>
          <w:sz w:val="20"/>
        </w:rPr>
        <w:t>As instituições têm níveis de flexibilidade quanto a qual receita será incluída na “Receita Bruta de PI” e quais custos serão alocados para “Despesas de PI”, e podem ser influenciadas pelas despesas gerais da instituição, o que pode exigir que menos receita seja considerada como Receita Bruta de PI e mais custos sejam alocados para Despesas de PI</w:t>
      </w:r>
      <w:r w:rsidR="008411EA">
        <w:rPr>
          <w:rFonts w:ascii="Arial" w:hAnsi="Arial"/>
          <w:color w:val="000000" w:themeColor="text1"/>
          <w:sz w:val="20"/>
        </w:rPr>
        <w:t xml:space="preserve">. </w:t>
      </w:r>
    </w:p>
    <w:p w14:paraId="3FBE30F4" w14:textId="77777777" w:rsidR="00E8794D" w:rsidRPr="0024467F" w:rsidRDefault="00E8794D" w:rsidP="00B7519E">
      <w:pPr>
        <w:tabs>
          <w:tab w:val="left" w:pos="851"/>
        </w:tabs>
        <w:spacing w:after="0" w:line="240" w:lineRule="auto"/>
        <w:ind w:left="426" w:hanging="426"/>
        <w:jc w:val="both"/>
        <w:rPr>
          <w:rFonts w:ascii="Arial" w:hAnsi="Arial" w:cs="Arial"/>
          <w:color w:val="000000" w:themeColor="text1"/>
          <w:sz w:val="20"/>
        </w:rPr>
      </w:pPr>
    </w:p>
    <w:p w14:paraId="7E68C3EC" w14:textId="38AE8978"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rPr>
      </w:pPr>
      <w:bookmarkStart w:id="333" w:name="_Ref510811052"/>
      <w:r>
        <w:rPr>
          <w:rFonts w:ascii="Arial" w:hAnsi="Arial"/>
          <w:b/>
          <w:color w:val="000000" w:themeColor="text1"/>
          <w:sz w:val="20"/>
        </w:rPr>
        <w:t xml:space="preserve">Artigo 10.2.2.1, </w:t>
      </w:r>
      <w:r>
        <w:rPr>
          <w:rFonts w:ascii="Arial" w:hAnsi="Arial"/>
          <w:b/>
          <w:i/>
          <w:color w:val="000000" w:themeColor="text1"/>
          <w:sz w:val="20"/>
        </w:rPr>
        <w:t>Cálculo da Receita Bruta de PI</w:t>
      </w:r>
      <w:r w:rsidRPr="00E67619">
        <w:rPr>
          <w:rFonts w:ascii="Arial" w:hAnsi="Arial"/>
          <w:bCs/>
          <w:color w:val="000000" w:themeColor="text1"/>
          <w:sz w:val="20"/>
        </w:rPr>
        <w:t>:</w:t>
      </w:r>
      <w:r>
        <w:rPr>
          <w:rFonts w:ascii="Arial" w:hAnsi="Arial"/>
          <w:color w:val="000000" w:themeColor="text1"/>
          <w:sz w:val="20"/>
        </w:rPr>
        <w:t xml:space="preserve"> </w:t>
      </w:r>
      <w:bookmarkEnd w:id="333"/>
      <w:r>
        <w:rPr>
          <w:rFonts w:ascii="Arial" w:hAnsi="Arial"/>
          <w:color w:val="000000" w:themeColor="text1"/>
          <w:sz w:val="20"/>
        </w:rPr>
        <w:t>É importante observar que a Receita Bruta de PI é registrada para uma parte específica de PI</w:t>
      </w:r>
      <w:r w:rsidR="008411EA">
        <w:rPr>
          <w:rFonts w:ascii="Arial" w:hAnsi="Arial"/>
          <w:color w:val="000000" w:themeColor="text1"/>
          <w:sz w:val="20"/>
        </w:rPr>
        <w:t xml:space="preserve">. </w:t>
      </w:r>
      <w:r>
        <w:rPr>
          <w:rFonts w:ascii="Arial" w:hAnsi="Arial"/>
          <w:color w:val="000000" w:themeColor="text1"/>
          <w:sz w:val="20"/>
        </w:rPr>
        <w:t>Por exemplo, se uma tecnologia intitulada “Turbina eólica”, protegida por uma patente e um desenho industrial e todo o know-how associado, for licenciada a um terceiro, toda a receita recebida pelo licenciamento da tecnologia da turbina eólica em um período financeiro desse terceiro será registrada como Receita Bruta de PI para a Tecnologia da Turbina Eólica</w:t>
      </w:r>
      <w:r w:rsidR="008411EA">
        <w:rPr>
          <w:rFonts w:ascii="Arial" w:hAnsi="Arial"/>
          <w:color w:val="000000" w:themeColor="text1"/>
          <w:sz w:val="20"/>
        </w:rPr>
        <w:t xml:space="preserve">. </w:t>
      </w:r>
      <w:r>
        <w:rPr>
          <w:rFonts w:ascii="Arial" w:hAnsi="Arial"/>
          <w:color w:val="000000" w:themeColor="text1"/>
          <w:sz w:val="20"/>
        </w:rPr>
        <w:t>Todas as Despesas de PI incorridas na Tecnologia de Turbina Eólica, até o momento em que a primeira Receita Bruta de PI for recebida, podem ser deduzidas da Receita Bruta de PI para chegar à Receita Líquida de PI</w:t>
      </w:r>
      <w:r w:rsidR="008411EA">
        <w:rPr>
          <w:rFonts w:ascii="Arial" w:hAnsi="Arial"/>
          <w:color w:val="000000" w:themeColor="text1"/>
          <w:sz w:val="20"/>
        </w:rPr>
        <w:t xml:space="preserve">. </w:t>
      </w:r>
      <w:r>
        <w:rPr>
          <w:rFonts w:ascii="Arial" w:hAnsi="Arial"/>
          <w:color w:val="000000" w:themeColor="text1"/>
          <w:sz w:val="20"/>
        </w:rPr>
        <w:t>Para a Receita Bruta de PI subsequente recebida no período financeiro seguinte, apenas as Despesas de PI incorridas naquele período financeiro para a Tecnologia de Turbina Eólica serão deduzidas antes de serem repartidas com os Criadores/Facilitadores de PI.</w:t>
      </w:r>
    </w:p>
    <w:p w14:paraId="14313949" w14:textId="77777777" w:rsidR="00E8794D" w:rsidRPr="0024467F" w:rsidRDefault="00E8794D" w:rsidP="00B7519E">
      <w:pPr>
        <w:tabs>
          <w:tab w:val="left" w:pos="851"/>
        </w:tabs>
        <w:spacing w:after="0" w:line="240" w:lineRule="auto"/>
        <w:jc w:val="both"/>
        <w:rPr>
          <w:rFonts w:ascii="Arial" w:hAnsi="Arial" w:cs="Arial"/>
          <w:color w:val="000000" w:themeColor="text1"/>
          <w:sz w:val="20"/>
        </w:rPr>
      </w:pPr>
    </w:p>
    <w:p w14:paraId="3F6F656F" w14:textId="4651AF5C" w:rsidR="00E8794D" w:rsidRPr="00FD20EE" w:rsidRDefault="00547F07" w:rsidP="009D4A54">
      <w:pPr>
        <w:pStyle w:val="ListParagraph"/>
        <w:numPr>
          <w:ilvl w:val="0"/>
          <w:numId w:val="100"/>
        </w:numPr>
        <w:tabs>
          <w:tab w:val="left" w:pos="1843"/>
        </w:tabs>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10.2.2.1, </w:t>
      </w:r>
      <w:r>
        <w:rPr>
          <w:rFonts w:ascii="Arial" w:hAnsi="Arial"/>
          <w:b/>
          <w:i/>
          <w:color w:val="000000" w:themeColor="text1"/>
          <w:sz w:val="20"/>
        </w:rPr>
        <w:t>e venda direta de produtos ou serviços</w:t>
      </w:r>
      <w:r w:rsidRPr="00E67619">
        <w:rPr>
          <w:rFonts w:ascii="Arial" w:hAnsi="Arial"/>
          <w:bCs/>
          <w:color w:val="000000" w:themeColor="text1"/>
          <w:sz w:val="20"/>
        </w:rPr>
        <w:t>:</w:t>
      </w:r>
      <w:r>
        <w:rPr>
          <w:rFonts w:ascii="Arial" w:hAnsi="Arial"/>
          <w:color w:val="000000" w:themeColor="text1"/>
          <w:sz w:val="20"/>
        </w:rPr>
        <w:t xml:space="preserve"> Normalmente, a Receita Bruta de PI é recebida de um terceiro </w:t>
      </w:r>
      <w:r>
        <w:rPr>
          <w:rFonts w:ascii="Arial" w:hAnsi="Arial"/>
          <w:i/>
          <w:iCs/>
          <w:color w:val="000000" w:themeColor="text1"/>
          <w:sz w:val="20"/>
        </w:rPr>
        <w:t>em vez</w:t>
      </w:r>
      <w:r>
        <w:rPr>
          <w:rFonts w:ascii="Arial" w:hAnsi="Arial"/>
          <w:color w:val="000000" w:themeColor="text1"/>
          <w:sz w:val="20"/>
        </w:rPr>
        <w:t xml:space="preserve"> de direitos concedidos/transferidos para uma parte específica de PI</w:t>
      </w:r>
      <w:r w:rsidR="008411EA">
        <w:rPr>
          <w:rFonts w:ascii="Arial" w:hAnsi="Arial"/>
          <w:color w:val="000000" w:themeColor="text1"/>
          <w:sz w:val="20"/>
        </w:rPr>
        <w:t xml:space="preserve">. </w:t>
      </w:r>
      <w:r>
        <w:rPr>
          <w:rFonts w:ascii="Arial" w:hAnsi="Arial"/>
          <w:color w:val="000000" w:themeColor="text1"/>
          <w:sz w:val="20"/>
        </w:rPr>
        <w:t>Está prevista no modelo a“</w:t>
      </w:r>
      <w:r>
        <w:rPr>
          <w:rFonts w:ascii="Arial" w:hAnsi="Arial"/>
          <w:i/>
          <w:color w:val="000000" w:themeColor="text1"/>
          <w:sz w:val="20"/>
        </w:rPr>
        <w:t>venda direta de produtos ou serviços</w:t>
      </w:r>
      <w:r>
        <w:rPr>
          <w:rFonts w:ascii="Arial" w:hAnsi="Arial"/>
          <w:color w:val="000000" w:themeColor="text1"/>
          <w:sz w:val="20"/>
        </w:rPr>
        <w:t>”</w:t>
      </w:r>
      <w:r w:rsidR="008411EA">
        <w:rPr>
          <w:rFonts w:ascii="Arial" w:hAnsi="Arial"/>
          <w:color w:val="000000" w:themeColor="text1"/>
          <w:sz w:val="20"/>
        </w:rPr>
        <w:t xml:space="preserve">. </w:t>
      </w:r>
      <w:r>
        <w:rPr>
          <w:rFonts w:ascii="Arial" w:hAnsi="Arial"/>
          <w:color w:val="000000" w:themeColor="text1"/>
          <w:sz w:val="20"/>
        </w:rPr>
        <w:t>Isso normalmente só se aplica se a própria instituição estiver fabricando o produto ou fornecendo o serviço e, portanto, se a receita recebida for de uma parte que compra o produto ou adquire o serviço</w:t>
      </w:r>
      <w:r w:rsidR="008411EA">
        <w:rPr>
          <w:rFonts w:ascii="Arial" w:hAnsi="Arial"/>
          <w:color w:val="000000" w:themeColor="text1"/>
          <w:sz w:val="20"/>
        </w:rPr>
        <w:t xml:space="preserve">. </w:t>
      </w:r>
    </w:p>
    <w:p w14:paraId="2F932AD7" w14:textId="77777777" w:rsidR="00E8794D" w:rsidRPr="0024467F" w:rsidRDefault="00E8794D" w:rsidP="00B7519E">
      <w:pPr>
        <w:tabs>
          <w:tab w:val="left" w:pos="1843"/>
        </w:tabs>
        <w:spacing w:after="0" w:line="240" w:lineRule="auto"/>
        <w:ind w:left="567"/>
        <w:jc w:val="both"/>
        <w:rPr>
          <w:rFonts w:ascii="Arial" w:hAnsi="Arial" w:cs="Arial"/>
          <w:color w:val="000000" w:themeColor="text1"/>
          <w:sz w:val="20"/>
        </w:rPr>
      </w:pPr>
    </w:p>
    <w:p w14:paraId="3BDF59F0" w14:textId="77777777" w:rsidR="00E8794D" w:rsidRPr="00FD20EE" w:rsidRDefault="00547F07"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rPr>
      </w:pPr>
      <w:r>
        <w:rPr>
          <w:rFonts w:ascii="Arial" w:hAnsi="Arial"/>
          <w:b/>
          <w:sz w:val="20"/>
        </w:rPr>
        <w:t>Caixa</w:t>
      </w:r>
      <w:r w:rsidRPr="00E67619">
        <w:rPr>
          <w:rFonts w:ascii="Arial" w:hAnsi="Arial"/>
          <w:b/>
          <w:sz w:val="20"/>
        </w:rPr>
        <w:t xml:space="preserve"> </w:t>
      </w:r>
      <w:r w:rsidRPr="00E67619">
        <w:rPr>
          <w:rFonts w:ascii="Arial" w:hAnsi="Arial" w:cs="Arial"/>
          <w:b/>
          <w:sz w:val="20"/>
        </w:rPr>
        <w:fldChar w:fldCharType="begin"/>
      </w:r>
      <w:r w:rsidRPr="00E67619">
        <w:rPr>
          <w:rFonts w:ascii="Arial" w:hAnsi="Arial" w:cs="Arial"/>
          <w:b/>
          <w:sz w:val="20"/>
        </w:rPr>
        <w:instrText xml:space="preserve"> AUTONUM  \* Arabic </w:instrText>
      </w:r>
      <w:r w:rsidRPr="00E67619">
        <w:rPr>
          <w:rFonts w:ascii="Arial" w:hAnsi="Arial" w:cs="Arial"/>
          <w:b/>
          <w:sz w:val="20"/>
        </w:rPr>
        <w:fldChar w:fldCharType="end"/>
      </w:r>
      <w:r w:rsidRPr="00E67619">
        <w:rPr>
          <w:rFonts w:ascii="Arial" w:hAnsi="Arial"/>
          <w:b/>
          <w:sz w:val="20"/>
        </w:rPr>
        <w:t xml:space="preserve"> </w:t>
      </w:r>
      <w:r w:rsidRPr="00E67619">
        <w:rPr>
          <w:rFonts w:ascii="Arial" w:hAnsi="Arial"/>
          <w:b/>
          <w:color w:val="000000"/>
          <w:sz w:val="20"/>
        </w:rPr>
        <w:t>Considere o seguinte exemplo de rascunho:</w:t>
      </w:r>
    </w:p>
    <w:p w14:paraId="028A323E" w14:textId="7D991684" w:rsidR="00E8794D" w:rsidRPr="00FD20EE" w:rsidRDefault="00E8794D"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rPr>
      </w:pPr>
      <w:r>
        <w:rPr>
          <w:rFonts w:ascii="Arial" w:hAnsi="Arial"/>
          <w:color w:val="000000"/>
          <w:sz w:val="20"/>
        </w:rPr>
        <w:t>Se for tomada a decisão de comercializar tecnologia “internamente”, um plano de negócios incluindo uma proposta de repartição de benefícios com os Criadores/Facilitadores de PI que esteja alinhada com a viabilidade comercial do produto, processo e/ou serviço deve ser desenvolvido</w:t>
      </w:r>
      <w:r w:rsidR="008411EA">
        <w:rPr>
          <w:rFonts w:ascii="Arial" w:hAnsi="Arial"/>
          <w:color w:val="000000"/>
          <w:sz w:val="20"/>
        </w:rPr>
        <w:t xml:space="preserve">. </w:t>
      </w:r>
      <w:r>
        <w:rPr>
          <w:rFonts w:ascii="Arial" w:hAnsi="Arial"/>
          <w:color w:val="000000"/>
          <w:sz w:val="20"/>
        </w:rPr>
        <w:t xml:space="preserve">A repartição de benefícios obtida não deve ser significativamente diferente da receita que seria esperada se a PI tivesse sido licenciada a terceiros. </w:t>
      </w:r>
    </w:p>
    <w:p w14:paraId="0AB63723" w14:textId="77777777" w:rsidR="00E8794D" w:rsidRPr="0024467F" w:rsidRDefault="00E8794D" w:rsidP="00B7519E">
      <w:pPr>
        <w:tabs>
          <w:tab w:val="left" w:pos="1843"/>
        </w:tabs>
        <w:spacing w:after="0" w:line="240" w:lineRule="auto"/>
        <w:jc w:val="both"/>
        <w:rPr>
          <w:rFonts w:ascii="Arial" w:hAnsi="Arial" w:cs="Arial"/>
          <w:color w:val="000000" w:themeColor="text1"/>
          <w:sz w:val="20"/>
          <w:lang w:eastAsia="en-US"/>
        </w:rPr>
      </w:pPr>
    </w:p>
    <w:p w14:paraId="0B6DFF8E" w14:textId="1E021782" w:rsidR="00E8794D" w:rsidRPr="00FD20EE" w:rsidRDefault="00E8794D" w:rsidP="009D4A54">
      <w:pPr>
        <w:pStyle w:val="ListParagraph"/>
        <w:widowControl w:val="0"/>
        <w:numPr>
          <w:ilvl w:val="0"/>
          <w:numId w:val="102"/>
        </w:numPr>
        <w:autoSpaceDE w:val="0"/>
        <w:autoSpaceDN w:val="0"/>
        <w:spacing w:after="0" w:line="240" w:lineRule="auto"/>
        <w:ind w:left="426" w:hanging="426"/>
        <w:contextualSpacing w:val="0"/>
        <w:jc w:val="both"/>
        <w:rPr>
          <w:rFonts w:ascii="Arial" w:hAnsi="Arial" w:cs="Arial"/>
          <w:color w:val="000000" w:themeColor="text1"/>
          <w:sz w:val="20"/>
        </w:rPr>
      </w:pPr>
      <w:bookmarkStart w:id="334" w:name="_Ref510815393"/>
      <w:r>
        <w:rPr>
          <w:rFonts w:ascii="Arial" w:hAnsi="Arial"/>
          <w:b/>
          <w:color w:val="000000" w:themeColor="text1"/>
          <w:sz w:val="20"/>
        </w:rPr>
        <w:t xml:space="preserve">Artigo 10.2.2.2, </w:t>
      </w:r>
      <w:r>
        <w:rPr>
          <w:rFonts w:ascii="Arial" w:hAnsi="Arial"/>
          <w:b/>
          <w:i/>
          <w:color w:val="000000" w:themeColor="text1"/>
          <w:sz w:val="20"/>
        </w:rPr>
        <w:t>Despesas de PI</w:t>
      </w:r>
      <w:r>
        <w:rPr>
          <w:rFonts w:ascii="Arial" w:hAnsi="Arial"/>
          <w:i/>
          <w:color w:val="000000" w:themeColor="text1"/>
          <w:sz w:val="20"/>
        </w:rPr>
        <w:t>:</w:t>
      </w:r>
      <w:r>
        <w:rPr>
          <w:rFonts w:ascii="Arial" w:hAnsi="Arial"/>
          <w:color w:val="000000" w:themeColor="text1"/>
          <w:sz w:val="20"/>
        </w:rPr>
        <w:t xml:space="preserve"> As despesas da Instituição incorridas pelo pagamento a entidades externas para garantir, manter e aplicar a proteção de PI podem incluir custos de pesquisa (incluindo novidades e liberdade para operar pesquisas); honorários advocatícios de PI (ou similares) para redigir o pedido, protocolar o pedido (pedido internacional ou nacional), preparar quaisquer documentos formais exigidos durante o protocolamento e/ou posterior processo (incluindo uma cessão ou procuração) e para processar o pedido de concessão (incluindo uma correção ou alteração; receber, preparar e responder a uma ação oficial, taxas de tradução, validação de um pedido concedido; e todas as taxas de associados estrangeiros relacionadas e taxas oficiais do escritório de PI); taxas de renovação/manutenção; e despesas gerais (por exemplo, impressão, fax, telefone, etc.) incorridas pelo prestador de serviços e refletidas em sua fatura pelos serviços prestados.</w:t>
      </w:r>
    </w:p>
    <w:p w14:paraId="15F199C9" w14:textId="77777777" w:rsidR="00E8794D" w:rsidRPr="0024467F" w:rsidRDefault="00E8794D" w:rsidP="00B7519E">
      <w:pPr>
        <w:widowControl w:val="0"/>
        <w:autoSpaceDE w:val="0"/>
        <w:autoSpaceDN w:val="0"/>
        <w:spacing w:after="0" w:line="240" w:lineRule="auto"/>
        <w:ind w:left="426" w:hanging="426"/>
        <w:jc w:val="both"/>
        <w:rPr>
          <w:rFonts w:ascii="Arial" w:hAnsi="Arial" w:cs="Arial"/>
          <w:color w:val="000000" w:themeColor="text1"/>
          <w:sz w:val="20"/>
        </w:rPr>
      </w:pPr>
    </w:p>
    <w:p w14:paraId="70A568DF" w14:textId="77777777" w:rsidR="00E8794D" w:rsidRPr="00FD20EE" w:rsidRDefault="00E8794D" w:rsidP="00B7519E">
      <w:pPr>
        <w:pStyle w:val="ListParagraph"/>
        <w:widowControl w:val="0"/>
        <w:autoSpaceDE w:val="0"/>
        <w:autoSpaceDN w:val="0"/>
        <w:spacing w:after="0" w:line="240" w:lineRule="auto"/>
        <w:ind w:left="426"/>
        <w:contextualSpacing w:val="0"/>
        <w:jc w:val="both"/>
        <w:rPr>
          <w:rFonts w:ascii="Arial" w:hAnsi="Arial" w:cs="Arial"/>
          <w:sz w:val="20"/>
        </w:rPr>
      </w:pPr>
      <w:r>
        <w:rPr>
          <w:rFonts w:ascii="Arial" w:hAnsi="Arial"/>
          <w:color w:val="000000" w:themeColor="text1"/>
          <w:sz w:val="20"/>
        </w:rPr>
        <w:t xml:space="preserve">As despesas das instituições incorridas no licenciamento/cessão de PI também podem incluir </w:t>
      </w:r>
      <w:r>
        <w:rPr>
          <w:rFonts w:ascii="Arial" w:hAnsi="Arial"/>
          <w:sz w:val="20"/>
        </w:rPr>
        <w:t>custos para realizar uma devida diligência no terceiro a quem a PI será licenciada ou cedida.</w:t>
      </w:r>
    </w:p>
    <w:p w14:paraId="14B51672" w14:textId="77777777" w:rsidR="00E8794D" w:rsidRPr="0024467F" w:rsidRDefault="00E8794D" w:rsidP="00B7519E">
      <w:pPr>
        <w:pStyle w:val="ListParagraph"/>
        <w:widowControl w:val="0"/>
        <w:autoSpaceDE w:val="0"/>
        <w:autoSpaceDN w:val="0"/>
        <w:spacing w:after="0" w:line="240" w:lineRule="auto"/>
        <w:ind w:left="567"/>
        <w:contextualSpacing w:val="0"/>
        <w:jc w:val="both"/>
        <w:rPr>
          <w:rFonts w:ascii="Arial" w:hAnsi="Arial" w:cs="Arial"/>
          <w:sz w:val="20"/>
        </w:rPr>
      </w:pPr>
    </w:p>
    <w:p w14:paraId="022AC864" w14:textId="609D1862"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rPr>
      </w:pPr>
      <w:r>
        <w:rPr>
          <w:rFonts w:ascii="Arial" w:hAnsi="Arial"/>
          <w:color w:val="000000" w:themeColor="text1"/>
          <w:sz w:val="20"/>
        </w:rPr>
        <w:t>Observe que, conforme estabelecido no Artigo 10.2.2.1, os custos de fabricação, o envio ou distribuição de produtos, os processos ou serviços que incorporem a PI específica somente serão incluídos se o produto, o processo ou o serviço for fabricado diretamente pela Instituição</w:t>
      </w:r>
      <w:r w:rsidR="008411EA">
        <w:rPr>
          <w:rFonts w:ascii="Arial" w:hAnsi="Arial"/>
          <w:color w:val="000000" w:themeColor="text1"/>
          <w:sz w:val="20"/>
        </w:rPr>
        <w:t xml:space="preserve">. </w:t>
      </w:r>
      <w:r>
        <w:rPr>
          <w:rFonts w:ascii="Arial" w:hAnsi="Arial"/>
          <w:color w:val="000000" w:themeColor="text1"/>
          <w:sz w:val="20"/>
        </w:rPr>
        <w:t>Caso contrário, não é apropriado incluir tais custos nas Despesas de PI, pois eles serão incorridos pelo licenciado ou cessionário.</w:t>
      </w:r>
    </w:p>
    <w:p w14:paraId="3E5667EA" w14:textId="77777777" w:rsidR="00E8794D" w:rsidRPr="0024467F" w:rsidRDefault="00E8794D" w:rsidP="00B7519E">
      <w:pPr>
        <w:widowControl w:val="0"/>
        <w:autoSpaceDE w:val="0"/>
        <w:autoSpaceDN w:val="0"/>
        <w:spacing w:after="0" w:line="240" w:lineRule="auto"/>
        <w:ind w:left="426"/>
        <w:jc w:val="both"/>
        <w:rPr>
          <w:rFonts w:ascii="Arial" w:hAnsi="Arial" w:cs="Arial"/>
          <w:color w:val="000000" w:themeColor="text1"/>
          <w:sz w:val="20"/>
        </w:rPr>
      </w:pPr>
    </w:p>
    <w:p w14:paraId="13DD4FB5" w14:textId="77777777" w:rsidR="00E8794D" w:rsidRPr="00FD20EE" w:rsidRDefault="00E8794D" w:rsidP="00B7519E">
      <w:pPr>
        <w:widowControl w:val="0"/>
        <w:autoSpaceDE w:val="0"/>
        <w:autoSpaceDN w:val="0"/>
        <w:spacing w:after="0" w:line="240" w:lineRule="auto"/>
        <w:ind w:left="426"/>
        <w:jc w:val="both"/>
        <w:rPr>
          <w:rFonts w:ascii="Arial" w:hAnsi="Arial" w:cs="Arial"/>
          <w:sz w:val="20"/>
        </w:rPr>
      </w:pPr>
      <w:r>
        <w:rPr>
          <w:rFonts w:ascii="Arial" w:hAnsi="Arial"/>
          <w:color w:val="000000" w:themeColor="text1"/>
          <w:sz w:val="20"/>
        </w:rPr>
        <w:t>Por fim, não é recomendável que o tempo de trabalho dos funcionários do EGPI (que está incluído nas despesas gerais da instituição) nem os custos administrativos incorridos neste escritório, como fotocópias, sejam incluídos.</w:t>
      </w:r>
      <w:bookmarkEnd w:id="334"/>
    </w:p>
    <w:p w14:paraId="2C47991D" w14:textId="77777777" w:rsidR="00E8794D" w:rsidRPr="0024467F" w:rsidRDefault="00E8794D" w:rsidP="00B7519E">
      <w:pPr>
        <w:pStyle w:val="ListParagraph"/>
        <w:spacing w:after="0" w:line="240" w:lineRule="auto"/>
        <w:rPr>
          <w:rFonts w:ascii="Arial" w:hAnsi="Arial" w:cs="Arial"/>
          <w:b/>
          <w:color w:val="000000" w:themeColor="text1"/>
          <w:sz w:val="20"/>
        </w:rPr>
      </w:pPr>
    </w:p>
    <w:p w14:paraId="51C9B684" w14:textId="514CA221" w:rsidR="00E8794D" w:rsidRPr="00FD20EE" w:rsidRDefault="00E8794D" w:rsidP="009D4A54">
      <w:pPr>
        <w:pStyle w:val="ListParagraph"/>
        <w:numPr>
          <w:ilvl w:val="0"/>
          <w:numId w:val="102"/>
        </w:numPr>
        <w:tabs>
          <w:tab w:val="left" w:pos="1843"/>
        </w:tabs>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10.2.2.4, </w:t>
      </w:r>
      <w:r>
        <w:rPr>
          <w:rFonts w:ascii="Arial" w:hAnsi="Arial"/>
          <w:b/>
          <w:i/>
          <w:color w:val="000000" w:themeColor="text1"/>
          <w:sz w:val="20"/>
        </w:rPr>
        <w:t>PI de Cotitularidade</w:t>
      </w:r>
      <w:r w:rsidRPr="00E67619">
        <w:rPr>
          <w:rFonts w:ascii="Arial" w:hAnsi="Arial"/>
          <w:bCs/>
          <w:color w:val="000000" w:themeColor="text1"/>
          <w:sz w:val="20"/>
        </w:rPr>
        <w:t>:</w:t>
      </w:r>
      <w:r>
        <w:rPr>
          <w:rFonts w:ascii="Arial" w:hAnsi="Arial"/>
          <w:color w:val="000000" w:themeColor="text1"/>
          <w:sz w:val="20"/>
        </w:rPr>
        <w:t xml:space="preserve"> A PI pode ter cotitularidade com terceiros, como um parceiro da indústria ou outra instituição</w:t>
      </w:r>
      <w:r w:rsidR="008411EA">
        <w:rPr>
          <w:rFonts w:ascii="Arial" w:hAnsi="Arial"/>
          <w:color w:val="000000" w:themeColor="text1"/>
          <w:sz w:val="20"/>
        </w:rPr>
        <w:t xml:space="preserve">. </w:t>
      </w:r>
      <w:r>
        <w:rPr>
          <w:rFonts w:ascii="Arial" w:hAnsi="Arial"/>
          <w:color w:val="000000" w:themeColor="text1"/>
          <w:sz w:val="20"/>
        </w:rPr>
        <w:t>O acordo de cotitularidade pode exigir conformidade com a legislação nacional (por exemplo, na África do Sul, para ser cotitular de uma instituição, quatro requisitos devem ser atendidos, um dos quais é um acordo de repartição de benefícios para garantir que os Criadores de PI sejam sempre reconhecidos e recompensados)</w:t>
      </w:r>
      <w:r w:rsidR="008411EA">
        <w:rPr>
          <w:rFonts w:ascii="Arial" w:hAnsi="Arial"/>
          <w:color w:val="000000" w:themeColor="text1"/>
          <w:sz w:val="20"/>
        </w:rPr>
        <w:t xml:space="preserve">. </w:t>
      </w:r>
    </w:p>
    <w:p w14:paraId="426BBCA5" w14:textId="77777777" w:rsidR="00E8794D" w:rsidRPr="0024467F" w:rsidRDefault="00E8794D" w:rsidP="00B7519E">
      <w:pPr>
        <w:pStyle w:val="ListParagraph"/>
        <w:tabs>
          <w:tab w:val="left" w:pos="1843"/>
        </w:tabs>
        <w:spacing w:after="0" w:line="240" w:lineRule="auto"/>
        <w:ind w:left="426" w:hanging="426"/>
        <w:jc w:val="both"/>
        <w:rPr>
          <w:rFonts w:ascii="Arial" w:hAnsi="Arial" w:cs="Arial"/>
          <w:color w:val="000000" w:themeColor="text1"/>
          <w:sz w:val="20"/>
        </w:rPr>
      </w:pPr>
    </w:p>
    <w:p w14:paraId="3A30E5DA" w14:textId="02873576" w:rsidR="00E8794D" w:rsidRPr="00FD20EE" w:rsidRDefault="00E8794D" w:rsidP="00B7519E">
      <w:pPr>
        <w:spacing w:after="0" w:line="240" w:lineRule="auto"/>
        <w:ind w:left="426"/>
        <w:jc w:val="both"/>
        <w:rPr>
          <w:rFonts w:ascii="Arial" w:hAnsi="Arial" w:cs="Arial"/>
          <w:color w:val="000000" w:themeColor="text1"/>
          <w:sz w:val="20"/>
        </w:rPr>
      </w:pPr>
      <w:r>
        <w:rPr>
          <w:rFonts w:ascii="Arial" w:hAnsi="Arial"/>
          <w:color w:val="000000" w:themeColor="text1"/>
          <w:sz w:val="20"/>
        </w:rPr>
        <w:t>A porcentagem de cotitularidade pode ser determinada contratualmente em termos de uma fórmula predeterminada que normalmente é determinada pela porcentagem de criação de PI pelos Criadores em uma instituição específica ou parceiro da indústria</w:t>
      </w:r>
      <w:r w:rsidR="008411EA">
        <w:rPr>
          <w:rFonts w:ascii="Arial" w:hAnsi="Arial"/>
          <w:color w:val="000000" w:themeColor="text1"/>
          <w:sz w:val="20"/>
        </w:rPr>
        <w:t xml:space="preserve">. </w:t>
      </w:r>
    </w:p>
    <w:p w14:paraId="00EEA2DB" w14:textId="77777777" w:rsidR="00E8794D" w:rsidRPr="0024467F" w:rsidRDefault="00E8794D" w:rsidP="00B7519E">
      <w:pPr>
        <w:spacing w:after="0" w:line="240" w:lineRule="auto"/>
        <w:ind w:left="567"/>
        <w:jc w:val="both"/>
        <w:rPr>
          <w:rFonts w:ascii="Arial" w:hAnsi="Arial" w:cs="Arial"/>
          <w:color w:val="000000" w:themeColor="text1"/>
          <w:sz w:val="20"/>
        </w:rPr>
      </w:pPr>
    </w:p>
    <w:p w14:paraId="5DEA6A0C" w14:textId="77777777" w:rsidR="008E29A8" w:rsidRPr="00FD20EE"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Repartição de Benefícios da Comercialização de PI de Cotitularidade – Um exemplo hipotético</w:t>
      </w:r>
    </w:p>
    <w:p w14:paraId="04F33AF0" w14:textId="77777777" w:rsidR="008E29A8" w:rsidRPr="0024467F"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rPr>
      </w:pPr>
    </w:p>
    <w:p w14:paraId="0228A956" w14:textId="4C083A88"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r>
        <w:rPr>
          <w:rFonts w:ascii="Arial" w:hAnsi="Arial"/>
          <w:color w:val="000000" w:themeColor="text1"/>
          <w:sz w:val="20"/>
        </w:rPr>
        <w:t>Por exemplo, a Instituição A cria 65% da PI e o Parceiro Industrial B cria 35% da PI</w:t>
      </w:r>
      <w:r w:rsidR="008411EA">
        <w:rPr>
          <w:rFonts w:ascii="Arial" w:hAnsi="Arial"/>
          <w:color w:val="000000" w:themeColor="text1"/>
          <w:sz w:val="20"/>
        </w:rPr>
        <w:t xml:space="preserve">. </w:t>
      </w:r>
      <w:r>
        <w:rPr>
          <w:rFonts w:ascii="Arial" w:hAnsi="Arial"/>
          <w:color w:val="000000" w:themeColor="text1"/>
          <w:sz w:val="20"/>
        </w:rPr>
        <w:t>A receita acumulada em termos de comercialização da PI será, portanto, compartilhada na razão de 65% para a Instituição A e 35% para o Parceiro B. Posteriormente, o formulário de divulgação de PI (Artigo 8.2 e 8.3) refletirá qual porcentagem dos 65% de titularidade da Instituição A para a PI criada por sua Equipe, Alunos ou Visitantes</w:t>
      </w:r>
      <w:r w:rsidR="008411EA">
        <w:rPr>
          <w:rFonts w:ascii="Arial" w:hAnsi="Arial"/>
          <w:color w:val="000000" w:themeColor="text1"/>
          <w:sz w:val="20"/>
        </w:rPr>
        <w:t xml:space="preserve">. </w:t>
      </w:r>
      <w:r>
        <w:rPr>
          <w:rFonts w:ascii="Arial" w:hAnsi="Arial"/>
          <w:color w:val="000000" w:themeColor="text1"/>
          <w:sz w:val="20"/>
        </w:rPr>
        <w:t>Caso as Equipes X e Z tenham contribuído cada uma com 25% e o Visitante Y com 15%, então as receitas (100.000 unidades de Receita Bruta de PI [pode ser qualquer moeda], que era a parcela da Instituição A) serão repartidas da seguinte forma:</w:t>
      </w:r>
    </w:p>
    <w:p w14:paraId="6CF4F8CB" w14:textId="77777777" w:rsidR="00E8794D" w:rsidRPr="0024467F"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p>
    <w:p w14:paraId="0CF97891"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r>
        <w:rPr>
          <w:rFonts w:ascii="Arial" w:hAnsi="Arial"/>
          <w:color w:val="000000" w:themeColor="text1"/>
          <w:sz w:val="20"/>
        </w:rPr>
        <w:t>100.000 unidades equivalem a 65% da Receita Bruta de PI Recebida pela Instituição A</w:t>
      </w:r>
    </w:p>
    <w:p w14:paraId="5992FD9C" w14:textId="77777777" w:rsidR="00E8794D" w:rsidRPr="0024467F"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p>
    <w:p w14:paraId="77182694"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r>
        <w:rPr>
          <w:rFonts w:ascii="Arial" w:hAnsi="Arial"/>
          <w:color w:val="000000" w:themeColor="text1"/>
          <w:sz w:val="20"/>
        </w:rPr>
        <w:t>Equipe X = 25%/65%*100 000 = 38.462</w:t>
      </w:r>
    </w:p>
    <w:p w14:paraId="748D04F5"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rPr>
      </w:pPr>
      <w:r>
        <w:rPr>
          <w:rFonts w:ascii="Arial" w:hAnsi="Arial"/>
          <w:color w:val="000000" w:themeColor="text1"/>
          <w:sz w:val="20"/>
        </w:rPr>
        <w:t>Equipe Z = 25%/65%*100 000 = 38.462</w:t>
      </w:r>
    </w:p>
    <w:p w14:paraId="61041B52" w14:textId="77777777" w:rsidR="00E8794D" w:rsidRPr="00FD20EE" w:rsidRDefault="00E8794D" w:rsidP="00F841B0">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t>Visitante Y = 15%/65%**100.000 = 23.076</w:t>
      </w:r>
    </w:p>
    <w:p w14:paraId="7598FD6A" w14:textId="77777777" w:rsidR="00E8794D" w:rsidRPr="0024467F" w:rsidRDefault="00E8794D" w:rsidP="00B7519E">
      <w:pPr>
        <w:tabs>
          <w:tab w:val="left" w:pos="1843"/>
        </w:tabs>
        <w:spacing w:after="0" w:line="240" w:lineRule="auto"/>
        <w:jc w:val="both"/>
        <w:rPr>
          <w:rFonts w:ascii="Arial" w:hAnsi="Arial" w:cs="Arial"/>
          <w:color w:val="000000" w:themeColor="text1"/>
          <w:sz w:val="20"/>
        </w:rPr>
      </w:pPr>
    </w:p>
    <w:p w14:paraId="093EC98A" w14:textId="7300DB39" w:rsidR="00E8794D" w:rsidRPr="00FD20EE" w:rsidRDefault="00E8794D" w:rsidP="00B7519E">
      <w:pPr>
        <w:pStyle w:val="ListParagraph"/>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t>Caso não seja possível determinar a porcentagem de titularidade de PI por uma Instituição ou Parceiro da Indústria, presume-se que a PI seja obtida em uma parcela igual e indivisível</w:t>
      </w:r>
      <w:r w:rsidR="008411EA">
        <w:rPr>
          <w:rFonts w:ascii="Arial" w:hAnsi="Arial"/>
          <w:color w:val="000000" w:themeColor="text1"/>
          <w:sz w:val="20"/>
        </w:rPr>
        <w:t xml:space="preserve">. </w:t>
      </w:r>
      <w:r>
        <w:rPr>
          <w:rFonts w:ascii="Arial" w:hAnsi="Arial"/>
          <w:color w:val="000000" w:themeColor="text1"/>
          <w:sz w:val="20"/>
        </w:rPr>
        <w:t>Da mesma forma, se não for possível determinar a contribuição individual de cada Criador de PI para a parcela geral na criação de PI, presume-se que o grau de criação de PI esteja em uma parcela igual e indivisível.</w:t>
      </w:r>
    </w:p>
    <w:p w14:paraId="48C67AB0" w14:textId="77777777" w:rsidR="008E29A8" w:rsidRPr="00FD20EE" w:rsidRDefault="008E29A8" w:rsidP="008E29A8">
      <w:pPr>
        <w:pStyle w:val="Heading3"/>
        <w:spacing w:after="240"/>
        <w:jc w:val="both"/>
        <w:rPr>
          <w:sz w:val="24"/>
        </w:rPr>
      </w:pPr>
      <w:bookmarkStart w:id="335" w:name="_Toc516160096"/>
      <w:bookmarkStart w:id="336" w:name="_Toc516219432"/>
      <w:bookmarkStart w:id="337" w:name="_Toc516496076"/>
      <w:bookmarkStart w:id="338" w:name="_Toc516829448"/>
      <w:r>
        <w:rPr>
          <w:sz w:val="24"/>
        </w:rPr>
        <w:t>Repartição de receitas – Criadores/Facilitadores</w:t>
      </w:r>
      <w:bookmarkEnd w:id="335"/>
      <w:bookmarkEnd w:id="336"/>
      <w:bookmarkEnd w:id="337"/>
      <w:bookmarkEnd w:id="338"/>
    </w:p>
    <w:p w14:paraId="015D9DB0" w14:textId="03F4A5E8" w:rsidR="00E8794D" w:rsidRPr="00CC0CF0" w:rsidRDefault="00E8794D" w:rsidP="009D4A54">
      <w:pPr>
        <w:pStyle w:val="ListParagraph"/>
        <w:numPr>
          <w:ilvl w:val="0"/>
          <w:numId w:val="101"/>
        </w:numPr>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10.2.3.1, </w:t>
      </w:r>
      <w:r>
        <w:rPr>
          <w:rFonts w:ascii="Arial" w:hAnsi="Arial"/>
          <w:b/>
          <w:i/>
          <w:color w:val="000000" w:themeColor="text1"/>
          <w:sz w:val="20"/>
        </w:rPr>
        <w:t>% da Receita Bruta de PI / % da Receita Líquida de PI</w:t>
      </w:r>
      <w:r w:rsidRPr="00E67619">
        <w:rPr>
          <w:rFonts w:ascii="Arial" w:hAnsi="Arial"/>
          <w:bCs/>
          <w:iCs/>
          <w:color w:val="000000" w:themeColor="text1"/>
          <w:sz w:val="20"/>
        </w:rPr>
        <w:t xml:space="preserve">: </w:t>
      </w:r>
      <w:r>
        <w:rPr>
          <w:rFonts w:ascii="Arial" w:hAnsi="Arial"/>
          <w:color w:val="000000" w:themeColor="text1"/>
          <w:sz w:val="20"/>
        </w:rPr>
        <w:t>Como um primeiro ponto de partida, as instituições devem garantir que sua fórmula de repartição de benefícios esteja em conformidade com qualquer legislação nacional a esse respeito</w:t>
      </w:r>
      <w:r w:rsidR="008411EA">
        <w:rPr>
          <w:rFonts w:ascii="Arial" w:hAnsi="Arial"/>
          <w:color w:val="000000" w:themeColor="text1"/>
          <w:sz w:val="20"/>
        </w:rPr>
        <w:t xml:space="preserve">. </w:t>
      </w:r>
      <w:r>
        <w:rPr>
          <w:rFonts w:ascii="Arial" w:hAnsi="Arial"/>
          <w:color w:val="000000" w:themeColor="text1"/>
          <w:sz w:val="20"/>
        </w:rPr>
        <w:t>Quando a legislação for omissa ou ausente, uma Instituição pode escolher se recompensará seus Criadores/Facilitadores de PI com a Receita Bruta e/ou Líquida de PI</w:t>
      </w:r>
      <w:r w:rsidR="008411EA">
        <w:rPr>
          <w:rFonts w:ascii="Arial" w:hAnsi="Arial"/>
          <w:color w:val="000000" w:themeColor="text1"/>
          <w:sz w:val="20"/>
        </w:rPr>
        <w:t xml:space="preserve">. </w:t>
      </w:r>
    </w:p>
    <w:p w14:paraId="7F77240D" w14:textId="77777777" w:rsidR="00020809" w:rsidRPr="0024467F" w:rsidRDefault="00020809" w:rsidP="00B7519E">
      <w:pPr>
        <w:pStyle w:val="ListParagraph"/>
        <w:spacing w:after="0" w:line="240" w:lineRule="auto"/>
        <w:ind w:left="426"/>
        <w:jc w:val="both"/>
        <w:rPr>
          <w:rFonts w:ascii="Arial" w:hAnsi="Arial" w:cs="Arial"/>
          <w:color w:val="000000" w:themeColor="text1"/>
          <w:sz w:val="20"/>
        </w:rPr>
      </w:pPr>
    </w:p>
    <w:p w14:paraId="18AF12FE" w14:textId="5B8D678F" w:rsidR="00CA48D2" w:rsidRPr="00CC0CF0" w:rsidRDefault="00020809" w:rsidP="009D4A54">
      <w:pPr>
        <w:pStyle w:val="ListParagraph"/>
        <w:numPr>
          <w:ilvl w:val="0"/>
          <w:numId w:val="101"/>
        </w:numPr>
        <w:spacing w:after="0" w:line="240" w:lineRule="auto"/>
        <w:ind w:left="426" w:hanging="426"/>
        <w:jc w:val="both"/>
        <w:rPr>
          <w:rFonts w:ascii="Arial" w:hAnsi="Arial" w:cs="Arial"/>
          <w:color w:val="000000" w:themeColor="text1"/>
          <w:sz w:val="20"/>
        </w:rPr>
      </w:pPr>
      <w:r>
        <w:rPr>
          <w:rFonts w:ascii="Arial" w:hAnsi="Arial"/>
          <w:b/>
          <w:color w:val="000000" w:themeColor="text1"/>
          <w:sz w:val="20"/>
        </w:rPr>
        <w:t>Artigo 10.2.3.1 e 12.2.3.2, Parcela do Criador/Facilitador do Padrão</w:t>
      </w:r>
      <w:r w:rsidRPr="00E67619">
        <w:rPr>
          <w:rFonts w:ascii="Arial" w:hAnsi="Arial"/>
          <w:bCs/>
          <w:color w:val="000000" w:themeColor="text1"/>
          <w:sz w:val="20"/>
        </w:rPr>
        <w:t xml:space="preserve">: </w:t>
      </w:r>
      <w:r>
        <w:rPr>
          <w:rFonts w:ascii="Arial" w:hAnsi="Arial"/>
          <w:color w:val="000000" w:themeColor="text1"/>
          <w:sz w:val="20"/>
        </w:rPr>
        <w:t>Mudanças nos incentivos alteram o comportamento dos Criadores/Facilitadores. Muitos estudos foram realizados sobre a correlação entre a porcentagem de royalties de um Criador e a quantidade de licenças ou spin-offs</w:t>
      </w:r>
      <w:r w:rsidR="008411EA">
        <w:rPr>
          <w:rFonts w:ascii="Arial" w:hAnsi="Arial"/>
          <w:color w:val="000000" w:themeColor="text1"/>
          <w:sz w:val="20"/>
        </w:rPr>
        <w:t xml:space="preserve">. </w:t>
      </w:r>
      <w:r>
        <w:rPr>
          <w:rFonts w:ascii="Arial" w:hAnsi="Arial"/>
          <w:color w:val="000000" w:themeColor="text1"/>
          <w:sz w:val="20"/>
        </w:rPr>
        <w:t>As conclusões gerais de tais estudos</w:t>
      </w:r>
      <w:r w:rsidR="00FF6014" w:rsidRPr="00CC0CF0">
        <w:rPr>
          <w:rStyle w:val="FootnoteReference"/>
          <w:rFonts w:ascii="Arial" w:hAnsi="Arial" w:cs="Arial"/>
          <w:color w:val="000000" w:themeColor="text1"/>
          <w:sz w:val="20"/>
          <w:lang w:val="en-US"/>
        </w:rPr>
        <w:footnoteReference w:id="183"/>
      </w:r>
      <w:r>
        <w:rPr>
          <w:rFonts w:ascii="Arial" w:hAnsi="Arial"/>
          <w:color w:val="000000" w:themeColor="text1"/>
          <w:sz w:val="20"/>
        </w:rPr>
        <w:t xml:space="preserve"> são:</w:t>
      </w:r>
    </w:p>
    <w:p w14:paraId="0F785A7E" w14:textId="77777777" w:rsidR="00FF6014" w:rsidRPr="00CC0CF0" w:rsidRDefault="00FF6014"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t xml:space="preserve">As políticas que oferecem incentivos aos dodcentes juniores aumentarão as </w:t>
      </w:r>
      <w:r>
        <w:rPr>
          <w:rFonts w:ascii="Arial" w:hAnsi="Arial"/>
          <w:b/>
          <w:color w:val="000000" w:themeColor="text1"/>
          <w:sz w:val="20"/>
        </w:rPr>
        <w:t>patentes e licenças</w:t>
      </w:r>
      <w:r>
        <w:rPr>
          <w:rFonts w:ascii="Arial" w:hAnsi="Arial"/>
          <w:color w:val="000000" w:themeColor="text1"/>
          <w:sz w:val="20"/>
        </w:rPr>
        <w:t xml:space="preserve"> da Instituição.</w:t>
      </w:r>
      <w:r w:rsidRPr="00CC0CF0">
        <w:rPr>
          <w:rStyle w:val="FootnoteReference"/>
          <w:rFonts w:ascii="Arial" w:hAnsi="Arial" w:cs="Arial"/>
          <w:color w:val="000000" w:themeColor="text1"/>
          <w:sz w:val="20"/>
          <w:lang w:val="en-US"/>
        </w:rPr>
        <w:footnoteReference w:id="184"/>
      </w:r>
    </w:p>
    <w:p w14:paraId="17343A70" w14:textId="77777777" w:rsidR="00CA48D2" w:rsidRPr="00CC0CF0"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t xml:space="preserve">Ao alocar uma parcela maior de royalties aos Criadores, as Instituições geralmente irão </w:t>
      </w:r>
      <w:r>
        <w:rPr>
          <w:rFonts w:ascii="Arial" w:hAnsi="Arial"/>
          <w:b/>
          <w:bCs/>
          <w:color w:val="000000" w:themeColor="text1"/>
          <w:sz w:val="20"/>
        </w:rPr>
        <w:t>licenciar</w:t>
      </w:r>
      <w:r>
        <w:rPr>
          <w:rFonts w:ascii="Arial" w:hAnsi="Arial"/>
          <w:color w:val="000000" w:themeColor="text1"/>
          <w:sz w:val="20"/>
        </w:rPr>
        <w:t xml:space="preserve"> mais invenções para empresas existentes</w:t>
      </w:r>
      <w:r w:rsidR="00721457" w:rsidRPr="00CC0CF0">
        <w:rPr>
          <w:rStyle w:val="FootnoteReference"/>
          <w:rFonts w:ascii="Arial" w:hAnsi="Arial" w:cs="Arial"/>
          <w:color w:val="000000" w:themeColor="text1"/>
          <w:sz w:val="20"/>
          <w:lang w:val="en-US"/>
        </w:rPr>
        <w:footnoteReference w:id="185"/>
      </w:r>
      <w:r>
        <w:rPr>
          <w:rFonts w:ascii="Arial" w:hAnsi="Arial"/>
          <w:color w:val="000000" w:themeColor="text1"/>
          <w:sz w:val="20"/>
        </w:rPr>
        <w:t>;</w:t>
      </w:r>
    </w:p>
    <w:p w14:paraId="49B2AA09" w14:textId="12260140" w:rsidR="00CA48D2" w:rsidRPr="00BD07D8"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t xml:space="preserve">Uma atribuição de uma parcela menor aos Criadores reduzirá o número de licenças e promoverá a criação de </w:t>
      </w:r>
      <w:r>
        <w:rPr>
          <w:rFonts w:ascii="Arial" w:hAnsi="Arial"/>
          <w:b/>
          <w:color w:val="000000" w:themeColor="text1"/>
          <w:sz w:val="20"/>
        </w:rPr>
        <w:t>spin-offs</w:t>
      </w:r>
      <w:r w:rsidR="00721457" w:rsidRPr="00CC0CF0">
        <w:rPr>
          <w:rStyle w:val="FootnoteReference"/>
          <w:rFonts w:ascii="Arial" w:hAnsi="Arial" w:cs="Arial"/>
          <w:b/>
          <w:color w:val="000000" w:themeColor="text1"/>
          <w:sz w:val="20"/>
          <w:lang w:val="en-US"/>
        </w:rPr>
        <w:footnoteReference w:id="186"/>
      </w:r>
      <w:r w:rsidR="008411EA">
        <w:rPr>
          <w:rFonts w:ascii="Arial" w:hAnsi="Arial"/>
          <w:color w:val="000000" w:themeColor="text1"/>
          <w:sz w:val="20"/>
        </w:rPr>
        <w:t xml:space="preserve">. </w:t>
      </w:r>
      <w:r>
        <w:rPr>
          <w:rFonts w:ascii="Arial" w:hAnsi="Arial"/>
          <w:color w:val="000000" w:themeColor="text1"/>
          <w:sz w:val="20"/>
        </w:rPr>
        <w:t xml:space="preserve">Veja também as Diretrizes </w:t>
      </w:r>
      <w:hyperlink w:anchor="Article9point4" w:history="1">
        <w:r>
          <w:rPr>
            <w:rStyle w:val="Hyperlink"/>
            <w:rFonts w:ascii="Arial" w:hAnsi="Arial"/>
            <w:sz w:val="20"/>
          </w:rPr>
          <w:t>Artigo 9.4</w:t>
        </w:r>
      </w:hyperlink>
      <w:r>
        <w:rPr>
          <w:rFonts w:ascii="Arial" w:hAnsi="Arial"/>
          <w:color w:val="000000" w:themeColor="text1"/>
          <w:sz w:val="20"/>
        </w:rPr>
        <w:t>.</w:t>
      </w:r>
    </w:p>
    <w:p w14:paraId="663202D2" w14:textId="77777777" w:rsidR="00597609" w:rsidRPr="00CC0CF0" w:rsidRDefault="00597609" w:rsidP="00B7519E">
      <w:pPr>
        <w:spacing w:after="0" w:line="240" w:lineRule="auto"/>
        <w:jc w:val="both"/>
        <w:rPr>
          <w:rFonts w:ascii="Arial" w:hAnsi="Arial" w:cs="Arial"/>
          <w:color w:val="000000" w:themeColor="text1"/>
          <w:sz w:val="20"/>
          <w:highlight w:val="yellow"/>
          <w:lang w:val="en-US"/>
        </w:rPr>
      </w:pPr>
    </w:p>
    <w:p w14:paraId="27A30D2E" w14:textId="5ACAAE37" w:rsidR="00597609" w:rsidRPr="00CC0CF0"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r>
        <w:rPr>
          <w:rFonts w:ascii="Arial" w:hAnsi="Arial"/>
          <w:b/>
          <w:sz w:val="20"/>
        </w:rPr>
        <w:t xml:space="preserve">Caixa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r>
        <w:rPr>
          <w:rFonts w:ascii="Arial" w:hAnsi="Arial"/>
          <w:b/>
          <w:sz w:val="20"/>
        </w:rPr>
        <w:t xml:space="preserve"> Comparação de Repartição de Benefícios entre Duas Universidades</w:t>
      </w:r>
    </w:p>
    <w:p w14:paraId="353D5DDA" w14:textId="77777777" w:rsidR="00597609" w:rsidRPr="0024467F"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rPr>
      </w:pPr>
    </w:p>
    <w:p w14:paraId="0E463A42" w14:textId="77777777"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t>A</w:t>
      </w:r>
      <w:r>
        <w:rPr>
          <w:rFonts w:ascii="Arial" w:hAnsi="Arial"/>
          <w:b/>
          <w:color w:val="000000" w:themeColor="text1"/>
          <w:sz w:val="20"/>
        </w:rPr>
        <w:t xml:space="preserve"> </w:t>
      </w:r>
      <w:r>
        <w:rPr>
          <w:rFonts w:ascii="Arial" w:hAnsi="Arial"/>
          <w:b/>
          <w:color w:val="0070C0"/>
          <w:sz w:val="20"/>
        </w:rPr>
        <w:t>Universidade de Cambridge</w:t>
      </w:r>
      <w:r w:rsidR="009336DF" w:rsidRPr="00CC0CF0">
        <w:rPr>
          <w:rStyle w:val="FootnoteReference"/>
          <w:rFonts w:ascii="Arial" w:hAnsi="Arial" w:cs="Arial"/>
          <w:b/>
          <w:color w:val="000000" w:themeColor="text1"/>
          <w:sz w:val="20"/>
          <w:lang w:val="en-US"/>
        </w:rPr>
        <w:footnoteReference w:id="187"/>
      </w:r>
      <w:r>
        <w:rPr>
          <w:rFonts w:ascii="Arial" w:hAnsi="Arial"/>
          <w:color w:val="000000" w:themeColor="text1"/>
          <w:sz w:val="20"/>
        </w:rPr>
        <w:t xml:space="preserve"> fornece uma alta porcentagem de royalties aos inventores, promovendo assim licenças em detrimento de spin-offs. </w:t>
      </w:r>
    </w:p>
    <w:p w14:paraId="3735A316" w14:textId="77777777" w:rsidR="00F70E42" w:rsidRPr="0024467F"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p>
    <w:tbl>
      <w:tblPr>
        <w:tblW w:w="0" w:type="auto"/>
        <w:tblInd w:w="426" w:type="dxa"/>
        <w:tblLook w:val="04A0" w:firstRow="1" w:lastRow="0" w:firstColumn="1" w:lastColumn="0" w:noHBand="0" w:noVBand="1"/>
      </w:tblPr>
      <w:tblGrid>
        <w:gridCol w:w="2108"/>
        <w:gridCol w:w="2137"/>
        <w:gridCol w:w="2188"/>
        <w:gridCol w:w="2167"/>
      </w:tblGrid>
      <w:tr w:rsidR="00F70E42" w:rsidRPr="00CC0CF0" w14:paraId="795ECE58" w14:textId="77777777" w:rsidTr="00B7519E">
        <w:tc>
          <w:tcPr>
            <w:tcW w:w="2310" w:type="dxa"/>
            <w:shd w:val="clear" w:color="auto" w:fill="A6A6A6" w:themeFill="background1" w:themeFillShade="A6"/>
          </w:tcPr>
          <w:p w14:paraId="1FBE43CF" w14:textId="77777777" w:rsidR="00F70E42" w:rsidRPr="00CC0CF0" w:rsidRDefault="00F70E42" w:rsidP="00B30378">
            <w:pPr>
              <w:pStyle w:val="ListParagraph"/>
              <w:tabs>
                <w:tab w:val="left" w:pos="1843"/>
              </w:tabs>
              <w:ind w:left="-93"/>
              <w:jc w:val="both"/>
              <w:rPr>
                <w:rFonts w:ascii="Arial" w:hAnsi="Arial" w:cs="Arial"/>
                <w:color w:val="000000" w:themeColor="text1"/>
                <w:sz w:val="20"/>
              </w:rPr>
            </w:pPr>
            <w:r>
              <w:rPr>
                <w:rFonts w:ascii="Arial" w:hAnsi="Arial"/>
                <w:color w:val="000000" w:themeColor="text1"/>
                <w:sz w:val="20"/>
              </w:rPr>
              <w:t>Receita Líquida</w:t>
            </w:r>
          </w:p>
        </w:tc>
        <w:tc>
          <w:tcPr>
            <w:tcW w:w="2310" w:type="dxa"/>
            <w:shd w:val="clear" w:color="auto" w:fill="A6A6A6" w:themeFill="background1" w:themeFillShade="A6"/>
          </w:tcPr>
          <w:p w14:paraId="613C143E"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Inventores (em conjunto)</w:t>
            </w:r>
          </w:p>
        </w:tc>
        <w:tc>
          <w:tcPr>
            <w:tcW w:w="2311" w:type="dxa"/>
            <w:shd w:val="clear" w:color="auto" w:fill="A6A6A6" w:themeFill="background1" w:themeFillShade="A6"/>
          </w:tcPr>
          <w:p w14:paraId="58E189A1"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Departamento</w:t>
            </w:r>
          </w:p>
        </w:tc>
        <w:tc>
          <w:tcPr>
            <w:tcW w:w="2311" w:type="dxa"/>
            <w:shd w:val="clear" w:color="auto" w:fill="A6A6A6" w:themeFill="background1" w:themeFillShade="A6"/>
          </w:tcPr>
          <w:p w14:paraId="5F69D009"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Cambridge Enterprise</w:t>
            </w:r>
            <w:r w:rsidRPr="00CC0CF0">
              <w:rPr>
                <w:rStyle w:val="FootnoteReference"/>
                <w:rFonts w:ascii="Arial" w:hAnsi="Arial" w:cs="Arial"/>
                <w:color w:val="000000" w:themeColor="text1"/>
                <w:sz w:val="20"/>
                <w:lang w:val="en-US"/>
              </w:rPr>
              <w:footnoteReference w:id="188"/>
            </w:r>
          </w:p>
        </w:tc>
      </w:tr>
      <w:tr w:rsidR="00F70E42" w:rsidRPr="00CC0CF0" w14:paraId="765259E4" w14:textId="77777777" w:rsidTr="00B7519E">
        <w:tc>
          <w:tcPr>
            <w:tcW w:w="2310" w:type="dxa"/>
            <w:shd w:val="clear" w:color="auto" w:fill="D9D9D9" w:themeFill="background1" w:themeFillShade="D9"/>
          </w:tcPr>
          <w:p w14:paraId="451F0772" w14:textId="77777777" w:rsidR="00F70E42" w:rsidRPr="00CC0CF0" w:rsidRDefault="00F70E42" w:rsidP="00B30378">
            <w:pPr>
              <w:pStyle w:val="ListParagraph"/>
              <w:tabs>
                <w:tab w:val="left" w:pos="1843"/>
              </w:tabs>
              <w:ind w:left="-93"/>
              <w:jc w:val="both"/>
              <w:rPr>
                <w:rFonts w:ascii="Arial" w:hAnsi="Arial" w:cs="Arial"/>
                <w:color w:val="000000" w:themeColor="text1"/>
                <w:sz w:val="20"/>
              </w:rPr>
            </w:pPr>
            <w:r>
              <w:rPr>
                <w:rFonts w:ascii="Arial" w:hAnsi="Arial"/>
                <w:color w:val="000000" w:themeColor="text1"/>
                <w:sz w:val="20"/>
              </w:rPr>
              <w:t>Primeiro £ 100.000</w:t>
            </w:r>
          </w:p>
        </w:tc>
        <w:tc>
          <w:tcPr>
            <w:tcW w:w="2310" w:type="dxa"/>
            <w:shd w:val="clear" w:color="auto" w:fill="D9D9D9" w:themeFill="background1" w:themeFillShade="D9"/>
          </w:tcPr>
          <w:p w14:paraId="526D7575"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90%</w:t>
            </w:r>
          </w:p>
        </w:tc>
        <w:tc>
          <w:tcPr>
            <w:tcW w:w="2311" w:type="dxa"/>
            <w:shd w:val="clear" w:color="auto" w:fill="D9D9D9" w:themeFill="background1" w:themeFillShade="D9"/>
          </w:tcPr>
          <w:p w14:paraId="4C3FE990"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5%</w:t>
            </w:r>
          </w:p>
        </w:tc>
        <w:tc>
          <w:tcPr>
            <w:tcW w:w="2311" w:type="dxa"/>
            <w:shd w:val="clear" w:color="auto" w:fill="D9D9D9" w:themeFill="background1" w:themeFillShade="D9"/>
          </w:tcPr>
          <w:p w14:paraId="4AF00DE8"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5%</w:t>
            </w:r>
          </w:p>
        </w:tc>
      </w:tr>
      <w:tr w:rsidR="00F70E42" w:rsidRPr="00CC0CF0" w14:paraId="6FB75C71" w14:textId="77777777" w:rsidTr="00B7519E">
        <w:tc>
          <w:tcPr>
            <w:tcW w:w="2310" w:type="dxa"/>
            <w:shd w:val="clear" w:color="auto" w:fill="D9D9D9" w:themeFill="background1" w:themeFillShade="D9"/>
          </w:tcPr>
          <w:p w14:paraId="504F6D26" w14:textId="77777777" w:rsidR="00F70E42" w:rsidRPr="00CC0CF0" w:rsidRDefault="00F70E42" w:rsidP="00B30378">
            <w:pPr>
              <w:pStyle w:val="ListParagraph"/>
              <w:tabs>
                <w:tab w:val="left" w:pos="1843"/>
              </w:tabs>
              <w:ind w:left="-93"/>
              <w:jc w:val="both"/>
              <w:rPr>
                <w:rFonts w:ascii="Arial" w:hAnsi="Arial" w:cs="Arial"/>
                <w:color w:val="000000" w:themeColor="text1"/>
                <w:sz w:val="20"/>
              </w:rPr>
            </w:pPr>
            <w:r>
              <w:rPr>
                <w:rFonts w:ascii="Arial" w:hAnsi="Arial"/>
                <w:color w:val="000000" w:themeColor="text1"/>
                <w:sz w:val="20"/>
              </w:rPr>
              <w:t>Próximo £ 100.000</w:t>
            </w:r>
          </w:p>
        </w:tc>
        <w:tc>
          <w:tcPr>
            <w:tcW w:w="2310" w:type="dxa"/>
            <w:shd w:val="clear" w:color="auto" w:fill="D9D9D9" w:themeFill="background1" w:themeFillShade="D9"/>
          </w:tcPr>
          <w:p w14:paraId="121B253F"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60%</w:t>
            </w:r>
          </w:p>
        </w:tc>
        <w:tc>
          <w:tcPr>
            <w:tcW w:w="2311" w:type="dxa"/>
            <w:shd w:val="clear" w:color="auto" w:fill="D9D9D9" w:themeFill="background1" w:themeFillShade="D9"/>
          </w:tcPr>
          <w:p w14:paraId="36709E94"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20%</w:t>
            </w:r>
          </w:p>
        </w:tc>
        <w:tc>
          <w:tcPr>
            <w:tcW w:w="2311" w:type="dxa"/>
            <w:shd w:val="clear" w:color="auto" w:fill="D9D9D9" w:themeFill="background1" w:themeFillShade="D9"/>
          </w:tcPr>
          <w:p w14:paraId="1980728D"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20%</w:t>
            </w:r>
          </w:p>
        </w:tc>
      </w:tr>
      <w:tr w:rsidR="00F70E42" w:rsidRPr="00CC0CF0" w14:paraId="369886C8" w14:textId="77777777" w:rsidTr="00B7519E">
        <w:tc>
          <w:tcPr>
            <w:tcW w:w="2310" w:type="dxa"/>
            <w:shd w:val="clear" w:color="auto" w:fill="D9D9D9" w:themeFill="background1" w:themeFillShade="D9"/>
          </w:tcPr>
          <w:p w14:paraId="6862575B" w14:textId="77777777" w:rsidR="00F70E42" w:rsidRPr="00CC0CF0" w:rsidRDefault="00F70E42" w:rsidP="00B30378">
            <w:pPr>
              <w:pStyle w:val="ListParagraph"/>
              <w:tabs>
                <w:tab w:val="left" w:pos="1843"/>
              </w:tabs>
              <w:ind w:left="-93"/>
              <w:jc w:val="both"/>
              <w:rPr>
                <w:rFonts w:ascii="Arial" w:hAnsi="Arial" w:cs="Arial"/>
                <w:color w:val="000000" w:themeColor="text1"/>
                <w:sz w:val="20"/>
              </w:rPr>
            </w:pPr>
            <w:r>
              <w:rPr>
                <w:rFonts w:ascii="Arial" w:hAnsi="Arial"/>
                <w:color w:val="000000" w:themeColor="text1"/>
                <w:sz w:val="20"/>
              </w:rPr>
              <w:t>Acima £200.000</w:t>
            </w:r>
          </w:p>
        </w:tc>
        <w:tc>
          <w:tcPr>
            <w:tcW w:w="2310" w:type="dxa"/>
            <w:shd w:val="clear" w:color="auto" w:fill="D9D9D9" w:themeFill="background1" w:themeFillShade="D9"/>
          </w:tcPr>
          <w:p w14:paraId="1FBE2516"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34%</w:t>
            </w:r>
          </w:p>
        </w:tc>
        <w:tc>
          <w:tcPr>
            <w:tcW w:w="2311" w:type="dxa"/>
            <w:shd w:val="clear" w:color="auto" w:fill="D9D9D9" w:themeFill="background1" w:themeFillShade="D9"/>
          </w:tcPr>
          <w:p w14:paraId="5CA18D77"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33%</w:t>
            </w:r>
          </w:p>
        </w:tc>
        <w:tc>
          <w:tcPr>
            <w:tcW w:w="2311" w:type="dxa"/>
            <w:shd w:val="clear" w:color="auto" w:fill="D9D9D9" w:themeFill="background1" w:themeFillShade="D9"/>
          </w:tcPr>
          <w:p w14:paraId="3CBCEB38" w14:textId="77777777" w:rsidR="00F70E42" w:rsidRPr="00CC0CF0" w:rsidRDefault="00F70E42" w:rsidP="00B7519E">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33%</w:t>
            </w:r>
          </w:p>
        </w:tc>
      </w:tr>
    </w:tbl>
    <w:p w14:paraId="14776C6B" w14:textId="77777777" w:rsidR="00F70E42" w:rsidRPr="00CC0CF0"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14:paraId="4486FC78" w14:textId="77777777" w:rsidR="009336DF"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14:paraId="099058E5" w14:textId="77777777"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lastRenderedPageBreak/>
        <w:t xml:space="preserve">Na </w:t>
      </w:r>
      <w:r>
        <w:rPr>
          <w:rFonts w:ascii="Arial" w:hAnsi="Arial"/>
          <w:b/>
          <w:color w:val="0070C0"/>
          <w:sz w:val="20"/>
        </w:rPr>
        <w:t>Universidade de Yale</w:t>
      </w:r>
      <w:r w:rsidRPr="00CC0CF0">
        <w:rPr>
          <w:rStyle w:val="FootnoteReference"/>
          <w:rFonts w:ascii="Arial" w:hAnsi="Arial" w:cs="Arial"/>
          <w:color w:val="000000" w:themeColor="text1"/>
          <w:sz w:val="20"/>
          <w:lang w:val="en-US"/>
        </w:rPr>
        <w:footnoteReference w:id="189"/>
      </w:r>
      <w:r>
        <w:rPr>
          <w:rFonts w:ascii="Arial" w:hAnsi="Arial"/>
          <w:color w:val="000000" w:themeColor="text1"/>
          <w:sz w:val="20"/>
        </w:rPr>
        <w:t xml:space="preserve">, os royalties também são em uma escala móvel, mas são menores em comparação com Cambridge: </w:t>
      </w:r>
    </w:p>
    <w:p w14:paraId="01AEFFBE" w14:textId="77777777" w:rsidR="00B8209E" w:rsidRPr="0024467F"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p>
    <w:tbl>
      <w:tblPr>
        <w:tblW w:w="8896" w:type="dxa"/>
        <w:tblInd w:w="426" w:type="dxa"/>
        <w:tblLook w:val="04A0" w:firstRow="1" w:lastRow="0" w:firstColumn="1" w:lastColumn="0" w:noHBand="0" w:noVBand="1"/>
      </w:tblPr>
      <w:tblGrid>
        <w:gridCol w:w="2517"/>
        <w:gridCol w:w="1985"/>
        <w:gridCol w:w="4394"/>
      </w:tblGrid>
      <w:tr w:rsidR="00F70E42" w:rsidRPr="00CC0CF0" w14:paraId="6DEE59BA" w14:textId="77777777" w:rsidTr="00B7519E">
        <w:tc>
          <w:tcPr>
            <w:tcW w:w="2517" w:type="dxa"/>
            <w:shd w:val="clear" w:color="auto" w:fill="A6A6A6" w:themeFill="background1" w:themeFillShade="A6"/>
          </w:tcPr>
          <w:p w14:paraId="3195D87E" w14:textId="77777777" w:rsidR="00F70E42" w:rsidRPr="00CC0CF0" w:rsidRDefault="00F70E42" w:rsidP="00F70E42">
            <w:pPr>
              <w:pStyle w:val="ListParagraph"/>
              <w:tabs>
                <w:tab w:val="left" w:pos="1843"/>
              </w:tabs>
              <w:ind w:left="0"/>
              <w:jc w:val="both"/>
              <w:rPr>
                <w:rFonts w:ascii="Arial" w:hAnsi="Arial" w:cs="Arial"/>
                <w:color w:val="000000" w:themeColor="text1"/>
                <w:sz w:val="20"/>
              </w:rPr>
            </w:pPr>
            <w:r>
              <w:rPr>
                <w:rFonts w:ascii="Arial" w:hAnsi="Arial"/>
                <w:color w:val="000000" w:themeColor="text1"/>
                <w:sz w:val="20"/>
              </w:rPr>
              <w:t>Royalties Líquidos</w:t>
            </w:r>
          </w:p>
        </w:tc>
        <w:tc>
          <w:tcPr>
            <w:tcW w:w="1985" w:type="dxa"/>
            <w:shd w:val="clear" w:color="auto" w:fill="A6A6A6" w:themeFill="background1" w:themeFillShade="A6"/>
          </w:tcPr>
          <w:p w14:paraId="5C9F23A7" w14:textId="77777777" w:rsidR="00F70E42" w:rsidRPr="00CC0CF0" w:rsidRDefault="00F70E42" w:rsidP="00F70E42">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 xml:space="preserve">Inventor(es) </w:t>
            </w:r>
          </w:p>
        </w:tc>
        <w:tc>
          <w:tcPr>
            <w:tcW w:w="4394" w:type="dxa"/>
            <w:shd w:val="clear" w:color="auto" w:fill="A6A6A6" w:themeFill="background1" w:themeFillShade="A6"/>
          </w:tcPr>
          <w:p w14:paraId="6027B241" w14:textId="4EE640B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i/>
                <w:sz w:val="20"/>
              </w:rPr>
              <w:t>Universidade (alocado para o apoio geral à pesquisa Universitária</w:t>
            </w:r>
            <w:r w:rsidR="005D35C5">
              <w:rPr>
                <w:rFonts w:ascii="Arial" w:hAnsi="Arial"/>
                <w:i/>
                <w:sz w:val="20"/>
              </w:rPr>
              <w:t>)</w:t>
            </w:r>
          </w:p>
        </w:tc>
      </w:tr>
      <w:tr w:rsidR="00F70E42" w:rsidRPr="00CC0CF0" w14:paraId="44CDB19C" w14:textId="77777777" w:rsidTr="00B7519E">
        <w:tc>
          <w:tcPr>
            <w:tcW w:w="2517" w:type="dxa"/>
            <w:shd w:val="clear" w:color="auto" w:fill="D9D9D9" w:themeFill="background1" w:themeFillShade="D9"/>
          </w:tcPr>
          <w:p w14:paraId="6BF526E9" w14:textId="77777777" w:rsidR="00F70E42" w:rsidRPr="00CC0CF0" w:rsidRDefault="00F70E42" w:rsidP="00FE508B">
            <w:pPr>
              <w:pStyle w:val="ListParagraph"/>
              <w:tabs>
                <w:tab w:val="left" w:pos="1843"/>
              </w:tabs>
              <w:ind w:left="0"/>
              <w:jc w:val="both"/>
              <w:rPr>
                <w:rFonts w:ascii="Arial" w:hAnsi="Arial" w:cs="Arial"/>
                <w:color w:val="000000" w:themeColor="text1"/>
                <w:sz w:val="20"/>
              </w:rPr>
            </w:pPr>
            <w:r>
              <w:rPr>
                <w:rFonts w:ascii="Arial" w:hAnsi="Arial"/>
                <w:color w:val="000000" w:themeColor="text1"/>
                <w:sz w:val="20"/>
              </w:rPr>
              <w:t xml:space="preserve">Primeiro </w:t>
            </w:r>
            <w:r>
              <w:rPr>
                <w:rFonts w:ascii="Arial" w:hAnsi="Arial"/>
                <w:i/>
                <w:sz w:val="20"/>
              </w:rPr>
              <w:t>$100.000</w:t>
            </w:r>
          </w:p>
        </w:tc>
        <w:tc>
          <w:tcPr>
            <w:tcW w:w="1985" w:type="dxa"/>
            <w:shd w:val="clear" w:color="auto" w:fill="D9D9D9" w:themeFill="background1" w:themeFillShade="D9"/>
          </w:tcPr>
          <w:p w14:paraId="36E299AD" w14:textId="7777777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50%</w:t>
            </w:r>
          </w:p>
        </w:tc>
        <w:tc>
          <w:tcPr>
            <w:tcW w:w="4394" w:type="dxa"/>
            <w:shd w:val="clear" w:color="auto" w:fill="D9D9D9" w:themeFill="background1" w:themeFillShade="D9"/>
          </w:tcPr>
          <w:p w14:paraId="2E2E6461" w14:textId="7777777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50%</w:t>
            </w:r>
          </w:p>
        </w:tc>
      </w:tr>
      <w:tr w:rsidR="00F70E42" w:rsidRPr="00CC0CF0" w14:paraId="79926816" w14:textId="77777777" w:rsidTr="00B7519E">
        <w:tc>
          <w:tcPr>
            <w:tcW w:w="2517" w:type="dxa"/>
            <w:shd w:val="clear" w:color="auto" w:fill="D9D9D9" w:themeFill="background1" w:themeFillShade="D9"/>
          </w:tcPr>
          <w:p w14:paraId="22237561" w14:textId="77777777" w:rsidR="00F70E42" w:rsidRPr="00CC0CF0" w:rsidRDefault="00F70E42" w:rsidP="00FE508B">
            <w:pPr>
              <w:pStyle w:val="ListParagraph"/>
              <w:tabs>
                <w:tab w:val="left" w:pos="1843"/>
              </w:tabs>
              <w:ind w:left="0"/>
              <w:jc w:val="both"/>
              <w:rPr>
                <w:rFonts w:ascii="Arial" w:hAnsi="Arial" w:cs="Arial"/>
                <w:color w:val="000000" w:themeColor="text1"/>
                <w:sz w:val="20"/>
              </w:rPr>
            </w:pPr>
            <w:r>
              <w:rPr>
                <w:rFonts w:ascii="Arial" w:hAnsi="Arial"/>
                <w:i/>
                <w:sz w:val="20"/>
              </w:rPr>
              <w:t>entre $100.000 e $200.000</w:t>
            </w:r>
          </w:p>
        </w:tc>
        <w:tc>
          <w:tcPr>
            <w:tcW w:w="1985" w:type="dxa"/>
            <w:shd w:val="clear" w:color="auto" w:fill="D9D9D9" w:themeFill="background1" w:themeFillShade="D9"/>
          </w:tcPr>
          <w:p w14:paraId="455ADD8F" w14:textId="7777777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40%</w:t>
            </w:r>
          </w:p>
        </w:tc>
        <w:tc>
          <w:tcPr>
            <w:tcW w:w="4394" w:type="dxa"/>
            <w:shd w:val="clear" w:color="auto" w:fill="D9D9D9" w:themeFill="background1" w:themeFillShade="D9"/>
          </w:tcPr>
          <w:p w14:paraId="49F29030" w14:textId="7777777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60%</w:t>
            </w:r>
          </w:p>
        </w:tc>
      </w:tr>
      <w:tr w:rsidR="00F70E42" w:rsidRPr="00CC0CF0" w14:paraId="53A0B631" w14:textId="77777777" w:rsidTr="00B7519E">
        <w:tc>
          <w:tcPr>
            <w:tcW w:w="2517" w:type="dxa"/>
            <w:shd w:val="clear" w:color="auto" w:fill="D9D9D9" w:themeFill="background1" w:themeFillShade="D9"/>
          </w:tcPr>
          <w:p w14:paraId="00B00E5B" w14:textId="77777777" w:rsidR="00F70E42" w:rsidRPr="00CC0CF0" w:rsidRDefault="00F70E42" w:rsidP="00FE508B">
            <w:pPr>
              <w:pStyle w:val="ListParagraph"/>
              <w:tabs>
                <w:tab w:val="left" w:pos="1843"/>
              </w:tabs>
              <w:ind w:left="0"/>
              <w:jc w:val="both"/>
              <w:rPr>
                <w:rFonts w:ascii="Arial" w:hAnsi="Arial" w:cs="Arial"/>
                <w:color w:val="000000" w:themeColor="text1"/>
                <w:sz w:val="20"/>
              </w:rPr>
            </w:pPr>
            <w:r>
              <w:rPr>
                <w:rFonts w:ascii="Arial" w:hAnsi="Arial"/>
                <w:i/>
                <w:sz w:val="20"/>
              </w:rPr>
              <w:t>superior a $200.000</w:t>
            </w:r>
          </w:p>
        </w:tc>
        <w:tc>
          <w:tcPr>
            <w:tcW w:w="1985" w:type="dxa"/>
            <w:shd w:val="clear" w:color="auto" w:fill="D9D9D9" w:themeFill="background1" w:themeFillShade="D9"/>
          </w:tcPr>
          <w:p w14:paraId="7D235DFF" w14:textId="77777777" w:rsidR="00F70E42" w:rsidRPr="00CC0CF0" w:rsidRDefault="00F70E42" w:rsidP="00F70E42">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30%</w:t>
            </w:r>
          </w:p>
        </w:tc>
        <w:tc>
          <w:tcPr>
            <w:tcW w:w="4394" w:type="dxa"/>
            <w:shd w:val="clear" w:color="auto" w:fill="D9D9D9" w:themeFill="background1" w:themeFillShade="D9"/>
          </w:tcPr>
          <w:p w14:paraId="50D9EE88" w14:textId="77777777" w:rsidR="00F70E42" w:rsidRPr="00CC0CF0" w:rsidRDefault="00F70E42" w:rsidP="00FE508B">
            <w:pPr>
              <w:pStyle w:val="ListParagraph"/>
              <w:tabs>
                <w:tab w:val="left" w:pos="1843"/>
              </w:tabs>
              <w:ind w:left="0"/>
              <w:jc w:val="center"/>
              <w:rPr>
                <w:rFonts w:ascii="Arial" w:hAnsi="Arial" w:cs="Arial"/>
                <w:color w:val="000000" w:themeColor="text1"/>
                <w:sz w:val="20"/>
              </w:rPr>
            </w:pPr>
            <w:r>
              <w:rPr>
                <w:rFonts w:ascii="Arial" w:hAnsi="Arial"/>
                <w:color w:val="000000" w:themeColor="text1"/>
                <w:sz w:val="20"/>
              </w:rPr>
              <w:t>70%</w:t>
            </w:r>
          </w:p>
        </w:tc>
      </w:tr>
    </w:tbl>
    <w:p w14:paraId="577A4706" w14:textId="77777777" w:rsidR="00597609"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t>Ao alocar uma parte menor dos royalties aos Criadores, os pesquisadores de Yale são incentivados a criar empresas em vez de licenciar a tecnologia.</w:t>
      </w:r>
    </w:p>
    <w:p w14:paraId="09038720" w14:textId="77777777" w:rsidR="00E8794D" w:rsidRPr="0024467F" w:rsidRDefault="00E8794D" w:rsidP="00B7519E">
      <w:pPr>
        <w:spacing w:after="0" w:line="240" w:lineRule="auto"/>
        <w:jc w:val="both"/>
        <w:rPr>
          <w:rFonts w:ascii="Arial" w:hAnsi="Arial" w:cs="Arial"/>
        </w:rPr>
      </w:pPr>
    </w:p>
    <w:p w14:paraId="67639736" w14:textId="4D5E8CED" w:rsidR="00E8794D" w:rsidRPr="00CC0CF0" w:rsidRDefault="00E8794D" w:rsidP="009D4A54">
      <w:pPr>
        <w:pStyle w:val="ListParagraph"/>
        <w:numPr>
          <w:ilvl w:val="0"/>
          <w:numId w:val="101"/>
        </w:numPr>
        <w:spacing w:after="0" w:line="240" w:lineRule="auto"/>
        <w:ind w:left="426" w:hanging="426"/>
        <w:jc w:val="both"/>
        <w:rPr>
          <w:rFonts w:ascii="Arial" w:hAnsi="Arial" w:cs="Arial"/>
          <w:sz w:val="20"/>
        </w:rPr>
      </w:pPr>
      <w:r>
        <w:rPr>
          <w:rFonts w:ascii="Arial" w:hAnsi="Arial"/>
          <w:b/>
          <w:color w:val="000000" w:themeColor="text1"/>
          <w:sz w:val="20"/>
        </w:rPr>
        <w:t xml:space="preserve">Artigo 10.2.3.6, </w:t>
      </w:r>
      <w:r>
        <w:rPr>
          <w:rFonts w:ascii="Arial" w:hAnsi="Arial"/>
          <w:b/>
          <w:i/>
          <w:color w:val="000000" w:themeColor="text1"/>
          <w:sz w:val="20"/>
        </w:rPr>
        <w:t>Direito</w:t>
      </w:r>
      <w:r w:rsidRPr="00E67619">
        <w:rPr>
          <w:rFonts w:ascii="Arial" w:hAnsi="Arial"/>
          <w:bCs/>
          <w:color w:val="000000" w:themeColor="text1"/>
          <w:sz w:val="20"/>
        </w:rPr>
        <w:t>:</w:t>
      </w:r>
      <w:r>
        <w:rPr>
          <w:rFonts w:ascii="Arial" w:hAnsi="Arial"/>
          <w:color w:val="000000" w:themeColor="text1"/>
          <w:sz w:val="20"/>
        </w:rPr>
        <w:t xml:space="preserve"> A justificativa por trás do direito é que os Criadores/Facilitadores permanecem Criadores/Facilitadores depois que a PI é criada e, como tal, devem continuar a receber os benefícios de suas produções intelectuais ou papel facilitador enquanto a Instituição continuar a receber receita</w:t>
      </w:r>
      <w:r w:rsidR="008411EA">
        <w:rPr>
          <w:rFonts w:ascii="Arial" w:hAnsi="Arial"/>
          <w:color w:val="000000" w:themeColor="text1"/>
          <w:sz w:val="20"/>
        </w:rPr>
        <w:t xml:space="preserve">. </w:t>
      </w:r>
    </w:p>
    <w:p w14:paraId="72ACE27B" w14:textId="77777777" w:rsidR="00E8794D" w:rsidRPr="0024467F" w:rsidRDefault="00E8794D" w:rsidP="00B7519E">
      <w:pPr>
        <w:pStyle w:val="ListParagraph"/>
        <w:spacing w:line="240" w:lineRule="auto"/>
        <w:ind w:left="426" w:hanging="426"/>
        <w:rPr>
          <w:rFonts w:ascii="Arial" w:hAnsi="Arial" w:cs="Arial"/>
          <w:color w:val="000000" w:themeColor="text1"/>
          <w:sz w:val="20"/>
        </w:rPr>
      </w:pPr>
    </w:p>
    <w:p w14:paraId="6D799027" w14:textId="77777777" w:rsidR="00E8794D" w:rsidRPr="00CC0CF0" w:rsidRDefault="00E8794D" w:rsidP="00B7519E">
      <w:pPr>
        <w:pStyle w:val="ListParagraph"/>
        <w:spacing w:after="0" w:line="240" w:lineRule="auto"/>
        <w:ind w:left="426"/>
        <w:jc w:val="both"/>
        <w:rPr>
          <w:rFonts w:ascii="Arial" w:hAnsi="Arial" w:cs="Arial"/>
          <w:sz w:val="20"/>
        </w:rPr>
      </w:pPr>
      <w:r>
        <w:rPr>
          <w:rFonts w:ascii="Arial" w:hAnsi="Arial"/>
          <w:color w:val="000000" w:themeColor="text1"/>
          <w:sz w:val="20"/>
        </w:rPr>
        <w:t>Esse direito também se aplica se o Criador/Facilitador se aposentar.</w:t>
      </w:r>
    </w:p>
    <w:p w14:paraId="6B9C1197" w14:textId="77777777" w:rsidR="00E8794D" w:rsidRPr="0024467F" w:rsidRDefault="00E8794D" w:rsidP="00B7519E">
      <w:pPr>
        <w:pStyle w:val="ListParagraph"/>
        <w:spacing w:line="240" w:lineRule="auto"/>
        <w:ind w:left="426"/>
        <w:rPr>
          <w:rFonts w:ascii="Arial" w:hAnsi="Arial" w:cs="Arial"/>
          <w:color w:val="000000" w:themeColor="text1"/>
          <w:sz w:val="20"/>
        </w:rPr>
      </w:pPr>
    </w:p>
    <w:p w14:paraId="5D5BBD92" w14:textId="044A1D46" w:rsidR="00E8794D" w:rsidRPr="00CC0CF0" w:rsidRDefault="00E8794D" w:rsidP="00B7519E">
      <w:pPr>
        <w:pStyle w:val="ListParagraph"/>
        <w:spacing w:after="0" w:line="240" w:lineRule="auto"/>
        <w:ind w:left="426"/>
        <w:jc w:val="both"/>
        <w:rPr>
          <w:rFonts w:ascii="Arial" w:hAnsi="Arial" w:cs="Arial"/>
          <w:sz w:val="20"/>
        </w:rPr>
      </w:pPr>
      <w:r>
        <w:rPr>
          <w:rFonts w:ascii="Arial" w:hAnsi="Arial"/>
          <w:color w:val="000000" w:themeColor="text1"/>
          <w:sz w:val="20"/>
        </w:rPr>
        <w:t>Caso o Criador/Facilitador venha a falecer, a melhor prática padrão é que toda a receita que seria devida a esses indivíduos seja agora concedida aos seus herdeiros</w:t>
      </w:r>
      <w:r w:rsidR="008411EA">
        <w:rPr>
          <w:rFonts w:ascii="Arial" w:hAnsi="Arial"/>
          <w:color w:val="000000" w:themeColor="text1"/>
          <w:sz w:val="20"/>
        </w:rPr>
        <w:t xml:space="preserve">. </w:t>
      </w:r>
      <w:r>
        <w:rPr>
          <w:rFonts w:ascii="Arial" w:hAnsi="Arial"/>
          <w:color w:val="000000" w:themeColor="text1"/>
          <w:sz w:val="20"/>
        </w:rPr>
        <w:t>O curador do testamento/custódia do truste para a herança é normalmente responsável por divulgar os herdeiros ao EGPI e/ou coletar a receita para distribuição contínua, especialmente no caso de os herdeiros serem menores [normalmente com menos de 18 ou 21 anos]</w:t>
      </w:r>
      <w:r w:rsidR="008411EA">
        <w:rPr>
          <w:rFonts w:ascii="Arial" w:hAnsi="Arial"/>
          <w:color w:val="000000" w:themeColor="text1"/>
          <w:sz w:val="20"/>
        </w:rPr>
        <w:t xml:space="preserve">. </w:t>
      </w:r>
      <w:r>
        <w:rPr>
          <w:rFonts w:ascii="Arial" w:hAnsi="Arial"/>
          <w:color w:val="000000" w:themeColor="text1"/>
          <w:sz w:val="20"/>
        </w:rPr>
        <w:t xml:space="preserve">O ônus não recai sobre o EGPI de garantir que eles tenham os detalhes de contato corretos do(s) herdeiro(s) ou os dados bancários corretos (conforme Artigo 10.2.3.7 do Modelo). </w:t>
      </w:r>
    </w:p>
    <w:p w14:paraId="238483A6" w14:textId="77777777" w:rsidR="00E8794D" w:rsidRPr="0024467F" w:rsidRDefault="00E8794D" w:rsidP="00B7519E">
      <w:pPr>
        <w:pStyle w:val="ListParagraph"/>
        <w:spacing w:line="240" w:lineRule="auto"/>
        <w:rPr>
          <w:rFonts w:ascii="Arial" w:hAnsi="Arial" w:cs="Arial"/>
          <w:color w:val="000000" w:themeColor="text1"/>
          <w:sz w:val="20"/>
        </w:rPr>
      </w:pPr>
    </w:p>
    <w:p w14:paraId="2DBB4994" w14:textId="1BAC3296" w:rsidR="00E8794D" w:rsidRPr="00CC0CF0" w:rsidRDefault="00020809" w:rsidP="009D4A54">
      <w:pPr>
        <w:pStyle w:val="ListParagraph"/>
        <w:numPr>
          <w:ilvl w:val="0"/>
          <w:numId w:val="100"/>
        </w:numPr>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10.2.3.6, </w:t>
      </w:r>
      <w:r>
        <w:rPr>
          <w:rFonts w:ascii="Arial" w:hAnsi="Arial"/>
          <w:b/>
          <w:i/>
          <w:color w:val="000000" w:themeColor="text1"/>
          <w:sz w:val="20"/>
        </w:rPr>
        <w:t>sobrevivência a qualquer renúncia/término</w:t>
      </w:r>
      <w:r w:rsidRPr="00E67619">
        <w:rPr>
          <w:rFonts w:ascii="Arial" w:hAnsi="Arial"/>
          <w:bCs/>
          <w:color w:val="000000" w:themeColor="text1"/>
          <w:sz w:val="20"/>
        </w:rPr>
        <w:t>:</w:t>
      </w:r>
      <w:r>
        <w:rPr>
          <w:rFonts w:ascii="Arial" w:hAnsi="Arial"/>
          <w:color w:val="000000" w:themeColor="text1"/>
          <w:sz w:val="20"/>
        </w:rPr>
        <w:t xml:space="preserve"> As melhores práticas estão divididas quanto a se um Criador/Facilitador deve ou não continuar a receber receita de PI que reverte para a Instituição caso o Criador/Facilitador se demita para assumir outro emprego ou tenha seu emprego na Instituição rescindido</w:t>
      </w:r>
      <w:r w:rsidR="008411EA">
        <w:rPr>
          <w:rFonts w:ascii="Arial" w:hAnsi="Arial"/>
          <w:color w:val="000000" w:themeColor="text1"/>
          <w:sz w:val="20"/>
        </w:rPr>
        <w:t xml:space="preserve">. </w:t>
      </w:r>
      <w:r>
        <w:rPr>
          <w:rFonts w:ascii="Arial" w:hAnsi="Arial"/>
          <w:color w:val="000000" w:themeColor="text1"/>
          <w:sz w:val="20"/>
        </w:rPr>
        <w:t>A discrição a esse respeito é novamente concedida à Instituição e pode ser influenciada pelos termos e condições sob os quais o indivíduo se demite ou tem seu emprego rescindido.</w:t>
      </w:r>
    </w:p>
    <w:p w14:paraId="0502772E" w14:textId="77777777" w:rsidR="00A37C96" w:rsidRPr="00CC0CF0" w:rsidRDefault="00A37C96" w:rsidP="00A37C96">
      <w:pPr>
        <w:pStyle w:val="Heading3"/>
        <w:spacing w:after="240"/>
        <w:jc w:val="both"/>
        <w:rPr>
          <w:sz w:val="24"/>
        </w:rPr>
      </w:pPr>
      <w:bookmarkStart w:id="339" w:name="_Toc516160097"/>
      <w:bookmarkStart w:id="340" w:name="_Toc516219433"/>
      <w:bookmarkStart w:id="341" w:name="_Toc516496077"/>
      <w:bookmarkStart w:id="342" w:name="_Toc516829449"/>
      <w:r>
        <w:rPr>
          <w:sz w:val="24"/>
        </w:rPr>
        <w:t>Repartição de receitas – Instituição</w:t>
      </w:r>
      <w:bookmarkEnd w:id="339"/>
      <w:bookmarkEnd w:id="340"/>
      <w:bookmarkEnd w:id="341"/>
      <w:bookmarkEnd w:id="342"/>
    </w:p>
    <w:p w14:paraId="4AA2CCF8" w14:textId="31040B1D" w:rsidR="00E8794D" w:rsidRPr="00C04211"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rPr>
      </w:pPr>
      <w:r>
        <w:rPr>
          <w:rFonts w:ascii="Arial" w:hAnsi="Arial"/>
          <w:b/>
          <w:color w:val="000000" w:themeColor="text1"/>
          <w:sz w:val="20"/>
        </w:rPr>
        <w:t xml:space="preserve">Artigo 10.2.2, </w:t>
      </w:r>
      <w:r>
        <w:rPr>
          <w:rFonts w:ascii="Arial" w:hAnsi="Arial"/>
          <w:b/>
          <w:i/>
          <w:color w:val="000000" w:themeColor="text1"/>
          <w:sz w:val="20"/>
        </w:rPr>
        <w:t>Repartição de receitas – Instituição</w:t>
      </w:r>
      <w:r w:rsidR="008411EA">
        <w:rPr>
          <w:rFonts w:ascii="Arial" w:hAnsi="Arial"/>
          <w:b/>
          <w:color w:val="000000" w:themeColor="text1"/>
          <w:sz w:val="20"/>
        </w:rPr>
        <w:t>.</w:t>
      </w:r>
      <w:r w:rsidR="008411EA" w:rsidRPr="00E67619">
        <w:rPr>
          <w:rFonts w:ascii="Arial" w:hAnsi="Arial"/>
          <w:bCs/>
          <w:color w:val="000000" w:themeColor="text1"/>
          <w:sz w:val="20"/>
        </w:rPr>
        <w:t xml:space="preserve"> </w:t>
      </w:r>
      <w:r>
        <w:rPr>
          <w:rFonts w:ascii="Arial" w:hAnsi="Arial"/>
          <w:color w:val="000000" w:themeColor="text1"/>
          <w:sz w:val="20"/>
        </w:rPr>
        <w:t>Como é evidenciado, os Criadores/Facilitadores têm prioridade para a Receita Bruta de PI e/ou Receita Líquida de PI</w:t>
      </w:r>
      <w:r w:rsidR="008411EA">
        <w:rPr>
          <w:rFonts w:ascii="Arial" w:hAnsi="Arial"/>
          <w:color w:val="000000" w:themeColor="text1"/>
          <w:sz w:val="20"/>
        </w:rPr>
        <w:t xml:space="preserve">. </w:t>
      </w:r>
      <w:r>
        <w:rPr>
          <w:rFonts w:ascii="Arial" w:hAnsi="Arial"/>
          <w:color w:val="000000" w:themeColor="text1"/>
          <w:sz w:val="20"/>
        </w:rPr>
        <w:t>Posteriormente, a Instituição aloca o saldo da receita recebida em qualquer número de áreas, normalmente incluindo as despesas operacionais do próprio EGPI (que podem ser empregadas, por exemplo, para conduzir análises de viabilidade técnico-econômica de uma ou mais tecnologias)</w:t>
      </w:r>
      <w:r w:rsidR="008411EA">
        <w:rPr>
          <w:rFonts w:ascii="Arial" w:hAnsi="Arial"/>
          <w:color w:val="000000" w:themeColor="text1"/>
          <w:sz w:val="20"/>
        </w:rPr>
        <w:t xml:space="preserve">. </w:t>
      </w:r>
      <w:r>
        <w:rPr>
          <w:rFonts w:ascii="Arial" w:hAnsi="Arial"/>
          <w:color w:val="000000" w:themeColor="text1"/>
          <w:sz w:val="20"/>
        </w:rPr>
        <w:t>Quaisquer outras categorias de despesas ficam a critério da Instituição, bem como o percentual destinado a essas categorias</w:t>
      </w:r>
      <w:r w:rsidR="008411EA">
        <w:rPr>
          <w:rFonts w:ascii="Arial" w:hAnsi="Arial"/>
          <w:color w:val="000000" w:themeColor="text1"/>
          <w:sz w:val="20"/>
        </w:rPr>
        <w:t xml:space="preserve">. </w:t>
      </w:r>
      <w:r>
        <w:rPr>
          <w:rFonts w:ascii="Arial" w:hAnsi="Arial"/>
          <w:color w:val="000000" w:themeColor="text1"/>
          <w:sz w:val="20"/>
        </w:rPr>
        <w:t>Além disso, é possível que uma faixa de porcentagens seja fornecida por categoria, o que é uma indicação de uma porcentagem mínima ou máxima e fornece um grau de flexibilidade que pode ser exercido dependendo da tecnologia.</w:t>
      </w:r>
    </w:p>
    <w:p w14:paraId="629E14D7" w14:textId="77777777" w:rsidR="00E8794D" w:rsidRPr="0024467F" w:rsidRDefault="00E8794D" w:rsidP="00020809">
      <w:pPr>
        <w:pStyle w:val="ListParagraph"/>
        <w:tabs>
          <w:tab w:val="left" w:pos="851"/>
        </w:tabs>
        <w:spacing w:after="0"/>
        <w:ind w:left="426" w:hanging="426"/>
        <w:jc w:val="both"/>
        <w:rPr>
          <w:rFonts w:ascii="Arial" w:hAnsi="Arial" w:cs="Arial"/>
          <w:color w:val="000000" w:themeColor="text1"/>
          <w:sz w:val="20"/>
          <w:lang w:eastAsia="en-US"/>
        </w:rPr>
      </w:pPr>
    </w:p>
    <w:p w14:paraId="659278A2" w14:textId="77777777" w:rsidR="00020809" w:rsidRPr="00C04211" w:rsidRDefault="00020809" w:rsidP="00E67619">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b/>
          <w:color w:val="000000"/>
          <w:sz w:val="20"/>
        </w:rPr>
      </w:pPr>
      <w:r>
        <w:rPr>
          <w:rFonts w:ascii="Arial" w:hAnsi="Arial"/>
          <w:b/>
          <w:sz w:val="20"/>
        </w:rPr>
        <w:lastRenderedPageBreak/>
        <w:t xml:space="preserve">Caixa </w:t>
      </w:r>
      <w:r w:rsidRPr="00C04211">
        <w:rPr>
          <w:rFonts w:ascii="Arial" w:hAnsi="Arial" w:cs="Arial"/>
          <w:b/>
          <w:sz w:val="20"/>
        </w:rPr>
        <w:fldChar w:fldCharType="begin"/>
      </w:r>
      <w:r w:rsidRPr="00C04211">
        <w:rPr>
          <w:rFonts w:ascii="Arial" w:hAnsi="Arial" w:cs="Arial"/>
          <w:b/>
          <w:sz w:val="20"/>
        </w:rPr>
        <w:instrText xml:space="preserve"> AUTONUM  \* Arabic </w:instrText>
      </w:r>
      <w:r w:rsidRPr="00C04211">
        <w:rPr>
          <w:rFonts w:ascii="Arial" w:hAnsi="Arial" w:cs="Arial"/>
          <w:b/>
          <w:sz w:val="20"/>
        </w:rPr>
        <w:fldChar w:fldCharType="end"/>
      </w:r>
      <w:r>
        <w:rPr>
          <w:rFonts w:ascii="Arial" w:hAnsi="Arial"/>
          <w:b/>
          <w:sz w:val="20"/>
        </w:rPr>
        <w:t xml:space="preserve"> </w:t>
      </w:r>
      <w:r>
        <w:rPr>
          <w:rFonts w:ascii="Arial" w:hAnsi="Arial"/>
          <w:b/>
          <w:color w:val="000000"/>
          <w:sz w:val="20"/>
        </w:rPr>
        <w:t>Exemplo de Repartição de Receita - Universidade Cornell</w:t>
      </w:r>
    </w:p>
    <w:p w14:paraId="3F2ADAB5" w14:textId="77777777" w:rsidR="00020809" w:rsidRPr="0024467F" w:rsidRDefault="00020809" w:rsidP="00E67619">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rPr>
      </w:pPr>
    </w:p>
    <w:p w14:paraId="6A153542" w14:textId="77777777" w:rsidR="00020809" w:rsidRPr="0024467F" w:rsidRDefault="00020809" w:rsidP="00E67619">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rPr>
      </w:pPr>
    </w:p>
    <w:p w14:paraId="4AA90735"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rPr>
      </w:pPr>
      <w:r>
        <w:rPr>
          <w:rFonts w:ascii="Arial" w:hAnsi="Arial"/>
          <w:noProof/>
          <w:color w:val="000000"/>
        </w:rPr>
        <w:drawing>
          <wp:inline distT="0" distB="0" distL="0" distR="0" wp14:anchorId="659DD814" wp14:editId="73775F7D">
            <wp:extent cx="3650620" cy="2501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0568" cy="2515330"/>
                    </a:xfrm>
                    <a:prstGeom prst="rect">
                      <a:avLst/>
                    </a:prstGeom>
                    <a:noFill/>
                  </pic:spPr>
                </pic:pic>
              </a:graphicData>
            </a:graphic>
          </wp:inline>
        </w:drawing>
      </w:r>
    </w:p>
    <w:p w14:paraId="51865B1D"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14:paraId="2A623FBA"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14:paraId="16339465" w14:textId="77777777" w:rsidR="00B02FB0" w:rsidRPr="00C04211" w:rsidRDefault="00B02FB0" w:rsidP="00B7519E">
      <w:pPr>
        <w:pStyle w:val="ListParagraph"/>
        <w:tabs>
          <w:tab w:val="left" w:pos="1701"/>
        </w:tabs>
        <w:spacing w:after="0"/>
        <w:ind w:left="426" w:hanging="426"/>
        <w:jc w:val="both"/>
        <w:rPr>
          <w:b/>
          <w:lang w:val="en-US"/>
        </w:rPr>
      </w:pPr>
    </w:p>
    <w:p w14:paraId="53D0A7A7" w14:textId="77777777" w:rsidR="00817C4F" w:rsidRPr="00C04211" w:rsidRDefault="00817C4F" w:rsidP="00817C4F">
      <w:pPr>
        <w:pStyle w:val="Heading3"/>
        <w:rPr>
          <w:sz w:val="24"/>
        </w:rPr>
      </w:pPr>
      <w:bookmarkStart w:id="343" w:name="Article10p3"/>
      <w:bookmarkStart w:id="344" w:name="_Toc516160098"/>
      <w:bookmarkStart w:id="345" w:name="_Toc516219434"/>
      <w:bookmarkStart w:id="346" w:name="_Toc516496078"/>
      <w:bookmarkStart w:id="347" w:name="_Toc516829450"/>
      <w:r>
        <w:rPr>
          <w:sz w:val="24"/>
        </w:rPr>
        <w:t xml:space="preserve">Artigo 10.3 </w:t>
      </w:r>
      <w:bookmarkEnd w:id="343"/>
      <w:r>
        <w:rPr>
          <w:sz w:val="24"/>
        </w:rPr>
        <w:t>– Outros incentivos (incentivos que não sejam através da repartição de receitas de comercialização)</w:t>
      </w:r>
      <w:bookmarkEnd w:id="344"/>
      <w:bookmarkEnd w:id="345"/>
      <w:bookmarkEnd w:id="346"/>
      <w:bookmarkEnd w:id="347"/>
    </w:p>
    <w:p w14:paraId="06BC9E05" w14:textId="77777777" w:rsidR="00267571" w:rsidRPr="00C04211" w:rsidRDefault="00267571" w:rsidP="00267571">
      <w:pPr>
        <w:pStyle w:val="Heading3"/>
        <w:spacing w:after="240"/>
        <w:jc w:val="both"/>
        <w:rPr>
          <w:sz w:val="24"/>
        </w:rPr>
      </w:pPr>
      <w:bookmarkStart w:id="348" w:name="_Toc516160099"/>
      <w:bookmarkStart w:id="349" w:name="_Toc516219435"/>
      <w:bookmarkStart w:id="350" w:name="_Toc516496079"/>
      <w:bookmarkStart w:id="351" w:name="_Toc516829451"/>
      <w:r>
        <w:rPr>
          <w:sz w:val="24"/>
        </w:rPr>
        <w:t>Geral</w:t>
      </w:r>
      <w:bookmarkEnd w:id="348"/>
      <w:bookmarkEnd w:id="349"/>
      <w:bookmarkEnd w:id="350"/>
      <w:bookmarkEnd w:id="351"/>
    </w:p>
    <w:p w14:paraId="0D06CBF5" w14:textId="2C8A68F2" w:rsidR="00B02FB0" w:rsidRPr="00C04211" w:rsidRDefault="00B02FB0" w:rsidP="009D4A54">
      <w:pPr>
        <w:pStyle w:val="ListParagraph"/>
        <w:numPr>
          <w:ilvl w:val="0"/>
          <w:numId w:val="101"/>
        </w:numPr>
        <w:tabs>
          <w:tab w:val="left" w:pos="1701"/>
        </w:tabs>
        <w:spacing w:after="0" w:line="240" w:lineRule="auto"/>
        <w:ind w:left="426" w:hanging="426"/>
        <w:jc w:val="both"/>
        <w:rPr>
          <w:rFonts w:ascii="Arial" w:hAnsi="Arial" w:cs="Arial"/>
          <w:sz w:val="20"/>
        </w:rPr>
      </w:pPr>
      <w:r>
        <w:rPr>
          <w:rFonts w:ascii="Arial" w:hAnsi="Arial"/>
          <w:b/>
          <w:sz w:val="20"/>
        </w:rPr>
        <w:t xml:space="preserve">Artigo 10.3.1, </w:t>
      </w:r>
      <w:r>
        <w:rPr>
          <w:rFonts w:ascii="Arial" w:hAnsi="Arial"/>
          <w:b/>
          <w:i/>
          <w:sz w:val="20"/>
        </w:rPr>
        <w:t>abster-se-á de aceitar benefícios não monetários ou de oferecer incentivos que não sejam a repartição de receitas</w:t>
      </w:r>
      <w:r w:rsidRPr="00E67619">
        <w:rPr>
          <w:rFonts w:ascii="Arial" w:hAnsi="Arial"/>
          <w:bCs/>
          <w:sz w:val="20"/>
        </w:rPr>
        <w:t>:</w:t>
      </w:r>
      <w:r>
        <w:rPr>
          <w:rFonts w:ascii="Arial" w:hAnsi="Arial"/>
          <w:sz w:val="20"/>
        </w:rPr>
        <w:t xml:space="preserve"> A repartição de receitas deve, portanto, ser a posição padrão para incentivar Criadores/Facilitadores.</w:t>
      </w:r>
    </w:p>
    <w:p w14:paraId="58CB3AF0" w14:textId="77777777" w:rsidR="00B02FB0" w:rsidRPr="0024467F" w:rsidRDefault="00B02FB0" w:rsidP="00B7519E">
      <w:pPr>
        <w:pStyle w:val="ListParagraph"/>
        <w:tabs>
          <w:tab w:val="left" w:pos="1701"/>
        </w:tabs>
        <w:spacing w:after="0" w:line="240" w:lineRule="auto"/>
        <w:ind w:left="426" w:hanging="426"/>
        <w:jc w:val="both"/>
        <w:rPr>
          <w:rFonts w:ascii="Arial" w:hAnsi="Arial" w:cs="Arial"/>
          <w:sz w:val="20"/>
          <w:lang w:eastAsia="en-US"/>
        </w:rPr>
      </w:pPr>
    </w:p>
    <w:p w14:paraId="07A0E73A" w14:textId="77777777" w:rsidR="00B02FB0" w:rsidRPr="00C04211" w:rsidRDefault="0012362C" w:rsidP="009D4A54">
      <w:pPr>
        <w:pStyle w:val="ListParagraph"/>
        <w:numPr>
          <w:ilvl w:val="0"/>
          <w:numId w:val="100"/>
        </w:numPr>
        <w:tabs>
          <w:tab w:val="left" w:pos="1701"/>
        </w:tabs>
        <w:spacing w:after="0" w:line="240" w:lineRule="auto"/>
        <w:ind w:left="426" w:hanging="426"/>
        <w:jc w:val="both"/>
        <w:rPr>
          <w:rFonts w:ascii="Arial" w:hAnsi="Arial" w:cs="Arial"/>
          <w:sz w:val="20"/>
        </w:rPr>
      </w:pPr>
      <w:r>
        <w:rPr>
          <w:rFonts w:ascii="Arial" w:hAnsi="Arial"/>
          <w:b/>
          <w:sz w:val="20"/>
        </w:rPr>
        <w:t xml:space="preserve">Artigo 10.3.1, </w:t>
      </w:r>
      <w:r>
        <w:rPr>
          <w:rFonts w:ascii="Arial" w:hAnsi="Arial"/>
          <w:b/>
          <w:i/>
          <w:sz w:val="20"/>
        </w:rPr>
        <w:t>onde o Criador/Facilitador opta por escolher outros benefícios</w:t>
      </w:r>
      <w:r w:rsidRPr="00E67619">
        <w:rPr>
          <w:rFonts w:ascii="Arial" w:hAnsi="Arial"/>
          <w:bCs/>
          <w:sz w:val="20"/>
        </w:rPr>
        <w:t>:</w:t>
      </w:r>
      <w:r>
        <w:rPr>
          <w:rFonts w:ascii="Arial" w:hAnsi="Arial"/>
          <w:sz w:val="20"/>
        </w:rPr>
        <w:t xml:space="preserve"> É bastante aconselhável fornecer ao Criador/Facilitador a opção de aceitar outros benefícios </w:t>
      </w:r>
      <w:r>
        <w:rPr>
          <w:rFonts w:ascii="Arial" w:hAnsi="Arial"/>
          <w:i/>
          <w:sz w:val="20"/>
        </w:rPr>
        <w:t>em vez</w:t>
      </w:r>
      <w:r>
        <w:rPr>
          <w:rFonts w:ascii="Arial" w:hAnsi="Arial"/>
          <w:sz w:val="20"/>
        </w:rPr>
        <w:t xml:space="preserve"> de repartição de receitas se os benefícios monetários só forem percebidos daqui a alguns anos, com potencial para que o outro seja monetizado.</w:t>
      </w:r>
    </w:p>
    <w:p w14:paraId="42D34DF9" w14:textId="77777777" w:rsidR="00B02FB0" w:rsidRPr="0024467F" w:rsidRDefault="00B02FB0" w:rsidP="00B7519E">
      <w:pPr>
        <w:tabs>
          <w:tab w:val="left" w:pos="1701"/>
        </w:tabs>
        <w:spacing w:after="0" w:line="240" w:lineRule="auto"/>
        <w:ind w:left="426" w:hanging="426"/>
        <w:jc w:val="both"/>
        <w:rPr>
          <w:rFonts w:ascii="Arial" w:hAnsi="Arial" w:cs="Arial"/>
          <w:lang w:eastAsia="en-US"/>
        </w:rPr>
      </w:pPr>
    </w:p>
    <w:p w14:paraId="3F63223F" w14:textId="77777777" w:rsidR="008E7CD2" w:rsidRPr="00C04211" w:rsidRDefault="008E7CD2" w:rsidP="008E7CD2">
      <w:pPr>
        <w:pStyle w:val="Heading3"/>
        <w:spacing w:after="240"/>
        <w:jc w:val="both"/>
        <w:rPr>
          <w:sz w:val="24"/>
        </w:rPr>
      </w:pPr>
      <w:bookmarkStart w:id="352" w:name="_Toc516160100"/>
      <w:bookmarkStart w:id="353" w:name="_Toc516219436"/>
      <w:bookmarkStart w:id="354" w:name="_Toc516496080"/>
      <w:bookmarkStart w:id="355" w:name="_Toc516829452"/>
      <w:r>
        <w:rPr>
          <w:sz w:val="24"/>
        </w:rPr>
        <w:t>Critérios de desenvolvimento de carreira</w:t>
      </w:r>
      <w:bookmarkEnd w:id="352"/>
      <w:bookmarkEnd w:id="353"/>
      <w:bookmarkEnd w:id="354"/>
      <w:bookmarkEnd w:id="355"/>
    </w:p>
    <w:p w14:paraId="5925AE17" w14:textId="77777777" w:rsidR="008E7CD2" w:rsidRPr="00C04211" w:rsidRDefault="008E7CD2" w:rsidP="009D4A54">
      <w:pPr>
        <w:pStyle w:val="Heading3"/>
        <w:numPr>
          <w:ilvl w:val="0"/>
          <w:numId w:val="100"/>
        </w:numPr>
        <w:spacing w:after="240"/>
        <w:ind w:left="426" w:hanging="426"/>
        <w:jc w:val="both"/>
        <w:rPr>
          <w:rFonts w:eastAsiaTheme="minorEastAsia"/>
          <w:b w:val="0"/>
          <w:bCs w:val="0"/>
          <w:color w:val="auto"/>
          <w:sz w:val="20"/>
          <w:szCs w:val="22"/>
        </w:rPr>
      </w:pPr>
      <w:bookmarkStart w:id="356" w:name="_Toc516160101"/>
      <w:bookmarkStart w:id="357" w:name="_Toc516219437"/>
      <w:bookmarkStart w:id="358" w:name="_Toc516496081"/>
      <w:bookmarkStart w:id="359" w:name="_Toc516829453"/>
      <w:r>
        <w:rPr>
          <w:color w:val="auto"/>
          <w:sz w:val="20"/>
        </w:rPr>
        <w:t xml:space="preserve">Artigo 10.3.2, </w:t>
      </w:r>
      <w:r>
        <w:rPr>
          <w:i/>
          <w:color w:val="auto"/>
          <w:sz w:val="20"/>
        </w:rPr>
        <w:t>reconhecimento do desempenho de comercialização e geração de PI em procedimentos de apreciação</w:t>
      </w:r>
      <w:r w:rsidRPr="00E67619">
        <w:rPr>
          <w:b w:val="0"/>
          <w:bCs w:val="0"/>
          <w:iCs/>
          <w:color w:val="auto"/>
          <w:sz w:val="20"/>
        </w:rPr>
        <w:t xml:space="preserve">: </w:t>
      </w:r>
      <w:r>
        <w:rPr>
          <w:b w:val="0"/>
          <w:color w:val="auto"/>
          <w:sz w:val="20"/>
        </w:rPr>
        <w:t>Há muito tempo, os pesquisadores são medidos e reconhecidos pelo número de artigos em periódicos que publicaram e onde os publicaram. Instituições que apoiam atividades de comercialização também devem considerar o desempenho da transferência de tecnologia na avaliação de mérito para promoção e subsídios.</w:t>
      </w:r>
      <w:bookmarkEnd w:id="356"/>
      <w:bookmarkEnd w:id="357"/>
      <w:bookmarkEnd w:id="358"/>
      <w:bookmarkEnd w:id="359"/>
    </w:p>
    <w:p w14:paraId="15949514" w14:textId="77777777" w:rsidR="00816D72" w:rsidRPr="00C04211" w:rsidRDefault="00816D72" w:rsidP="00B7519E">
      <w:pPr>
        <w:spacing w:line="240" w:lineRule="auto"/>
        <w:ind w:left="426"/>
        <w:jc w:val="both"/>
        <w:rPr>
          <w:rFonts w:ascii="Arial" w:hAnsi="Arial" w:cs="Arial"/>
          <w:sz w:val="20"/>
        </w:rPr>
      </w:pPr>
      <w:r>
        <w:rPr>
          <w:rFonts w:ascii="Arial" w:hAnsi="Arial"/>
          <w:sz w:val="20"/>
        </w:rPr>
        <w:t>A justificativa subjacente é que, a menos que os pesquisadores sejam recompensados profissionalmente por patentear e comercializar seus resultados de pesquisa, é improvável que eles sigam esse caminho, favorecendo uma publicação rápida dos resultados da pesquisa, o que pode comprometer a possibilidade de patentear e transferir a tecnologia posteriormente. Diferentes instituições adotaram diferentes sistemas para avaliar patentes e licenças para fins de progressão na carreira, levando em consideração que também pode ser importante evitar a criação de incentivos para o depósito indiscriminado de pedidos de patentes.</w:t>
      </w:r>
    </w:p>
    <w:p w14:paraId="0027E940" w14:textId="77777777" w:rsidR="000C4C36" w:rsidRPr="00C04211" w:rsidRDefault="000C4C36" w:rsidP="00B7519E">
      <w:pPr>
        <w:spacing w:after="0" w:line="240" w:lineRule="auto"/>
        <w:ind w:left="426"/>
        <w:jc w:val="both"/>
        <w:rPr>
          <w:rFonts w:ascii="Arial" w:hAnsi="Arial" w:cs="Arial"/>
          <w:sz w:val="20"/>
        </w:rPr>
      </w:pPr>
      <w:r>
        <w:rPr>
          <w:rFonts w:ascii="Arial" w:hAnsi="Arial"/>
          <w:sz w:val="20"/>
        </w:rPr>
        <w:lastRenderedPageBreak/>
        <w:t>A Universidade de Gales do Sul, por exemplo, estabeleceu um caminho de progressão na carreira que não depende exclusivamente de publicações acadêmicas, como segue, por meio de um Leitorado ou de uma Cátedra em Inovação e Engajamento:</w:t>
      </w:r>
    </w:p>
    <w:p w14:paraId="162BEC95" w14:textId="77777777" w:rsidR="000C4C36" w:rsidRPr="0024467F" w:rsidRDefault="000C4C36" w:rsidP="000C4C36">
      <w:pPr>
        <w:pStyle w:val="ListParagraph"/>
        <w:spacing w:after="0" w:line="240" w:lineRule="auto"/>
        <w:ind w:left="426"/>
        <w:jc w:val="both"/>
        <w:rPr>
          <w:rFonts w:ascii="Arial" w:hAnsi="Arial" w:cs="Arial"/>
          <w:sz w:val="20"/>
        </w:rPr>
      </w:pPr>
    </w:p>
    <w:p w14:paraId="2E1FC9AD" w14:textId="54E8D425"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rPr>
      </w:pPr>
      <w:r>
        <w:rPr>
          <w:rFonts w:ascii="Arial" w:hAnsi="Arial"/>
          <w:b/>
          <w:sz w:val="20"/>
        </w:rPr>
        <w:t xml:space="preserve">Caixa </w:t>
      </w:r>
      <w:r w:rsidRPr="00C04211">
        <w:rPr>
          <w:rFonts w:ascii="Arial" w:hAnsi="Arial" w:cs="Arial"/>
          <w:b/>
          <w:sz w:val="20"/>
        </w:rPr>
        <w:fldChar w:fldCharType="begin"/>
      </w:r>
      <w:r w:rsidRPr="00C04211">
        <w:rPr>
          <w:rFonts w:ascii="Arial" w:hAnsi="Arial" w:cs="Arial"/>
          <w:b/>
          <w:sz w:val="20"/>
        </w:rPr>
        <w:instrText xml:space="preserve"> AUTONUM  \* Arabic </w:instrText>
      </w:r>
      <w:r w:rsidRPr="00C04211">
        <w:rPr>
          <w:rFonts w:ascii="Arial" w:hAnsi="Arial" w:cs="Arial"/>
          <w:b/>
          <w:sz w:val="20"/>
        </w:rPr>
        <w:fldChar w:fldCharType="end"/>
      </w:r>
      <w:r>
        <w:rPr>
          <w:rFonts w:ascii="Arial" w:hAnsi="Arial"/>
          <w:b/>
          <w:sz w:val="20"/>
        </w:rPr>
        <w:t xml:space="preserve"> Exemplo de um caminho de progressão de carreira que não depende unicamente de publicações acadêmicas - A Rota da Inovação e do Engajamento da Universidade de South Wales (Reino Unido)</w:t>
      </w:r>
      <w:r w:rsidRPr="00C04211">
        <w:rPr>
          <w:rStyle w:val="FootnoteReference"/>
          <w:rFonts w:ascii="Arial" w:hAnsi="Arial" w:cs="Arial"/>
          <w:b/>
          <w:sz w:val="20"/>
          <w:lang w:val="en-US"/>
        </w:rPr>
        <w:footnoteReference w:id="190"/>
      </w:r>
    </w:p>
    <w:p w14:paraId="1488C6E0" w14:textId="77777777"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color w:val="000000"/>
          <w:sz w:val="20"/>
          <w:u w:val="single"/>
        </w:rPr>
      </w:pPr>
      <w:r>
        <w:rPr>
          <w:rFonts w:ascii="Arial" w:hAnsi="Arial"/>
          <w:b/>
          <w:color w:val="000000"/>
          <w:sz w:val="20"/>
          <w:u w:val="single"/>
        </w:rPr>
        <w:t>Leitorado</w:t>
      </w:r>
    </w:p>
    <w:p w14:paraId="5E4240F0" w14:textId="77777777"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rPr>
      </w:pPr>
      <w:r>
        <w:rPr>
          <w:rFonts w:ascii="Arial" w:hAnsi="Arial"/>
          <w:color w:val="000000"/>
          <w:sz w:val="20"/>
        </w:rPr>
        <w:t>O Leitorado em Inovação e Engajamento é um título de prestígio e uma designação sênior concedida pela Universidade em reconhecimento à excelência em atividades relacionadas a empresas. Um Leitor em Inovação e Engajamento deve ter demonstrado excelência em atividades de inovação e engajamento e pesquisa aplicada e deverá fornecer liderança (por exemplo, por meio de atividades em centros de pesquisa e demonstrando aprendizado com a experiência e o conhecimento das diferentes comunidades com as quais se envolve). Um Leitor em Inovação e Engajamento deve continuar a demonstrar competência como professor.</w:t>
      </w:r>
    </w:p>
    <w:p w14:paraId="2EC20E8E" w14:textId="77777777" w:rsidR="000C4C36" w:rsidRPr="00C04211" w:rsidRDefault="000C4C36" w:rsidP="00F841B0">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Arial" w:hAnsi="Arial" w:cs="Arial"/>
          <w:color w:val="000000"/>
          <w:sz w:val="20"/>
          <w:szCs w:val="22"/>
        </w:rPr>
      </w:pPr>
      <w:r>
        <w:rPr>
          <w:rFonts w:ascii="Arial" w:hAnsi="Arial"/>
          <w:color w:val="000000"/>
          <w:sz w:val="20"/>
        </w:rPr>
        <w:t>Se for esperado que o candidato bem-sucedido assuma novas responsabilidades, uma submissão para reclassificação deve ser feita de acordo com o procedimento da Universidade para determinar qualquer alteração no grau e no salário. </w:t>
      </w:r>
    </w:p>
    <w:p w14:paraId="65B52F7B" w14:textId="77777777" w:rsidR="00CC0CF0" w:rsidRDefault="00CC0CF0" w:rsidP="00CC0CF0">
      <w:pPr>
        <w:pStyle w:val="Heading3"/>
        <w:spacing w:before="0" w:after="0"/>
        <w:jc w:val="both"/>
        <w:rPr>
          <w:sz w:val="24"/>
        </w:rPr>
      </w:pPr>
      <w:bookmarkStart w:id="360" w:name="_Toc516160105"/>
      <w:bookmarkStart w:id="361" w:name="_Toc516219441"/>
      <w:bookmarkStart w:id="362" w:name="_Toc516496085"/>
      <w:bookmarkStart w:id="363" w:name="_Toc516829457"/>
    </w:p>
    <w:p w14:paraId="4D33B20C" w14:textId="77777777"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sz w:val="20"/>
          <w:szCs w:val="32"/>
          <w:u w:val="single"/>
        </w:rPr>
      </w:pPr>
      <w:r>
        <w:rPr>
          <w:rFonts w:ascii="Arial" w:hAnsi="Arial"/>
          <w:b/>
          <w:sz w:val="20"/>
          <w:u w:val="single"/>
        </w:rPr>
        <w:t>Cátedra</w:t>
      </w:r>
    </w:p>
    <w:p w14:paraId="5342434F" w14:textId="77777777"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rPr>
      </w:pPr>
      <w:r>
        <w:rPr>
          <w:rFonts w:ascii="Arial" w:hAnsi="Arial"/>
          <w:color w:val="000000"/>
          <w:sz w:val="20"/>
        </w:rPr>
        <w:t>Uma Cátedra em Inovação e Engajamento é um título prestigioso e a designação mais elevada concedida pela Universidade em reconhecimento à excelência em atividades relacionadas ao empreendedorismo. Um professor em Inovação e Engajamento deve ter demonstrado excelência excepcional em atividades de inovação e engajamento e pesquisa aplicada e deverá exercer liderança (por exemplo, por meio de atividades em centros de pesquisa e demonstrando aprendizado com a experiência e o conhecimento das diferentes comunidades com as quais se envolve). Um Professor em Inovação e Engajamento deve continuar a demonstrar competência como professor.</w:t>
      </w:r>
    </w:p>
    <w:p w14:paraId="301D1C72" w14:textId="77777777" w:rsidR="00CC0CF0" w:rsidRPr="00C0421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rPr>
      </w:pPr>
      <w:r>
        <w:rPr>
          <w:rFonts w:ascii="Arial" w:hAnsi="Arial"/>
          <w:color w:val="000000"/>
          <w:sz w:val="20"/>
        </w:rPr>
        <w:t>Se for esperado que o candidato bem-sucedido assuma novas responsabilidades, uma submissão para reclassificação deve ser feita de acordo com o procedimento da Universidade para determinar qualquer alteração no grau e no salário. O Título de Professor será revisado a cada cinco anos e só será aplicável enquanto estiver empregado pela Universidade de Gales do Sul.</w:t>
      </w:r>
    </w:p>
    <w:p w14:paraId="67D906B8" w14:textId="77777777" w:rsidR="000C4C36" w:rsidRPr="00C04211" w:rsidRDefault="000C4C36" w:rsidP="00F841B0">
      <w:pPr>
        <w:pStyle w:val="Heading3"/>
        <w:spacing w:before="360"/>
        <w:jc w:val="both"/>
        <w:rPr>
          <w:sz w:val="24"/>
        </w:rPr>
      </w:pPr>
      <w:r>
        <w:rPr>
          <w:sz w:val="24"/>
        </w:rPr>
        <w:t>Apoio ao empreendedorismo</w:t>
      </w:r>
      <w:bookmarkEnd w:id="360"/>
      <w:bookmarkEnd w:id="361"/>
      <w:bookmarkEnd w:id="362"/>
      <w:bookmarkEnd w:id="363"/>
    </w:p>
    <w:p w14:paraId="0BE3C1B9" w14:textId="031F6D2E" w:rsidR="00F76347" w:rsidRPr="00C04211" w:rsidRDefault="00B02FB0" w:rsidP="009D4A54">
      <w:pPr>
        <w:pStyle w:val="ListParagraph"/>
        <w:numPr>
          <w:ilvl w:val="0"/>
          <w:numId w:val="101"/>
        </w:numPr>
        <w:spacing w:after="0" w:line="240" w:lineRule="auto"/>
        <w:ind w:left="426" w:hanging="426"/>
        <w:jc w:val="both"/>
        <w:rPr>
          <w:rFonts w:ascii="Arial" w:hAnsi="Arial" w:cs="Arial"/>
          <w:sz w:val="20"/>
        </w:rPr>
      </w:pPr>
      <w:r>
        <w:rPr>
          <w:rFonts w:ascii="Arial" w:hAnsi="Arial"/>
          <w:b/>
          <w:sz w:val="20"/>
        </w:rPr>
        <w:t xml:space="preserve">Artigo 10.3.2, </w:t>
      </w:r>
      <w:r>
        <w:rPr>
          <w:rFonts w:ascii="Arial" w:hAnsi="Arial"/>
          <w:b/>
          <w:i/>
          <w:sz w:val="20"/>
        </w:rPr>
        <w:t>oportunidades para</w:t>
      </w:r>
      <w:r>
        <w:rPr>
          <w:rFonts w:ascii="Arial" w:hAnsi="Arial"/>
          <w:b/>
          <w:sz w:val="20"/>
        </w:rPr>
        <w:t xml:space="preserve"> </w:t>
      </w:r>
      <w:r>
        <w:rPr>
          <w:rFonts w:ascii="Arial" w:hAnsi="Arial"/>
          <w:b/>
          <w:i/>
          <w:sz w:val="20"/>
        </w:rPr>
        <w:t>desenvolvimento empresarial ou desenvolvimento de capacidades</w:t>
      </w:r>
      <w:r w:rsidRPr="00E67619">
        <w:rPr>
          <w:rFonts w:ascii="Arial" w:hAnsi="Arial"/>
          <w:bCs/>
          <w:iCs/>
          <w:sz w:val="20"/>
        </w:rPr>
        <w:t xml:space="preserve">: </w:t>
      </w:r>
      <w:r>
        <w:rPr>
          <w:rFonts w:ascii="Arial" w:hAnsi="Arial"/>
          <w:sz w:val="20"/>
        </w:rPr>
        <w:t>Um nível e qualidade adequados de suporte comercial disponível para pesquisadores acadêmicos é provavelmente o incentivo mais crítico</w:t>
      </w:r>
      <w:r w:rsidR="008411EA">
        <w:rPr>
          <w:rFonts w:ascii="Arial" w:hAnsi="Arial"/>
          <w:sz w:val="20"/>
        </w:rPr>
        <w:t xml:space="preserve">. </w:t>
      </w:r>
      <w:r>
        <w:rPr>
          <w:rFonts w:ascii="Arial" w:hAnsi="Arial"/>
          <w:sz w:val="20"/>
        </w:rPr>
        <w:t>Isto poderia ser fornecido através de:</w:t>
      </w:r>
    </w:p>
    <w:p w14:paraId="3B8B99DE"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rPr>
      </w:pPr>
      <w:r>
        <w:rPr>
          <w:rFonts w:ascii="Arial" w:hAnsi="Arial"/>
          <w:sz w:val="20"/>
        </w:rPr>
        <w:t>fácil acesso e suporte de pessoas para desenvolvimento de negócios;</w:t>
      </w:r>
    </w:p>
    <w:p w14:paraId="759AB44F"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rPr>
      </w:pPr>
      <w:r>
        <w:rPr>
          <w:rFonts w:ascii="Arial" w:hAnsi="Arial"/>
          <w:sz w:val="20"/>
        </w:rPr>
        <w:t>mais tempo para comercialização, por exemplo, comprando tempo de ensino ou aliviando os pesquisadores de suas responsabilidades administrativas;</w:t>
      </w:r>
    </w:p>
    <w:p w14:paraId="4B0432A9"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rPr>
      </w:pPr>
      <w:r>
        <w:rPr>
          <w:rFonts w:ascii="Arial" w:hAnsi="Arial"/>
          <w:sz w:val="20"/>
        </w:rPr>
        <w:t>apoio e mentoria à comercialização interna (através do EGPI);</w:t>
      </w:r>
    </w:p>
    <w:p w14:paraId="7B184FE3"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rPr>
      </w:pPr>
      <w:r>
        <w:rPr>
          <w:rFonts w:ascii="Arial" w:hAnsi="Arial"/>
          <w:sz w:val="20"/>
        </w:rPr>
        <w:t>condições de emprego flexíveis para permitir destacamentos;</w:t>
      </w:r>
    </w:p>
    <w:p w14:paraId="6EBDB724"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rPr>
      </w:pPr>
      <w:r>
        <w:rPr>
          <w:rFonts w:ascii="Arial" w:hAnsi="Arial"/>
          <w:sz w:val="20"/>
        </w:rPr>
        <w:t xml:space="preserve">treinamento em gestão de PI e empreendedorismo (veja </w:t>
      </w:r>
      <w:hyperlink w:anchor="Box5" w:history="1">
        <w:r>
          <w:rPr>
            <w:rStyle w:val="Hyperlink"/>
            <w:rFonts w:ascii="Arial" w:hAnsi="Arial"/>
            <w:sz w:val="20"/>
          </w:rPr>
          <w:t>Caixa 5</w:t>
        </w:r>
      </w:hyperlink>
      <w:r>
        <w:rPr>
          <w:rFonts w:ascii="Arial" w:hAnsi="Arial"/>
          <w:sz w:val="20"/>
        </w:rPr>
        <w:t>).</w:t>
      </w:r>
    </w:p>
    <w:p w14:paraId="7F27CDB2" w14:textId="77777777" w:rsidR="00267571" w:rsidRPr="00C04211" w:rsidRDefault="00816D72" w:rsidP="00F841B0">
      <w:pPr>
        <w:pStyle w:val="Heading3"/>
        <w:spacing w:before="360"/>
        <w:jc w:val="both"/>
        <w:rPr>
          <w:sz w:val="24"/>
        </w:rPr>
      </w:pPr>
      <w:bookmarkStart w:id="364" w:name="_Toc516160106"/>
      <w:bookmarkStart w:id="365" w:name="_Toc516219442"/>
      <w:bookmarkStart w:id="366" w:name="_Toc516496086"/>
      <w:bookmarkStart w:id="367" w:name="_Toc516829458"/>
      <w:r>
        <w:rPr>
          <w:sz w:val="24"/>
        </w:rPr>
        <w:lastRenderedPageBreak/>
        <w:t>Reconhecimento e Prestígio Moral</w:t>
      </w:r>
      <w:bookmarkEnd w:id="364"/>
      <w:bookmarkEnd w:id="365"/>
      <w:bookmarkEnd w:id="366"/>
      <w:bookmarkEnd w:id="367"/>
    </w:p>
    <w:p w14:paraId="350B1BFA" w14:textId="67AC3A1A" w:rsidR="00B02FB0" w:rsidRPr="00C04211" w:rsidRDefault="00876157" w:rsidP="009D4A54">
      <w:pPr>
        <w:pStyle w:val="ListParagraph"/>
        <w:numPr>
          <w:ilvl w:val="0"/>
          <w:numId w:val="100"/>
        </w:numPr>
        <w:spacing w:after="0" w:line="240" w:lineRule="auto"/>
        <w:ind w:left="426" w:hanging="426"/>
        <w:jc w:val="both"/>
        <w:rPr>
          <w:rFonts w:ascii="Arial" w:hAnsi="Arial" w:cs="Arial"/>
          <w:sz w:val="20"/>
        </w:rPr>
      </w:pPr>
      <w:r>
        <w:rPr>
          <w:rFonts w:ascii="Arial" w:hAnsi="Arial"/>
          <w:b/>
          <w:sz w:val="20"/>
        </w:rPr>
        <w:t xml:space="preserve">Artigo 10.3.1, </w:t>
      </w:r>
      <w:r>
        <w:rPr>
          <w:rFonts w:ascii="Arial" w:hAnsi="Arial"/>
          <w:b/>
          <w:i/>
          <w:sz w:val="20"/>
        </w:rPr>
        <w:t>reconhecimento</w:t>
      </w:r>
      <w:r w:rsidRPr="00E67619">
        <w:rPr>
          <w:rFonts w:ascii="Arial" w:hAnsi="Arial"/>
          <w:bCs/>
          <w:iCs/>
          <w:sz w:val="20"/>
        </w:rPr>
        <w:t xml:space="preserve">: </w:t>
      </w:r>
      <w:r>
        <w:rPr>
          <w:rFonts w:ascii="Arial" w:hAnsi="Arial"/>
          <w:sz w:val="20"/>
        </w:rPr>
        <w:t xml:space="preserve">O reconhecimento pode ocorrer por meio de </w:t>
      </w:r>
      <w:r>
        <w:rPr>
          <w:rFonts w:ascii="Arial" w:hAnsi="Arial"/>
          <w:b/>
          <w:bCs/>
          <w:sz w:val="20"/>
        </w:rPr>
        <w:t>prêmios</w:t>
      </w:r>
      <w:r>
        <w:rPr>
          <w:rFonts w:ascii="Arial" w:hAnsi="Arial"/>
          <w:sz w:val="20"/>
        </w:rPr>
        <w:t xml:space="preserve"> como os oferecidos pela OMPI, pela Câmara de Comércio dos EUA, pelo Prêmio Inventor Europeu, pela Medalha Diesel da Alemanha e pelo Prêmio de Tecnologia do Milênio concedido pela Technology Innovation Finland. Algumas instituições fornecem aos inventores cópias emolduradas de suas patentes ou uma placa com informações sobre a patente. As instituições podem realizar eventos anuais de reconhecimento de inventores, como um jantar de premiação de inventores. Esses programas acrescentam um elemento pessoal ao esquema de remuneração. </w:t>
      </w:r>
    </w:p>
    <w:p w14:paraId="063D1878" w14:textId="77777777" w:rsidR="000B27B9" w:rsidRPr="0024467F" w:rsidRDefault="000B27B9" w:rsidP="000B27B9">
      <w:pPr>
        <w:spacing w:after="0" w:line="240" w:lineRule="auto"/>
        <w:jc w:val="both"/>
        <w:rPr>
          <w:rFonts w:ascii="Arial" w:hAnsi="Arial" w:cs="Arial"/>
        </w:rPr>
      </w:pPr>
    </w:p>
    <w:p w14:paraId="70E0747B" w14:textId="77777777" w:rsidR="00B02FB0" w:rsidRPr="00C04211" w:rsidRDefault="00FE508B" w:rsidP="00B7519E">
      <w:pPr>
        <w:spacing w:after="0" w:line="240" w:lineRule="auto"/>
        <w:jc w:val="both"/>
        <w:rPr>
          <w:rFonts w:ascii="Arial" w:hAnsi="Arial" w:cs="Arial"/>
        </w:rPr>
      </w:pPr>
      <w:r>
        <w:rPr>
          <w:rFonts w:ascii="Arial" w:hAnsi="Arial"/>
          <w:noProof/>
        </w:rPr>
        <w:drawing>
          <wp:anchor distT="0" distB="0" distL="114300" distR="114300" simplePos="0" relativeHeight="251658240" behindDoc="1" locked="0" layoutInCell="1" allowOverlap="1" wp14:anchorId="459731A6" wp14:editId="5458953B">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12.08.29 PM.png"/>
                    <pic:cNvPicPr/>
                  </pic:nvPicPr>
                  <pic:blipFill>
                    <a:blip r:embed="rId163">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E1780F" w14:textId="77777777" w:rsidR="00B02FB0" w:rsidRPr="0024467F" w:rsidRDefault="00B02FB0" w:rsidP="00B7519E">
      <w:pPr>
        <w:spacing w:after="0" w:line="240" w:lineRule="auto"/>
        <w:jc w:val="both"/>
        <w:rPr>
          <w:rFonts w:ascii="Arial" w:hAnsi="Arial" w:cs="Arial"/>
        </w:rPr>
      </w:pPr>
    </w:p>
    <w:p w14:paraId="7DC7CE82" w14:textId="77777777" w:rsidR="00B02FB0" w:rsidRPr="0024467F" w:rsidRDefault="00B02FB0" w:rsidP="00B7519E">
      <w:pPr>
        <w:spacing w:after="0" w:line="240" w:lineRule="auto"/>
        <w:jc w:val="both"/>
        <w:rPr>
          <w:rFonts w:ascii="Arial" w:hAnsi="Arial" w:cs="Arial"/>
        </w:rPr>
      </w:pPr>
    </w:p>
    <w:p w14:paraId="754A4331" w14:textId="77777777" w:rsidR="00267571" w:rsidRPr="0024467F" w:rsidRDefault="00267571" w:rsidP="00B7519E">
      <w:pPr>
        <w:spacing w:after="0" w:line="240" w:lineRule="auto"/>
        <w:ind w:left="426"/>
        <w:jc w:val="both"/>
        <w:rPr>
          <w:rFonts w:ascii="Arial" w:hAnsi="Arial" w:cs="Arial"/>
        </w:rPr>
      </w:pPr>
    </w:p>
    <w:p w14:paraId="3D009348" w14:textId="77777777" w:rsidR="00267571" w:rsidRPr="0024467F" w:rsidRDefault="00267571" w:rsidP="00B7519E">
      <w:pPr>
        <w:spacing w:after="0" w:line="240" w:lineRule="auto"/>
        <w:ind w:left="426"/>
        <w:jc w:val="both"/>
        <w:rPr>
          <w:rFonts w:ascii="Arial" w:hAnsi="Arial" w:cs="Arial"/>
        </w:rPr>
      </w:pPr>
    </w:p>
    <w:p w14:paraId="5A1EFAF6" w14:textId="77777777" w:rsidR="00267571" w:rsidRPr="0024467F" w:rsidRDefault="00267571" w:rsidP="00B7519E">
      <w:pPr>
        <w:spacing w:after="0" w:line="240" w:lineRule="auto"/>
        <w:ind w:left="426"/>
        <w:jc w:val="both"/>
        <w:rPr>
          <w:rFonts w:ascii="Arial" w:hAnsi="Arial" w:cs="Arial"/>
        </w:rPr>
      </w:pPr>
    </w:p>
    <w:p w14:paraId="718E85FB" w14:textId="77777777" w:rsidR="00267571" w:rsidRPr="0024467F" w:rsidRDefault="00267571" w:rsidP="00B7519E">
      <w:pPr>
        <w:spacing w:after="0" w:line="240" w:lineRule="auto"/>
        <w:ind w:left="426"/>
        <w:jc w:val="both"/>
        <w:rPr>
          <w:rFonts w:ascii="Arial" w:hAnsi="Arial" w:cs="Arial"/>
        </w:rPr>
      </w:pPr>
    </w:p>
    <w:p w14:paraId="03B6ED7E" w14:textId="77777777" w:rsidR="00267571" w:rsidRPr="0024467F" w:rsidRDefault="00267571" w:rsidP="00B7519E">
      <w:pPr>
        <w:spacing w:after="0" w:line="240" w:lineRule="auto"/>
        <w:ind w:left="426"/>
        <w:jc w:val="both"/>
        <w:rPr>
          <w:rFonts w:ascii="Arial" w:hAnsi="Arial" w:cs="Arial"/>
        </w:rPr>
      </w:pPr>
    </w:p>
    <w:p w14:paraId="1BC19F44" w14:textId="77777777" w:rsidR="00267571" w:rsidRPr="0024467F" w:rsidRDefault="00267571" w:rsidP="00B7519E">
      <w:pPr>
        <w:spacing w:after="0" w:line="240" w:lineRule="auto"/>
        <w:ind w:left="426"/>
        <w:jc w:val="both"/>
        <w:rPr>
          <w:rFonts w:ascii="Arial" w:hAnsi="Arial" w:cs="Arial"/>
        </w:rPr>
      </w:pPr>
    </w:p>
    <w:p w14:paraId="6E07B8C9" w14:textId="77777777" w:rsidR="00267571" w:rsidRPr="0024467F" w:rsidRDefault="00267571" w:rsidP="00B7519E">
      <w:pPr>
        <w:spacing w:after="0" w:line="240" w:lineRule="auto"/>
        <w:ind w:left="426"/>
        <w:jc w:val="both"/>
        <w:rPr>
          <w:rFonts w:ascii="Arial" w:hAnsi="Arial" w:cs="Arial"/>
        </w:rPr>
      </w:pPr>
    </w:p>
    <w:p w14:paraId="3948E2FE" w14:textId="77777777" w:rsidR="00267571" w:rsidRPr="0024467F" w:rsidRDefault="00267571" w:rsidP="00B7519E">
      <w:pPr>
        <w:spacing w:after="0" w:line="240" w:lineRule="auto"/>
        <w:ind w:left="426"/>
        <w:jc w:val="both"/>
        <w:rPr>
          <w:rFonts w:ascii="Arial" w:hAnsi="Arial" w:cs="Arial"/>
        </w:rPr>
      </w:pPr>
    </w:p>
    <w:p w14:paraId="3C38FA5F" w14:textId="77777777" w:rsidR="00FE508B" w:rsidRPr="0024467F" w:rsidRDefault="00FE508B" w:rsidP="00B7519E">
      <w:pPr>
        <w:spacing w:after="0" w:line="240" w:lineRule="auto"/>
        <w:ind w:left="426"/>
        <w:jc w:val="both"/>
        <w:rPr>
          <w:rFonts w:ascii="Arial" w:hAnsi="Arial" w:cs="Arial"/>
        </w:rPr>
      </w:pPr>
    </w:p>
    <w:p w14:paraId="70E9EF04" w14:textId="4DCA021B" w:rsidR="00B02FB0" w:rsidRPr="00C04211" w:rsidRDefault="00B02FB0" w:rsidP="009D4A54">
      <w:pPr>
        <w:pStyle w:val="ListParagraph"/>
        <w:numPr>
          <w:ilvl w:val="0"/>
          <w:numId w:val="100"/>
        </w:numPr>
        <w:spacing w:after="0" w:line="240" w:lineRule="auto"/>
        <w:ind w:left="426" w:hanging="426"/>
        <w:jc w:val="both"/>
        <w:rPr>
          <w:rFonts w:ascii="Arial" w:hAnsi="Arial" w:cs="Arial"/>
          <w:sz w:val="20"/>
        </w:rPr>
      </w:pPr>
      <w:r>
        <w:rPr>
          <w:rFonts w:ascii="Arial" w:hAnsi="Arial"/>
          <w:sz w:val="20"/>
        </w:rPr>
        <w:t xml:space="preserve">Alternativamente, a </w:t>
      </w:r>
      <w:r>
        <w:rPr>
          <w:rFonts w:ascii="Arial" w:hAnsi="Arial"/>
          <w:b/>
          <w:bCs/>
          <w:sz w:val="20"/>
        </w:rPr>
        <w:t>classificação</w:t>
      </w:r>
      <w:r>
        <w:rPr>
          <w:rFonts w:ascii="Arial" w:hAnsi="Arial"/>
          <w:sz w:val="20"/>
        </w:rPr>
        <w:t xml:space="preserve"> de um pesquisador por uma agência de financiamento pode ser influenciada por sua contribuição ao domínio público por meio de artigos científicos ou por sua contribuição como inovador</w:t>
      </w:r>
      <w:r w:rsidR="008411EA">
        <w:rPr>
          <w:rFonts w:ascii="Arial" w:hAnsi="Arial"/>
          <w:sz w:val="20"/>
        </w:rPr>
        <w:t xml:space="preserve">. </w:t>
      </w:r>
      <w:r>
        <w:rPr>
          <w:rFonts w:ascii="Arial" w:hAnsi="Arial"/>
          <w:sz w:val="20"/>
        </w:rPr>
        <w:t>Essa classificação pode influenciar a alocação futura de fundos de pesquisa pela agência de financiamento, o estabelecimento de um Centro de Excelência ou a concessão de uma Cátedra de Pesquisa, por exemplo.</w:t>
      </w:r>
    </w:p>
    <w:p w14:paraId="59836ADB" w14:textId="77777777" w:rsidR="00B02FB0" w:rsidRPr="0024467F" w:rsidRDefault="00B02FB0" w:rsidP="00B7519E">
      <w:pPr>
        <w:spacing w:after="0" w:line="240" w:lineRule="auto"/>
        <w:ind w:left="426"/>
        <w:jc w:val="both"/>
        <w:rPr>
          <w:rFonts w:ascii="Arial" w:hAnsi="Arial" w:cs="Arial"/>
          <w:sz w:val="20"/>
        </w:rPr>
      </w:pPr>
    </w:p>
    <w:p w14:paraId="21A73DE2" w14:textId="77777777" w:rsidR="00B02FB0" w:rsidRPr="00FD20EE" w:rsidRDefault="00B02FB0" w:rsidP="00B7519E">
      <w:pPr>
        <w:spacing w:after="0" w:line="240" w:lineRule="auto"/>
        <w:ind w:left="426"/>
        <w:jc w:val="both"/>
        <w:rPr>
          <w:rFonts w:ascii="Arial" w:hAnsi="Arial" w:cs="Arial"/>
          <w:sz w:val="20"/>
        </w:rPr>
      </w:pPr>
      <w:r>
        <w:rPr>
          <w:rFonts w:ascii="Arial" w:hAnsi="Arial"/>
          <w:sz w:val="20"/>
        </w:rPr>
        <w:t>Considere o exemplo da Fundação Nacional de Pesquisa (FNP) da África do Sul)</w:t>
      </w:r>
      <w:r w:rsidR="00876157" w:rsidRPr="00FD20EE">
        <w:rPr>
          <w:rStyle w:val="FootnoteReference"/>
          <w:rFonts w:ascii="Arial" w:hAnsi="Arial" w:cs="Arial"/>
          <w:sz w:val="20"/>
          <w:lang w:val="en-US"/>
        </w:rPr>
        <w:footnoteReference w:id="191"/>
      </w:r>
      <w:r>
        <w:rPr>
          <w:rFonts w:ascii="Arial" w:hAnsi="Arial"/>
          <w:sz w:val="20"/>
        </w:rPr>
        <w:t xml:space="preserve"> onde o sistema de classificação tem resultados de pesquisa primários e secundários que incluem publicações e resultados de PI, bem como protótipos, etc.:</w:t>
      </w:r>
    </w:p>
    <w:p w14:paraId="27FDD747" w14:textId="77777777" w:rsidR="00B02FB0" w:rsidRPr="0024467F" w:rsidRDefault="00B02FB0" w:rsidP="00B7519E">
      <w:pPr>
        <w:spacing w:after="0" w:line="240" w:lineRule="auto"/>
        <w:jc w:val="both"/>
        <w:rPr>
          <w:rFonts w:ascii="Arial" w:hAnsi="Arial" w:cs="Arial"/>
        </w:rPr>
      </w:pPr>
    </w:p>
    <w:p w14:paraId="50387FE8" w14:textId="77777777" w:rsidR="00876157" w:rsidRPr="00FD20EE" w:rsidRDefault="00876157"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Sistema de Classificação na Fundação Nacional de Pesquisa (FNP) da África do Sul</w:t>
      </w:r>
    </w:p>
    <w:p w14:paraId="228FBB34" w14:textId="77777777" w:rsidR="00876157" w:rsidRPr="0024467F" w:rsidRDefault="00876157" w:rsidP="000B27B9">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lang w:eastAsia="en-US"/>
        </w:rPr>
      </w:pPr>
    </w:p>
    <w:p w14:paraId="7F0D7E26" w14:textId="77777777"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b/>
          <w:sz w:val="20"/>
        </w:rPr>
        <w:t>RESULTADOS PRIMÁRIOS</w:t>
      </w:r>
      <w:r w:rsidRPr="00CA348C">
        <w:rPr>
          <w:rFonts w:ascii="Arial" w:hAnsi="Arial"/>
          <w:bCs/>
          <w:sz w:val="20"/>
        </w:rPr>
        <w:t>:</w:t>
      </w:r>
      <w:r>
        <w:rPr>
          <w:rFonts w:ascii="Arial" w:hAnsi="Arial"/>
          <w:sz w:val="20"/>
        </w:rPr>
        <w:t xml:space="preserve"> Os seguintes resultados são listados como Resultados Primários: </w:t>
      </w:r>
    </w:p>
    <w:p w14:paraId="43AD63DA" w14:textId="77777777"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rPr>
      </w:pPr>
      <w:r>
        <w:rPr>
          <w:rFonts w:ascii="Arial" w:hAnsi="Arial"/>
          <w:sz w:val="20"/>
        </w:rPr>
        <w:t>Livros; Capítulos de livros; Anais de conferências com arbitragem/revisão por pares; e Artigos em periódicos com arbitragem/revisão por pares; e</w:t>
      </w:r>
    </w:p>
    <w:p w14:paraId="6DDC7956" w14:textId="25B0283F"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rPr>
      </w:pPr>
      <w:r>
        <w:rPr>
          <w:rFonts w:ascii="Arial" w:hAnsi="Arial"/>
          <w:sz w:val="20"/>
        </w:rPr>
        <w:t xml:space="preserve"> Patentes. As seguintes informações devem ser fornecidas para cada patente: • Forneça informações sobre todas as patentes passadas e atuais em seu nome ou como resultado de um esforço colaborativo. Inclua também na seção de descrição se a patente é uma patente de utilidade, desenho industrial ou planta</w:t>
      </w:r>
      <w:r w:rsidR="008411EA">
        <w:rPr>
          <w:rFonts w:ascii="Arial" w:hAnsi="Arial"/>
          <w:sz w:val="20"/>
        </w:rPr>
        <w:t xml:space="preserve">. </w:t>
      </w:r>
      <w:r>
        <w:rPr>
          <w:rFonts w:ascii="Arial" w:hAnsi="Arial"/>
          <w:sz w:val="20"/>
        </w:rPr>
        <w:t>Somente patentes concedidas serão exibidas no pedido de classificação.</w:t>
      </w:r>
    </w:p>
    <w:p w14:paraId="3E27BB99" w14:textId="77777777" w:rsidR="00B02FB0" w:rsidRPr="00FD20EE" w:rsidRDefault="00B02FB0"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p>
    <w:p w14:paraId="1554B107" w14:textId="77777777"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b/>
          <w:sz w:val="20"/>
        </w:rPr>
        <w:t>RESULTADOS SECUNDÁRIOS</w:t>
      </w:r>
      <w:r w:rsidRPr="00CA348C">
        <w:rPr>
          <w:rFonts w:ascii="Arial" w:hAnsi="Arial"/>
          <w:bCs/>
          <w:sz w:val="20"/>
        </w:rPr>
        <w:t>:</w:t>
      </w:r>
      <w:r>
        <w:rPr>
          <w:rFonts w:ascii="Arial" w:hAnsi="Arial"/>
          <w:sz w:val="20"/>
        </w:rPr>
        <w:t xml:space="preserve"> Os seguintes resultados são listados como resultados secundários: </w:t>
      </w:r>
    </w:p>
    <w:p w14:paraId="6D182837"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sz w:val="20"/>
        </w:rPr>
        <w:t>Discursos principais/plenários;</w:t>
      </w:r>
    </w:p>
    <w:p w14:paraId="52CBBB8B"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sz w:val="20"/>
        </w:rPr>
        <w:t>Artigos em periódicos não arbitrados/não revisados por pares;</w:t>
      </w:r>
    </w:p>
    <w:p w14:paraId="6CE69D2F"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sz w:val="20"/>
        </w:rPr>
        <w:t>Outros resultados significativos da conferência;</w:t>
      </w:r>
    </w:p>
    <w:p w14:paraId="6628FE2C"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rPr>
      </w:pPr>
      <w:r>
        <w:rPr>
          <w:rFonts w:ascii="Arial" w:hAnsi="Arial"/>
          <w:sz w:val="20"/>
        </w:rPr>
        <w:t>Relatórios técnicos/políticos;</w:t>
      </w:r>
    </w:p>
    <w:p w14:paraId="4DABBF9E"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rPr>
      </w:pPr>
      <w:r>
        <w:rPr>
          <w:rFonts w:ascii="Arial" w:hAnsi="Arial"/>
          <w:sz w:val="20"/>
        </w:rPr>
        <w:t>Produtos - Um produto pode ser definido como algo produzido; por exemplo, uma mercadoria, uma peça, uma criação, uma invenção;</w:t>
      </w:r>
    </w:p>
    <w:p w14:paraId="50E2DDE0"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rPr>
      </w:pPr>
      <w:r>
        <w:rPr>
          <w:rFonts w:ascii="Arial" w:hAnsi="Arial"/>
          <w:sz w:val="20"/>
        </w:rPr>
        <w:lastRenderedPageBreak/>
        <w:t>Artefatos - Um artefato pode ser definido como um objeto que foi intencionalmente feito ou produzido para um determinado propósito, por exemplo, um vídeo transmitido, um filme, um documentário, um objeto, um item; e</w:t>
      </w:r>
    </w:p>
    <w:p w14:paraId="2A66AD2C"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rPr>
      </w:pPr>
      <w:r>
        <w:rPr>
          <w:rFonts w:ascii="Arial" w:hAnsi="Arial"/>
          <w:sz w:val="20"/>
        </w:rPr>
        <w:t xml:space="preserve">Protótipos - Um protótipo pode ser definido como um modelo original no qual algo é padronizado, por exemplo, um modelo, uma maquete, manequins ou paradigma. </w:t>
      </w:r>
    </w:p>
    <w:p w14:paraId="400E3FCF" w14:textId="77777777" w:rsidR="00FE508B" w:rsidRPr="00FD20EE" w:rsidRDefault="00FE508B" w:rsidP="000B27B9">
      <w:pPr>
        <w:pStyle w:val="Heading3"/>
        <w:spacing w:before="360"/>
        <w:jc w:val="both"/>
        <w:rPr>
          <w:sz w:val="24"/>
        </w:rPr>
      </w:pPr>
      <w:bookmarkStart w:id="368" w:name="_Toc516160107"/>
      <w:bookmarkStart w:id="369" w:name="_Toc516219443"/>
      <w:bookmarkStart w:id="370" w:name="_Toc516496087"/>
      <w:bookmarkStart w:id="371" w:name="_Toc516829459"/>
      <w:r>
        <w:rPr>
          <w:sz w:val="24"/>
        </w:rPr>
        <w:t>Fontes de pesquisa adicionais</w:t>
      </w:r>
      <w:bookmarkEnd w:id="368"/>
      <w:bookmarkEnd w:id="369"/>
      <w:bookmarkEnd w:id="370"/>
      <w:bookmarkEnd w:id="371"/>
    </w:p>
    <w:p w14:paraId="7DB2C555" w14:textId="3E0C5BA1" w:rsidR="00A23549" w:rsidRPr="00FD20EE" w:rsidRDefault="00A23549" w:rsidP="009D4A54">
      <w:pPr>
        <w:pStyle w:val="ListParagraph"/>
        <w:numPr>
          <w:ilvl w:val="0"/>
          <w:numId w:val="100"/>
        </w:numPr>
        <w:spacing w:after="0" w:line="240" w:lineRule="auto"/>
        <w:ind w:left="426" w:hanging="426"/>
        <w:jc w:val="both"/>
        <w:rPr>
          <w:rFonts w:ascii="Arial" w:hAnsi="Arial" w:cs="Arial"/>
          <w:sz w:val="20"/>
        </w:rPr>
      </w:pPr>
      <w:r>
        <w:rPr>
          <w:rFonts w:ascii="Arial" w:hAnsi="Arial"/>
          <w:b/>
          <w:sz w:val="20"/>
        </w:rPr>
        <w:t xml:space="preserve">Artigo 10.3.3, </w:t>
      </w:r>
      <w:r>
        <w:rPr>
          <w:rFonts w:ascii="Arial" w:hAnsi="Arial"/>
          <w:b/>
          <w:i/>
          <w:sz w:val="20"/>
        </w:rPr>
        <w:t>Fundos de Pesquisa</w:t>
      </w:r>
      <w:r w:rsidR="008411EA">
        <w:rPr>
          <w:rFonts w:ascii="Arial" w:hAnsi="Arial"/>
          <w:sz w:val="20"/>
        </w:rPr>
        <w:t xml:space="preserve">. </w:t>
      </w:r>
      <w:r>
        <w:rPr>
          <w:rFonts w:ascii="Arial" w:hAnsi="Arial"/>
          <w:sz w:val="20"/>
        </w:rPr>
        <w:t>A carreira acadêmica exige fundos para pesquisa, bolsas de estudo e atividades criativas. As relações de colaboração com o setor privado podem ser uma fonte de tais fundos, por meio de acordos de P&amp;D, consultoria ou alocação de uma parcela das receitas de comercialização de PI. Em essência, a Instituição pode, por exemplo, alocar uma parte maior de sua própria parcela de receitas para o departamento de pesquisa dos criadores, que os Criadores podem então utilizar para financiar outras atividades de pesquisa.</w:t>
      </w:r>
    </w:p>
    <w:p w14:paraId="4E49459D" w14:textId="77777777" w:rsidR="00FE508B" w:rsidRPr="00FD20EE" w:rsidRDefault="00D63989" w:rsidP="000B27B9">
      <w:pPr>
        <w:pStyle w:val="Heading3"/>
        <w:spacing w:before="360"/>
        <w:jc w:val="both"/>
        <w:rPr>
          <w:sz w:val="24"/>
        </w:rPr>
      </w:pPr>
      <w:bookmarkStart w:id="372" w:name="_Toc516160108"/>
      <w:bookmarkStart w:id="373" w:name="_Toc516219444"/>
      <w:bookmarkStart w:id="374" w:name="_Toc516496088"/>
      <w:bookmarkStart w:id="375" w:name="_Toc516829460"/>
      <w:r>
        <w:rPr>
          <w:sz w:val="24"/>
        </w:rPr>
        <w:t>Acesso a participação societária em spin-offs</w:t>
      </w:r>
      <w:bookmarkEnd w:id="372"/>
      <w:bookmarkEnd w:id="373"/>
      <w:bookmarkEnd w:id="374"/>
      <w:bookmarkEnd w:id="375"/>
    </w:p>
    <w:p w14:paraId="6C007C10" w14:textId="3252987F" w:rsidR="002B426B" w:rsidRPr="00FD20EE" w:rsidRDefault="00B02FB0" w:rsidP="009D4A54">
      <w:pPr>
        <w:pStyle w:val="ListParagraph"/>
        <w:numPr>
          <w:ilvl w:val="0"/>
          <w:numId w:val="100"/>
        </w:numPr>
        <w:spacing w:after="0" w:line="240" w:lineRule="auto"/>
        <w:ind w:left="426" w:hanging="426"/>
        <w:jc w:val="both"/>
        <w:rPr>
          <w:rFonts w:ascii="Arial" w:hAnsi="Arial" w:cs="Arial"/>
          <w:sz w:val="20"/>
        </w:rPr>
      </w:pPr>
      <w:r>
        <w:rPr>
          <w:rFonts w:ascii="Arial" w:hAnsi="Arial"/>
          <w:b/>
          <w:sz w:val="20"/>
        </w:rPr>
        <w:t xml:space="preserve">Artigo 10.3.4, </w:t>
      </w:r>
      <w:r>
        <w:rPr>
          <w:rFonts w:ascii="Arial" w:hAnsi="Arial"/>
          <w:b/>
          <w:i/>
          <w:sz w:val="20"/>
        </w:rPr>
        <w:t>Ações em uma Entidade de Comercialização</w:t>
      </w:r>
      <w:r w:rsidR="008411EA">
        <w:rPr>
          <w:rFonts w:ascii="Arial" w:hAnsi="Arial"/>
          <w:sz w:val="20"/>
        </w:rPr>
        <w:t xml:space="preserve">. </w:t>
      </w:r>
      <w:r>
        <w:rPr>
          <w:rFonts w:ascii="Arial" w:hAnsi="Arial"/>
          <w:sz w:val="20"/>
        </w:rPr>
        <w:t>Quase todas as start-ups enfrentam severas restrições financeiras. Dessa forma, elas não têm recursos para pagar taxas iniciais típicas de uma licença para a indústria. Para acomodar esse fato, algumas Instituições preferem obter participação societária em vez de dinheiro quando licenciam suas tecnologias para empresas start-ups. A participação societária também é uma forma da Universidade repartir alguns dos riscos associados às start-ups.</w:t>
      </w:r>
      <w:r w:rsidR="002B426B" w:rsidRPr="00FD20EE">
        <w:rPr>
          <w:rStyle w:val="FootnoteReference"/>
          <w:rFonts w:ascii="Arial" w:hAnsi="Arial" w:cs="Arial"/>
          <w:sz w:val="20"/>
          <w:lang w:val="en-US"/>
        </w:rPr>
        <w:footnoteReference w:id="192"/>
      </w:r>
      <w:r>
        <w:rPr>
          <w:rFonts w:ascii="Arial" w:hAnsi="Arial"/>
          <w:sz w:val="20"/>
        </w:rPr>
        <w:t xml:space="preserve"> </w:t>
      </w:r>
    </w:p>
    <w:p w14:paraId="69A45E75" w14:textId="77777777" w:rsidR="002B426B" w:rsidRPr="0024467F" w:rsidRDefault="002B426B" w:rsidP="00B7519E">
      <w:pPr>
        <w:pStyle w:val="ListParagraph"/>
        <w:spacing w:after="0" w:line="240" w:lineRule="auto"/>
        <w:ind w:left="426"/>
        <w:jc w:val="both"/>
        <w:rPr>
          <w:rFonts w:ascii="Arial" w:hAnsi="Arial" w:cs="Arial"/>
          <w:iCs/>
          <w:color w:val="000000" w:themeColor="text1"/>
          <w:sz w:val="20"/>
        </w:rPr>
      </w:pPr>
    </w:p>
    <w:p w14:paraId="61C89707" w14:textId="151EEA6D" w:rsidR="00B02FB0" w:rsidRPr="00FD20EE" w:rsidRDefault="00334F1B" w:rsidP="009D4A54">
      <w:pPr>
        <w:pStyle w:val="ListParagraph"/>
        <w:numPr>
          <w:ilvl w:val="0"/>
          <w:numId w:val="100"/>
        </w:numPr>
        <w:spacing w:after="0" w:line="240" w:lineRule="auto"/>
        <w:ind w:left="426" w:hanging="426"/>
        <w:jc w:val="both"/>
        <w:rPr>
          <w:rFonts w:ascii="Arial" w:hAnsi="Arial" w:cs="Arial"/>
          <w:iCs/>
          <w:color w:val="000000" w:themeColor="text1"/>
          <w:sz w:val="20"/>
        </w:rPr>
      </w:pPr>
      <w:r>
        <w:rPr>
          <w:rFonts w:ascii="Arial" w:hAnsi="Arial"/>
          <w:b/>
          <w:color w:val="000000" w:themeColor="text1"/>
          <w:sz w:val="20"/>
        </w:rPr>
        <w:t>Porcentagem de ações do inventor versus a Instituição</w:t>
      </w:r>
      <w:r>
        <w:rPr>
          <w:rFonts w:ascii="Arial" w:hAnsi="Arial"/>
          <w:color w:val="000000" w:themeColor="text1"/>
          <w:sz w:val="20"/>
        </w:rPr>
        <w:t>. O “Guia de Suporte para Spin Out” da Universidade de Edimburgo fornece suporte detalhado sobre como as ações devem ser alocadas com os Criadores de PI e qual porcentagem de ações a Instituição deve obter</w:t>
      </w:r>
      <w:r w:rsidR="008411EA">
        <w:rPr>
          <w:rFonts w:ascii="Arial" w:hAnsi="Arial"/>
          <w:color w:val="000000" w:themeColor="text1"/>
          <w:sz w:val="20"/>
        </w:rPr>
        <w:t xml:space="preserve">. </w:t>
      </w:r>
      <w:r>
        <w:rPr>
          <w:rFonts w:ascii="Arial" w:hAnsi="Arial"/>
          <w:color w:val="000000" w:themeColor="text1"/>
          <w:sz w:val="20"/>
        </w:rPr>
        <w:t>Um trecho deste Guia é apresentado abaixo e fornece detalhes sobre a opção em que a repartição de benefícios dos Criadores de PI provenientes da receita de licenciamento precisa ser dispensada em vista da alocação de ações [Opção 2 nos Artigos 10.3.4.1 e 10.3.4.2]:</w:t>
      </w:r>
    </w:p>
    <w:p w14:paraId="6756D04A" w14:textId="77777777" w:rsidR="00B02FB0" w:rsidRPr="0024467F" w:rsidRDefault="00B02FB0" w:rsidP="00B7519E">
      <w:pPr>
        <w:spacing w:after="0" w:line="240" w:lineRule="auto"/>
        <w:jc w:val="both"/>
        <w:rPr>
          <w:rFonts w:ascii="Arial" w:hAnsi="Arial" w:cs="Arial"/>
          <w:iCs/>
          <w:color w:val="000000" w:themeColor="text1"/>
        </w:rPr>
      </w:pPr>
    </w:p>
    <w:p w14:paraId="0881A48B" w14:textId="77777777" w:rsidR="00C97054"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de Alocação de Ações em Start-ups – Universidade de Edimburgo (Reino Unido)</w:t>
      </w:r>
    </w:p>
    <w:p w14:paraId="70920D0F" w14:textId="77777777" w:rsidR="00C97054" w:rsidRPr="0024467F"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Cs w:val="32"/>
        </w:rPr>
      </w:pPr>
    </w:p>
    <w:p w14:paraId="2E0BEADE" w14:textId="77777777" w:rsidR="00B02FB0"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i/>
          <w:sz w:val="20"/>
        </w:rPr>
      </w:pPr>
      <w:r>
        <w:rPr>
          <w:rFonts w:ascii="Arial" w:hAnsi="Arial"/>
          <w:i/>
          <w:sz w:val="20"/>
        </w:rPr>
        <w:t xml:space="preserve">“A Universidade espera ser uma acionista significativa na empresa spin-out por causa dos recursos e da permissão que disponibiliza para a spin-out. Normalmente, a participação acionista da Universidade será igual à dos fundadores acadêmicos. O tamanho da participação acionista aceitável para a Universidade depende de uma série de fatores: por exemplo, as funções dos pesquisadores individuais na empresa; a PI; o investimento específico do projeto pré-formação da empresa; e o envolvimento da Universidade para atingir o estágio em que uma spin-out é possível. A participação societária da spin-out também precisará ser reparida entre todos os envolvidos na empresa, como a equipe de gestão e (futuros) funcionários. Essa é uma questão-chave que precisa ser tratada no início do processo e pode ser parcialmente solucionada com um esquema de opção de ações para recompensar entradas futuras. Será importante para futuros investidores que a divisão da participação societária da empresa (tanto o atual quanto quaisquer opções de participação) reconheça e recompense adequadamente as pessoas que são essenciais para a direção estratégica e o crescimento da empresa. Os inventores da PI de titularidade da Universidade, requerida pela empresa, que estão ativos no processo de formação da empresa, geralmente podem optar por obter participação societária como fundadores da empresa ou por compartilhar a receita recebida pela Universidade em relação ao contrato de licença de tecnologia. Se os fundadores também recebessem renda do contrato de licença de tecnologia, de acordo com a política de repartição de receita da equipe da universidade, eles seriam recompensados duas </w:t>
      </w:r>
      <w:r>
        <w:rPr>
          <w:rFonts w:ascii="Arial" w:hAnsi="Arial"/>
          <w:i/>
          <w:sz w:val="20"/>
        </w:rPr>
        <w:lastRenderedPageBreak/>
        <w:t xml:space="preserve">vezes pela mesma atividade (comumente conhecido como "dupla taxação"). Como tal, os pesquisadores fundadores </w:t>
      </w:r>
      <w:r>
        <w:rPr>
          <w:rFonts w:ascii="Arial" w:hAnsi="Arial"/>
          <w:b/>
          <w:bCs/>
          <w:i/>
          <w:sz w:val="20"/>
        </w:rPr>
        <w:t>são solicitados a renunciar ao seu direito de receber rendimentos que possam fluir no futuro ao abrigo do contrato de licença de tecnologia</w:t>
      </w:r>
      <w:r>
        <w:rPr>
          <w:rFonts w:ascii="Arial" w:hAnsi="Arial"/>
          <w:i/>
          <w:sz w:val="20"/>
        </w:rPr>
        <w:t xml:space="preserve">. Os fundadores podem comprar ações em uma transação sem contrapartida junto a outros investidores, sem afetar seu direito de participar da renda futura da universidade. É comum que inventores que participam ativamente da empresa obtenham participação societária como fundador na spinout, enquanto inventores que não participam ativamente geralmente repartem a receita da Universidade. A alocação de participação societária como fundador dessa forma está alinhada às expectativas dos investidores que desejam ver aqueles que são essenciais para a empresa sendo recompensados por meio do sucesso da empresa (através de um aumento no preço das ações)”. </w:t>
      </w:r>
    </w:p>
    <w:p w14:paraId="1A3E0837" w14:textId="77777777" w:rsidR="008E2F0B" w:rsidRPr="00FD20EE" w:rsidRDefault="008E2F0B" w:rsidP="000B27B9">
      <w:pPr>
        <w:pStyle w:val="Heading3"/>
        <w:spacing w:before="360"/>
        <w:jc w:val="both"/>
        <w:rPr>
          <w:sz w:val="24"/>
        </w:rPr>
      </w:pPr>
      <w:bookmarkStart w:id="376" w:name="_Toc516160109"/>
      <w:bookmarkStart w:id="377" w:name="_Toc516219445"/>
      <w:bookmarkStart w:id="378" w:name="_Toc516496089"/>
      <w:bookmarkStart w:id="379" w:name="_Toc516829461"/>
      <w:r>
        <w:rPr>
          <w:sz w:val="24"/>
        </w:rPr>
        <w:t>Outros exemplos de incentivos</w:t>
      </w:r>
      <w:bookmarkEnd w:id="376"/>
      <w:bookmarkEnd w:id="377"/>
      <w:bookmarkEnd w:id="378"/>
      <w:bookmarkEnd w:id="379"/>
    </w:p>
    <w:p w14:paraId="58CDD6FB" w14:textId="26D91E85" w:rsidR="00F76347" w:rsidRPr="00FD20EE" w:rsidRDefault="008E2F0B" w:rsidP="009D4A54">
      <w:pPr>
        <w:pStyle w:val="ListParagraph"/>
        <w:numPr>
          <w:ilvl w:val="0"/>
          <w:numId w:val="111"/>
        </w:numPr>
        <w:spacing w:line="240" w:lineRule="auto"/>
        <w:ind w:left="426" w:hanging="426"/>
        <w:jc w:val="both"/>
        <w:rPr>
          <w:sz w:val="20"/>
        </w:rPr>
      </w:pPr>
      <w:r>
        <w:rPr>
          <w:rFonts w:ascii="Arial" w:hAnsi="Arial"/>
          <w:b/>
          <w:sz w:val="20"/>
        </w:rPr>
        <w:t xml:space="preserve">Artigo 10.3.1, </w:t>
      </w:r>
      <w:r>
        <w:rPr>
          <w:rFonts w:ascii="Arial" w:hAnsi="Arial"/>
          <w:b/>
          <w:i/>
          <w:sz w:val="20"/>
        </w:rPr>
        <w:t>Outros incentivos incluirão, mas não estarão limitados aos incentivos descritos no Artigo 10.3.2. – 10.3.4</w:t>
      </w:r>
      <w:r w:rsidRPr="00CA348C">
        <w:rPr>
          <w:rFonts w:ascii="Arial" w:hAnsi="Arial"/>
          <w:bCs/>
          <w:iCs/>
          <w:sz w:val="20"/>
        </w:rPr>
        <w:t xml:space="preserve">: </w:t>
      </w:r>
      <w:r>
        <w:rPr>
          <w:rFonts w:ascii="Arial" w:hAnsi="Arial"/>
          <w:sz w:val="20"/>
        </w:rPr>
        <w:t>O Modelo deixa em aberto para a Instituição a possibilidade de considerar outros incentivos</w:t>
      </w:r>
      <w:r w:rsidR="008411EA">
        <w:rPr>
          <w:rFonts w:ascii="Arial" w:hAnsi="Arial"/>
          <w:sz w:val="20"/>
        </w:rPr>
        <w:t xml:space="preserve">. </w:t>
      </w:r>
      <w:r>
        <w:rPr>
          <w:rFonts w:ascii="Arial" w:hAnsi="Arial"/>
          <w:sz w:val="20"/>
        </w:rPr>
        <w:t xml:space="preserve">Uma série de incentivos financeiros e não financeiros é resumida na </w:t>
      </w:r>
      <w:hyperlink w:anchor="Box80" w:history="1">
        <w:r>
          <w:rPr>
            <w:rStyle w:val="Hyperlink"/>
            <w:rFonts w:ascii="Arial" w:hAnsi="Arial"/>
            <w:sz w:val="20"/>
          </w:rPr>
          <w:t>Caixa 80</w:t>
        </w:r>
      </w:hyperlink>
      <w:r w:rsidR="008411EA">
        <w:rPr>
          <w:rFonts w:ascii="Arial" w:hAnsi="Arial"/>
          <w:sz w:val="20"/>
        </w:rPr>
        <w:t xml:space="preserve">. </w:t>
      </w:r>
    </w:p>
    <w:tbl>
      <w:tblPr>
        <w:tblW w:w="0" w:type="auto"/>
        <w:tblInd w:w="426" w:type="dxa"/>
        <w:tblLook w:val="04A0" w:firstRow="1" w:lastRow="0" w:firstColumn="1" w:lastColumn="0" w:noHBand="0" w:noVBand="1"/>
      </w:tblPr>
      <w:tblGrid>
        <w:gridCol w:w="4278"/>
        <w:gridCol w:w="4322"/>
      </w:tblGrid>
      <w:tr w:rsidR="00334F1B" w:rsidRPr="00FD20EE" w14:paraId="59370458" w14:textId="77777777" w:rsidTr="00B7519E">
        <w:tc>
          <w:tcPr>
            <w:tcW w:w="8816" w:type="dxa"/>
            <w:gridSpan w:val="2"/>
            <w:shd w:val="clear" w:color="auto" w:fill="D9D9D9" w:themeFill="background1" w:themeFillShade="D9"/>
          </w:tcPr>
          <w:p w14:paraId="6BBD5371" w14:textId="77777777" w:rsidR="00334F1B" w:rsidRPr="00FD20EE" w:rsidRDefault="00334F1B" w:rsidP="00B7519E">
            <w:pPr>
              <w:rPr>
                <w:rFonts w:ascii="Arial" w:hAnsi="Arial" w:cs="Arial"/>
                <w:sz w:val="20"/>
              </w:rPr>
            </w:pPr>
            <w:r>
              <w:rPr>
                <w:rFonts w:ascii="Arial" w:hAnsi="Arial"/>
                <w:b/>
                <w:sz w:val="20"/>
              </w:rPr>
              <w:t xml:space="preserve">Caixa </w:t>
            </w:r>
            <w:bookmarkStart w:id="380" w:name="Box80"/>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380"/>
            <w:r>
              <w:rPr>
                <w:rFonts w:ascii="Arial" w:hAnsi="Arial"/>
                <w:b/>
                <w:sz w:val="20"/>
              </w:rPr>
              <w:t xml:space="preserve"> Visão geral dos possíveis incentivos</w:t>
            </w:r>
          </w:p>
        </w:tc>
      </w:tr>
      <w:tr w:rsidR="00A23549" w:rsidRPr="00FD20EE" w14:paraId="6CF79268" w14:textId="77777777" w:rsidTr="00B7519E">
        <w:tc>
          <w:tcPr>
            <w:tcW w:w="4392" w:type="dxa"/>
            <w:shd w:val="clear" w:color="auto" w:fill="002060"/>
          </w:tcPr>
          <w:p w14:paraId="2EAE8C32" w14:textId="77777777" w:rsidR="00A23549" w:rsidRPr="00FD20EE" w:rsidRDefault="00334F1B" w:rsidP="00B7519E">
            <w:pPr>
              <w:jc w:val="center"/>
              <w:rPr>
                <w:rFonts w:ascii="Arial" w:hAnsi="Arial" w:cs="Arial"/>
                <w:sz w:val="20"/>
              </w:rPr>
            </w:pPr>
            <w:r>
              <w:rPr>
                <w:rFonts w:ascii="Arial" w:hAnsi="Arial"/>
                <w:sz w:val="20"/>
              </w:rPr>
              <w:t>Incentivos financeiros</w:t>
            </w:r>
          </w:p>
        </w:tc>
        <w:tc>
          <w:tcPr>
            <w:tcW w:w="4424" w:type="dxa"/>
            <w:shd w:val="clear" w:color="auto" w:fill="002060"/>
          </w:tcPr>
          <w:p w14:paraId="7945270A" w14:textId="77777777" w:rsidR="00A23549" w:rsidRPr="00FD20EE" w:rsidRDefault="00A23549" w:rsidP="00B7519E">
            <w:pPr>
              <w:jc w:val="center"/>
              <w:rPr>
                <w:rFonts w:ascii="Arial" w:hAnsi="Arial" w:cs="Arial"/>
                <w:sz w:val="20"/>
              </w:rPr>
            </w:pPr>
            <w:r>
              <w:rPr>
                <w:rFonts w:ascii="Arial" w:hAnsi="Arial"/>
                <w:sz w:val="20"/>
              </w:rPr>
              <w:t>Incentivos não financeiros</w:t>
            </w:r>
          </w:p>
        </w:tc>
      </w:tr>
      <w:tr w:rsidR="00A23549" w:rsidRPr="00FD20EE" w14:paraId="05F7E985" w14:textId="77777777" w:rsidTr="00B7519E">
        <w:tc>
          <w:tcPr>
            <w:tcW w:w="4392" w:type="dxa"/>
            <w:shd w:val="clear" w:color="auto" w:fill="F2F2F2" w:themeFill="background1" w:themeFillShade="F2"/>
          </w:tcPr>
          <w:p w14:paraId="70B88FA6" w14:textId="77777777" w:rsidR="00A23549" w:rsidRPr="00FD20EE" w:rsidRDefault="00A23549" w:rsidP="009D4A54">
            <w:pPr>
              <w:pStyle w:val="ListParagraph"/>
              <w:numPr>
                <w:ilvl w:val="0"/>
                <w:numId w:val="109"/>
              </w:numPr>
              <w:ind w:left="283" w:hanging="283"/>
              <w:jc w:val="both"/>
              <w:rPr>
                <w:rFonts w:ascii="Arial" w:hAnsi="Arial" w:cs="Arial"/>
                <w:sz w:val="20"/>
              </w:rPr>
            </w:pPr>
            <w:r>
              <w:rPr>
                <w:rFonts w:ascii="Arial" w:hAnsi="Arial"/>
                <w:sz w:val="20"/>
              </w:rPr>
              <w:t>remuneração justa e acordos de repartição de benefícios (Artigo 10.2)</w:t>
            </w:r>
          </w:p>
        </w:tc>
        <w:tc>
          <w:tcPr>
            <w:tcW w:w="4424" w:type="dxa"/>
            <w:shd w:val="clear" w:color="auto" w:fill="F2F2F2" w:themeFill="background1" w:themeFillShade="F2"/>
          </w:tcPr>
          <w:p w14:paraId="736BB47C" w14:textId="77777777" w:rsidR="00A23549" w:rsidRPr="00FD20EE" w:rsidRDefault="00334F1B" w:rsidP="009D4A54">
            <w:pPr>
              <w:pStyle w:val="ListParagraph"/>
              <w:numPr>
                <w:ilvl w:val="0"/>
                <w:numId w:val="110"/>
              </w:numPr>
              <w:ind w:left="290" w:hanging="268"/>
              <w:jc w:val="both"/>
              <w:rPr>
                <w:rFonts w:ascii="Arial" w:hAnsi="Arial" w:cs="Arial"/>
                <w:sz w:val="20"/>
              </w:rPr>
            </w:pPr>
            <w:r>
              <w:rPr>
                <w:rFonts w:ascii="Arial" w:hAnsi="Arial"/>
                <w:sz w:val="20"/>
              </w:rPr>
              <w:t>titularidade dos resultados de PI</w:t>
            </w:r>
          </w:p>
        </w:tc>
      </w:tr>
      <w:tr w:rsidR="00A23549" w:rsidRPr="00FD20EE" w14:paraId="582BB929" w14:textId="77777777" w:rsidTr="00B7519E">
        <w:tc>
          <w:tcPr>
            <w:tcW w:w="4392" w:type="dxa"/>
            <w:shd w:val="clear" w:color="auto" w:fill="F2F2F2" w:themeFill="background1" w:themeFillShade="F2"/>
          </w:tcPr>
          <w:p w14:paraId="12C63929" w14:textId="77777777" w:rsidR="00A23549" w:rsidRPr="00FD20EE" w:rsidRDefault="00334F1B" w:rsidP="009D4A54">
            <w:pPr>
              <w:pStyle w:val="ListParagraph"/>
              <w:numPr>
                <w:ilvl w:val="0"/>
                <w:numId w:val="109"/>
              </w:numPr>
              <w:ind w:left="283" w:hanging="283"/>
              <w:jc w:val="both"/>
              <w:rPr>
                <w:rFonts w:ascii="Arial" w:hAnsi="Arial" w:cs="Arial"/>
                <w:sz w:val="20"/>
              </w:rPr>
            </w:pPr>
            <w:r>
              <w:rPr>
                <w:rFonts w:ascii="Arial" w:hAnsi="Arial"/>
                <w:sz w:val="20"/>
              </w:rPr>
              <w:t>acesso a recursos para outras atividades de pesquisa (Artigo 10.3.3)</w:t>
            </w:r>
          </w:p>
        </w:tc>
        <w:tc>
          <w:tcPr>
            <w:tcW w:w="4424" w:type="dxa"/>
            <w:shd w:val="clear" w:color="auto" w:fill="F2F2F2" w:themeFill="background1" w:themeFillShade="F2"/>
          </w:tcPr>
          <w:p w14:paraId="598B82F4" w14:textId="77777777" w:rsidR="00A23549" w:rsidRPr="00FD20EE" w:rsidRDefault="00334F1B" w:rsidP="009D4A54">
            <w:pPr>
              <w:pStyle w:val="ListParagraph"/>
              <w:numPr>
                <w:ilvl w:val="0"/>
                <w:numId w:val="110"/>
              </w:numPr>
              <w:ind w:left="290" w:hanging="268"/>
              <w:jc w:val="both"/>
              <w:rPr>
                <w:rFonts w:ascii="Arial" w:hAnsi="Arial" w:cs="Arial"/>
                <w:sz w:val="20"/>
              </w:rPr>
            </w:pPr>
            <w:r>
              <w:rPr>
                <w:rFonts w:ascii="Arial" w:hAnsi="Arial"/>
                <w:sz w:val="20"/>
              </w:rPr>
              <w:t>treinamento, desenvolvimento de negócios e suporte à comercialização</w:t>
            </w:r>
          </w:p>
        </w:tc>
      </w:tr>
      <w:tr w:rsidR="00A23549" w:rsidRPr="00FD20EE" w14:paraId="0B2F01F8" w14:textId="77777777" w:rsidTr="00B7519E">
        <w:tc>
          <w:tcPr>
            <w:tcW w:w="4392" w:type="dxa"/>
            <w:shd w:val="clear" w:color="auto" w:fill="F2F2F2" w:themeFill="background1" w:themeFillShade="F2"/>
          </w:tcPr>
          <w:p w14:paraId="206B30AA" w14:textId="77777777" w:rsidR="00A23549" w:rsidRPr="00FD20EE" w:rsidRDefault="00334F1B" w:rsidP="009D4A54">
            <w:pPr>
              <w:pStyle w:val="ListParagraph"/>
              <w:numPr>
                <w:ilvl w:val="0"/>
                <w:numId w:val="109"/>
              </w:numPr>
              <w:ind w:left="283" w:hanging="283"/>
              <w:jc w:val="both"/>
              <w:rPr>
                <w:rFonts w:ascii="Arial" w:hAnsi="Arial" w:cs="Arial"/>
                <w:sz w:val="20"/>
              </w:rPr>
            </w:pPr>
            <w:r>
              <w:rPr>
                <w:rFonts w:ascii="Arial" w:hAnsi="Arial"/>
                <w:sz w:val="20"/>
              </w:rPr>
              <w:t>aumento salarial</w:t>
            </w:r>
          </w:p>
        </w:tc>
        <w:tc>
          <w:tcPr>
            <w:tcW w:w="4424" w:type="dxa"/>
            <w:shd w:val="clear" w:color="auto" w:fill="F2F2F2" w:themeFill="background1" w:themeFillShade="F2"/>
          </w:tcPr>
          <w:p w14:paraId="4B36AA45" w14:textId="77777777" w:rsidR="00A23549" w:rsidRPr="00FD20EE" w:rsidRDefault="00334F1B" w:rsidP="009D4A54">
            <w:pPr>
              <w:pStyle w:val="ListParagraph"/>
              <w:numPr>
                <w:ilvl w:val="0"/>
                <w:numId w:val="110"/>
              </w:numPr>
              <w:ind w:left="290" w:hanging="268"/>
              <w:rPr>
                <w:rFonts w:ascii="Arial" w:hAnsi="Arial" w:cs="Arial"/>
                <w:sz w:val="20"/>
              </w:rPr>
            </w:pPr>
            <w:r>
              <w:rPr>
                <w:rFonts w:ascii="Arial" w:hAnsi="Arial"/>
                <w:sz w:val="20"/>
              </w:rPr>
              <w:t>critérios de desenvolvimento de carreira</w:t>
            </w:r>
          </w:p>
        </w:tc>
      </w:tr>
      <w:tr w:rsidR="00A23549" w:rsidRPr="00FD20EE" w14:paraId="680032E3" w14:textId="77777777" w:rsidTr="00B7519E">
        <w:tc>
          <w:tcPr>
            <w:tcW w:w="4392" w:type="dxa"/>
            <w:shd w:val="clear" w:color="auto" w:fill="F2F2F2" w:themeFill="background1" w:themeFillShade="F2"/>
          </w:tcPr>
          <w:p w14:paraId="256B45F6" w14:textId="77777777" w:rsidR="00A23549" w:rsidRPr="00FD20EE" w:rsidRDefault="00D63989" w:rsidP="009D4A54">
            <w:pPr>
              <w:pStyle w:val="ListParagraph"/>
              <w:numPr>
                <w:ilvl w:val="0"/>
                <w:numId w:val="109"/>
              </w:numPr>
              <w:ind w:left="283" w:hanging="283"/>
              <w:jc w:val="both"/>
              <w:rPr>
                <w:rFonts w:ascii="Arial" w:hAnsi="Arial" w:cs="Arial"/>
                <w:sz w:val="20"/>
              </w:rPr>
            </w:pPr>
            <w:r>
              <w:rPr>
                <w:rFonts w:ascii="Arial" w:hAnsi="Arial"/>
                <w:sz w:val="20"/>
              </w:rPr>
              <w:t>recompensas financeiras diretas oferecidas aos Criadores que estiveram envolvidos em pedidos de patentes bem-sucedidos</w:t>
            </w:r>
            <w:r w:rsidR="0061291A" w:rsidRPr="00FD20EE">
              <w:rPr>
                <w:rStyle w:val="FootnoteReference"/>
                <w:rFonts w:ascii="Arial" w:hAnsi="Arial" w:cs="Arial"/>
                <w:sz w:val="20"/>
                <w:lang w:val="en-US"/>
              </w:rPr>
              <w:footnoteReference w:id="193"/>
            </w:r>
          </w:p>
        </w:tc>
        <w:tc>
          <w:tcPr>
            <w:tcW w:w="4424" w:type="dxa"/>
            <w:shd w:val="clear" w:color="auto" w:fill="F2F2F2" w:themeFill="background1" w:themeFillShade="F2"/>
          </w:tcPr>
          <w:p w14:paraId="1F67B10E" w14:textId="77777777" w:rsidR="00A23549" w:rsidRPr="00FD20EE" w:rsidRDefault="00334F1B" w:rsidP="009D4A54">
            <w:pPr>
              <w:pStyle w:val="ListParagraph"/>
              <w:numPr>
                <w:ilvl w:val="0"/>
                <w:numId w:val="110"/>
              </w:numPr>
              <w:ind w:left="290" w:hanging="268"/>
              <w:jc w:val="both"/>
              <w:rPr>
                <w:rFonts w:ascii="Arial" w:hAnsi="Arial" w:cs="Arial"/>
                <w:sz w:val="20"/>
              </w:rPr>
            </w:pPr>
            <w:r>
              <w:rPr>
                <w:rFonts w:ascii="Arial" w:hAnsi="Arial"/>
                <w:sz w:val="20"/>
              </w:rPr>
              <w:t>equipamento de laboratório</w:t>
            </w:r>
          </w:p>
        </w:tc>
      </w:tr>
      <w:tr w:rsidR="00A23549" w:rsidRPr="00FD20EE" w14:paraId="1E981FF3" w14:textId="77777777" w:rsidTr="00B7519E">
        <w:tc>
          <w:tcPr>
            <w:tcW w:w="4392" w:type="dxa"/>
            <w:shd w:val="clear" w:color="auto" w:fill="F2F2F2" w:themeFill="background1" w:themeFillShade="F2"/>
          </w:tcPr>
          <w:p w14:paraId="6AAD0F45" w14:textId="77777777" w:rsidR="00A23549" w:rsidRPr="00FD20EE" w:rsidRDefault="00334F1B" w:rsidP="009D4A54">
            <w:pPr>
              <w:pStyle w:val="ListParagraph"/>
              <w:numPr>
                <w:ilvl w:val="0"/>
                <w:numId w:val="109"/>
              </w:numPr>
              <w:ind w:left="283" w:hanging="283"/>
              <w:jc w:val="both"/>
              <w:rPr>
                <w:rFonts w:ascii="Arial" w:hAnsi="Arial" w:cs="Arial"/>
                <w:sz w:val="20"/>
              </w:rPr>
            </w:pPr>
            <w:r>
              <w:rPr>
                <w:rFonts w:ascii="Arial" w:hAnsi="Arial"/>
                <w:sz w:val="20"/>
              </w:rPr>
              <w:t>acesso à participação societária em empresas spin-off</w:t>
            </w:r>
          </w:p>
        </w:tc>
        <w:tc>
          <w:tcPr>
            <w:tcW w:w="4424" w:type="dxa"/>
            <w:shd w:val="clear" w:color="auto" w:fill="F2F2F2" w:themeFill="background1" w:themeFillShade="F2"/>
          </w:tcPr>
          <w:p w14:paraId="0C2FBDFC" w14:textId="0C7D3755" w:rsidR="00A23549" w:rsidRPr="00FD20EE" w:rsidRDefault="00334F1B" w:rsidP="009D4A54">
            <w:pPr>
              <w:pStyle w:val="ListParagraph"/>
              <w:numPr>
                <w:ilvl w:val="0"/>
                <w:numId w:val="110"/>
              </w:numPr>
              <w:ind w:left="290" w:hanging="268"/>
              <w:jc w:val="both"/>
              <w:rPr>
                <w:rFonts w:ascii="Arial" w:hAnsi="Arial" w:cs="Arial"/>
                <w:sz w:val="20"/>
              </w:rPr>
            </w:pPr>
            <w:r>
              <w:rPr>
                <w:rFonts w:ascii="Arial" w:hAnsi="Arial"/>
                <w:sz w:val="20"/>
              </w:rPr>
              <w:t>sabáticos; mobilidade</w:t>
            </w:r>
            <w:r w:rsidR="00072C7B" w:rsidRPr="00FD20EE">
              <w:rPr>
                <w:rStyle w:val="FootnoteReference"/>
                <w:rFonts w:ascii="Arial" w:hAnsi="Arial" w:cs="Arial"/>
                <w:sz w:val="20"/>
                <w:lang w:val="en-US"/>
              </w:rPr>
              <w:footnoteReference w:id="194"/>
            </w:r>
          </w:p>
        </w:tc>
      </w:tr>
      <w:tr w:rsidR="00A23549" w:rsidRPr="00FD20EE" w14:paraId="71D03B83" w14:textId="77777777" w:rsidTr="00B7519E">
        <w:tc>
          <w:tcPr>
            <w:tcW w:w="4392" w:type="dxa"/>
            <w:shd w:val="clear" w:color="auto" w:fill="F2F2F2" w:themeFill="background1" w:themeFillShade="F2"/>
          </w:tcPr>
          <w:p w14:paraId="4D0E77FB" w14:textId="77777777" w:rsidR="00A23549" w:rsidRPr="00FD20EE" w:rsidRDefault="00334F1B" w:rsidP="009D4A54">
            <w:pPr>
              <w:pStyle w:val="ListParagraph"/>
              <w:numPr>
                <w:ilvl w:val="0"/>
                <w:numId w:val="109"/>
              </w:numPr>
              <w:ind w:left="283" w:hanging="283"/>
              <w:jc w:val="both"/>
              <w:rPr>
                <w:rFonts w:ascii="Arial" w:hAnsi="Arial" w:cs="Arial"/>
                <w:sz w:val="20"/>
              </w:rPr>
            </w:pPr>
            <w:r>
              <w:rPr>
                <w:rFonts w:ascii="Arial" w:hAnsi="Arial"/>
                <w:sz w:val="20"/>
              </w:rPr>
              <w:t>questões tributárias</w:t>
            </w:r>
          </w:p>
        </w:tc>
        <w:tc>
          <w:tcPr>
            <w:tcW w:w="4424" w:type="dxa"/>
            <w:shd w:val="clear" w:color="auto" w:fill="F2F2F2" w:themeFill="background1" w:themeFillShade="F2"/>
          </w:tcPr>
          <w:p w14:paraId="3F1DB5B2" w14:textId="77777777" w:rsidR="00A23549" w:rsidRPr="00FD20EE" w:rsidRDefault="00334F1B" w:rsidP="009D4A54">
            <w:pPr>
              <w:pStyle w:val="ListParagraph"/>
              <w:numPr>
                <w:ilvl w:val="0"/>
                <w:numId w:val="110"/>
              </w:numPr>
              <w:ind w:left="290" w:hanging="268"/>
              <w:jc w:val="both"/>
              <w:rPr>
                <w:rFonts w:ascii="Arial" w:hAnsi="Arial" w:cs="Arial"/>
                <w:sz w:val="20"/>
              </w:rPr>
            </w:pPr>
            <w:r>
              <w:rPr>
                <w:rFonts w:ascii="Arial" w:hAnsi="Arial"/>
                <w:sz w:val="20"/>
              </w:rPr>
              <w:t>prestígio</w:t>
            </w:r>
          </w:p>
        </w:tc>
      </w:tr>
    </w:tbl>
    <w:p w14:paraId="5C88063A" w14:textId="77777777" w:rsidR="00B02FB0" w:rsidRPr="00FD20EE" w:rsidRDefault="00B02FB0" w:rsidP="00B7519E">
      <w:pPr>
        <w:spacing w:line="240" w:lineRule="auto"/>
        <w:rPr>
          <w:rFonts w:ascii="Arial" w:hAnsi="Arial" w:cs="Arial"/>
          <w:lang w:val="en-US" w:bidi="he-IL"/>
        </w:rPr>
      </w:pPr>
    </w:p>
    <w:p w14:paraId="6963BFCD" w14:textId="77777777" w:rsidR="00817C4F" w:rsidRPr="00FD20EE" w:rsidRDefault="00FA7A7B" w:rsidP="00817C4F">
      <w:pPr>
        <w:pStyle w:val="Heading3"/>
      </w:pPr>
      <w:bookmarkStart w:id="381" w:name="_Useful_Resources_Related"/>
      <w:bookmarkStart w:id="382" w:name="_Toc516160110"/>
      <w:bookmarkStart w:id="383" w:name="_Toc516219446"/>
      <w:bookmarkStart w:id="384" w:name="_Toc516496090"/>
      <w:bookmarkStart w:id="385" w:name="_Toc516829462"/>
      <w:bookmarkEnd w:id="381"/>
      <w:r>
        <w:t>Recursos Úteis Relacionados ao Artigo 10</w:t>
      </w:r>
      <w:bookmarkEnd w:id="382"/>
      <w:bookmarkEnd w:id="383"/>
      <w:bookmarkEnd w:id="384"/>
      <w:bookmarkEnd w:id="385"/>
    </w:p>
    <w:p w14:paraId="32C2086B" w14:textId="77777777" w:rsidR="00FA7A7B" w:rsidRPr="00FD20EE" w:rsidRDefault="00FA7A7B"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rPr>
      </w:pPr>
      <w:r>
        <w:rPr>
          <w:rFonts w:ascii="Arial" w:hAnsi="Arial"/>
          <w:b/>
          <w:color w:val="000000" w:themeColor="text1"/>
          <w:sz w:val="20"/>
        </w:rPr>
        <w:t>Publicações gerais que referem incentivos à comercialização de pesquisa acadêmica:</w:t>
      </w:r>
    </w:p>
    <w:p w14:paraId="58C9CEC1" w14:textId="77777777" w:rsidR="009C0F1C" w:rsidRPr="0024467F" w:rsidRDefault="003E7703" w:rsidP="009D4A54">
      <w:pPr>
        <w:pStyle w:val="FootnoteText"/>
        <w:numPr>
          <w:ilvl w:val="1"/>
          <w:numId w:val="140"/>
        </w:numPr>
        <w:ind w:left="851" w:hanging="425"/>
        <w:jc w:val="both"/>
        <w:rPr>
          <w:rStyle w:val="Hyperlink"/>
          <w:rFonts w:ascii="Arial" w:hAnsi="Arial" w:cs="Arial"/>
          <w:color w:val="auto"/>
          <w:u w:val="none"/>
          <w:lang w:val="en-US"/>
        </w:rPr>
      </w:pPr>
      <w:r w:rsidRPr="0024467F">
        <w:rPr>
          <w:rFonts w:ascii="Arial" w:hAnsi="Arial"/>
          <w:lang w:val="en-US"/>
        </w:rPr>
        <w:t xml:space="preserve">Zuniga, P. e Correa, P., </w:t>
      </w:r>
      <w:hyperlink r:id="rId164" w:history="1">
        <w:r w:rsidRPr="0024467F">
          <w:rPr>
            <w:rStyle w:val="Hyperlink"/>
            <w:rFonts w:ascii="Arial" w:hAnsi="Arial"/>
            <w:lang w:val="en-US"/>
          </w:rPr>
          <w:t>Technology Transfer from Public Research Organizations</w:t>
        </w:r>
      </w:hyperlink>
      <w:r w:rsidRPr="0024467F">
        <w:rPr>
          <w:rStyle w:val="Hyperlink"/>
          <w:rFonts w:ascii="Arial" w:hAnsi="Arial"/>
          <w:color w:val="auto"/>
          <w:u w:val="none"/>
          <w:lang w:val="en-US"/>
        </w:rPr>
        <w:t>, World Bank</w:t>
      </w:r>
      <w:r w:rsidR="009C0F1C" w:rsidRPr="00FD20EE">
        <w:rPr>
          <w:rStyle w:val="FootnoteReference"/>
          <w:rFonts w:ascii="Arial" w:hAnsi="Arial" w:cs="Arial"/>
          <w:lang w:val="en-US"/>
        </w:rPr>
        <w:footnoteReference w:id="195"/>
      </w:r>
    </w:p>
    <w:p w14:paraId="510DB2CE" w14:textId="77777777" w:rsidR="00FA7A7B" w:rsidRPr="00FD20EE" w:rsidRDefault="003E7703" w:rsidP="009D4A54">
      <w:pPr>
        <w:pStyle w:val="FootnoteText"/>
        <w:numPr>
          <w:ilvl w:val="1"/>
          <w:numId w:val="140"/>
        </w:numPr>
        <w:ind w:left="851" w:hanging="425"/>
        <w:jc w:val="both"/>
        <w:rPr>
          <w:rFonts w:ascii="Arial" w:hAnsi="Arial" w:cs="Arial"/>
        </w:rPr>
      </w:pPr>
      <w:r w:rsidRPr="0024467F">
        <w:rPr>
          <w:rFonts w:ascii="Arial" w:hAnsi="Arial"/>
          <w:lang w:val="en-US"/>
        </w:rPr>
        <w:t xml:space="preserve">Association for University Research and Industry Links (AURIL), Universities UK (2002), </w:t>
      </w:r>
      <w:r w:rsidRPr="0024467F">
        <w:rPr>
          <w:rFonts w:ascii="Arial" w:hAnsi="Arial"/>
          <w:i/>
          <w:lang w:val="en-US"/>
        </w:rPr>
        <w:t xml:space="preserve">A Guide to Managing Intellectual Property. </w:t>
      </w:r>
      <w:r>
        <w:rPr>
          <w:rFonts w:ascii="Arial" w:hAnsi="Arial"/>
          <w:i/>
        </w:rPr>
        <w:t xml:space="preserve">Strategic Decision-Making in Universities, </w:t>
      </w:r>
      <w:hyperlink r:id="rId165" w:history="1">
        <w:r>
          <w:rPr>
            <w:rStyle w:val="Hyperlink"/>
            <w:rFonts w:ascii="Arial" w:hAnsi="Arial"/>
          </w:rPr>
          <w:t>Chapter 4:</w:t>
        </w:r>
      </w:hyperlink>
      <w:hyperlink r:id="rId166" w:history="1">
        <w:r>
          <w:rPr>
            <w:rStyle w:val="Hyperlink"/>
            <w:rFonts w:ascii="Arial" w:hAnsi="Arial"/>
          </w:rPr>
          <w:t xml:space="preserve"> Incentives</w:t>
        </w:r>
      </w:hyperlink>
      <w:r>
        <w:rPr>
          <w:rFonts w:ascii="Arial" w:hAnsi="Arial"/>
        </w:rPr>
        <w:t>, pp. 60-69</w:t>
      </w:r>
    </w:p>
    <w:p w14:paraId="159169DF" w14:textId="77777777" w:rsidR="0095446F" w:rsidRPr="0024467F" w:rsidRDefault="00FA7A7B" w:rsidP="009D4A54">
      <w:pPr>
        <w:pStyle w:val="FootnoteText"/>
        <w:numPr>
          <w:ilvl w:val="1"/>
          <w:numId w:val="140"/>
        </w:numPr>
        <w:ind w:left="851" w:hanging="425"/>
        <w:jc w:val="both"/>
        <w:rPr>
          <w:rFonts w:ascii="Arial" w:hAnsi="Arial" w:cs="Arial"/>
          <w:lang w:val="en-US"/>
        </w:rPr>
      </w:pPr>
      <w:r w:rsidRPr="0024467F">
        <w:rPr>
          <w:rFonts w:ascii="Arial" w:hAnsi="Arial"/>
          <w:lang w:val="en-US"/>
        </w:rPr>
        <w:lastRenderedPageBreak/>
        <w:t xml:space="preserve">Scheinberg, S; Norgren, A.; Käll, J. (2009), </w:t>
      </w:r>
      <w:hyperlink r:id="rId167" w:history="1">
        <w:r w:rsidRPr="0024467F">
          <w:rPr>
            <w:rStyle w:val="Hyperlink"/>
            <w:rFonts w:ascii="Arial" w:hAnsi="Arial"/>
            <w:i/>
            <w:lang w:val="en-US"/>
          </w:rPr>
          <w:t>A Comparative Analysis of Institutional Innovation and IP Policies, Strategies and Practices.</w:t>
        </w:r>
      </w:hyperlink>
      <w:hyperlink r:id="rId168" w:history="1">
        <w:r w:rsidRPr="0024467F">
          <w:rPr>
            <w:rStyle w:val="Hyperlink"/>
            <w:rFonts w:ascii="Arial" w:hAnsi="Arial"/>
            <w:i/>
            <w:lang w:val="en-US"/>
          </w:rPr>
          <w:t xml:space="preserve"> Results of the Micro-Level Analysis of the IP Unilink project</w:t>
        </w:r>
      </w:hyperlink>
      <w:r w:rsidRPr="0024467F">
        <w:rPr>
          <w:rFonts w:ascii="Arial" w:hAnsi="Arial"/>
          <w:lang w:val="en-US"/>
        </w:rPr>
        <w:t xml:space="preserve">, IP Unilink Consortium  </w:t>
      </w:r>
    </w:p>
    <w:p w14:paraId="06974C1C" w14:textId="7274AE9A" w:rsidR="003E7703" w:rsidRPr="0024467F" w:rsidRDefault="0095446F" w:rsidP="009D4A54">
      <w:pPr>
        <w:pStyle w:val="FootnoteText"/>
        <w:numPr>
          <w:ilvl w:val="1"/>
          <w:numId w:val="140"/>
        </w:numPr>
        <w:ind w:left="851" w:hanging="425"/>
        <w:jc w:val="both"/>
        <w:rPr>
          <w:rFonts w:ascii="Arial" w:hAnsi="Arial" w:cs="Arial"/>
          <w:lang w:val="en-US"/>
        </w:rPr>
      </w:pPr>
      <w:r w:rsidRPr="0024467F">
        <w:rPr>
          <w:rFonts w:ascii="Arial" w:hAnsi="Arial"/>
          <w:lang w:val="en-US"/>
        </w:rPr>
        <w:t>Yencken, J. e Ralston, L. (2005), Evaluation of incentives for commercialization of research in Australian universities: a survey of selected Australian universities</w:t>
      </w:r>
      <w:r w:rsidRPr="00FD20EE">
        <w:rPr>
          <w:rStyle w:val="FootnoteReference"/>
          <w:rFonts w:ascii="Arial" w:hAnsi="Arial" w:cs="Arial"/>
          <w:lang w:val="en-US"/>
        </w:rPr>
        <w:footnoteReference w:id="196"/>
      </w:r>
      <w:r w:rsidRPr="0024467F">
        <w:rPr>
          <w:rFonts w:ascii="Arial" w:hAnsi="Arial"/>
          <w:lang w:val="en-US"/>
        </w:rPr>
        <w:t xml:space="preserve">  </w:t>
      </w:r>
    </w:p>
    <w:p w14:paraId="754F7535" w14:textId="77777777" w:rsidR="003E7703" w:rsidRPr="00FD20EE" w:rsidRDefault="003E7703" w:rsidP="00B7519E">
      <w:pPr>
        <w:pStyle w:val="FootnoteText"/>
        <w:jc w:val="both"/>
        <w:rPr>
          <w:rFonts w:ascii="Arial" w:hAnsi="Arial" w:cs="Arial"/>
          <w:sz w:val="18"/>
          <w:lang w:val="en-US"/>
        </w:rPr>
      </w:pPr>
    </w:p>
    <w:p w14:paraId="04506473" w14:textId="77777777" w:rsidR="003E7703" w:rsidRPr="00FD20EE" w:rsidRDefault="003E7703"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rPr>
      </w:pPr>
      <w:r>
        <w:rPr>
          <w:rFonts w:ascii="Arial" w:hAnsi="Arial"/>
          <w:b/>
          <w:color w:val="000000" w:themeColor="text1"/>
          <w:sz w:val="20"/>
        </w:rPr>
        <w:t>Legislação nacional sobre incentivos:</w:t>
      </w:r>
    </w:p>
    <w:p w14:paraId="1B2A3C5D" w14:textId="77777777" w:rsidR="00464282" w:rsidRPr="00FD20EE" w:rsidRDefault="00464282" w:rsidP="009D4A54">
      <w:pPr>
        <w:pStyle w:val="ListParagraph"/>
        <w:numPr>
          <w:ilvl w:val="1"/>
          <w:numId w:val="111"/>
        </w:numPr>
        <w:spacing w:after="0" w:line="240" w:lineRule="auto"/>
        <w:ind w:left="850" w:hanging="425"/>
        <w:jc w:val="both"/>
        <w:rPr>
          <w:rFonts w:ascii="Arial" w:eastAsiaTheme="minorHAnsi" w:hAnsi="Arial" w:cs="Arial"/>
          <w:sz w:val="20"/>
        </w:rPr>
      </w:pPr>
      <w:r>
        <w:rPr>
          <w:rFonts w:ascii="Arial" w:hAnsi="Arial"/>
          <w:sz w:val="20"/>
        </w:rPr>
        <w:t xml:space="preserve">Uma visão geral da legislação sobre compensações a inventores em economias selecionadas de baixa e média renda é fornecida em </w:t>
      </w:r>
      <w:hyperlink r:id="rId169" w:history="1">
        <w:r>
          <w:rPr>
            <w:rStyle w:val="Hyperlink"/>
            <w:rFonts w:ascii="Arial" w:hAnsi="Arial"/>
            <w:sz w:val="20"/>
          </w:rPr>
          <w:t>Harnessing public research for innovation – the role of Intellectual Property</w:t>
        </w:r>
      </w:hyperlink>
      <w:r>
        <w:rPr>
          <w:rFonts w:ascii="Arial" w:hAnsi="Arial"/>
          <w:sz w:val="20"/>
        </w:rPr>
        <w:t>, tabela A.4.1 do Anexo.</w:t>
      </w:r>
    </w:p>
    <w:p w14:paraId="3E5A722F" w14:textId="77777777" w:rsidR="003E7703" w:rsidRPr="0024467F" w:rsidRDefault="003E7703" w:rsidP="009D4A54">
      <w:pPr>
        <w:pStyle w:val="FootnoteText"/>
        <w:numPr>
          <w:ilvl w:val="1"/>
          <w:numId w:val="141"/>
        </w:numPr>
        <w:ind w:left="851" w:hanging="425"/>
        <w:jc w:val="both"/>
        <w:rPr>
          <w:rFonts w:ascii="Arial" w:hAnsi="Arial" w:cs="Arial"/>
          <w:lang w:val="en-US"/>
        </w:rPr>
      </w:pPr>
      <w:r w:rsidRPr="0024467F">
        <w:rPr>
          <w:rFonts w:ascii="Arial" w:hAnsi="Arial"/>
          <w:color w:val="000000" w:themeColor="text1"/>
          <w:lang w:val="en-US"/>
        </w:rPr>
        <w:t xml:space="preserve">Paraskevopoulou, E. (2013), </w:t>
      </w:r>
      <w:hyperlink r:id="rId170" w:history="1">
        <w:r w:rsidRPr="0024467F">
          <w:rPr>
            <w:rStyle w:val="Hyperlink"/>
            <w:rFonts w:ascii="Arial" w:hAnsi="Arial"/>
            <w:i/>
            <w:lang w:val="en-US"/>
          </w:rPr>
          <w:t>The adoption of Bayh-Dole type policies in developing countries</w:t>
        </w:r>
      </w:hyperlink>
      <w:r w:rsidRPr="0024467F">
        <w:rPr>
          <w:rFonts w:ascii="Arial" w:hAnsi="Arial"/>
          <w:color w:val="000000" w:themeColor="text1"/>
          <w:lang w:val="en-US"/>
        </w:rPr>
        <w:t xml:space="preserve">, World Bank </w:t>
      </w:r>
    </w:p>
    <w:p w14:paraId="2EDB49F8" w14:textId="77777777" w:rsidR="003E7703" w:rsidRPr="0024467F" w:rsidRDefault="003E7703" w:rsidP="009D4A54">
      <w:pPr>
        <w:pStyle w:val="ListParagraph"/>
        <w:numPr>
          <w:ilvl w:val="1"/>
          <w:numId w:val="141"/>
        </w:numPr>
        <w:spacing w:after="0" w:line="240" w:lineRule="auto"/>
        <w:ind w:left="851" w:hanging="425"/>
        <w:jc w:val="both"/>
        <w:rPr>
          <w:rFonts w:ascii="Arial" w:eastAsia="Times New Roman" w:hAnsi="Arial" w:cs="Arial"/>
          <w:color w:val="000000" w:themeColor="text1"/>
          <w:sz w:val="20"/>
          <w:lang w:val="en-US"/>
        </w:rPr>
      </w:pPr>
      <w:r w:rsidRPr="0024467F">
        <w:rPr>
          <w:rFonts w:ascii="Arial" w:hAnsi="Arial"/>
          <w:sz w:val="20"/>
          <w:lang w:val="en-US"/>
        </w:rPr>
        <w:t xml:space="preserve">Artigo referente à legislação da Comunidade da Virgínia sobre incentivos: </w:t>
      </w:r>
      <w:r w:rsidRPr="0024467F">
        <w:rPr>
          <w:rFonts w:ascii="Arial" w:hAnsi="Arial"/>
          <w:i/>
          <w:sz w:val="20"/>
          <w:lang w:val="en-US"/>
        </w:rPr>
        <w:t>Incentives for Bioscience Research, Commercialization and Investment in the Commonwealth</w:t>
      </w:r>
      <w:r w:rsidRPr="0024467F">
        <w:rPr>
          <w:rFonts w:ascii="Arial" w:hAnsi="Arial"/>
          <w:sz w:val="20"/>
          <w:lang w:val="en-US"/>
        </w:rPr>
        <w:t xml:space="preserve">, </w:t>
      </w:r>
      <w:hyperlink r:id="rId171" w:history="1">
        <w:r w:rsidRPr="0024467F">
          <w:rPr>
            <w:rStyle w:val="Hyperlink"/>
            <w:rFonts w:ascii="Arial" w:hAnsi="Arial"/>
            <w:sz w:val="20"/>
            <w:lang w:val="en-US"/>
          </w:rPr>
          <w:t>site VirginiaBio</w:t>
        </w:r>
      </w:hyperlink>
    </w:p>
    <w:p w14:paraId="2DB18137" w14:textId="77777777" w:rsidR="00FA7A7B" w:rsidRPr="00FD20EE" w:rsidRDefault="00FA7A7B" w:rsidP="00B7519E">
      <w:pPr>
        <w:pStyle w:val="FootnoteText"/>
        <w:ind w:left="851"/>
        <w:rPr>
          <w:rStyle w:val="Hyperlink"/>
          <w:rFonts w:ascii="Arial" w:hAnsi="Arial" w:cs="Arial"/>
          <w:color w:val="auto"/>
          <w:u w:val="none"/>
          <w:lang w:val="en-US"/>
        </w:rPr>
      </w:pPr>
    </w:p>
    <w:p w14:paraId="0DB6F7D2" w14:textId="77777777"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rPr>
      </w:pPr>
      <w:r>
        <w:rPr>
          <w:rFonts w:ascii="Arial" w:hAnsi="Arial"/>
          <w:b/>
          <w:color w:val="000000" w:themeColor="text1"/>
          <w:sz w:val="20"/>
        </w:rPr>
        <w:t>Diretrizes de Instituição de Pesquisa e de Universidade</w:t>
      </w:r>
    </w:p>
    <w:p w14:paraId="3F4DE8CA" w14:textId="77777777" w:rsidR="003E7703" w:rsidRPr="00FD20EE" w:rsidRDefault="00F265CB" w:rsidP="009D4A54">
      <w:pPr>
        <w:pStyle w:val="ListParagraph"/>
        <w:numPr>
          <w:ilvl w:val="1"/>
          <w:numId w:val="142"/>
        </w:numPr>
        <w:spacing w:after="0"/>
        <w:ind w:left="851" w:hanging="425"/>
        <w:jc w:val="both"/>
        <w:rPr>
          <w:rFonts w:ascii="Arial" w:eastAsia="Times New Roman" w:hAnsi="Arial" w:cs="Arial"/>
          <w:color w:val="000000" w:themeColor="text1"/>
          <w:sz w:val="20"/>
        </w:rPr>
      </w:pPr>
      <w:hyperlink r:id="rId172" w:history="1">
        <w:r w:rsidR="00372C70">
          <w:rPr>
            <w:rStyle w:val="Hyperlink"/>
            <w:rFonts w:ascii="Arial" w:hAnsi="Arial"/>
            <w:sz w:val="20"/>
          </w:rPr>
          <w:t>Diretriz 6 de 2018</w:t>
        </w:r>
      </w:hyperlink>
      <w:r w:rsidR="00372C70">
        <w:rPr>
          <w:rFonts w:ascii="Arial" w:hAnsi="Arial"/>
          <w:color w:val="000000" w:themeColor="text1"/>
          <w:sz w:val="20"/>
        </w:rPr>
        <w:t xml:space="preserve">, </w:t>
      </w:r>
      <w:r w:rsidR="00372C70">
        <w:rPr>
          <w:rFonts w:ascii="Arial" w:hAnsi="Arial"/>
          <w:color w:val="333333"/>
          <w:sz w:val="20"/>
        </w:rPr>
        <w:t xml:space="preserve">Escritório Nacional de Gestão da Propriedade Intelectual (ENGPI) </w:t>
      </w:r>
    </w:p>
    <w:p w14:paraId="2AE85B63" w14:textId="77777777" w:rsidR="00FA7A7B" w:rsidRPr="00FD20EE" w:rsidRDefault="003E7703" w:rsidP="009D4A54">
      <w:pPr>
        <w:pStyle w:val="ListParagraph"/>
        <w:numPr>
          <w:ilvl w:val="1"/>
          <w:numId w:val="142"/>
        </w:numPr>
        <w:spacing w:after="0"/>
        <w:ind w:left="851" w:hanging="425"/>
        <w:jc w:val="both"/>
        <w:rPr>
          <w:rFonts w:ascii="Arial" w:eastAsia="Times New Roman" w:hAnsi="Arial" w:cs="Arial"/>
          <w:color w:val="000000" w:themeColor="text1"/>
          <w:sz w:val="20"/>
        </w:rPr>
      </w:pPr>
      <w:r>
        <w:rPr>
          <w:rFonts w:ascii="Arial" w:hAnsi="Arial"/>
          <w:color w:val="000000" w:themeColor="text1"/>
          <w:sz w:val="20"/>
        </w:rPr>
        <w:t>Sobre a participação societária da universidade e do fundador/pesquisador: Universidade de Edimburgo</w:t>
      </w:r>
      <w:r>
        <w:rPr>
          <w:rFonts w:ascii="Arial" w:hAnsi="Arial"/>
          <w:sz w:val="20"/>
        </w:rPr>
        <w:t xml:space="preserve"> “</w:t>
      </w:r>
      <w:hyperlink r:id="rId173" w:history="1">
        <w:r>
          <w:rPr>
            <w:rStyle w:val="Hyperlink"/>
            <w:rFonts w:ascii="Arial" w:hAnsi="Arial"/>
            <w:sz w:val="20"/>
          </w:rPr>
          <w:t>Spin Out Support Guide</w:t>
        </w:r>
      </w:hyperlink>
      <w:r>
        <w:rPr>
          <w:rFonts w:ascii="Arial" w:hAnsi="Arial"/>
          <w:sz w:val="20"/>
        </w:rPr>
        <w:t>”.</w:t>
      </w:r>
    </w:p>
    <w:p w14:paraId="2F069BD0" w14:textId="77777777" w:rsidR="004B3FAF" w:rsidRPr="0024467F" w:rsidRDefault="004B3FAF" w:rsidP="004B3FAF">
      <w:pPr>
        <w:pStyle w:val="ListParagraph"/>
        <w:spacing w:after="0"/>
        <w:ind w:left="851"/>
        <w:jc w:val="both"/>
        <w:rPr>
          <w:rFonts w:ascii="Arial" w:eastAsia="Times New Roman" w:hAnsi="Arial" w:cs="Arial"/>
          <w:color w:val="000000" w:themeColor="text1"/>
          <w:sz w:val="20"/>
          <w:lang w:eastAsia="en-US"/>
        </w:rPr>
      </w:pPr>
    </w:p>
    <w:p w14:paraId="2B9452E8" w14:textId="77777777"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rPr>
      </w:pPr>
      <w:r>
        <w:rPr>
          <w:rFonts w:ascii="Arial" w:hAnsi="Arial"/>
          <w:b/>
          <w:color w:val="000000" w:themeColor="text1"/>
          <w:sz w:val="20"/>
        </w:rPr>
        <w:t>Exemplos de programas de incentivos</w:t>
      </w:r>
    </w:p>
    <w:p w14:paraId="743D47AC" w14:textId="77777777" w:rsidR="003E7703" w:rsidRPr="00FD20EE" w:rsidRDefault="00F265CB" w:rsidP="009D4A54">
      <w:pPr>
        <w:pStyle w:val="ListParagraph"/>
        <w:numPr>
          <w:ilvl w:val="1"/>
          <w:numId w:val="143"/>
        </w:numPr>
        <w:spacing w:after="0"/>
        <w:ind w:left="851" w:hanging="425"/>
        <w:jc w:val="both"/>
        <w:rPr>
          <w:rFonts w:ascii="Arial" w:eastAsia="Times New Roman" w:hAnsi="Arial" w:cs="Arial"/>
          <w:color w:val="000000" w:themeColor="text1"/>
          <w:sz w:val="20"/>
        </w:rPr>
      </w:pPr>
      <w:hyperlink r:id="rId174" w:anchor="tab=panel-2" w:history="1">
        <w:r w:rsidR="00372C70">
          <w:rPr>
            <w:rStyle w:val="Hyperlink"/>
            <w:rFonts w:ascii="Arial" w:hAnsi="Arial"/>
            <w:sz w:val="20"/>
          </w:rPr>
          <w:t>Waterford Institute of Technology</w:t>
        </w:r>
      </w:hyperlink>
      <w:r w:rsidR="00372C70">
        <w:rPr>
          <w:rFonts w:ascii="Arial" w:hAnsi="Arial"/>
          <w:sz w:val="20"/>
        </w:rPr>
        <w:t>, Política de propriedade intelectual da Irlanda (WIT) (trecho) pp. 17-19</w:t>
      </w:r>
    </w:p>
    <w:p w14:paraId="6DF396EE" w14:textId="77777777" w:rsidR="003E7703" w:rsidRPr="00FD20EE" w:rsidRDefault="00F265CB" w:rsidP="009D4A54">
      <w:pPr>
        <w:pStyle w:val="ListParagraph"/>
        <w:numPr>
          <w:ilvl w:val="1"/>
          <w:numId w:val="143"/>
        </w:numPr>
        <w:spacing w:after="0"/>
        <w:ind w:left="851" w:hanging="425"/>
        <w:jc w:val="both"/>
        <w:rPr>
          <w:rFonts w:ascii="Arial" w:eastAsia="Times New Roman" w:hAnsi="Arial" w:cs="Arial"/>
          <w:color w:val="000000" w:themeColor="text1"/>
          <w:sz w:val="20"/>
        </w:rPr>
      </w:pPr>
      <w:hyperlink r:id="rId175" w:history="1">
        <w:r w:rsidR="00372C70" w:rsidRPr="0024467F">
          <w:rPr>
            <w:rStyle w:val="Hyperlink"/>
            <w:rFonts w:ascii="Arial" w:hAnsi="Arial"/>
            <w:sz w:val="20"/>
            <w:lang w:val="en-US"/>
          </w:rPr>
          <w:t>Innovation Fund Patent Incentive Fund for Research Institutions</w:t>
        </w:r>
      </w:hyperlink>
      <w:r w:rsidR="00372C70" w:rsidRPr="0024467F">
        <w:rPr>
          <w:rFonts w:ascii="Arial" w:hAnsi="Arial"/>
          <w:sz w:val="20"/>
          <w:lang w:val="en-US"/>
        </w:rPr>
        <w:t xml:space="preserve">. </w:t>
      </w:r>
      <w:r w:rsidR="00372C70">
        <w:rPr>
          <w:rFonts w:ascii="Arial" w:hAnsi="Arial"/>
          <w:sz w:val="20"/>
        </w:rPr>
        <w:t>Política e Diretrizes para Aplicação (África do Sul)</w:t>
      </w:r>
    </w:p>
    <w:p w14:paraId="34F215A2" w14:textId="77777777" w:rsidR="003E7703" w:rsidRPr="00FD20EE" w:rsidRDefault="00F265CB" w:rsidP="009D4A54">
      <w:pPr>
        <w:pStyle w:val="ListParagraph"/>
        <w:numPr>
          <w:ilvl w:val="1"/>
          <w:numId w:val="143"/>
        </w:numPr>
        <w:spacing w:after="0"/>
        <w:ind w:left="851" w:hanging="425"/>
        <w:jc w:val="both"/>
        <w:rPr>
          <w:rFonts w:ascii="Arial" w:eastAsia="Times New Roman" w:hAnsi="Arial" w:cs="Arial"/>
          <w:color w:val="000000" w:themeColor="text1"/>
          <w:sz w:val="20"/>
        </w:rPr>
      </w:pPr>
      <w:hyperlink r:id="rId176" w:history="1">
        <w:r w:rsidR="00372C70">
          <w:rPr>
            <w:rStyle w:val="Hyperlink"/>
            <w:rFonts w:ascii="Arial" w:hAnsi="Arial"/>
            <w:sz w:val="20"/>
          </w:rPr>
          <w:t>Oregon State University Incentive Programs</w:t>
        </w:r>
      </w:hyperlink>
      <w:r w:rsidR="00372C70">
        <w:rPr>
          <w:rFonts w:ascii="Arial" w:hAnsi="Arial"/>
          <w:sz w:val="20"/>
        </w:rPr>
        <w:t xml:space="preserve"> fornecido pelo Escritório de Pesquisa da Universidade</w:t>
      </w:r>
    </w:p>
    <w:p w14:paraId="4634B45A" w14:textId="77777777" w:rsidR="003E7703" w:rsidRPr="00FD20EE" w:rsidRDefault="00F265CB" w:rsidP="009D4A54">
      <w:pPr>
        <w:pStyle w:val="ListParagraph"/>
        <w:numPr>
          <w:ilvl w:val="0"/>
          <w:numId w:val="111"/>
        </w:numPr>
        <w:tabs>
          <w:tab w:val="left" w:pos="1418"/>
        </w:tabs>
        <w:spacing w:after="0"/>
        <w:ind w:left="1418" w:hanging="425"/>
        <w:jc w:val="both"/>
        <w:rPr>
          <w:rFonts w:ascii="Arial" w:hAnsi="Arial" w:cs="Arial"/>
          <w:sz w:val="20"/>
        </w:rPr>
      </w:pPr>
      <w:hyperlink r:id="rId177" w:history="1">
        <w:r w:rsidR="00372C70">
          <w:rPr>
            <w:rStyle w:val="Hyperlink"/>
            <w:rFonts w:ascii="Arial" w:hAnsi="Arial"/>
            <w:sz w:val="20"/>
          </w:rPr>
          <w:t>General Research Fund</w:t>
        </w:r>
      </w:hyperlink>
    </w:p>
    <w:p w14:paraId="6EF7CBFD" w14:textId="77777777" w:rsidR="003E7703" w:rsidRPr="00FD20EE" w:rsidRDefault="00F265CB" w:rsidP="009D4A54">
      <w:pPr>
        <w:pStyle w:val="ListParagraph"/>
        <w:numPr>
          <w:ilvl w:val="0"/>
          <w:numId w:val="111"/>
        </w:numPr>
        <w:tabs>
          <w:tab w:val="left" w:pos="1418"/>
        </w:tabs>
        <w:spacing w:after="0"/>
        <w:ind w:left="1418" w:hanging="425"/>
        <w:jc w:val="both"/>
        <w:rPr>
          <w:rFonts w:ascii="Arial" w:hAnsi="Arial" w:cs="Arial"/>
          <w:sz w:val="20"/>
        </w:rPr>
      </w:pPr>
      <w:hyperlink r:id="rId178" w:history="1">
        <w:r w:rsidR="00372C70">
          <w:rPr>
            <w:rStyle w:val="Hyperlink"/>
            <w:rFonts w:ascii="Arial" w:hAnsi="Arial"/>
            <w:sz w:val="20"/>
          </w:rPr>
          <w:t>Faculty Release Time</w:t>
        </w:r>
      </w:hyperlink>
    </w:p>
    <w:p w14:paraId="3359AD4F" w14:textId="77777777" w:rsidR="003E7703" w:rsidRPr="00FD20EE" w:rsidRDefault="00F265CB" w:rsidP="009D4A54">
      <w:pPr>
        <w:pStyle w:val="ListParagraph"/>
        <w:numPr>
          <w:ilvl w:val="0"/>
          <w:numId w:val="111"/>
        </w:numPr>
        <w:tabs>
          <w:tab w:val="left" w:pos="1418"/>
        </w:tabs>
        <w:spacing w:after="0"/>
        <w:ind w:left="1418" w:hanging="425"/>
        <w:jc w:val="both"/>
        <w:rPr>
          <w:rFonts w:ascii="Arial" w:hAnsi="Arial" w:cs="Arial"/>
          <w:sz w:val="20"/>
        </w:rPr>
      </w:pPr>
      <w:hyperlink r:id="rId179" w:history="1">
        <w:r w:rsidR="00372C70">
          <w:rPr>
            <w:rStyle w:val="Hyperlink"/>
            <w:rFonts w:ascii="Arial" w:hAnsi="Arial"/>
            <w:sz w:val="20"/>
          </w:rPr>
          <w:t>Research Equipment Reserve Fund</w:t>
        </w:r>
      </w:hyperlink>
    </w:p>
    <w:p w14:paraId="125A880B" w14:textId="77777777" w:rsidR="003E7703" w:rsidRPr="0024467F" w:rsidRDefault="00F265CB"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80" w:history="1">
        <w:r w:rsidR="00372C70" w:rsidRPr="0024467F">
          <w:rPr>
            <w:rStyle w:val="Hyperlink"/>
            <w:rFonts w:ascii="Arial" w:hAnsi="Arial"/>
            <w:sz w:val="20"/>
            <w:lang w:val="en-US"/>
          </w:rPr>
          <w:t>Undergraduate Research, Innovation, Scholarship &amp; Creativity</w:t>
        </w:r>
      </w:hyperlink>
      <w:r w:rsidR="00372C70" w:rsidRPr="0024467F">
        <w:rPr>
          <w:rFonts w:ascii="Arial" w:hAnsi="Arial"/>
          <w:sz w:val="20"/>
          <w:lang w:val="en-US"/>
        </w:rPr>
        <w:t xml:space="preserve"> (URISC)</w:t>
      </w:r>
    </w:p>
    <w:p w14:paraId="3621C764" w14:textId="77777777" w:rsidR="003E7703" w:rsidRPr="00FD20EE" w:rsidRDefault="003E7703" w:rsidP="003E7703">
      <w:pPr>
        <w:pStyle w:val="ListParagraph"/>
        <w:jc w:val="both"/>
        <w:rPr>
          <w:b/>
          <w:lang w:val="en-US"/>
        </w:rPr>
      </w:pPr>
    </w:p>
    <w:p w14:paraId="48EB2669" w14:textId="77777777" w:rsidR="00621A21" w:rsidRDefault="00621A21" w:rsidP="00E73746">
      <w:pPr>
        <w:pStyle w:val="ListParagraph"/>
        <w:spacing w:after="0" w:line="240" w:lineRule="auto"/>
        <w:ind w:left="405"/>
        <w:jc w:val="both"/>
        <w:rPr>
          <w:rFonts w:ascii="Arial" w:hAnsi="Arial" w:cs="Arial"/>
          <w:color w:val="000000" w:themeColor="text1"/>
          <w:lang w:val="en-US"/>
        </w:rPr>
      </w:pPr>
    </w:p>
    <w:p w14:paraId="002D773F"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0CE2452A" w14:textId="77777777" w:rsidR="00ED5924" w:rsidRPr="0024467F" w:rsidRDefault="00ED5924" w:rsidP="002F3C51">
      <w:pPr>
        <w:pStyle w:val="Heading2"/>
        <w:rPr>
          <w:lang w:val="en-US"/>
        </w:rPr>
      </w:pPr>
      <w:bookmarkStart w:id="386" w:name="_Toc490821214"/>
      <w:bookmarkStart w:id="387" w:name="_Toc490468526"/>
      <w:bookmarkStart w:id="388" w:name="_Toc486176931"/>
    </w:p>
    <w:p w14:paraId="5F8425FC" w14:textId="77777777" w:rsidR="00E22076" w:rsidRPr="00FD20EE" w:rsidRDefault="004454DD" w:rsidP="002F3C51">
      <w:pPr>
        <w:pStyle w:val="Heading2"/>
      </w:pPr>
      <w:bookmarkStart w:id="389" w:name="_Toc516160111"/>
      <w:bookmarkStart w:id="390" w:name="_Toc516219447"/>
      <w:bookmarkStart w:id="391" w:name="_Toc516496091"/>
      <w:bookmarkStart w:id="392" w:name="_Toc516829463"/>
      <w:bookmarkStart w:id="393" w:name="_Toc185241089"/>
      <w:r>
        <w:t xml:space="preserve">ARTIGO 11 – </w:t>
      </w:r>
      <w:bookmarkEnd w:id="386"/>
      <w:r>
        <w:t xml:space="preserve"> </w:t>
      </w:r>
      <w:bookmarkEnd w:id="387"/>
      <w:r>
        <w:t>MANUTENÇÃO DE PORTFÓLIO DE PI</w:t>
      </w:r>
      <w:bookmarkEnd w:id="389"/>
      <w:bookmarkEnd w:id="390"/>
      <w:bookmarkEnd w:id="391"/>
      <w:bookmarkEnd w:id="392"/>
      <w:bookmarkEnd w:id="393"/>
    </w:p>
    <w:p w14:paraId="6BB22A8E" w14:textId="77777777" w:rsidR="00ED5924" w:rsidRPr="0024467F" w:rsidRDefault="00ED5924" w:rsidP="002F3C51">
      <w:pPr>
        <w:pStyle w:val="Heading2"/>
      </w:pPr>
    </w:p>
    <w:bookmarkEnd w:id="388"/>
    <w:p w14:paraId="2D178D03" w14:textId="77777777" w:rsidR="00F522D8" w:rsidRPr="0024467F" w:rsidRDefault="00F522D8" w:rsidP="00E73746">
      <w:pPr>
        <w:tabs>
          <w:tab w:val="left" w:pos="567"/>
        </w:tabs>
        <w:spacing w:after="0" w:line="240" w:lineRule="auto"/>
        <w:jc w:val="both"/>
        <w:rPr>
          <w:rFonts w:ascii="Arial" w:hAnsi="Arial" w:cs="Arial"/>
          <w:color w:val="000000" w:themeColor="text1"/>
        </w:rPr>
      </w:pPr>
    </w:p>
    <w:p w14:paraId="7B8976A4" w14:textId="77777777" w:rsidR="00BE57E1" w:rsidRPr="00FD20EE" w:rsidRDefault="003B01CB" w:rsidP="00B7519E">
      <w:pPr>
        <w:tabs>
          <w:tab w:val="left" w:pos="567"/>
        </w:tabs>
        <w:spacing w:after="0" w:line="240" w:lineRule="auto"/>
        <w:jc w:val="both"/>
        <w:rPr>
          <w:rFonts w:ascii="Arial" w:eastAsia="Times New Roman" w:hAnsi="Arial" w:cs="Arial"/>
          <w:b/>
          <w:color w:val="0070C0"/>
        </w:rPr>
      </w:pPr>
      <w:bookmarkStart w:id="394" w:name="_Toc486176932"/>
      <w:r>
        <w:rPr>
          <w:rFonts w:ascii="Arial" w:hAnsi="Arial"/>
          <w:b/>
          <w:color w:val="0070C0"/>
        </w:rPr>
        <w:t xml:space="preserve">Registro, Monitoramento e Contabilidade </w:t>
      </w:r>
    </w:p>
    <w:p w14:paraId="63996783" w14:textId="77777777" w:rsidR="00BE57E1" w:rsidRPr="00FD20EE" w:rsidRDefault="00BE57E1" w:rsidP="00B7519E">
      <w:pPr>
        <w:tabs>
          <w:tab w:val="left" w:pos="567"/>
        </w:tabs>
        <w:spacing w:after="0" w:line="240" w:lineRule="auto"/>
        <w:jc w:val="both"/>
        <w:rPr>
          <w:rFonts w:ascii="Arial" w:eastAsia="Times New Roman" w:hAnsi="Arial" w:cs="Arial"/>
          <w:b/>
          <w:color w:val="0070C0"/>
          <w:lang w:val="en-US"/>
        </w:rPr>
      </w:pPr>
    </w:p>
    <w:p w14:paraId="0F250933" w14:textId="77777777" w:rsidR="00A4021B" w:rsidRPr="00C04211" w:rsidRDefault="00F20AED" w:rsidP="009D4A54">
      <w:pPr>
        <w:pStyle w:val="ListParagraph"/>
        <w:numPr>
          <w:ilvl w:val="0"/>
          <w:numId w:val="153"/>
        </w:numPr>
        <w:autoSpaceDE w:val="0"/>
        <w:autoSpaceDN w:val="0"/>
        <w:adjustRightInd w:val="0"/>
        <w:spacing w:after="0" w:line="240" w:lineRule="auto"/>
        <w:ind w:left="426" w:hanging="426"/>
        <w:jc w:val="both"/>
        <w:rPr>
          <w:rFonts w:ascii="Arial" w:hAnsi="Arial" w:cs="Arial"/>
          <w:sz w:val="20"/>
          <w:szCs w:val="18"/>
        </w:rPr>
      </w:pPr>
      <w:r>
        <w:rPr>
          <w:rFonts w:ascii="Arial" w:hAnsi="Arial"/>
          <w:b/>
          <w:sz w:val="20"/>
        </w:rPr>
        <w:t xml:space="preserve">Artigo 11.1, </w:t>
      </w:r>
      <w:r>
        <w:rPr>
          <w:rFonts w:ascii="Arial" w:hAnsi="Arial"/>
          <w:b/>
          <w:i/>
          <w:sz w:val="20"/>
        </w:rPr>
        <w:t>O EGPI manterá registros da PI da Instituição</w:t>
      </w:r>
      <w:r>
        <w:rPr>
          <w:rFonts w:ascii="Arial" w:hAnsi="Arial"/>
          <w:sz w:val="20"/>
        </w:rPr>
        <w:t xml:space="preserve">: É importante revisar frequentemente o portfólio de PI da Instituição para determinar se cada PI individual continua atendendo aos interesses e estratégias da Instituição, caso não esteja licenciada. Quando os pedidos de PI parecem estar bloqueados em processos judiciais prolongados, ou quando as taxas de manutenção vencem, esses tópicos devem desencadear a tomada de decisões pelo EGPI - e talvez pelo Comitê de PI - para considerar abandonar ou manter a PI. </w:t>
      </w:r>
    </w:p>
    <w:p w14:paraId="1ADE9FA1" w14:textId="77777777" w:rsidR="00A4021B" w:rsidRPr="0024467F" w:rsidRDefault="00A4021B" w:rsidP="00A4021B">
      <w:pPr>
        <w:autoSpaceDE w:val="0"/>
        <w:autoSpaceDN w:val="0"/>
        <w:adjustRightInd w:val="0"/>
        <w:spacing w:after="0" w:line="240" w:lineRule="auto"/>
        <w:rPr>
          <w:rFonts w:ascii="Arial" w:hAnsi="Arial" w:cs="Arial"/>
          <w:szCs w:val="18"/>
          <w:highlight w:val="yellow"/>
        </w:rPr>
      </w:pPr>
    </w:p>
    <w:p w14:paraId="699E9C82" w14:textId="77777777" w:rsidR="00A4021B" w:rsidRPr="0024467F" w:rsidRDefault="00A4021B" w:rsidP="00A4021B">
      <w:pPr>
        <w:pStyle w:val="ListParagraph"/>
        <w:autoSpaceDE w:val="0"/>
        <w:autoSpaceDN w:val="0"/>
        <w:adjustRightInd w:val="0"/>
        <w:spacing w:after="0" w:line="240" w:lineRule="auto"/>
        <w:ind w:left="426"/>
        <w:rPr>
          <w:rFonts w:ascii="Arial" w:hAnsi="Arial" w:cs="Arial"/>
          <w:szCs w:val="18"/>
          <w:highlight w:val="yellow"/>
        </w:rPr>
      </w:pPr>
    </w:p>
    <w:p w14:paraId="04E709D6" w14:textId="77777777" w:rsidR="00A4021B" w:rsidRPr="00FD20EE" w:rsidRDefault="00A4021B" w:rsidP="00CA348C">
      <w:pPr>
        <w:keepNext/>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b/>
          <w:sz w:val="20"/>
          <w:szCs w:val="32"/>
        </w:rPr>
      </w:pPr>
      <w:r>
        <w:rPr>
          <w:rFonts w:ascii="Arial" w:hAnsi="Arial"/>
          <w:b/>
          <w:sz w:val="20"/>
        </w:rPr>
        <w:lastRenderedPageBreak/>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Dicas para Registro, Monitoramento e Avaliação</w:t>
      </w:r>
    </w:p>
    <w:p w14:paraId="2E710BB8" w14:textId="77777777" w:rsidR="00A4021B" w:rsidRPr="0024467F"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sz w:val="20"/>
          <w:szCs w:val="18"/>
          <w:highlight w:val="yellow"/>
        </w:rPr>
      </w:pPr>
    </w:p>
    <w:p w14:paraId="41DB556E" w14:textId="77777777"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18"/>
        </w:rPr>
      </w:pPr>
      <w:r>
        <w:rPr>
          <w:rFonts w:ascii="Arial" w:hAnsi="Arial"/>
          <w:sz w:val="20"/>
        </w:rPr>
        <w:t xml:space="preserve">Desenvolver e implementar sistemas claros para monitoramento e avaliação, pois eles podem fortalecer a eficácia da gestão da PI e da transferência de conhecimento. </w:t>
      </w:r>
    </w:p>
    <w:p w14:paraId="166930A9" w14:textId="77777777"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18"/>
        </w:rPr>
      </w:pPr>
      <w:r>
        <w:rPr>
          <w:rFonts w:ascii="Arial" w:hAnsi="Arial"/>
          <w:sz w:val="20"/>
        </w:rPr>
        <w:t>Realizar registros rotineiros de indicadores de medição de gestão de PI para:</w:t>
      </w:r>
    </w:p>
    <w:p w14:paraId="5C7C72BF"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ascii="Arial" w:hAnsi="Arial" w:cs="Arial"/>
          <w:sz w:val="20"/>
          <w:szCs w:val="18"/>
        </w:rPr>
      </w:pPr>
      <w:r>
        <w:rPr>
          <w:rFonts w:ascii="Arial" w:hAnsi="Arial"/>
          <w:sz w:val="20"/>
        </w:rPr>
        <w:t>Demonstrar aos parceiros externos que a Instituição está gerenciando a PI de forma eficaz;</w:t>
      </w:r>
    </w:p>
    <w:p w14:paraId="2D4B01CC"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rPr>
      </w:pPr>
      <w:r>
        <w:rPr>
          <w:rFonts w:ascii="Arial" w:hAnsi="Arial"/>
          <w:sz w:val="20"/>
        </w:rPr>
        <w:t>Identificar problemas e oportunidades relacionados à gestão de PI e alterar orçamentos e estratégias para refletir essas mudanças;</w:t>
      </w:r>
    </w:p>
    <w:p w14:paraId="3190C4FA"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rPr>
      </w:pPr>
      <w:r>
        <w:rPr>
          <w:rFonts w:ascii="Arial" w:hAnsi="Arial"/>
          <w:sz w:val="20"/>
        </w:rPr>
        <w:t>Ser eficaz no rastreamento e registro, o que pode ser um fator na retenção e recrutamento de professores.</w:t>
      </w:r>
    </w:p>
    <w:p w14:paraId="19E18ACE" w14:textId="77777777" w:rsidR="00A4021B"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rPr>
      </w:pPr>
      <w:r>
        <w:rPr>
          <w:rFonts w:ascii="Arial" w:hAnsi="Arial"/>
          <w:sz w:val="20"/>
        </w:rPr>
        <w:t>Projetar e coletar indicadores apropriados anualmente.</w:t>
      </w:r>
    </w:p>
    <w:p w14:paraId="7C96CE75" w14:textId="77777777" w:rsidR="008651B7"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rPr>
      </w:pPr>
      <w:r>
        <w:rPr>
          <w:rFonts w:ascii="Arial" w:hAnsi="Arial"/>
          <w:sz w:val="20"/>
        </w:rPr>
        <w:t>Adotar procedimentos que possam incluir software especializado que suporte essa atividade. Esses softwares podem emitir alertas sobre prazos, o que evita possíveis perdas de ativos.</w:t>
      </w:r>
    </w:p>
    <w:p w14:paraId="407B659A" w14:textId="77777777" w:rsidR="00A4021B" w:rsidRPr="0024467F" w:rsidRDefault="00A4021B" w:rsidP="00A4021B">
      <w:pPr>
        <w:tabs>
          <w:tab w:val="left" w:pos="426"/>
        </w:tabs>
        <w:autoSpaceDE w:val="0"/>
        <w:autoSpaceDN w:val="0"/>
        <w:adjustRightInd w:val="0"/>
        <w:spacing w:after="0" w:line="240" w:lineRule="auto"/>
        <w:jc w:val="both"/>
        <w:rPr>
          <w:rFonts w:ascii="Arial" w:hAnsi="Arial" w:cs="Arial"/>
          <w:sz w:val="20"/>
        </w:rPr>
      </w:pPr>
    </w:p>
    <w:p w14:paraId="58F58B9A" w14:textId="77777777" w:rsidR="00F20AED" w:rsidRPr="00FD20EE" w:rsidRDefault="00F20AED" w:rsidP="009D4A54">
      <w:pPr>
        <w:pStyle w:val="ListParagraph"/>
        <w:numPr>
          <w:ilvl w:val="0"/>
          <w:numId w:val="53"/>
        </w:numPr>
        <w:tabs>
          <w:tab w:val="left" w:pos="426"/>
          <w:tab w:val="left" w:pos="851"/>
        </w:tabs>
        <w:autoSpaceDE w:val="0"/>
        <w:autoSpaceDN w:val="0"/>
        <w:adjustRightInd w:val="0"/>
        <w:spacing w:after="0" w:line="240" w:lineRule="auto"/>
        <w:ind w:left="426" w:hanging="426"/>
        <w:jc w:val="both"/>
        <w:rPr>
          <w:rFonts w:ascii="Arial" w:hAnsi="Arial" w:cs="Arial"/>
          <w:sz w:val="20"/>
        </w:rPr>
      </w:pPr>
      <w:r>
        <w:rPr>
          <w:rFonts w:ascii="Arial" w:hAnsi="Arial"/>
          <w:b/>
          <w:sz w:val="20"/>
        </w:rPr>
        <w:t xml:space="preserve">Artigo 11.1, </w:t>
      </w:r>
      <w:r>
        <w:rPr>
          <w:rFonts w:ascii="Arial" w:hAnsi="Arial"/>
          <w:b/>
          <w:i/>
          <w:sz w:val="20"/>
        </w:rPr>
        <w:t>IEGPI [e/ou entidade externa]</w:t>
      </w:r>
      <w:r>
        <w:rPr>
          <w:rFonts w:ascii="Arial" w:hAnsi="Arial"/>
          <w:sz w:val="20"/>
        </w:rPr>
        <w:t>: Uma opção é terceirizar com um parceiro comercial para auxiliar no registro e manutenção de PI. Quando apropriado, a Instituição pode permitir que o parceiro comercial, sob um acordo específico, controle a estratégia em torno das ações de qualquer pedido de patente relacionado ao portfólio de PI, de acordo com seus interesses e plano estratégico.</w:t>
      </w:r>
    </w:p>
    <w:p w14:paraId="5EF977CC" w14:textId="77777777" w:rsidR="00BE57E1" w:rsidRPr="00FD20EE" w:rsidRDefault="0043054C" w:rsidP="000B27B9">
      <w:pPr>
        <w:tabs>
          <w:tab w:val="left" w:pos="567"/>
        </w:tabs>
        <w:spacing w:before="360" w:after="360" w:line="240" w:lineRule="auto"/>
        <w:jc w:val="both"/>
        <w:rPr>
          <w:rFonts w:ascii="Arial" w:eastAsia="Times New Roman" w:hAnsi="Arial" w:cs="Arial"/>
          <w:b/>
          <w:color w:val="0070C0"/>
          <w:sz w:val="24"/>
        </w:rPr>
      </w:pPr>
      <w:r>
        <w:rPr>
          <w:rFonts w:ascii="Arial" w:hAnsi="Arial"/>
          <w:b/>
          <w:color w:val="0070C0"/>
          <w:sz w:val="24"/>
        </w:rPr>
        <w:t>Seleção de indicadores de desempenho adequados</w:t>
      </w:r>
    </w:p>
    <w:p w14:paraId="2375B9AF" w14:textId="77777777" w:rsidR="0043054C" w:rsidRPr="00FD20EE" w:rsidRDefault="0043054C"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sz w:val="20"/>
        </w:rPr>
        <w:t>Os indicadores de desempenho (IDs) podem desempenhar duas funções principais. Primeiramente, eles podem ser usados para provar a terceiros que a Instituição é capaz de gerenciar sua PI de forma eficaz. Em segundo lugar, eles são úteis para ajudar o EGPI a identificar problemas e oportunidades e a modificar orçamentos e estratégias adequadamente.</w:t>
      </w:r>
    </w:p>
    <w:p w14:paraId="7661299D" w14:textId="4D5BE89A" w:rsidR="00BE57E1" w:rsidRPr="00FD20EE" w:rsidRDefault="00BE57E1"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sz w:val="20"/>
        </w:rPr>
        <w:t>A maioria dos EGPIs geralmente não obtém retornos financeiros significativos com atividades de transferência de conhecimento (fatores tão diversos quanto proteger as capacidades de pesquisa da Instituição e contribuir para o desenvolvimento socioeconômico também são importantes). Portanto, as estatísticas coletadas devem ser interpretadas cuidadosamente e elaboradas em torno da missão do EGPI relacionada à transferência de conhecimento. O EGPI deve estabelecer métricas adequadas relacionadas à gestão de PI e à transferência de conhecimento</w:t>
      </w:r>
      <w:r w:rsidR="008411EA">
        <w:rPr>
          <w:rFonts w:ascii="Arial" w:hAnsi="Arial"/>
          <w:sz w:val="20"/>
        </w:rPr>
        <w:t xml:space="preserve">. </w:t>
      </w:r>
      <w:r>
        <w:rPr>
          <w:rFonts w:ascii="Arial" w:hAnsi="Arial"/>
          <w:sz w:val="20"/>
        </w:rPr>
        <w:t>Exemplos sugeridos de possíveis indicadores são:</w:t>
      </w:r>
    </w:p>
    <w:p w14:paraId="08867156"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r>
        <w:rPr>
          <w:rFonts w:ascii="Arial" w:hAnsi="Arial"/>
          <w:sz w:val="20"/>
        </w:rPr>
        <w:t>Número de formulários de divulgação de invenção</w:t>
      </w:r>
    </w:p>
    <w:p w14:paraId="28B6A91D"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r>
        <w:rPr>
          <w:rFonts w:ascii="Arial" w:hAnsi="Arial"/>
          <w:sz w:val="20"/>
        </w:rPr>
        <w:t>Número de patentes depositadas</w:t>
      </w:r>
    </w:p>
    <w:p w14:paraId="02829235"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r>
        <w:rPr>
          <w:rFonts w:ascii="Arial" w:hAnsi="Arial"/>
          <w:sz w:val="20"/>
        </w:rPr>
        <w:t>Número de licenças ou transferências de tecnologia envolvendo patentes e PI;</w:t>
      </w:r>
    </w:p>
    <w:p w14:paraId="662FB878"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r>
        <w:rPr>
          <w:rFonts w:ascii="Arial" w:hAnsi="Arial"/>
          <w:sz w:val="20"/>
        </w:rPr>
        <w:t>Tipo de licenciado - empresa existente (incluindo se é nativa), empresa nova ou spin-out;</w:t>
      </w:r>
    </w:p>
    <w:p w14:paraId="4FC4BCCB"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r>
        <w:rPr>
          <w:rFonts w:ascii="Arial" w:hAnsi="Arial"/>
          <w:sz w:val="20"/>
        </w:rPr>
        <w:t>Número de contatos feitos e oportunidades apresentadas às empresas.</w:t>
      </w:r>
      <w:r w:rsidRPr="00FD20EE">
        <w:rPr>
          <w:rStyle w:val="FootnoteReference"/>
          <w:rFonts w:ascii="Arial" w:hAnsi="Arial" w:cs="Arial"/>
          <w:sz w:val="20"/>
          <w:lang w:val="en-US"/>
        </w:rPr>
        <w:footnoteReference w:id="197"/>
      </w:r>
    </w:p>
    <w:p w14:paraId="498BA97D" w14:textId="77777777" w:rsidR="00F20AED" w:rsidRPr="00FD20EE" w:rsidRDefault="009B0D4D" w:rsidP="00D0311B">
      <w:pPr>
        <w:pStyle w:val="Heading3"/>
        <w:spacing w:before="360"/>
        <w:rPr>
          <w:sz w:val="24"/>
        </w:rPr>
      </w:pPr>
      <w:bookmarkStart w:id="395" w:name="_Toc516160112"/>
      <w:bookmarkStart w:id="396" w:name="_Toc516219448"/>
      <w:bookmarkStart w:id="397" w:name="_Toc516496092"/>
      <w:bookmarkStart w:id="398" w:name="_Toc516829464"/>
      <w:r>
        <w:rPr>
          <w:sz w:val="24"/>
        </w:rPr>
        <w:t>Recursos Úteis Relacionados ao Artigo 11</w:t>
      </w:r>
      <w:bookmarkEnd w:id="395"/>
      <w:bookmarkEnd w:id="396"/>
      <w:bookmarkEnd w:id="397"/>
      <w:bookmarkEnd w:id="398"/>
    </w:p>
    <w:p w14:paraId="0DF1EFEA" w14:textId="77777777" w:rsidR="00F20AED" w:rsidRPr="00FD20EE" w:rsidRDefault="00046743"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rPr>
      </w:pPr>
      <w:r>
        <w:rPr>
          <w:rFonts w:ascii="Arial" w:hAnsi="Arial"/>
          <w:b/>
          <w:sz w:val="20"/>
        </w:rPr>
        <w:t>Literatura e exemplos de diretrizes/políticas sobre boa gestão de dados de pesquisa.</w:t>
      </w:r>
    </w:p>
    <w:p w14:paraId="158D8CC6" w14:textId="2B26B18C" w:rsidR="00F20AED" w:rsidRPr="0024467F"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lang w:val="en-US"/>
        </w:rPr>
      </w:pPr>
      <w:r w:rsidRPr="0024467F">
        <w:rPr>
          <w:rFonts w:ascii="Arial" w:hAnsi="Arial"/>
          <w:sz w:val="20"/>
          <w:lang w:val="en-US"/>
        </w:rPr>
        <w:t xml:space="preserve">Universidade de Glasgow: </w:t>
      </w:r>
      <w:hyperlink r:id="rId181" w:history="1">
        <w:r w:rsidRPr="0024467F">
          <w:rPr>
            <w:rStyle w:val="Hyperlink"/>
            <w:rFonts w:ascii="Arial" w:hAnsi="Arial"/>
            <w:sz w:val="20"/>
            <w:lang w:val="en-US"/>
          </w:rPr>
          <w:t>Good Management of Research Data Policy</w:t>
        </w:r>
      </w:hyperlink>
    </w:p>
    <w:p w14:paraId="725E3436" w14:textId="06760322" w:rsidR="00F20AED" w:rsidRPr="00FD20E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rPr>
      </w:pPr>
      <w:r>
        <w:rPr>
          <w:rFonts w:ascii="Arial" w:hAnsi="Arial"/>
          <w:sz w:val="20"/>
        </w:rPr>
        <w:t xml:space="preserve">Universidade de Helsinque: </w:t>
      </w:r>
      <w:hyperlink r:id="rId182" w:history="1">
        <w:r>
          <w:rPr>
            <w:rStyle w:val="Hyperlink"/>
            <w:rFonts w:ascii="Arial" w:hAnsi="Arial"/>
            <w:sz w:val="20"/>
          </w:rPr>
          <w:t>Data Policy</w:t>
        </w:r>
      </w:hyperlink>
    </w:p>
    <w:p w14:paraId="2305E2DF" w14:textId="77777777" w:rsidR="0062144B" w:rsidRPr="0024467F" w:rsidRDefault="0062144B"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24467F">
        <w:rPr>
          <w:rFonts w:ascii="Arial" w:hAnsi="Arial"/>
          <w:sz w:val="20"/>
          <w:lang w:val="en-US"/>
        </w:rPr>
        <w:t>A.A. Schreier, K. Wilson, e D. Resnik, (2006) “</w:t>
      </w:r>
      <w:hyperlink r:id="rId183" w:history="1">
        <w:r w:rsidRPr="0024467F">
          <w:rPr>
            <w:rStyle w:val="Hyperlink"/>
            <w:rFonts w:ascii="Arial" w:hAnsi="Arial"/>
            <w:sz w:val="20"/>
            <w:lang w:val="en-US"/>
          </w:rPr>
          <w:t>Academic Research Record-Keeping:</w:t>
        </w:r>
      </w:hyperlink>
      <w:hyperlink r:id="rId184" w:history="1">
        <w:r w:rsidRPr="0024467F">
          <w:rPr>
            <w:rStyle w:val="Hyperlink"/>
            <w:rFonts w:ascii="Arial" w:hAnsi="Arial"/>
            <w:sz w:val="20"/>
            <w:lang w:val="en-US"/>
          </w:rPr>
          <w:t xml:space="preserve"> Best Practices for Individuals, Group Leaders, and Institutions</w:t>
        </w:r>
      </w:hyperlink>
      <w:r w:rsidRPr="0024467F">
        <w:rPr>
          <w:rFonts w:ascii="Arial" w:hAnsi="Arial"/>
          <w:sz w:val="20"/>
          <w:lang w:val="en-US"/>
        </w:rPr>
        <w:t xml:space="preserve">” </w:t>
      </w:r>
    </w:p>
    <w:p w14:paraId="33DD442D" w14:textId="77777777" w:rsidR="006E2A28" w:rsidRPr="00FD20EE" w:rsidRDefault="006E2A28" w:rsidP="006E2A28">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14:paraId="4A8D50E8" w14:textId="77777777" w:rsidR="006E2A28" w:rsidRPr="00FD20EE" w:rsidRDefault="006E2A28"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rPr>
      </w:pPr>
      <w:r>
        <w:rPr>
          <w:rFonts w:ascii="Arial" w:hAnsi="Arial"/>
          <w:b/>
          <w:sz w:val="20"/>
        </w:rPr>
        <w:t>Monitoramento e avaliação</w:t>
      </w:r>
    </w:p>
    <w:p w14:paraId="2A65B6F7" w14:textId="77777777" w:rsidR="00AC72FB" w:rsidRPr="0024467F" w:rsidRDefault="006E2A28"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24467F">
        <w:rPr>
          <w:rFonts w:ascii="Arial" w:hAnsi="Arial"/>
          <w:sz w:val="20"/>
          <w:lang w:val="en-US"/>
        </w:rPr>
        <w:t>The Auril</w:t>
      </w:r>
      <w:r w:rsidR="00AC72FB" w:rsidRPr="00FD20EE">
        <w:rPr>
          <w:rStyle w:val="FootnoteReference"/>
          <w:rFonts w:ascii="Arial" w:hAnsi="Arial" w:cs="Arial"/>
          <w:sz w:val="20"/>
          <w:lang w:val="en-US"/>
        </w:rPr>
        <w:footnoteReference w:id="198"/>
      </w:r>
      <w:r w:rsidRPr="0024467F">
        <w:rPr>
          <w:rFonts w:ascii="Arial" w:hAnsi="Arial"/>
          <w:sz w:val="20"/>
          <w:lang w:val="en-US"/>
        </w:rPr>
        <w:t xml:space="preserve"> </w:t>
      </w:r>
      <w:hyperlink r:id="rId185" w:history="1">
        <w:r w:rsidRPr="0024467F">
          <w:rPr>
            <w:rStyle w:val="Hyperlink"/>
            <w:rFonts w:ascii="Arial" w:hAnsi="Arial"/>
            <w:sz w:val="20"/>
            <w:lang w:val="en-US"/>
          </w:rPr>
          <w:t>Guide to Managing IP, Strategic Decision Making in Universities</w:t>
        </w:r>
      </w:hyperlink>
      <w:r w:rsidRPr="0024467F">
        <w:rPr>
          <w:rFonts w:ascii="Arial" w:hAnsi="Arial"/>
          <w:sz w:val="20"/>
          <w:lang w:val="en-US"/>
        </w:rPr>
        <w:t xml:space="preserve"> </w:t>
      </w:r>
    </w:p>
    <w:p w14:paraId="1B28DDAD" w14:textId="77777777" w:rsidR="004D0F74" w:rsidRPr="00FD20EE" w:rsidRDefault="004D0F74"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sz w:val="20"/>
          <w:lang w:val="en-US"/>
        </w:rPr>
      </w:pPr>
    </w:p>
    <w:p w14:paraId="09CCF551" w14:textId="77777777" w:rsidR="00BE57E1" w:rsidRPr="00FD20EE" w:rsidRDefault="00BE57E1"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rPr>
      </w:pPr>
      <w:r>
        <w:rPr>
          <w:rFonts w:ascii="Arial" w:hAnsi="Arial"/>
          <w:b/>
          <w:sz w:val="20"/>
        </w:rPr>
        <w:t>Métricas para Gestão de PI.</w:t>
      </w:r>
    </w:p>
    <w:p w14:paraId="16EBD223" w14:textId="77777777" w:rsidR="00ED52C7" w:rsidRPr="00FD20EE" w:rsidRDefault="00ED52C7" w:rsidP="00B7519E">
      <w:pPr>
        <w:pStyle w:val="ListParagraph"/>
        <w:shd w:val="clear" w:color="auto" w:fill="FFFFFF" w:themeFill="background1"/>
        <w:autoSpaceDE w:val="0"/>
        <w:autoSpaceDN w:val="0"/>
        <w:adjustRightInd w:val="0"/>
        <w:spacing w:after="0" w:line="240" w:lineRule="auto"/>
        <w:ind w:left="426"/>
        <w:jc w:val="both"/>
        <w:rPr>
          <w:rFonts w:ascii="Arial" w:eastAsia="Times New Roman" w:hAnsi="Arial" w:cs="Arial"/>
          <w:b/>
          <w:sz w:val="20"/>
        </w:rPr>
      </w:pPr>
      <w:r>
        <w:rPr>
          <w:rFonts w:ascii="Arial" w:hAnsi="Arial"/>
          <w:sz w:val="20"/>
        </w:rPr>
        <w:lastRenderedPageBreak/>
        <w:t>As publicações a seguir fornecem exemplos de possíveis indicadores para gestão de PI e transferência de conhecimento.</w:t>
      </w:r>
    </w:p>
    <w:p w14:paraId="6FE9348C" w14:textId="77777777" w:rsidR="00ED52C7" w:rsidRPr="00FD20EE" w:rsidRDefault="00D0311B"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rPr>
      </w:pPr>
      <w:r>
        <w:rPr>
          <w:rFonts w:ascii="Arial" w:hAnsi="Arial"/>
          <w:sz w:val="20"/>
        </w:rPr>
        <w:t>Documento de trabalho de pesquisa econômica da OMPI n.º 10</w:t>
      </w:r>
      <w:r>
        <w:rPr>
          <w:rFonts w:ascii="Arial" w:hAnsi="Arial"/>
          <w:color w:val="3B3B3B"/>
          <w:sz w:val="20"/>
        </w:rPr>
        <w:t xml:space="preserve">, </w:t>
      </w:r>
      <w:hyperlink r:id="rId186" w:history="1">
        <w:r>
          <w:rPr>
            <w:rStyle w:val="Hyperlink"/>
            <w:rFonts w:ascii="Arial" w:hAnsi="Arial"/>
            <w:sz w:val="20"/>
          </w:rPr>
          <w:t>The Informal Economy, Innovation and Intellectual Property:</w:t>
        </w:r>
      </w:hyperlink>
      <w:hyperlink r:id="rId187" w:history="1">
        <w:r>
          <w:rPr>
            <w:rStyle w:val="Hyperlink"/>
            <w:rFonts w:ascii="Arial" w:hAnsi="Arial"/>
            <w:sz w:val="20"/>
          </w:rPr>
          <w:t xml:space="preserve"> Concepts, Metrics and Policy Considerations</w:t>
        </w:r>
      </w:hyperlink>
      <w:r>
        <w:rPr>
          <w:rFonts w:ascii="Arial" w:hAnsi="Arial"/>
          <w:sz w:val="20"/>
        </w:rPr>
        <w:t xml:space="preserve">The </w:t>
      </w:r>
      <w:hyperlink r:id="rId188" w:history="1">
        <w:r>
          <w:rPr>
            <w:rStyle w:val="Hyperlink"/>
            <w:rFonts w:ascii="Arial" w:hAnsi="Arial"/>
            <w:sz w:val="20"/>
          </w:rPr>
          <w:t>National Code of Practice for Managing Intellectual Property from Publicly Funded Research</w:t>
        </w:r>
      </w:hyperlink>
      <w:r>
        <w:rPr>
          <w:rFonts w:ascii="Arial" w:hAnsi="Arial"/>
          <w:sz w:val="20"/>
        </w:rPr>
        <w:t>, Conselho Irlandês de Ciência, Tecnologia e Inovação (ICSTI) (2004), p32;</w:t>
      </w:r>
    </w:p>
    <w:p w14:paraId="6091C2AA" w14:textId="77777777" w:rsidR="006E2A28" w:rsidRPr="0024467F" w:rsidRDefault="00ED52C7"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24467F">
        <w:rPr>
          <w:rFonts w:ascii="Arial" w:hAnsi="Arial"/>
          <w:sz w:val="20"/>
          <w:lang w:val="en-US"/>
        </w:rPr>
        <w:t xml:space="preserve">The American Association of University Technology Managers (AUTM) </w:t>
      </w:r>
      <w:hyperlink r:id="rId189" w:history="1">
        <w:r w:rsidRPr="0024467F">
          <w:rPr>
            <w:rStyle w:val="Hyperlink"/>
            <w:rFonts w:ascii="Arial" w:hAnsi="Arial"/>
            <w:sz w:val="20"/>
            <w:lang w:val="en-US"/>
          </w:rPr>
          <w:t>Licensing Surveys</w:t>
        </w:r>
      </w:hyperlink>
      <w:r w:rsidRPr="0024467F">
        <w:rPr>
          <w:rFonts w:ascii="Arial" w:hAnsi="Arial"/>
          <w:sz w:val="20"/>
          <w:lang w:val="en-US"/>
        </w:rPr>
        <w:t xml:space="preserve"> </w:t>
      </w:r>
    </w:p>
    <w:p w14:paraId="52E5CB7F" w14:textId="77777777" w:rsidR="006E2A28" w:rsidRPr="0024467F" w:rsidRDefault="006E2A28"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24467F">
        <w:rPr>
          <w:rFonts w:ascii="Arial" w:hAnsi="Arial"/>
          <w:sz w:val="20"/>
          <w:lang w:val="en-US"/>
        </w:rPr>
        <w:t xml:space="preserve">Unico Report </w:t>
      </w:r>
      <w:hyperlink r:id="rId190" w:history="1">
        <w:r w:rsidRPr="0024467F">
          <w:rPr>
            <w:rStyle w:val="Hyperlink"/>
            <w:rFonts w:ascii="Arial" w:hAnsi="Arial"/>
            <w:sz w:val="20"/>
            <w:lang w:val="en-US"/>
          </w:rPr>
          <w:t>Metrics for the Evaluation of Knowledge Transfer Activities at Universities</w:t>
        </w:r>
      </w:hyperlink>
    </w:p>
    <w:p w14:paraId="54BCBBE0" w14:textId="77777777"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67805A10" w14:textId="77777777"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420C01E9" w14:textId="77777777" w:rsidR="00E22076" w:rsidRPr="0024467F" w:rsidRDefault="00E22076" w:rsidP="002F3C51">
      <w:pPr>
        <w:pStyle w:val="Heading2"/>
        <w:rPr>
          <w:lang w:val="en-US"/>
        </w:rPr>
      </w:pPr>
      <w:bookmarkStart w:id="399" w:name="_Toc490468527"/>
      <w:bookmarkStart w:id="400" w:name="_Toc490821215"/>
    </w:p>
    <w:p w14:paraId="61B22946" w14:textId="77777777" w:rsidR="004454DD" w:rsidRPr="00FD20EE" w:rsidRDefault="004454DD" w:rsidP="002F3C51">
      <w:pPr>
        <w:pStyle w:val="Heading2"/>
      </w:pPr>
      <w:bookmarkStart w:id="401" w:name="_Toc516160113"/>
      <w:bookmarkStart w:id="402" w:name="_Toc516219449"/>
      <w:bookmarkStart w:id="403" w:name="_Toc516496093"/>
      <w:bookmarkStart w:id="404" w:name="_Toc516829465"/>
      <w:bookmarkStart w:id="405" w:name="_Toc185241090"/>
      <w:r>
        <w:t xml:space="preserve">ARTIGO 12 – CONHECIMENTO TRADICIONAL </w:t>
      </w:r>
      <w:bookmarkEnd w:id="399"/>
      <w:bookmarkEnd w:id="400"/>
      <w:r>
        <w:t>E RECURSOS GENÉTICOS</w:t>
      </w:r>
      <w:bookmarkEnd w:id="401"/>
      <w:bookmarkEnd w:id="402"/>
      <w:bookmarkEnd w:id="403"/>
      <w:bookmarkEnd w:id="404"/>
      <w:bookmarkEnd w:id="405"/>
    </w:p>
    <w:p w14:paraId="0AE65646" w14:textId="77777777" w:rsidR="00E22076" w:rsidRPr="0024467F" w:rsidRDefault="00E22076" w:rsidP="002F3C51">
      <w:pPr>
        <w:pStyle w:val="Heading2"/>
      </w:pPr>
    </w:p>
    <w:p w14:paraId="418867DD" w14:textId="77777777" w:rsidR="00B73CE8" w:rsidRPr="0024467F" w:rsidRDefault="00B73CE8" w:rsidP="00E73746">
      <w:pPr>
        <w:spacing w:line="240" w:lineRule="auto"/>
        <w:jc w:val="both"/>
        <w:rPr>
          <w:rFonts w:ascii="Arial" w:eastAsiaTheme="majorEastAsia" w:hAnsi="Arial" w:cs="Arial"/>
          <w:b/>
          <w:bCs/>
          <w:color w:val="000000" w:themeColor="text1"/>
          <w:sz w:val="28"/>
          <w:szCs w:val="28"/>
        </w:rPr>
      </w:pPr>
    </w:p>
    <w:p w14:paraId="2905581D" w14:textId="77777777" w:rsidR="00267CCE" w:rsidRPr="00FD20EE" w:rsidRDefault="00267CCE" w:rsidP="00FB4172">
      <w:pPr>
        <w:spacing w:after="0" w:line="240" w:lineRule="auto"/>
        <w:jc w:val="both"/>
        <w:rPr>
          <w:rFonts w:ascii="Arial" w:eastAsia="Times New Roman" w:hAnsi="Arial" w:cs="Arial"/>
          <w:sz w:val="20"/>
        </w:rPr>
      </w:pPr>
      <w:bookmarkStart w:id="406" w:name="_Toc490468528"/>
      <w:bookmarkStart w:id="407" w:name="_Toc490821216"/>
      <w:bookmarkStart w:id="408" w:name="_Toc486176933"/>
      <w:bookmarkEnd w:id="394"/>
      <w:r>
        <w:rPr>
          <w:rFonts w:ascii="Arial" w:hAnsi="Arial"/>
          <w:sz w:val="20"/>
        </w:rPr>
        <w:t>As negociações estão atualmente em andamento no Comitê Intergovernamental da OMPI sobre Propriedade Intelectual e Recursos Genéticos, Conhecimento Tradicional e Folclore</w:t>
      </w:r>
      <w:r w:rsidRPr="00FD20EE">
        <w:rPr>
          <w:rFonts w:ascii="Arial" w:eastAsia="Times New Roman" w:hAnsi="Arial" w:cs="Arial"/>
          <w:sz w:val="20"/>
          <w:vertAlign w:val="superscript"/>
          <w:lang w:val="en-US" w:eastAsia="en-US"/>
        </w:rPr>
        <w:footnoteReference w:id="199"/>
      </w:r>
      <w:r>
        <w:rPr>
          <w:rFonts w:ascii="Arial" w:hAnsi="Arial"/>
          <w:sz w:val="20"/>
        </w:rPr>
        <w:t xml:space="preserve"> para o desenvolvimento de um instrumento jurídico internacional para a proteção eficaz do conhecimento tradicional e das expressões culturais tradicionais, e para abordar os aspectos de PI do acesso e da repartição de benefícios dos recursos genéticos. Essas negociações podem eventualmente ter influência sobre como as universidades coletam, usam, conduzem pesquisas e gerenciam direitos de PI em relação a RGs/CT. </w:t>
      </w:r>
    </w:p>
    <w:p w14:paraId="4D12074F" w14:textId="77777777" w:rsidR="00267CCE" w:rsidRPr="0024467F" w:rsidRDefault="00267CCE" w:rsidP="00FB4172">
      <w:pPr>
        <w:spacing w:after="0" w:line="240" w:lineRule="auto"/>
        <w:jc w:val="both"/>
        <w:rPr>
          <w:rFonts w:ascii="Arial" w:eastAsia="Times New Roman" w:hAnsi="Arial" w:cs="Arial"/>
          <w:sz w:val="20"/>
          <w:lang w:eastAsia="en-US"/>
        </w:rPr>
      </w:pPr>
    </w:p>
    <w:p w14:paraId="47AF3312" w14:textId="7E669434" w:rsidR="00267CCE" w:rsidRPr="00FD20EE" w:rsidRDefault="00C278C2" w:rsidP="00FB4172">
      <w:pPr>
        <w:spacing w:after="0" w:line="240" w:lineRule="auto"/>
        <w:jc w:val="both"/>
        <w:rPr>
          <w:rFonts w:ascii="Arial" w:eastAsia="Times New Roman" w:hAnsi="Arial" w:cs="Arial"/>
          <w:sz w:val="20"/>
        </w:rPr>
      </w:pPr>
      <w:r>
        <w:rPr>
          <w:rFonts w:ascii="Arial" w:hAnsi="Arial"/>
          <w:sz w:val="20"/>
        </w:rPr>
        <w:t>As instituições frequentemente se deparam com problemas relacionados à condução de pesquisas envolvendo RGs/CT</w:t>
      </w:r>
      <w:r w:rsidR="008411EA">
        <w:rPr>
          <w:rFonts w:ascii="Arial" w:hAnsi="Arial"/>
          <w:sz w:val="20"/>
        </w:rPr>
        <w:t xml:space="preserve">. </w:t>
      </w:r>
      <w:r>
        <w:rPr>
          <w:rFonts w:ascii="Arial" w:hAnsi="Arial"/>
          <w:sz w:val="20"/>
        </w:rPr>
        <w:t>Antes da Instituição conduzir pesquisas relacionadas a RGs/CT, a Instituição deve avaliar as leis de PI aplicáveis e outros regimes legais relacionados a essas questões em nível nacional</w:t>
      </w:r>
      <w:r w:rsidR="00267CCE" w:rsidRPr="00FD20EE">
        <w:rPr>
          <w:rFonts w:ascii="Arial" w:eastAsia="Times New Roman" w:hAnsi="Arial" w:cs="Arial"/>
          <w:sz w:val="20"/>
          <w:vertAlign w:val="superscript"/>
          <w:lang w:val="en-US" w:eastAsia="en-US"/>
        </w:rPr>
        <w:footnoteReference w:id="200"/>
      </w:r>
      <w:r>
        <w:rPr>
          <w:rFonts w:ascii="Arial" w:hAnsi="Arial"/>
          <w:sz w:val="20"/>
        </w:rPr>
        <w:t xml:space="preserve"> e níveis internacionais. A diversidade de leis nacionais e os interesses práticos de prestadores e destinatários provavelmente levarão a uma ampla gama de escolhas. </w:t>
      </w:r>
    </w:p>
    <w:p w14:paraId="27471D6C" w14:textId="77777777" w:rsidR="00267CCE" w:rsidRPr="0024467F" w:rsidRDefault="00267CCE" w:rsidP="00FB4172">
      <w:pPr>
        <w:spacing w:after="0" w:line="240" w:lineRule="auto"/>
        <w:jc w:val="both"/>
        <w:rPr>
          <w:rFonts w:ascii="Arial" w:eastAsia="Times New Roman" w:hAnsi="Arial" w:cs="Arial"/>
          <w:sz w:val="20"/>
          <w:lang w:eastAsia="en-US"/>
        </w:rPr>
      </w:pPr>
    </w:p>
    <w:p w14:paraId="6E407094" w14:textId="77777777" w:rsidR="00267CCE" w:rsidRPr="00FD20EE" w:rsidRDefault="00267CCE" w:rsidP="00FB4172">
      <w:pPr>
        <w:spacing w:after="0" w:line="240" w:lineRule="auto"/>
        <w:jc w:val="both"/>
        <w:rPr>
          <w:rFonts w:ascii="Arial" w:eastAsia="Times New Roman" w:hAnsi="Arial" w:cs="Arial"/>
          <w:sz w:val="20"/>
        </w:rPr>
      </w:pPr>
      <w:r>
        <w:rPr>
          <w:rFonts w:ascii="Arial" w:hAnsi="Arial"/>
          <w:sz w:val="20"/>
        </w:rPr>
        <w:t>Se não houver uma lei específica para acesso e repartição de benefícios no seu país, os contratos podem desempenhar um papel significativo. Independentemente das leis nacionais, os contratos podem incluir consentimento prévio e informado, bem como cláusulas de repartição de benefícios. Contratos ou acordos também podem estabelecer suas próprias definições de termos-chave, com referência, por exemplo, às leis consuetudinárias de povos indígenas e comunidades locais.</w:t>
      </w:r>
      <w:r w:rsidRPr="00FD20EE">
        <w:rPr>
          <w:rStyle w:val="FootnoteReference"/>
          <w:rFonts w:ascii="Arial" w:eastAsia="Times New Roman" w:hAnsi="Arial" w:cs="Arial"/>
          <w:sz w:val="20"/>
          <w:lang w:val="en-US" w:eastAsia="en-US"/>
        </w:rPr>
        <w:footnoteReference w:id="201"/>
      </w:r>
      <w:r>
        <w:rPr>
          <w:rFonts w:ascii="Arial" w:hAnsi="Arial"/>
          <w:sz w:val="20"/>
        </w:rPr>
        <w:t xml:space="preserve"> Em outras palavras, a Instituição pode conceder mais direitos do que aqueles garantidos pela legislação nacional por meio de contratos. </w:t>
      </w:r>
      <w:r w:rsidRPr="00FD20EE">
        <w:rPr>
          <w:rStyle w:val="FootnoteReference"/>
          <w:rFonts w:ascii="Arial" w:eastAsia="Times New Roman" w:hAnsi="Arial" w:cs="Arial"/>
          <w:sz w:val="20"/>
          <w:lang w:val="en-US" w:eastAsia="en-US"/>
        </w:rPr>
        <w:footnoteReference w:id="202"/>
      </w:r>
    </w:p>
    <w:p w14:paraId="392BCE62" w14:textId="77777777" w:rsidR="00267CCE" w:rsidRPr="0024467F" w:rsidRDefault="00267CCE" w:rsidP="00FB4172">
      <w:pPr>
        <w:spacing w:after="0" w:line="240" w:lineRule="auto"/>
        <w:jc w:val="both"/>
        <w:rPr>
          <w:rFonts w:ascii="Arial" w:eastAsia="Times New Roman" w:hAnsi="Arial" w:cs="Arial"/>
          <w:sz w:val="20"/>
          <w:lang w:eastAsia="en-US"/>
        </w:rPr>
      </w:pPr>
    </w:p>
    <w:p w14:paraId="60995FBD" w14:textId="77777777" w:rsidR="00267CCE" w:rsidRPr="00FD20EE" w:rsidRDefault="00267CCE" w:rsidP="00FB4172">
      <w:pPr>
        <w:spacing w:after="0" w:line="240" w:lineRule="auto"/>
        <w:jc w:val="both"/>
        <w:rPr>
          <w:rFonts w:ascii="Arial" w:eastAsia="Times New Roman" w:hAnsi="Arial" w:cs="Arial"/>
          <w:sz w:val="20"/>
        </w:rPr>
      </w:pPr>
      <w:r>
        <w:rPr>
          <w:rFonts w:ascii="Arial" w:hAnsi="Arial"/>
          <w:sz w:val="20"/>
        </w:rPr>
        <w:t>Nos acordos de acesso e repartição de benefícios, as disposições específicas feitas para a gestão de PI podem influenciar o resultado geral do acesso aos RGs. A gestão cuidadosa de questões de PI durante a negociação, desenvolvimento e redação de um acordo de acesso e repartição de benefícios pode ser importante para garantir que o acordo crie benefícios e que os benefícios sejam compartilhados de forma equitativa, respeitando os interesses e preocupações dos provedores de recursos (como o direito de buscar direitos de PI em invenções e outros resultados de pesquisa usando os recursos, titularidade e licenciamento de qualquer PI derivada, responsabilidade por manter e exercer direitos de PI, acordos para distribuir quaisquer benefícios financeiros ou outros resultantes de tal PI derivada e exigência para que o destinatário do recurso informe sobre qualquer PI que for solicitada).</w:t>
      </w:r>
      <w:r w:rsidRPr="00FD20EE">
        <w:rPr>
          <w:rFonts w:ascii="Arial" w:eastAsia="Times New Roman" w:hAnsi="Arial" w:cs="Arial"/>
          <w:sz w:val="20"/>
          <w:vertAlign w:val="superscript"/>
          <w:lang w:val="en-US" w:eastAsia="en-US"/>
        </w:rPr>
        <w:footnoteReference w:id="203"/>
      </w:r>
      <w:r>
        <w:rPr>
          <w:rFonts w:ascii="Arial" w:hAnsi="Arial"/>
          <w:sz w:val="20"/>
        </w:rPr>
        <w:t xml:space="preserve"> </w:t>
      </w:r>
    </w:p>
    <w:p w14:paraId="76FAC334" w14:textId="77777777" w:rsidR="00267CCE" w:rsidRPr="0024467F" w:rsidRDefault="00267CCE" w:rsidP="002009C9">
      <w:pPr>
        <w:spacing w:after="0" w:line="240" w:lineRule="auto"/>
        <w:jc w:val="both"/>
        <w:rPr>
          <w:rFonts w:ascii="Arial" w:eastAsia="Times New Roman" w:hAnsi="Arial" w:cs="Arial"/>
          <w:sz w:val="20"/>
          <w:lang w:eastAsia="en-US"/>
        </w:rPr>
      </w:pPr>
    </w:p>
    <w:p w14:paraId="0D1F912A" w14:textId="77777777" w:rsidR="00267CCE" w:rsidRPr="00FD20EE" w:rsidRDefault="00267CCE" w:rsidP="002009C9">
      <w:pPr>
        <w:spacing w:after="0" w:line="240" w:lineRule="auto"/>
        <w:jc w:val="both"/>
        <w:rPr>
          <w:rFonts w:ascii="Arial" w:eastAsia="Times New Roman" w:hAnsi="Arial" w:cs="Arial"/>
          <w:sz w:val="20"/>
        </w:rPr>
      </w:pPr>
      <w:r>
        <w:rPr>
          <w:rFonts w:ascii="Arial" w:hAnsi="Arial"/>
          <w:sz w:val="20"/>
        </w:rPr>
        <w:t xml:space="preserve">Há exemplos de projetos de pesquisa colaborativa bem-sucedidos, como a colaboração entre a Corporação Aborígene Chuulangun e Universidade da Austrália do Sul. </w:t>
      </w:r>
    </w:p>
    <w:p w14:paraId="0F10A1B2" w14:textId="77777777" w:rsidR="00267CCE" w:rsidRPr="0024467F" w:rsidRDefault="00267CCE" w:rsidP="002009C9">
      <w:pPr>
        <w:spacing w:after="0" w:line="240" w:lineRule="auto"/>
        <w:jc w:val="both"/>
        <w:rPr>
          <w:rFonts w:ascii="Arial" w:eastAsia="Times New Roman" w:hAnsi="Arial" w:cs="Arial"/>
          <w:sz w:val="20"/>
          <w:lang w:eastAsia="en-US"/>
        </w:rPr>
      </w:pPr>
    </w:p>
    <w:p w14:paraId="0C17EE4D" w14:textId="77777777"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Estudo de Caso: Um projeto de pesquisa colaborativa leva a uma patente </w:t>
      </w:r>
    </w:p>
    <w:p w14:paraId="0D1DC223" w14:textId="77777777" w:rsidR="00267CCE" w:rsidRPr="0024467F"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eastAsia="en-US"/>
        </w:rPr>
      </w:pPr>
    </w:p>
    <w:p w14:paraId="49AD7B1A" w14:textId="6AA8BED4"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rPr>
      </w:pPr>
      <w:r>
        <w:rPr>
          <w:rFonts w:ascii="Arial" w:hAnsi="Arial"/>
          <w:sz w:val="20"/>
        </w:rPr>
        <w:t>A Corporação Aborígene Chuulangun conduziu um projeto de pesquisa colaborativa sobre plantas medicinais silvestres com a Universidade da Austrália do Sul. Juntas, elas coletaram plantas e as testaram em um laboratório para estudar suas atividades farmacológicas. A copesquisa levou à identificação de certos compostos que podem ser usados no tratamento da inflamação</w:t>
      </w:r>
      <w:r w:rsidR="008411EA">
        <w:rPr>
          <w:rFonts w:ascii="Arial" w:hAnsi="Arial"/>
          <w:sz w:val="20"/>
        </w:rPr>
        <w:t xml:space="preserve">. </w:t>
      </w:r>
      <w:r>
        <w:rPr>
          <w:rFonts w:ascii="Arial" w:hAnsi="Arial"/>
          <w:sz w:val="20"/>
        </w:rPr>
        <w:t>Como resultado, pedidos de patente foram depositados e uma patente foi concedida à Universidade da Austrália do Sul e à Corporação Aborígene Chuulangun para uma invenção intitulada “Compostos anti-inflamatórios”. David Claudie, um dos titulares da patente, é um ancião da comunidade Chuulangun que conhece os usos medicinais das plantas que crescem ali através da linhagem de seu pai. Graças aos termos mutuamente acordados que assinaram e à patente que possuem em conjunto, tanto a Universidade quanto a Corporação Aborígene Chuulangun têm voz ativa na forma como os compostos que identificaram serão comercializados e compartilharão os benefícios comerciais.</w:t>
      </w:r>
      <w:r>
        <w:rPr>
          <w:rFonts w:ascii="Arial" w:hAnsi="Arial"/>
          <w:sz w:val="20"/>
          <w:vertAlign w:val="superscript"/>
        </w:rPr>
        <w:t xml:space="preserve"> </w:t>
      </w:r>
      <w:r w:rsidRPr="00FD20EE">
        <w:rPr>
          <w:rFonts w:ascii="Arial" w:eastAsia="Times New Roman" w:hAnsi="Arial" w:cs="Arial"/>
          <w:sz w:val="20"/>
          <w:vertAlign w:val="superscript"/>
          <w:lang w:val="en-US" w:eastAsia="en-US"/>
        </w:rPr>
        <w:footnoteReference w:id="204"/>
      </w:r>
    </w:p>
    <w:p w14:paraId="1F586BBD" w14:textId="77777777" w:rsidR="00267CCE" w:rsidRPr="0024467F" w:rsidRDefault="00267CCE" w:rsidP="002F7AC6">
      <w:pPr>
        <w:spacing w:after="100"/>
        <w:jc w:val="both"/>
        <w:rPr>
          <w:rFonts w:ascii="Arial" w:hAnsi="Arial" w:cs="Arial"/>
          <w:sz w:val="20"/>
        </w:rPr>
      </w:pPr>
    </w:p>
    <w:p w14:paraId="1E29FC97" w14:textId="77777777"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Negociações de repartição de benefícios em conformidade com as leis e protocolos costumeiros: Política de Propriedade Intelectual da Universidade de Adelaide (Austrália)</w:t>
      </w:r>
      <w:r w:rsidR="00267CCE" w:rsidRPr="00FD20EE">
        <w:rPr>
          <w:rStyle w:val="FootnoteReference"/>
          <w:rFonts w:ascii="Arial" w:hAnsi="Arial" w:cs="Arial"/>
          <w:sz w:val="20"/>
          <w:lang w:val="en-US"/>
        </w:rPr>
        <w:footnoteReference w:id="205"/>
      </w:r>
      <w:r>
        <w:rPr>
          <w:rFonts w:ascii="Arial" w:hAnsi="Arial"/>
          <w:b/>
          <w:sz w:val="20"/>
        </w:rPr>
        <w:t xml:space="preserve"> </w:t>
      </w:r>
    </w:p>
    <w:p w14:paraId="4BCBF8E8" w14:textId="77777777" w:rsidR="00267CCE" w:rsidRPr="00FD20EE"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rPr>
      </w:pPr>
      <w:r>
        <w:rPr>
          <w:rFonts w:ascii="Arial" w:hAnsi="Arial"/>
          <w:sz w:val="20"/>
        </w:rPr>
        <w:t xml:space="preserve">Artigo 14. Conhecimento tradicional indígena. </w:t>
      </w:r>
      <w:r>
        <w:rPr>
          <w:rFonts w:ascii="Arial" w:hAnsi="Arial"/>
          <w:i/>
          <w:sz w:val="20"/>
        </w:rPr>
        <w:t>“A Universidade reconhece que o desenvolvimento comercial de produtos resultantes do uso do conhecimento tradicional de povos indígenas deve estar sujeito a negociações de repartição de benefícios com os provedores de tal conhecimento e estar em conformidade com os protocolos indígenas relevantes e diretrizes éticas (incluindo as Diretrizes para Pesquisa Ética em Estudos Indígenas Australianos)”.</w:t>
      </w:r>
      <w:r>
        <w:rPr>
          <w:rFonts w:ascii="Arial" w:hAnsi="Arial"/>
          <w:sz w:val="20"/>
        </w:rPr>
        <w:t xml:space="preserve"> </w:t>
      </w:r>
    </w:p>
    <w:p w14:paraId="6B18C421" w14:textId="77777777" w:rsidR="00267CCE" w:rsidRPr="0024467F" w:rsidRDefault="00267CCE" w:rsidP="002009C9">
      <w:pPr>
        <w:jc w:val="both"/>
        <w:rPr>
          <w:rFonts w:ascii="Arial" w:hAnsi="Arial" w:cs="Arial"/>
          <w:sz w:val="2"/>
        </w:rPr>
      </w:pPr>
    </w:p>
    <w:p w14:paraId="30291CC0" w14:textId="77777777"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Reconhecimento da titularidade do CT por povos indígenas: Política de Propriedade Intelectual da Universidade de Canberra (Austrália)</w:t>
      </w:r>
      <w:r w:rsidR="00267CCE" w:rsidRPr="00FD20EE">
        <w:rPr>
          <w:rStyle w:val="FootnoteReference"/>
          <w:rFonts w:ascii="Arial" w:hAnsi="Arial" w:cs="Arial"/>
          <w:sz w:val="20"/>
          <w:lang w:val="en-US"/>
        </w:rPr>
        <w:footnoteReference w:id="206"/>
      </w:r>
    </w:p>
    <w:p w14:paraId="3440C7D8" w14:textId="77777777" w:rsidR="00267CCE" w:rsidRPr="00FD20EE"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ascii="Arial" w:hAnsi="Arial" w:cs="Arial"/>
          <w:i/>
          <w:sz w:val="20"/>
        </w:rPr>
      </w:pPr>
      <w:r>
        <w:rPr>
          <w:rFonts w:ascii="Arial" w:hAnsi="Arial"/>
          <w:sz w:val="20"/>
        </w:rPr>
        <w:t>Seção 9.2. “</w:t>
      </w:r>
      <w:r>
        <w:rPr>
          <w:rFonts w:ascii="Arial" w:hAnsi="Arial"/>
          <w:i/>
          <w:sz w:val="20"/>
        </w:rPr>
        <w:t>A Universidade e sua equipe, na criação de PI, devem aderir e salvaguardar a titularidade dos direitos de propriedade intelectual e cultural dos povos indígenas, incluindo a titularidade e o uso de materiais culturais; questões cerimoniais e “secretas”; uso de/referência a pessoas falecidas ou seus nomes; intrusão em locais de funeral cerimonial; e respeito pelos valores culturais”.</w:t>
      </w:r>
    </w:p>
    <w:p w14:paraId="370C8369" w14:textId="77777777" w:rsidR="00B30378" w:rsidRPr="002F7AC6" w:rsidRDefault="00B30378" w:rsidP="002F7AC6">
      <w:pPr>
        <w:spacing w:after="100" w:line="240" w:lineRule="auto"/>
        <w:jc w:val="both"/>
        <w:rPr>
          <w:rFonts w:ascii="Arial" w:hAnsi="Arial" w:cs="Arial"/>
          <w:bCs/>
        </w:rPr>
      </w:pPr>
    </w:p>
    <w:p w14:paraId="761A3586" w14:textId="77777777"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b/>
          <w:sz w:val="20"/>
        </w:rPr>
      </w:pPr>
      <w:r>
        <w:rPr>
          <w:rFonts w:ascii="Arial" w:hAnsi="Arial"/>
          <w:b/>
          <w:sz w:val="20"/>
        </w:rPr>
        <w:t xml:space="preserve">Caixa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Exemplo – Modelo de Contrato de Transferência de Material sugerido pela Organização da Indústria de Biotecnologia (BIO)</w:t>
      </w:r>
    </w:p>
    <w:p w14:paraId="6684597A" w14:textId="77777777"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rPr>
      </w:pPr>
      <w:r>
        <w:rPr>
          <w:rFonts w:ascii="Arial" w:hAnsi="Arial"/>
          <w:sz w:val="20"/>
        </w:rPr>
        <w:t>Seção III. A. Envidar esforços razoáveis para determinar se quaisquer requisitos específicos para Consentimento Prévio Informado se aplicam aos Recursos Genéticos Regulamentados coletados. Para fazer isso:</w:t>
      </w:r>
    </w:p>
    <w:p w14:paraId="7E698AA3" w14:textId="33B05CA6" w:rsidR="00267CCE" w:rsidRPr="00FD20EE" w:rsidRDefault="00267CCE" w:rsidP="00912125">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rPr>
      </w:pPr>
      <w:r>
        <w:rPr>
          <w:rFonts w:ascii="Arial" w:hAnsi="Arial"/>
          <w:sz w:val="20"/>
        </w:rPr>
        <w:t>1</w:t>
      </w:r>
      <w:r w:rsidR="008411EA">
        <w:rPr>
          <w:rFonts w:ascii="Arial" w:hAnsi="Arial"/>
          <w:sz w:val="20"/>
        </w:rPr>
        <w:t xml:space="preserve">. </w:t>
      </w:r>
      <w:r>
        <w:rPr>
          <w:rFonts w:ascii="Arial" w:hAnsi="Arial"/>
          <w:sz w:val="20"/>
        </w:rPr>
        <w:t>     Determine se uma Parte Contratante estabeleceu requisitos para Consentimento Prévio Informado ou se essa autoridade foi delegada a uma Parte Fornecedora.</w:t>
      </w:r>
    </w:p>
    <w:p w14:paraId="31F88FF1" w14:textId="7AE777BA"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rPr>
      </w:pPr>
      <w:r>
        <w:rPr>
          <w:rFonts w:ascii="Arial" w:hAnsi="Arial"/>
          <w:sz w:val="20"/>
        </w:rPr>
        <w:t>2</w:t>
      </w:r>
      <w:r w:rsidR="008411EA">
        <w:rPr>
          <w:rFonts w:ascii="Arial" w:hAnsi="Arial"/>
          <w:sz w:val="20"/>
        </w:rPr>
        <w:t xml:space="preserve">. </w:t>
      </w:r>
      <w:r>
        <w:rPr>
          <w:rFonts w:ascii="Arial" w:hAnsi="Arial"/>
          <w:sz w:val="20"/>
        </w:rPr>
        <w:t>     Identificar a natureza dos requisitos para o Consentimento Prévio Informado estabelecidos pela Parte Contratante ou pela Parte Fornecedora, conforme o caso.</w:t>
      </w:r>
    </w:p>
    <w:p w14:paraId="27B6ECCA" w14:textId="35FCCC5F" w:rsidR="00F20AED"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ascii="Arial" w:hAnsi="Arial" w:cs="Arial"/>
          <w:b/>
          <w:sz w:val="20"/>
        </w:rPr>
      </w:pPr>
      <w:r>
        <w:rPr>
          <w:rFonts w:ascii="Arial" w:hAnsi="Arial"/>
          <w:sz w:val="20"/>
        </w:rPr>
        <w:lastRenderedPageBreak/>
        <w:t>3</w:t>
      </w:r>
      <w:r w:rsidR="008411EA">
        <w:rPr>
          <w:rFonts w:ascii="Arial" w:hAnsi="Arial"/>
          <w:sz w:val="20"/>
        </w:rPr>
        <w:t xml:space="preserve">. </w:t>
      </w:r>
      <w:r>
        <w:rPr>
          <w:rFonts w:ascii="Arial" w:hAnsi="Arial"/>
          <w:sz w:val="20"/>
        </w:rPr>
        <w:t xml:space="preserve">     Atender aos requisitos identificados para cumprir com as obrigações de Consentimento Prévio Informado da Parte Contratante ou da Parte Fornecedora aplicáveis aos Recursos Genéticos Regulamentados coletados e incorporar evidências de tal conformidade na Bioprospecção. </w:t>
      </w:r>
    </w:p>
    <w:p w14:paraId="2FA6CBDD" w14:textId="77777777" w:rsidR="00F20AED" w:rsidRPr="00FD20EE" w:rsidRDefault="00ED52C7" w:rsidP="007874CF">
      <w:pPr>
        <w:pStyle w:val="Heading3"/>
        <w:spacing w:before="360"/>
        <w:rPr>
          <w:sz w:val="24"/>
        </w:rPr>
      </w:pPr>
      <w:bookmarkStart w:id="409" w:name="_Toc516160114"/>
      <w:bookmarkStart w:id="410" w:name="_Toc516219450"/>
      <w:bookmarkStart w:id="411" w:name="_Toc516496094"/>
      <w:bookmarkStart w:id="412" w:name="_Toc516829466"/>
      <w:r>
        <w:rPr>
          <w:sz w:val="24"/>
        </w:rPr>
        <w:t>Recursos Úteis Relacionados ao Artigo 12</w:t>
      </w:r>
      <w:bookmarkEnd w:id="409"/>
      <w:bookmarkEnd w:id="410"/>
      <w:bookmarkEnd w:id="411"/>
      <w:bookmarkEnd w:id="412"/>
    </w:p>
    <w:p w14:paraId="2CE7A5E4" w14:textId="77777777" w:rsidR="00165A63" w:rsidRPr="0024467F"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24467F">
        <w:rPr>
          <w:rFonts w:ascii="Arial" w:hAnsi="Arial"/>
          <w:sz w:val="20"/>
          <w:lang w:val="en-US"/>
        </w:rPr>
        <w:t>Publicação da OMPI “Protect and Promote Your Culture, A Practical Guide to Intellectual Property for Indigenous Peoples and Local Communities”, disponível em:</w:t>
      </w:r>
    </w:p>
    <w:p w14:paraId="4DD3F60B" w14:textId="77777777" w:rsidR="00267CCE" w:rsidRPr="0024467F" w:rsidRDefault="00F265CB" w:rsidP="00165A63">
      <w:pPr>
        <w:pStyle w:val="ListParagraph"/>
        <w:spacing w:line="240" w:lineRule="auto"/>
        <w:ind w:left="426"/>
        <w:jc w:val="both"/>
        <w:rPr>
          <w:rFonts w:ascii="Arial" w:hAnsi="Arial" w:cs="Arial"/>
          <w:sz w:val="20"/>
          <w:lang w:val="en-US"/>
        </w:rPr>
      </w:pPr>
      <w:hyperlink r:id="rId191" w:history="1">
        <w:r w:rsidR="00372C70" w:rsidRPr="0024467F">
          <w:rPr>
            <w:rStyle w:val="Hyperlink"/>
            <w:rFonts w:ascii="Arial" w:hAnsi="Arial"/>
            <w:sz w:val="20"/>
            <w:lang w:val="en-US"/>
          </w:rPr>
          <w:t>http://www.wipo.int/publications/en/details.jsp?id=4195</w:t>
        </w:r>
      </w:hyperlink>
    </w:p>
    <w:p w14:paraId="5792D225" w14:textId="77777777"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Publicação da OMPI “Documenting Traditional Knowledge: A Toolkit”, disponível em:</w:t>
      </w:r>
    </w:p>
    <w:p w14:paraId="3694C097" w14:textId="77777777" w:rsidR="00267CCE" w:rsidRPr="00FD20EE" w:rsidRDefault="00F265CB" w:rsidP="00165A63">
      <w:pPr>
        <w:pStyle w:val="ListParagraph"/>
        <w:spacing w:line="240" w:lineRule="auto"/>
        <w:ind w:left="426"/>
        <w:jc w:val="both"/>
        <w:rPr>
          <w:rFonts w:ascii="Arial" w:hAnsi="Arial" w:cs="Arial"/>
          <w:sz w:val="20"/>
        </w:rPr>
      </w:pPr>
      <w:hyperlink r:id="rId192" w:history="1">
        <w:r w:rsidR="00372C70">
          <w:rPr>
            <w:rStyle w:val="Hyperlink"/>
            <w:rFonts w:ascii="Arial" w:hAnsi="Arial"/>
            <w:sz w:val="20"/>
          </w:rPr>
          <w:t>http://www.wipo.int/publications/en/details.jsp?id=4235</w:t>
        </w:r>
      </w:hyperlink>
    </w:p>
    <w:p w14:paraId="03AD30F5" w14:textId="77777777" w:rsidR="00267CCE" w:rsidRPr="0024467F"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24467F">
        <w:rPr>
          <w:rFonts w:ascii="Arial" w:hAnsi="Arial"/>
          <w:sz w:val="20"/>
          <w:lang w:val="en-US"/>
        </w:rPr>
        <w:t>Publicação da OMPI “Key Questions on Patent Disclosure Requirements for Genetic Resources and Traditional Knowledge”, disponível em: http://www.wipo.int/publications/en/details.jsp?id=4194</w:t>
      </w:r>
    </w:p>
    <w:p w14:paraId="263BE126" w14:textId="77777777" w:rsidR="00165A63" w:rsidRPr="0024467F"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24467F">
        <w:rPr>
          <w:rFonts w:ascii="Arial" w:hAnsi="Arial"/>
          <w:sz w:val="20"/>
          <w:lang w:val="en-US"/>
        </w:rPr>
        <w:t>Publicação da OMPI “Draft Intellectual Property Guidelines for Access to Genetic Resources and Equitable Sharing of the Benefits arising from their Utilization”, disponível em:</w:t>
      </w:r>
    </w:p>
    <w:p w14:paraId="623946D8" w14:textId="77777777" w:rsidR="00267CCE" w:rsidRPr="0024467F" w:rsidRDefault="00F265CB" w:rsidP="00165A63">
      <w:pPr>
        <w:pStyle w:val="ListParagraph"/>
        <w:spacing w:line="240" w:lineRule="auto"/>
        <w:ind w:left="426"/>
        <w:jc w:val="both"/>
        <w:rPr>
          <w:rFonts w:ascii="Arial" w:hAnsi="Arial" w:cs="Arial"/>
          <w:sz w:val="20"/>
          <w:lang w:val="en-US"/>
        </w:rPr>
      </w:pPr>
      <w:hyperlink r:id="rId193" w:history="1">
        <w:r w:rsidR="00372C70" w:rsidRPr="0024467F">
          <w:rPr>
            <w:rStyle w:val="Hyperlink"/>
            <w:rFonts w:ascii="Arial" w:hAnsi="Arial"/>
            <w:sz w:val="20"/>
            <w:lang w:val="en-US"/>
          </w:rPr>
          <w:t>http://www.wipo.int/export/sites/www/tk/en/resources/pdf/redrafted_guidelines.pdf</w:t>
        </w:r>
      </w:hyperlink>
    </w:p>
    <w:p w14:paraId="4A5FB6B7" w14:textId="77777777"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Nota Informativas n.º 1 “Conhecimento tradicional e propriedade intelectual”, n.º 6 “Propriedade intelectual e conhecimento médico tradicional”, n.º 7 “Direito consuetudinário e conhecimento tradicional”, n.º 10 “Propriedade intelectual e recursos genéticos”, disponíveis em:</w:t>
      </w:r>
    </w:p>
    <w:p w14:paraId="54F17A0C" w14:textId="77777777" w:rsidR="00267CCE" w:rsidRPr="00FD20EE" w:rsidRDefault="00F265CB" w:rsidP="00165A63">
      <w:pPr>
        <w:pStyle w:val="ListParagraph"/>
        <w:spacing w:line="240" w:lineRule="auto"/>
        <w:ind w:left="426"/>
        <w:jc w:val="both"/>
        <w:rPr>
          <w:rFonts w:ascii="Arial" w:hAnsi="Arial" w:cs="Arial"/>
          <w:sz w:val="20"/>
        </w:rPr>
      </w:pPr>
      <w:hyperlink r:id="rId194" w:history="1">
        <w:r w:rsidR="00372C70">
          <w:rPr>
            <w:rStyle w:val="Hyperlink"/>
            <w:rFonts w:ascii="Arial" w:hAnsi="Arial"/>
            <w:sz w:val="20"/>
          </w:rPr>
          <w:t>http://www.wipo.int/publications/en/series/index.jsp?id=144</w:t>
        </w:r>
      </w:hyperlink>
      <w:r w:rsidR="00372C70">
        <w:rPr>
          <w:rFonts w:ascii="Arial" w:hAnsi="Arial"/>
          <w:sz w:val="20"/>
        </w:rPr>
        <w:t xml:space="preserve"> </w:t>
      </w:r>
    </w:p>
    <w:p w14:paraId="4EE409F5" w14:textId="77777777"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Glossário de termos-chave relacionados à PI e recursos genéticos, conhecimento tradicional e expressões culturais tradicionais, disponível em:</w:t>
      </w:r>
    </w:p>
    <w:p w14:paraId="1D5ECF8D" w14:textId="77777777" w:rsidR="00267CCE" w:rsidRPr="00FD20EE" w:rsidRDefault="00F265CB" w:rsidP="00165A63">
      <w:pPr>
        <w:pStyle w:val="ListParagraph"/>
        <w:spacing w:line="240" w:lineRule="auto"/>
        <w:ind w:left="426"/>
        <w:jc w:val="both"/>
        <w:rPr>
          <w:rFonts w:ascii="Arial" w:hAnsi="Arial" w:cs="Arial"/>
          <w:sz w:val="20"/>
        </w:rPr>
      </w:pPr>
      <w:hyperlink r:id="rId195" w:history="1">
        <w:r w:rsidR="00372C70">
          <w:rPr>
            <w:rStyle w:val="Hyperlink"/>
            <w:rFonts w:ascii="Arial" w:hAnsi="Arial"/>
            <w:sz w:val="20"/>
          </w:rPr>
          <w:t>http://www.wipo.int/meetings/en/doc_details.jsp?doc_id=396139</w:t>
        </w:r>
      </w:hyperlink>
    </w:p>
    <w:p w14:paraId="594D1C01" w14:textId="77777777"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Base de dados da OMPI de acordos de acesso e repartição de benefícios relacionados à biodiversidade, disponível em: </w:t>
      </w:r>
      <w:hyperlink r:id="rId196" w:history="1">
        <w:r>
          <w:rPr>
            <w:rStyle w:val="Hyperlink"/>
            <w:rFonts w:ascii="Arial" w:hAnsi="Arial"/>
            <w:sz w:val="20"/>
          </w:rPr>
          <w:t>http://www.wipo.int/tk/en/databases/contracts/</w:t>
        </w:r>
      </w:hyperlink>
    </w:p>
    <w:p w14:paraId="7E382CA6" w14:textId="77777777"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Repositório de Recursos da OMPI sobre Experiências Regionais, Nacionais, Locais e Comunitárias em PI e Recursos Genéticos, Conhecimento Tradicional e Expressões Culturais Tradicionais, disponível em: </w:t>
      </w:r>
      <w:hyperlink r:id="rId197" w:history="1">
        <w:r>
          <w:rPr>
            <w:rStyle w:val="Hyperlink"/>
            <w:rFonts w:ascii="Arial" w:hAnsi="Arial"/>
            <w:sz w:val="20"/>
          </w:rPr>
          <w:t>http://www.wipo.int/tk/en/resources/tk_experiences.html</w:t>
        </w:r>
      </w:hyperlink>
      <w:r>
        <w:rPr>
          <w:rFonts w:ascii="Arial" w:hAnsi="Arial"/>
          <w:sz w:val="20"/>
        </w:rPr>
        <w:t xml:space="preserve"> </w:t>
      </w:r>
    </w:p>
    <w:p w14:paraId="4C15D7C9" w14:textId="77777777"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Curso Avançado de Ensino a Distância sobre PI, Conhecimento Tradicional e Expressões Culturais Tradicionais, disponível para inscrições em:</w:t>
      </w:r>
    </w:p>
    <w:p w14:paraId="7D04210B" w14:textId="77777777" w:rsidR="00267CCE" w:rsidRPr="00FD20EE" w:rsidRDefault="00F265CB" w:rsidP="00165A63">
      <w:pPr>
        <w:pStyle w:val="ListParagraph"/>
        <w:spacing w:line="240" w:lineRule="auto"/>
        <w:ind w:left="426"/>
        <w:jc w:val="both"/>
        <w:rPr>
          <w:rFonts w:ascii="Arial" w:hAnsi="Arial" w:cs="Arial"/>
          <w:sz w:val="20"/>
        </w:rPr>
      </w:pPr>
      <w:hyperlink r:id="rId198" w:history="1">
        <w:r w:rsidR="00372C70">
          <w:rPr>
            <w:rStyle w:val="Hyperlink"/>
            <w:rFonts w:ascii="Arial" w:hAnsi="Arial"/>
            <w:sz w:val="20"/>
          </w:rPr>
          <w:t>https://welc.wipo.int/acc/index.jsf?page=courseCatalog.xhtml&amp;lang=en&amp;cc=DL203E#plus_DL203E</w:t>
        </w:r>
      </w:hyperlink>
    </w:p>
    <w:p w14:paraId="227499D6" w14:textId="77777777"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Uma coleção de textos legislativos nacionais e regionais relevantes para CT e RGs </w:t>
      </w:r>
      <w:hyperlink r:id="rId199" w:history="1">
        <w:r>
          <w:rPr>
            <w:rStyle w:val="Hyperlink"/>
            <w:rFonts w:ascii="Arial" w:hAnsi="Arial"/>
            <w:color w:val="auto"/>
            <w:sz w:val="20"/>
            <w:u w:val="none"/>
          </w:rPr>
          <w:t>está</w:t>
        </w:r>
      </w:hyperlink>
      <w:r>
        <w:rPr>
          <w:rFonts w:ascii="Arial" w:hAnsi="Arial"/>
          <w:sz w:val="20"/>
        </w:rPr>
        <w:t xml:space="preserve"> disponível em: </w:t>
      </w:r>
      <w:hyperlink r:id="rId200" w:history="1">
        <w:r>
          <w:rPr>
            <w:rStyle w:val="Hyperlink"/>
            <w:rFonts w:ascii="Arial" w:hAnsi="Arial"/>
            <w:sz w:val="20"/>
          </w:rPr>
          <w:t>http://www.wipo.int/tk/en/legal_texts/</w:t>
        </w:r>
      </w:hyperlink>
      <w:r>
        <w:rPr>
          <w:rFonts w:ascii="Arial" w:hAnsi="Arial"/>
          <w:sz w:val="20"/>
        </w:rPr>
        <w:t xml:space="preserve"> </w:t>
      </w:r>
    </w:p>
    <w:p w14:paraId="6E3E5D83" w14:textId="77777777"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Para saber mais sobre o Comitê Intergovernamental sobre Propriedade Intelectual e Recursos Genéticos, Conhecimento Tradicional e Folclore (IGC): </w:t>
      </w:r>
      <w:hyperlink r:id="rId201" w:history="1">
        <w:r>
          <w:rPr>
            <w:rStyle w:val="Hyperlink"/>
            <w:rFonts w:ascii="Arial" w:hAnsi="Arial"/>
            <w:sz w:val="20"/>
          </w:rPr>
          <w:t>http://www.wipo.int/tk/en/igc/</w:t>
        </w:r>
      </w:hyperlink>
      <w:r>
        <w:rPr>
          <w:rFonts w:ascii="Arial" w:hAnsi="Arial"/>
          <w:sz w:val="20"/>
        </w:rPr>
        <w:t xml:space="preserve"> e Nota Informativa nº 2 disponível em:</w:t>
      </w:r>
    </w:p>
    <w:p w14:paraId="69966253" w14:textId="77777777" w:rsidR="00267CCE" w:rsidRPr="00FD20EE" w:rsidRDefault="00F265CB" w:rsidP="00165A63">
      <w:pPr>
        <w:pStyle w:val="ListParagraph"/>
        <w:spacing w:line="240" w:lineRule="auto"/>
        <w:ind w:left="426"/>
        <w:jc w:val="both"/>
        <w:rPr>
          <w:rFonts w:ascii="Arial" w:hAnsi="Arial" w:cs="Arial"/>
          <w:sz w:val="20"/>
        </w:rPr>
      </w:pPr>
      <w:hyperlink r:id="rId202" w:history="1">
        <w:r w:rsidR="00372C70">
          <w:rPr>
            <w:rStyle w:val="Hyperlink"/>
            <w:rFonts w:ascii="Arial" w:hAnsi="Arial"/>
            <w:sz w:val="20"/>
          </w:rPr>
          <w:t>http://www.wipo.int/publications/en/details.jsp?id=3861&amp;plang=EN</w:t>
        </w:r>
      </w:hyperlink>
    </w:p>
    <w:p w14:paraId="4946EE2E" w14:textId="77777777"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Para saber mais sobre a Convenção sobre Diversidade Biológica (CDB) e o Protocolo de Nagoya: </w:t>
      </w:r>
      <w:hyperlink r:id="rId203" w:history="1">
        <w:r>
          <w:rPr>
            <w:rStyle w:val="Hyperlink"/>
            <w:rFonts w:ascii="Arial" w:hAnsi="Arial"/>
            <w:sz w:val="20"/>
          </w:rPr>
          <w:t>www.cbd.int/intro/</w:t>
        </w:r>
      </w:hyperlink>
      <w:r>
        <w:rPr>
          <w:rFonts w:ascii="Arial" w:hAnsi="Arial"/>
          <w:sz w:val="20"/>
        </w:rPr>
        <w:t>.</w:t>
      </w:r>
    </w:p>
    <w:p w14:paraId="412C475B" w14:textId="77777777" w:rsidR="00267CC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rPr>
      </w:pPr>
      <w:r>
        <w:rPr>
          <w:rFonts w:ascii="Arial" w:hAnsi="Arial"/>
          <w:sz w:val="20"/>
        </w:rPr>
        <w:t xml:space="preserve">Para saber mais sobre o Tratado Internacional: </w:t>
      </w:r>
      <w:hyperlink r:id="rId204" w:history="1">
        <w:r>
          <w:rPr>
            <w:rStyle w:val="Hyperlink"/>
            <w:rFonts w:ascii="Arial" w:hAnsi="Arial"/>
            <w:sz w:val="20"/>
          </w:rPr>
          <w:t>http://www.fao.org/plant-treaty/en/</w:t>
        </w:r>
      </w:hyperlink>
      <w:r>
        <w:rPr>
          <w:rFonts w:ascii="Arial" w:hAnsi="Arial"/>
          <w:sz w:val="20"/>
        </w:rPr>
        <w:t>.</w:t>
      </w:r>
    </w:p>
    <w:p w14:paraId="5ABA566F" w14:textId="77777777" w:rsidR="00B30378" w:rsidRPr="0024467F" w:rsidRDefault="00B30378" w:rsidP="00B30378">
      <w:pPr>
        <w:pStyle w:val="ListParagraph"/>
        <w:spacing w:line="240" w:lineRule="auto"/>
        <w:ind w:left="426"/>
        <w:jc w:val="both"/>
        <w:rPr>
          <w:rFonts w:ascii="Arial" w:hAnsi="Arial" w:cs="Arial"/>
          <w:sz w:val="20"/>
        </w:rPr>
      </w:pPr>
    </w:p>
    <w:p w14:paraId="3992BB23" w14:textId="77777777" w:rsidR="00B30378" w:rsidRPr="0024467F" w:rsidRDefault="00B30378" w:rsidP="00B30378">
      <w:pPr>
        <w:pStyle w:val="ListParagraph"/>
        <w:spacing w:line="240" w:lineRule="auto"/>
        <w:ind w:left="426"/>
        <w:jc w:val="both"/>
        <w:rPr>
          <w:rFonts w:ascii="Arial" w:hAnsi="Arial" w:cs="Arial"/>
          <w:sz w:val="20"/>
        </w:rPr>
      </w:pPr>
    </w:p>
    <w:p w14:paraId="2E631A6E" w14:textId="77777777" w:rsidR="00E22076" w:rsidRPr="0024467F" w:rsidRDefault="00E22076" w:rsidP="002F3C51">
      <w:pPr>
        <w:pStyle w:val="Heading2"/>
      </w:pPr>
    </w:p>
    <w:p w14:paraId="2AF9C10F" w14:textId="6D1208CC" w:rsidR="004454DD" w:rsidRPr="00FD20EE" w:rsidRDefault="004454DD" w:rsidP="002F3C51">
      <w:pPr>
        <w:pStyle w:val="Heading2"/>
      </w:pPr>
      <w:bookmarkStart w:id="413" w:name="_Toc516160115"/>
      <w:bookmarkStart w:id="414" w:name="_Toc516219451"/>
      <w:bookmarkStart w:id="415" w:name="_Toc516496095"/>
      <w:bookmarkStart w:id="416" w:name="_Toc516829467"/>
      <w:bookmarkStart w:id="417" w:name="_Toc185241091"/>
      <w:r>
        <w:t xml:space="preserve">ARTIGO 13 – CONFLITOS DE INTERESSES </w:t>
      </w:r>
      <w:bookmarkEnd w:id="406"/>
      <w:bookmarkEnd w:id="407"/>
      <w:r>
        <w:t>E CONFLITOS DE COMPROMISSO</w:t>
      </w:r>
      <w:bookmarkEnd w:id="413"/>
      <w:bookmarkEnd w:id="414"/>
      <w:bookmarkEnd w:id="415"/>
      <w:bookmarkEnd w:id="416"/>
      <w:bookmarkEnd w:id="417"/>
    </w:p>
    <w:p w14:paraId="4A7020C9" w14:textId="77777777" w:rsidR="00E22076" w:rsidRPr="0024467F" w:rsidRDefault="00E22076" w:rsidP="002F3C51">
      <w:pPr>
        <w:pStyle w:val="Heading2"/>
      </w:pPr>
    </w:p>
    <w:bookmarkEnd w:id="408"/>
    <w:p w14:paraId="4AA68BAC" w14:textId="77777777" w:rsidR="00F54F7B" w:rsidRPr="0024467F" w:rsidRDefault="00F54F7B" w:rsidP="00E73746">
      <w:pPr>
        <w:spacing w:after="0" w:line="240" w:lineRule="auto"/>
        <w:jc w:val="both"/>
        <w:rPr>
          <w:rFonts w:ascii="Arial" w:hAnsi="Arial" w:cs="Arial"/>
          <w:color w:val="000000" w:themeColor="text1"/>
        </w:rPr>
      </w:pPr>
    </w:p>
    <w:p w14:paraId="7249185A" w14:textId="77777777" w:rsidR="009B7900" w:rsidRPr="00FD20EE" w:rsidRDefault="009B7900" w:rsidP="002009C9">
      <w:pPr>
        <w:pStyle w:val="Default"/>
        <w:jc w:val="both"/>
        <w:rPr>
          <w:color w:val="auto"/>
          <w:sz w:val="22"/>
        </w:rPr>
      </w:pPr>
      <w:bookmarkStart w:id="418" w:name="_Toc479699569"/>
    </w:p>
    <w:p w14:paraId="793830D9" w14:textId="432E268F" w:rsidR="002E241F" w:rsidRPr="00FD20EE" w:rsidRDefault="002E241F" w:rsidP="002009C9">
      <w:pPr>
        <w:pStyle w:val="Default"/>
        <w:jc w:val="both"/>
        <w:rPr>
          <w:color w:val="auto"/>
          <w:sz w:val="20"/>
        </w:rPr>
      </w:pPr>
      <w:r>
        <w:rPr>
          <w:color w:val="auto"/>
          <w:sz w:val="20"/>
        </w:rPr>
        <w:t>Em consonância com a missão da instituição, os membros da equipe estão entrando no espaço comercial e trabalhando com a indústria em maior número</w:t>
      </w:r>
      <w:r w:rsidR="008411EA">
        <w:rPr>
          <w:color w:val="auto"/>
          <w:sz w:val="20"/>
        </w:rPr>
        <w:t xml:space="preserve">. </w:t>
      </w:r>
      <w:r>
        <w:rPr>
          <w:color w:val="auto"/>
          <w:sz w:val="20"/>
        </w:rPr>
        <w:t>Nessas relações e interações, é possível, no entanto, que os interesses de um membro da equipe possam, às vezes, dar origem a um conflito de interesses real, potencial ou percebido ou a um conflito de compromisso com sua função e responsabilidades na Instituição. </w:t>
      </w:r>
    </w:p>
    <w:p w14:paraId="7BB6F448" w14:textId="77777777" w:rsidR="006708FB" w:rsidRPr="0024467F" w:rsidRDefault="006708FB" w:rsidP="002009C9">
      <w:pPr>
        <w:pStyle w:val="Default"/>
        <w:jc w:val="both"/>
        <w:rPr>
          <w:color w:val="auto"/>
          <w:sz w:val="20"/>
        </w:rPr>
      </w:pPr>
    </w:p>
    <w:p w14:paraId="34C66D50" w14:textId="37D1BF4C" w:rsidR="00306CFA" w:rsidRPr="00FD20EE" w:rsidRDefault="006708FB" w:rsidP="002009C9">
      <w:pPr>
        <w:pStyle w:val="Default"/>
        <w:jc w:val="both"/>
        <w:rPr>
          <w:color w:val="auto"/>
          <w:sz w:val="18"/>
        </w:rPr>
      </w:pPr>
      <w:r>
        <w:rPr>
          <w:color w:val="auto"/>
          <w:sz w:val="20"/>
        </w:rPr>
        <w:lastRenderedPageBreak/>
        <w:t>Garantir que conflitos de interesse ou conflitos de compromisso sejam gerenciados adequadamente é crucial para reduzir riscos legais e de reputação e demonstrar a integridade dos membros da equipe e da Instituição</w:t>
      </w:r>
      <w:r w:rsidR="008411EA">
        <w:rPr>
          <w:color w:val="auto"/>
          <w:sz w:val="20"/>
        </w:rPr>
        <w:t xml:space="preserve">. </w:t>
      </w:r>
      <w:r>
        <w:rPr>
          <w:color w:val="auto"/>
          <w:sz w:val="20"/>
        </w:rPr>
        <w:t>Diretrizes são necessárias para auxiliar a Instituição e seus Membros da Equipe de pesquisa a navegar proativamente pelas complexidades de uma variedade de requisitos ao operar nas esferas distintas - mas às vezes sobrepostas - da Instituição e de funções e relacionamentos externos.</w:t>
      </w:r>
    </w:p>
    <w:p w14:paraId="3B5C52FB" w14:textId="77777777" w:rsidR="00306CFA" w:rsidRPr="0024467F" w:rsidRDefault="00306CFA" w:rsidP="002009C9">
      <w:pPr>
        <w:tabs>
          <w:tab w:val="left" w:pos="851"/>
          <w:tab w:val="left" w:pos="1843"/>
        </w:tabs>
        <w:spacing w:after="0" w:line="240" w:lineRule="auto"/>
        <w:jc w:val="both"/>
        <w:rPr>
          <w:rFonts w:ascii="Arial" w:hAnsi="Arial" w:cs="Arial"/>
          <w:sz w:val="20"/>
        </w:rPr>
      </w:pPr>
    </w:p>
    <w:p w14:paraId="5FE83482" w14:textId="3AB1ED31" w:rsidR="00F962CA" w:rsidRPr="00FD20EE" w:rsidRDefault="00BF5EC9" w:rsidP="002009C9">
      <w:pPr>
        <w:tabs>
          <w:tab w:val="left" w:pos="851"/>
          <w:tab w:val="left" w:pos="1843"/>
        </w:tabs>
        <w:spacing w:after="0" w:line="240" w:lineRule="auto"/>
        <w:jc w:val="both"/>
        <w:rPr>
          <w:rFonts w:ascii="Arial" w:hAnsi="Arial" w:cs="Arial"/>
          <w:sz w:val="20"/>
        </w:rPr>
      </w:pPr>
      <w:r>
        <w:rPr>
          <w:rFonts w:ascii="Arial" w:hAnsi="Arial"/>
          <w:sz w:val="20"/>
        </w:rPr>
        <w:t>O Modelo do Artigo 13 pretende destacar essas questões e estabelecer um método para proteger a comunidade da Instituição de circunstâncias questionáveis que possam surgir</w:t>
      </w:r>
      <w:r w:rsidR="008411EA">
        <w:rPr>
          <w:rFonts w:ascii="Arial" w:hAnsi="Arial"/>
          <w:sz w:val="20"/>
        </w:rPr>
        <w:t xml:space="preserve">. </w:t>
      </w:r>
      <w:r>
        <w:rPr>
          <w:rFonts w:ascii="Arial" w:hAnsi="Arial"/>
          <w:sz w:val="20"/>
        </w:rPr>
        <w:t xml:space="preserve">Recomenda-se que uma política adicional separada e/ou um conjunto de diretrizes sejam colocados em prática para estabelecer padrões e requisitos mais detalhados para proteger o bem-estar financeiro, a reputação e as obrigações legais da Instituição e para resolver quaisquer conflitos aparentes ou reais. </w:t>
      </w:r>
    </w:p>
    <w:p w14:paraId="6A334A72" w14:textId="77777777" w:rsidR="00087BE9" w:rsidRPr="0024467F" w:rsidRDefault="00087BE9" w:rsidP="002009C9">
      <w:pPr>
        <w:tabs>
          <w:tab w:val="left" w:pos="851"/>
          <w:tab w:val="left" w:pos="1843"/>
        </w:tabs>
        <w:spacing w:after="0" w:line="240" w:lineRule="auto"/>
        <w:jc w:val="both"/>
        <w:rPr>
          <w:rFonts w:ascii="Arial" w:hAnsi="Arial" w:cs="Arial"/>
          <w:sz w:val="20"/>
        </w:rPr>
      </w:pPr>
    </w:p>
    <w:p w14:paraId="4CBBF4D8" w14:textId="67E865EE" w:rsidR="00DA5DE9" w:rsidRPr="00FD20EE" w:rsidRDefault="00B82497"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rPr>
      </w:pPr>
      <w:r>
        <w:rPr>
          <w:rFonts w:ascii="Arial" w:hAnsi="Arial"/>
          <w:b/>
          <w:sz w:val="20"/>
        </w:rPr>
        <w:t xml:space="preserve">Artigo 13.1, </w:t>
      </w:r>
      <w:r>
        <w:rPr>
          <w:rFonts w:ascii="Arial" w:hAnsi="Arial"/>
          <w:b/>
          <w:i/>
          <w:sz w:val="20"/>
        </w:rPr>
        <w:t>Compromisso com a Instituição</w:t>
      </w:r>
      <w:r w:rsidRPr="002F7AC6">
        <w:rPr>
          <w:rFonts w:ascii="Arial" w:hAnsi="Arial"/>
          <w:bCs/>
          <w:sz w:val="20"/>
        </w:rPr>
        <w:t xml:space="preserve">: </w:t>
      </w:r>
      <w:r>
        <w:rPr>
          <w:rFonts w:ascii="Arial" w:hAnsi="Arial"/>
          <w:sz w:val="20"/>
        </w:rPr>
        <w:t>Este artigo trata de conflitos de compromisso (COC)</w:t>
      </w:r>
      <w:r w:rsidR="008411EA">
        <w:rPr>
          <w:rFonts w:ascii="Arial" w:hAnsi="Arial"/>
          <w:sz w:val="20"/>
        </w:rPr>
        <w:t xml:space="preserve">. </w:t>
      </w:r>
      <w:r>
        <w:rPr>
          <w:rFonts w:ascii="Arial" w:hAnsi="Arial"/>
          <w:sz w:val="20"/>
        </w:rPr>
        <w:t>O COC geralmente envolve questões de alocação de tempo (veja a definição no Modelo do Artigo 2). Os Membros da Equipe e Visitantes devem sua principal lealdade profissional à Instituição; seu principal comprometimento profissional de tempo e energias intelectuais, portanto, é com a educação, pesquisa e outros programas que apoiam a missão da Instituição.</w:t>
      </w:r>
      <w:r>
        <w:rPr>
          <w:sz w:val="20"/>
        </w:rPr>
        <w:t xml:space="preserve"> </w:t>
      </w:r>
      <w:r>
        <w:rPr>
          <w:rFonts w:ascii="Arial" w:hAnsi="Arial"/>
          <w:sz w:val="20"/>
        </w:rPr>
        <w:t>Tentativas de equilibrar as responsabilidades da Instituição com atividades externas – como consultoria, serviço governamental, serviço público ou trabalho pro bono – podem resultar em conflitos quanto à alocação de tempo e energia</w:t>
      </w:r>
      <w:r w:rsidR="008411EA">
        <w:rPr>
          <w:rFonts w:ascii="Arial" w:hAnsi="Arial"/>
          <w:sz w:val="20"/>
        </w:rPr>
        <w:t xml:space="preserve">. </w:t>
      </w:r>
      <w:r>
        <w:rPr>
          <w:rFonts w:ascii="Arial" w:hAnsi="Arial"/>
          <w:sz w:val="20"/>
        </w:rPr>
        <w:t>Os membros da equipe e visitantes que pretendem se envolver em uma atividade externa que envolva esforço significativo fora da instituição e que possa apresentar um COC devem ter aprovação por escrito do departamento/escritório relevante. Os indivíduos podem ser obrigados a tirar uma licença para prosseguir com a atividade externa se ela não puder ser gerenciada adequadamente. Os limites permitidos de atividades externas geralmente são descritos na Política de COC/COI da Instituição e/ou no manual do corpo docente.</w:t>
      </w:r>
    </w:p>
    <w:p w14:paraId="61ACDEDB" w14:textId="77777777" w:rsidR="00D51FFF" w:rsidRPr="0024467F" w:rsidRDefault="00D51FFF" w:rsidP="002009C9">
      <w:pPr>
        <w:tabs>
          <w:tab w:val="left" w:pos="851"/>
          <w:tab w:val="left" w:pos="1843"/>
        </w:tabs>
        <w:spacing w:after="0" w:line="240" w:lineRule="auto"/>
        <w:jc w:val="both"/>
        <w:rPr>
          <w:rFonts w:ascii="Arial" w:hAnsi="Arial" w:cs="Arial"/>
          <w:sz w:val="20"/>
          <w:lang w:eastAsia="hu-HU"/>
        </w:rPr>
      </w:pPr>
    </w:p>
    <w:p w14:paraId="3FEE4FF9" w14:textId="4FAD8DC7" w:rsidR="009A6BCB" w:rsidRPr="00FD20EE" w:rsidRDefault="009A6BCB"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rPr>
      </w:pPr>
      <w:r>
        <w:rPr>
          <w:rFonts w:ascii="Arial" w:hAnsi="Arial"/>
          <w:b/>
          <w:sz w:val="20"/>
        </w:rPr>
        <w:t xml:space="preserve">Artigo 13.2, </w:t>
      </w:r>
      <w:r>
        <w:rPr>
          <w:rFonts w:ascii="Arial" w:hAnsi="Arial"/>
          <w:b/>
          <w:i/>
          <w:sz w:val="20"/>
        </w:rPr>
        <w:t>Melhores Interesses da Instituição</w:t>
      </w:r>
      <w:r w:rsidR="008411EA">
        <w:rPr>
          <w:rFonts w:ascii="Arial" w:hAnsi="Arial"/>
          <w:b/>
          <w:sz w:val="20"/>
        </w:rPr>
        <w:t>.</w:t>
      </w:r>
      <w:r w:rsidR="008411EA" w:rsidRPr="002F7AC6">
        <w:rPr>
          <w:rFonts w:ascii="Arial" w:hAnsi="Arial"/>
          <w:bCs/>
          <w:sz w:val="20"/>
        </w:rPr>
        <w:t xml:space="preserve"> </w:t>
      </w:r>
      <w:r>
        <w:rPr>
          <w:rFonts w:ascii="Arial" w:hAnsi="Arial"/>
          <w:sz w:val="20"/>
        </w:rPr>
        <w:t>Este artigo se refere a conflitos de interesse (COI)</w:t>
      </w:r>
      <w:r w:rsidR="008411EA">
        <w:rPr>
          <w:rFonts w:ascii="Arial" w:hAnsi="Arial"/>
          <w:sz w:val="20"/>
        </w:rPr>
        <w:t xml:space="preserve">. </w:t>
      </w:r>
      <w:r>
        <w:rPr>
          <w:rFonts w:ascii="Arial" w:hAnsi="Arial"/>
          <w:sz w:val="20"/>
        </w:rPr>
        <w:t>Considerações de ganho pessoal não devem influenciar as decisões ou ações dos indivíduos no cumprimento de suas responsabilidades na Instituição. Tais incentivos podem criar uma percepção de impropriedade e, portanto, exigir que tais conflitos sejam identificados e então gerenciados ou eliminados.</w:t>
      </w:r>
      <w:r>
        <w:rPr>
          <w:sz w:val="20"/>
        </w:rPr>
        <w:t xml:space="preserve"> </w:t>
      </w:r>
      <w:r>
        <w:rPr>
          <w:rFonts w:ascii="Arial" w:hAnsi="Arial"/>
          <w:sz w:val="20"/>
        </w:rPr>
        <w:t>Geralmente, as situações de COI surgem quando o interesse externo fornece um incentivo que pode comprometer a capacidade de alguém de desempenhar todas as suas funções e cumprir suas responsabilidades dentro da Instituição e quando o indivíduo tem a oportunidade de afetar a decisão ou outra atividade da Instituição.</w:t>
      </w:r>
    </w:p>
    <w:p w14:paraId="347EEA2F" w14:textId="77777777" w:rsidR="009A6BCB" w:rsidRPr="0024467F" w:rsidRDefault="009A6BCB" w:rsidP="002009C9">
      <w:pPr>
        <w:tabs>
          <w:tab w:val="left" w:pos="851"/>
          <w:tab w:val="left" w:pos="1843"/>
        </w:tabs>
        <w:spacing w:after="0" w:line="240" w:lineRule="auto"/>
        <w:jc w:val="both"/>
        <w:rPr>
          <w:rFonts w:ascii="Arial" w:hAnsi="Arial" w:cs="Arial"/>
          <w:sz w:val="20"/>
          <w:lang w:eastAsia="hu-HU"/>
        </w:rPr>
      </w:pPr>
    </w:p>
    <w:p w14:paraId="03EAE80B" w14:textId="77777777" w:rsidR="00F20AED" w:rsidRPr="00FD20EE" w:rsidRDefault="00F20AED" w:rsidP="002009C9">
      <w:pPr>
        <w:tabs>
          <w:tab w:val="left" w:pos="851"/>
          <w:tab w:val="left" w:pos="1843"/>
        </w:tabs>
        <w:spacing w:after="0" w:line="240" w:lineRule="auto"/>
        <w:ind w:left="426"/>
        <w:jc w:val="both"/>
        <w:rPr>
          <w:rFonts w:ascii="Arial" w:hAnsi="Arial" w:cs="Arial"/>
          <w:sz w:val="20"/>
        </w:rPr>
      </w:pPr>
      <w:r>
        <w:rPr>
          <w:rFonts w:ascii="Arial" w:hAnsi="Arial"/>
          <w:sz w:val="20"/>
        </w:rPr>
        <w:t>A comercialização de resultados de pesquisa por meio de gestão de PI e transferência de tecnologia normalmente envolve questões de potenciais interesses financeiros e outros e, portanto, pode ocorrer COI. O COI pode ser identificado em diferentes níveis:</w:t>
      </w:r>
    </w:p>
    <w:p w14:paraId="65D48EBD" w14:textId="77777777" w:rsidR="00F20AED" w:rsidRPr="00FD20EE" w:rsidRDefault="00F20AED" w:rsidP="002009C9">
      <w:pPr>
        <w:tabs>
          <w:tab w:val="left" w:pos="993"/>
          <w:tab w:val="left" w:pos="1843"/>
        </w:tabs>
        <w:spacing w:after="0" w:line="240" w:lineRule="auto"/>
        <w:jc w:val="both"/>
        <w:rPr>
          <w:rFonts w:ascii="Arial" w:hAnsi="Arial" w:cs="Arial"/>
          <w:sz w:val="20"/>
          <w:lang w:val="en-US" w:eastAsia="hu-HU"/>
        </w:rPr>
      </w:pPr>
    </w:p>
    <w:p w14:paraId="2674D0F6" w14:textId="77777777" w:rsidR="00F20AED" w:rsidRPr="00FD20EE" w:rsidRDefault="00C278C2" w:rsidP="00464282">
      <w:pPr>
        <w:pStyle w:val="ListParagraph"/>
        <w:numPr>
          <w:ilvl w:val="0"/>
          <w:numId w:val="2"/>
        </w:numPr>
        <w:tabs>
          <w:tab w:val="left" w:pos="993"/>
          <w:tab w:val="left" w:pos="1843"/>
        </w:tabs>
        <w:autoSpaceDE w:val="0"/>
        <w:autoSpaceDN w:val="0"/>
        <w:adjustRightInd w:val="0"/>
        <w:spacing w:after="0" w:line="240" w:lineRule="auto"/>
        <w:ind w:hanging="294"/>
        <w:jc w:val="both"/>
        <w:rPr>
          <w:rFonts w:ascii="Arial" w:hAnsi="Arial" w:cs="Arial"/>
          <w:sz w:val="20"/>
        </w:rPr>
      </w:pPr>
      <w:r>
        <w:rPr>
          <w:rFonts w:ascii="Arial" w:hAnsi="Arial"/>
          <w:color w:val="0070C0"/>
          <w:sz w:val="20"/>
        </w:rPr>
        <w:t>Nível institucional</w:t>
      </w:r>
      <w:r>
        <w:rPr>
          <w:rFonts w:ascii="Arial" w:hAnsi="Arial"/>
          <w:sz w:val="20"/>
        </w:rPr>
        <w:t>. A missão da Instituição é a criação, preservação e transmissão de conhecimento para o benefício do público. As instituições são – diferentemente das empresas – sem fins lucrativos. O processo de comercialização de PI pode colocá-los em uma posição em que interesses financeiros imediatos podem entrar em conflito com sua missão principal. Por exemplo, uma Instituição pode se tornar titular total/parcial de uma empresa cujos interesses diretos são maximizar seus lucros, mesmo que isso entre em conflito com princípios acadêmicos básicos como abertura e compartilhamento de conhecimento. Da mesma forma, pode surgir um conflito entre o desejo de ganho financeiro significativo por meio de uma licença de PI e questões filantrópicas relacionadas a essa PI. As instituições devem, portanto, equilibrar a promoção da inovação e do empreendedorismo com a preservação de seu compromisso de salvaguardar a integridade e a objetividade de suas pesquisas.</w:t>
      </w:r>
    </w:p>
    <w:p w14:paraId="6A814136" w14:textId="77777777" w:rsidR="00F20AED" w:rsidRPr="0024467F" w:rsidRDefault="00F20AED" w:rsidP="002009C9">
      <w:pPr>
        <w:tabs>
          <w:tab w:val="left" w:pos="993"/>
          <w:tab w:val="left" w:pos="1843"/>
        </w:tabs>
        <w:spacing w:after="0" w:line="240" w:lineRule="auto"/>
        <w:ind w:left="851" w:hanging="425"/>
        <w:jc w:val="both"/>
        <w:rPr>
          <w:rFonts w:ascii="Arial" w:hAnsi="Arial" w:cs="Arial"/>
          <w:sz w:val="20"/>
          <w:lang w:eastAsia="hu-HU"/>
        </w:rPr>
      </w:pPr>
    </w:p>
    <w:p w14:paraId="7BAF9845" w14:textId="1D054D09" w:rsidR="00F20AED" w:rsidRPr="00FD20EE" w:rsidRDefault="008651B7" w:rsidP="00464282">
      <w:pPr>
        <w:pStyle w:val="ListParagraph"/>
        <w:numPr>
          <w:ilvl w:val="0"/>
          <w:numId w:val="2"/>
        </w:numPr>
        <w:tabs>
          <w:tab w:val="left" w:pos="851"/>
          <w:tab w:val="left" w:pos="1843"/>
        </w:tabs>
        <w:spacing w:after="0" w:line="240" w:lineRule="auto"/>
        <w:ind w:left="709" w:hanging="283"/>
        <w:jc w:val="both"/>
        <w:rPr>
          <w:rFonts w:ascii="Arial" w:hAnsi="Arial" w:cs="Arial"/>
          <w:sz w:val="20"/>
        </w:rPr>
      </w:pPr>
      <w:r>
        <w:rPr>
          <w:rFonts w:ascii="Arial" w:hAnsi="Arial"/>
          <w:color w:val="0070C0"/>
          <w:sz w:val="20"/>
        </w:rPr>
        <w:t>Nível do EGPI</w:t>
      </w:r>
      <w:r>
        <w:rPr>
          <w:rFonts w:ascii="Arial" w:hAnsi="Arial"/>
          <w:sz w:val="20"/>
        </w:rPr>
        <w:t>. A entidade responsável pelo processo de comercialização de PI deve atender aos interesses da Instituição, bem como aos interesses da indústria e dos inventores</w:t>
      </w:r>
      <w:r w:rsidR="00FD5B4A">
        <w:rPr>
          <w:rFonts w:ascii="Arial" w:hAnsi="Arial"/>
          <w:sz w:val="20"/>
        </w:rPr>
        <w:t>.</w:t>
      </w:r>
      <w:r>
        <w:rPr>
          <w:rFonts w:ascii="Arial" w:hAnsi="Arial"/>
          <w:sz w:val="20"/>
        </w:rPr>
        <w:t xml:space="preserve"> Esses interesses, no entanto, podem ser diferentes, de modo que exista potencial para COI.</w:t>
      </w:r>
    </w:p>
    <w:p w14:paraId="1A717F3D" w14:textId="77777777" w:rsidR="00F20AED" w:rsidRPr="0024467F" w:rsidRDefault="00F20AED" w:rsidP="002009C9">
      <w:pPr>
        <w:pStyle w:val="ListParagraph"/>
        <w:tabs>
          <w:tab w:val="left" w:pos="993"/>
          <w:tab w:val="left" w:pos="1843"/>
        </w:tabs>
        <w:spacing w:after="0" w:line="240" w:lineRule="auto"/>
        <w:ind w:left="851" w:hanging="425"/>
        <w:jc w:val="both"/>
        <w:rPr>
          <w:rFonts w:ascii="Arial" w:hAnsi="Arial" w:cs="Arial"/>
          <w:sz w:val="20"/>
          <w:lang w:eastAsia="hu-HU"/>
        </w:rPr>
      </w:pPr>
    </w:p>
    <w:p w14:paraId="0F2AF77E" w14:textId="77777777" w:rsidR="00F20AED" w:rsidRPr="00FD20EE" w:rsidRDefault="00C11B04" w:rsidP="00464282">
      <w:pPr>
        <w:pStyle w:val="ListParagraph"/>
        <w:numPr>
          <w:ilvl w:val="0"/>
          <w:numId w:val="2"/>
        </w:numPr>
        <w:tabs>
          <w:tab w:val="left" w:pos="993"/>
          <w:tab w:val="left" w:pos="1843"/>
        </w:tabs>
        <w:spacing w:after="0" w:line="240" w:lineRule="auto"/>
        <w:ind w:left="709" w:hanging="283"/>
        <w:jc w:val="both"/>
        <w:rPr>
          <w:rFonts w:ascii="Arial" w:hAnsi="Arial" w:cs="Arial"/>
          <w:sz w:val="20"/>
        </w:rPr>
      </w:pPr>
      <w:r>
        <w:rPr>
          <w:rFonts w:ascii="Arial" w:hAnsi="Arial"/>
          <w:color w:val="0070C0"/>
          <w:sz w:val="20"/>
        </w:rPr>
        <w:t>Nível do pessoal</w:t>
      </w:r>
      <w:r>
        <w:rPr>
          <w:rFonts w:ascii="Arial" w:hAnsi="Arial"/>
          <w:sz w:val="20"/>
        </w:rPr>
        <w:t>. Cada indivíduo relacionado a uma invenção é exposto ao COI, especialmente nos casos em que ele/ela é formalmente afiliado(a) a mais de uma organização. Circunstâncias questionáveis que podem surgir incluem, por exemplo:</w:t>
      </w:r>
    </w:p>
    <w:p w14:paraId="7E655651" w14:textId="77777777" w:rsidR="00F20AED" w:rsidRPr="00FD20EE" w:rsidRDefault="008A0336" w:rsidP="009D4A54">
      <w:pPr>
        <w:numPr>
          <w:ilvl w:val="0"/>
          <w:numId w:val="65"/>
        </w:numPr>
        <w:spacing w:before="100" w:beforeAutospacing="1" w:after="100" w:afterAutospacing="1" w:line="240" w:lineRule="auto"/>
        <w:ind w:left="1276" w:hanging="425"/>
        <w:jc w:val="both"/>
        <w:rPr>
          <w:rFonts w:ascii="Arial" w:hAnsi="Arial" w:cs="Arial"/>
          <w:sz w:val="20"/>
        </w:rPr>
      </w:pPr>
      <w:r>
        <w:rPr>
          <w:rFonts w:ascii="Arial" w:hAnsi="Arial"/>
          <w:sz w:val="20"/>
        </w:rPr>
        <w:lastRenderedPageBreak/>
        <w:t>se um membro da equipe investir pessoalmente em um empreendimento comercial criado a partir da PI da Instituição quando estava envolvido como pesquisador ou supervisor/gerente;</w:t>
      </w:r>
    </w:p>
    <w:p w14:paraId="10AD4E73"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r>
        <w:rPr>
          <w:rFonts w:ascii="Arial" w:hAnsi="Arial"/>
          <w:sz w:val="20"/>
        </w:rPr>
        <w:t>se um membro da equipe que é fundador de uma empresa negociar pessoalmente os termos de licenciamento com a Instituição;</w:t>
      </w:r>
    </w:p>
    <w:p w14:paraId="63A75057"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r>
        <w:rPr>
          <w:rFonts w:ascii="Arial" w:hAnsi="Arial"/>
          <w:sz w:val="20"/>
        </w:rPr>
        <w:t>se um membro da equipe que ocupa um cargo no conselho de uma empresa decidir sobre questões envolvendo termos de licenciamento com a Instituição;</w:t>
      </w:r>
    </w:p>
    <w:p w14:paraId="24C20D26"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r>
        <w:rPr>
          <w:rFonts w:ascii="Arial" w:hAnsi="Arial"/>
          <w:sz w:val="20"/>
        </w:rPr>
        <w:t>se um membro da equipe que também presta consultoria para outra empresa precisar decidir se deve atribuir suas invenções à Instituição ou à empresa para a qual ele ou ela presta consultoria;</w:t>
      </w:r>
    </w:p>
    <w:p w14:paraId="437F21BA" w14:textId="77777777" w:rsidR="00F20AED" w:rsidRPr="00FD20EE" w:rsidRDefault="00F20AED" w:rsidP="009D4A54">
      <w:pPr>
        <w:numPr>
          <w:ilvl w:val="0"/>
          <w:numId w:val="65"/>
        </w:numPr>
        <w:spacing w:after="0" w:line="240" w:lineRule="auto"/>
        <w:ind w:left="1276" w:hanging="425"/>
        <w:jc w:val="both"/>
        <w:rPr>
          <w:rFonts w:ascii="Arial" w:hAnsi="Arial" w:cs="Arial"/>
          <w:sz w:val="20"/>
        </w:rPr>
      </w:pPr>
      <w:r>
        <w:rPr>
          <w:rFonts w:ascii="Arial" w:hAnsi="Arial"/>
          <w:sz w:val="20"/>
        </w:rPr>
        <w:t>se um membro da equipe aceita patrocínio de pesquisa de uma empresa na qual ele ou ela tem interesse financeiro; o conflito surge porque o resultado da pesquisa pode afetar materialmente o patrimônio pessoal do pesquisador.</w:t>
      </w:r>
    </w:p>
    <w:p w14:paraId="7F3DBBE0" w14:textId="77777777" w:rsidR="008651B7" w:rsidRPr="0024467F" w:rsidRDefault="008651B7" w:rsidP="002009C9">
      <w:pPr>
        <w:spacing w:after="0" w:line="240" w:lineRule="auto"/>
        <w:ind w:left="992"/>
        <w:jc w:val="both"/>
        <w:rPr>
          <w:rFonts w:ascii="Arial" w:hAnsi="Arial" w:cs="Arial"/>
          <w:sz w:val="20"/>
        </w:rPr>
      </w:pPr>
    </w:p>
    <w:p w14:paraId="7E5D825F" w14:textId="6820B040" w:rsidR="00C21C73" w:rsidRPr="00FD20EE" w:rsidRDefault="00B82497"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rPr>
      </w:pPr>
      <w:r>
        <w:rPr>
          <w:rFonts w:ascii="Arial" w:hAnsi="Arial"/>
          <w:b/>
          <w:sz w:val="20"/>
        </w:rPr>
        <w:t xml:space="preserve">Artigo 13.4, </w:t>
      </w:r>
      <w:r>
        <w:rPr>
          <w:rFonts w:ascii="Arial" w:hAnsi="Arial"/>
          <w:b/>
          <w:i/>
          <w:sz w:val="20"/>
        </w:rPr>
        <w:t>divulgação de atividades externas e interesses financeiros</w:t>
      </w:r>
      <w:r w:rsidRPr="002F7AC6">
        <w:rPr>
          <w:rFonts w:ascii="Arial" w:hAnsi="Arial"/>
          <w:bCs/>
          <w:iCs/>
          <w:sz w:val="20"/>
        </w:rPr>
        <w:t xml:space="preserve">: </w:t>
      </w:r>
      <w:r>
        <w:rPr>
          <w:rFonts w:ascii="Arial" w:hAnsi="Arial"/>
          <w:sz w:val="20"/>
        </w:rPr>
        <w:t>É importante entender que a existência de um COC/COI não implica necessariamente em irregularidade por parte de qualquer pessoa</w:t>
      </w:r>
      <w:r w:rsidR="008411EA">
        <w:rPr>
          <w:rFonts w:ascii="Arial" w:hAnsi="Arial"/>
          <w:sz w:val="20"/>
        </w:rPr>
        <w:t xml:space="preserve">. </w:t>
      </w:r>
      <w:r>
        <w:rPr>
          <w:rFonts w:ascii="Arial" w:hAnsi="Arial"/>
          <w:sz w:val="20"/>
        </w:rPr>
        <w:t>No entanto, os Membros da Equipe e Visitantes precisam estar atentos a situações em que eles, ou as pessoas que eles gerenciam ou supervisionam, possam ter um conflito de interesses e garantir que a situação seja divulgada de forma rápida e transparente</w:t>
      </w:r>
      <w:r w:rsidR="008411EA">
        <w:rPr>
          <w:rFonts w:ascii="Arial" w:hAnsi="Arial"/>
          <w:sz w:val="20"/>
        </w:rPr>
        <w:t xml:space="preserve">. </w:t>
      </w:r>
      <w:r>
        <w:rPr>
          <w:rFonts w:ascii="Arial" w:hAnsi="Arial"/>
          <w:sz w:val="20"/>
        </w:rPr>
        <w:t>A Política de COC/COI deve fornecer orientações relacionadas ao processo de divulgação.</w:t>
      </w:r>
    </w:p>
    <w:p w14:paraId="645F7C68" w14:textId="77777777" w:rsidR="003E3402" w:rsidRPr="0024467F" w:rsidRDefault="003E3402" w:rsidP="002009C9">
      <w:pPr>
        <w:pStyle w:val="ListParagraph"/>
        <w:tabs>
          <w:tab w:val="left" w:pos="426"/>
          <w:tab w:val="left" w:pos="1843"/>
        </w:tabs>
        <w:spacing w:after="0" w:line="240" w:lineRule="auto"/>
        <w:ind w:left="426"/>
        <w:jc w:val="both"/>
        <w:rPr>
          <w:rFonts w:ascii="Arial" w:hAnsi="Arial" w:cs="Arial"/>
          <w:i/>
          <w:sz w:val="20"/>
          <w:lang w:eastAsia="hu-HU"/>
        </w:rPr>
      </w:pPr>
    </w:p>
    <w:p w14:paraId="3E349266" w14:textId="599B43FC" w:rsidR="00F962CA" w:rsidRPr="00FD20EE" w:rsidRDefault="003E3402"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rPr>
      </w:pPr>
      <w:r>
        <w:rPr>
          <w:rFonts w:ascii="Arial" w:hAnsi="Arial"/>
          <w:b/>
          <w:sz w:val="20"/>
        </w:rPr>
        <w:t xml:space="preserve">Artigo 13.4, </w:t>
      </w:r>
      <w:r>
        <w:rPr>
          <w:rFonts w:ascii="Arial" w:hAnsi="Arial"/>
          <w:b/>
          <w:i/>
          <w:sz w:val="20"/>
        </w:rPr>
        <w:t>para</w:t>
      </w:r>
      <w:r>
        <w:rPr>
          <w:rFonts w:ascii="Arial" w:hAnsi="Arial"/>
          <w:b/>
          <w:sz w:val="20"/>
        </w:rPr>
        <w:t xml:space="preserve"> </w:t>
      </w:r>
      <w:r>
        <w:rPr>
          <w:rFonts w:ascii="Arial" w:hAnsi="Arial"/>
          <w:b/>
          <w:i/>
          <w:sz w:val="20"/>
        </w:rPr>
        <w:t>a autoridade institucional apropriada</w:t>
      </w:r>
      <w:r>
        <w:rPr>
          <w:rFonts w:ascii="Arial" w:hAnsi="Arial"/>
          <w:sz w:val="20"/>
        </w:rPr>
        <w:t>: O estabelecimento de um Comitê de COI/COC de PI pode ser útil em situações ambíguas ou complexas. Esse Comitê é normalmente responsável por:</w:t>
      </w:r>
    </w:p>
    <w:p w14:paraId="01E12D1F" w14:textId="77777777" w:rsidR="00F962CA" w:rsidRPr="002F7AC6" w:rsidRDefault="00F962CA" w:rsidP="002009C9">
      <w:pPr>
        <w:pStyle w:val="ListParagraph"/>
        <w:jc w:val="both"/>
        <w:rPr>
          <w:rFonts w:ascii="Arial" w:hAnsi="Arial" w:cs="Arial"/>
          <w:sz w:val="20"/>
        </w:rPr>
      </w:pPr>
    </w:p>
    <w:p w14:paraId="368CBE7A" w14:textId="77777777" w:rsidR="00F962CA" w:rsidRPr="00FD20EE" w:rsidRDefault="003E3402"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administrar e supervisionar o programa de COI/COC da Instituição;</w:t>
      </w:r>
    </w:p>
    <w:p w14:paraId="50741B59" w14:textId="77777777" w:rsidR="00CE1C58"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liderar treinamento e educação em políticas relacionadas a COI/COC;</w:t>
      </w:r>
    </w:p>
    <w:p w14:paraId="114A0BB0"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aprovar ou rejeitar atividades nas quais os indivíduos se propõem a se envolver;</w:t>
      </w:r>
    </w:p>
    <w:p w14:paraId="60AF170F"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fazer cumprir os requisitos da política de COI/COC da Instituição;</w:t>
      </w:r>
    </w:p>
    <w:p w14:paraId="3814762A" w14:textId="77777777" w:rsidR="00F962CA" w:rsidRPr="00FD20EE" w:rsidRDefault="00F325A4"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gerir e resolver conflitos onde eles ocorrem; e</w:t>
      </w:r>
    </w:p>
    <w:p w14:paraId="0405E953"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 xml:space="preserve">revisar os recursos. </w:t>
      </w:r>
    </w:p>
    <w:p w14:paraId="71D4D43D" w14:textId="77777777" w:rsidR="00F962CA" w:rsidRPr="00FD20EE" w:rsidRDefault="00F962CA" w:rsidP="00BE40D9">
      <w:pPr>
        <w:pStyle w:val="ListParagraph"/>
        <w:tabs>
          <w:tab w:val="left" w:pos="426"/>
          <w:tab w:val="left" w:pos="1843"/>
        </w:tabs>
        <w:spacing w:after="0" w:line="240" w:lineRule="auto"/>
        <w:ind w:left="851" w:hanging="425"/>
        <w:jc w:val="both"/>
        <w:rPr>
          <w:rFonts w:ascii="Arial" w:hAnsi="Arial" w:cs="Arial"/>
          <w:sz w:val="20"/>
          <w:lang w:val="en-US"/>
        </w:rPr>
      </w:pPr>
    </w:p>
    <w:p w14:paraId="0CDF261E" w14:textId="7B9475A5" w:rsidR="00BE40D9" w:rsidRPr="00FD20EE" w:rsidRDefault="006A55D5" w:rsidP="009D4A54">
      <w:pPr>
        <w:pStyle w:val="ListParagraph"/>
        <w:numPr>
          <w:ilvl w:val="0"/>
          <w:numId w:val="55"/>
        </w:numPr>
        <w:tabs>
          <w:tab w:val="left" w:pos="426"/>
          <w:tab w:val="left" w:pos="1843"/>
        </w:tabs>
        <w:spacing w:after="0" w:line="240" w:lineRule="auto"/>
        <w:ind w:left="426" w:hanging="426"/>
        <w:jc w:val="both"/>
        <w:rPr>
          <w:rFonts w:ascii="Arial" w:hAnsi="Arial" w:cs="Arial"/>
          <w:b/>
          <w:iCs/>
          <w:sz w:val="20"/>
        </w:rPr>
      </w:pPr>
      <w:r>
        <w:rPr>
          <w:rFonts w:ascii="Arial" w:hAnsi="Arial"/>
          <w:b/>
          <w:sz w:val="20"/>
        </w:rPr>
        <w:t xml:space="preserve">Artigo 13.5, </w:t>
      </w:r>
      <w:r>
        <w:rPr>
          <w:rFonts w:ascii="Arial" w:hAnsi="Arial"/>
          <w:b/>
          <w:i/>
          <w:sz w:val="20"/>
        </w:rPr>
        <w:t>política autônoma e abrangente</w:t>
      </w:r>
      <w:r>
        <w:rPr>
          <w:rFonts w:ascii="Arial" w:hAnsi="Arial"/>
          <w:sz w:val="20"/>
        </w:rPr>
        <w:t>: Para a sustentabilidade a longo prazo de um programa eficaz de gestão e comercialização de PI, é altamente recomendável que a Instituição desenvolva uma política autônoma que trate de COI e COC</w:t>
      </w:r>
      <w:r w:rsidR="008411EA">
        <w:rPr>
          <w:rFonts w:ascii="Arial" w:hAnsi="Arial"/>
          <w:sz w:val="20"/>
        </w:rPr>
        <w:t xml:space="preserve">. </w:t>
      </w:r>
      <w:r>
        <w:rPr>
          <w:rFonts w:ascii="Arial" w:hAnsi="Arial"/>
          <w:sz w:val="20"/>
        </w:rPr>
        <w:t>Essa política deve:</w:t>
      </w:r>
    </w:p>
    <w:p w14:paraId="67C60D69" w14:textId="77777777" w:rsidR="00BE40D9" w:rsidRPr="00FD20EE" w:rsidRDefault="00BE40D9" w:rsidP="00B7519E">
      <w:pPr>
        <w:pStyle w:val="ListParagraph"/>
        <w:tabs>
          <w:tab w:val="left" w:pos="851"/>
          <w:tab w:val="left" w:pos="1843"/>
        </w:tabs>
        <w:spacing w:after="0" w:line="240" w:lineRule="auto"/>
        <w:ind w:left="851" w:hanging="425"/>
        <w:jc w:val="both"/>
        <w:rPr>
          <w:rFonts w:ascii="Arial" w:hAnsi="Arial" w:cs="Arial"/>
          <w:b/>
          <w:iCs/>
          <w:sz w:val="20"/>
          <w:lang w:val="en-US"/>
        </w:rPr>
      </w:pPr>
    </w:p>
    <w:p w14:paraId="33FD5E0C"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 xml:space="preserve">ajudar a alertar a equipe para reconhecer áreas onde conflitos podem ocorrer (fornecer orientação sobre as situações que podem criar um COI ou COC, por exemplo, quantidade de tempo que os membros da equipe podem dedicar a atividades externas); </w:t>
      </w:r>
    </w:p>
    <w:p w14:paraId="1A0DB13A"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 xml:space="preserve">incentivar a divulgação completa de potenciais áreas de conflito e a discussão aberta com o Comitê de COI/COC em um estágio inicial (procedimento e requisitos de divulgação claros); </w:t>
      </w:r>
    </w:p>
    <w:p w14:paraId="1A54C0C2"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 xml:space="preserve">explicar as funções e responsabilidades do Escritório do COI; </w:t>
      </w:r>
    </w:p>
    <w:p w14:paraId="40739F47" w14:textId="77777777" w:rsidR="007E7AC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r>
        <w:rPr>
          <w:rFonts w:ascii="Arial" w:hAnsi="Arial"/>
          <w:sz w:val="20"/>
        </w:rPr>
        <w:t xml:space="preserve">garantir a proteção de informações pessoais e privacidade, etc. </w:t>
      </w:r>
    </w:p>
    <w:p w14:paraId="2EB2479A" w14:textId="77777777" w:rsidR="00F20AED" w:rsidRPr="00FD20EE" w:rsidRDefault="00BE40D9" w:rsidP="000B27B9">
      <w:pPr>
        <w:spacing w:before="360" w:after="360" w:line="240" w:lineRule="auto"/>
        <w:ind w:left="851" w:hanging="851"/>
        <w:jc w:val="both"/>
        <w:rPr>
          <w:rFonts w:ascii="Arial" w:hAnsi="Arial" w:cs="Arial"/>
          <w:b/>
          <w:color w:val="0070C0"/>
          <w:sz w:val="24"/>
        </w:rPr>
      </w:pPr>
      <w:r>
        <w:rPr>
          <w:rFonts w:ascii="Arial" w:hAnsi="Arial"/>
          <w:b/>
          <w:color w:val="0070C0"/>
          <w:sz w:val="24"/>
        </w:rPr>
        <w:t>Recursos Úteis Relacionados ao Artigo 13</w:t>
      </w:r>
    </w:p>
    <w:p w14:paraId="0871AC80" w14:textId="77777777" w:rsidR="007E506B" w:rsidRPr="00FD20EE" w:rsidRDefault="007E506B" w:rsidP="00464282">
      <w:pPr>
        <w:pStyle w:val="Footer"/>
        <w:numPr>
          <w:ilvl w:val="0"/>
          <w:numId w:val="8"/>
        </w:numPr>
        <w:ind w:left="426" w:hanging="426"/>
        <w:jc w:val="both"/>
        <w:rPr>
          <w:rFonts w:ascii="Arial" w:hAnsi="Arial" w:cs="Arial"/>
          <w:snapToGrid w:val="0"/>
          <w:sz w:val="20"/>
        </w:rPr>
      </w:pPr>
      <w:r>
        <w:rPr>
          <w:rFonts w:ascii="Arial" w:hAnsi="Arial"/>
          <w:b/>
          <w:snapToGrid w:val="0"/>
          <w:sz w:val="20"/>
        </w:rPr>
        <w:t>Diretrizes sobre COI/COC</w:t>
      </w:r>
      <w:r>
        <w:rPr>
          <w:rFonts w:ascii="Arial" w:hAnsi="Arial"/>
          <w:snapToGrid w:val="0"/>
          <w:sz w:val="20"/>
        </w:rPr>
        <w:t>.</w:t>
      </w:r>
    </w:p>
    <w:p w14:paraId="0BF35DE8" w14:textId="77777777" w:rsidR="00A20FB3" w:rsidRPr="00FD20EE" w:rsidRDefault="005C1F6D" w:rsidP="009D4A54">
      <w:pPr>
        <w:pStyle w:val="Footer"/>
        <w:numPr>
          <w:ilvl w:val="1"/>
          <w:numId w:val="146"/>
        </w:numPr>
        <w:ind w:left="851" w:hanging="425"/>
        <w:jc w:val="both"/>
        <w:rPr>
          <w:rFonts w:ascii="Arial" w:hAnsi="Arial" w:cs="Arial"/>
          <w:snapToGrid w:val="0"/>
          <w:sz w:val="20"/>
        </w:rPr>
      </w:pPr>
      <w:r>
        <w:rPr>
          <w:rFonts w:ascii="Arial" w:hAnsi="Arial"/>
          <w:snapToGrid w:val="0"/>
          <w:sz w:val="20"/>
        </w:rPr>
        <w:t xml:space="preserve">A Associação de Universidades Americanas em, </w:t>
      </w:r>
      <w:hyperlink r:id="rId205" w:history="1">
        <w:r>
          <w:rPr>
            <w:rStyle w:val="Hyperlink"/>
            <w:rFonts w:ascii="Arial" w:hAnsi="Arial"/>
            <w:i/>
            <w:snapToGrid w:val="0"/>
            <w:sz w:val="20"/>
          </w:rPr>
          <w:t>Report on Individual and Institutional Financial Conflict of Interest</w:t>
        </w:r>
      </w:hyperlink>
      <w:r>
        <w:rPr>
          <w:rFonts w:ascii="Arial" w:hAnsi="Arial"/>
          <w:snapToGrid w:val="0"/>
          <w:sz w:val="20"/>
        </w:rPr>
        <w:t xml:space="preserve"> (2001) fornece definições, diretrizes operacionais de COI e uma checklist de perguntas para líderes de campus sobre a gestão de COI.</w:t>
      </w:r>
    </w:p>
    <w:p w14:paraId="126631A0" w14:textId="77777777" w:rsidR="00F77A00" w:rsidRPr="00FD20EE" w:rsidRDefault="00F77A00" w:rsidP="009D4A54">
      <w:pPr>
        <w:pStyle w:val="Footer"/>
        <w:numPr>
          <w:ilvl w:val="1"/>
          <w:numId w:val="146"/>
        </w:numPr>
        <w:ind w:left="851" w:hanging="425"/>
        <w:jc w:val="both"/>
        <w:rPr>
          <w:rFonts w:ascii="Arial" w:hAnsi="Arial" w:cs="Arial"/>
          <w:snapToGrid w:val="0"/>
          <w:sz w:val="20"/>
        </w:rPr>
      </w:pPr>
      <w:r>
        <w:rPr>
          <w:rFonts w:ascii="Arial" w:hAnsi="Arial"/>
          <w:snapToGrid w:val="0"/>
          <w:sz w:val="20"/>
        </w:rPr>
        <w:t xml:space="preserve">A Associação Americana de Professores Universitários (AAUP), </w:t>
      </w:r>
      <w:hyperlink r:id="rId206" w:history="1">
        <w:r>
          <w:rPr>
            <w:rStyle w:val="Hyperlink"/>
            <w:rFonts w:ascii="Arial" w:hAnsi="Arial"/>
            <w:i/>
            <w:snapToGrid w:val="0"/>
            <w:sz w:val="20"/>
          </w:rPr>
          <w:t>Summary of Recommendations, 56 Principles to Guide Academy-Industry Engagement</w:t>
        </w:r>
      </w:hyperlink>
      <w:r>
        <w:rPr>
          <w:rFonts w:ascii="Arial" w:hAnsi="Arial"/>
          <w:snapToGrid w:val="0"/>
          <w:sz w:val="20"/>
        </w:rPr>
        <w:t>, contém princípios gerais para orientar a gestão de conflitos de interesses</w:t>
      </w:r>
    </w:p>
    <w:p w14:paraId="758A7E45" w14:textId="77777777" w:rsidR="00F20AED" w:rsidRPr="00B52DF6" w:rsidRDefault="00F20AED" w:rsidP="00F20AED">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i/>
          <w:color w:val="943634" w:themeColor="accent2" w:themeShade="BF"/>
          <w:sz w:val="20"/>
        </w:rPr>
      </w:pPr>
    </w:p>
    <w:p w14:paraId="5D1B1147" w14:textId="77777777" w:rsidR="003C5CA1" w:rsidRPr="00FD20EE" w:rsidRDefault="003E3402"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sz w:val="20"/>
        </w:rPr>
        <w:t>Exemplos de políticas de COI/COC</w:t>
      </w:r>
      <w:r>
        <w:rPr>
          <w:rFonts w:ascii="Arial" w:hAnsi="Arial"/>
          <w:sz w:val="20"/>
        </w:rPr>
        <w:t xml:space="preserve">. Muitas instituições têm uma política autônoma sobre COI e COC, às vezes acompanhada de diretrizes, procedimentos de COI, formulários de divulgação de COI e outras ferramentas. </w:t>
      </w:r>
    </w:p>
    <w:p w14:paraId="7272C681" w14:textId="3D80E4A6" w:rsidR="00F20AED" w:rsidRPr="00FD20EE" w:rsidRDefault="00F20AED" w:rsidP="009D4A54">
      <w:pPr>
        <w:pStyle w:val="ListParagraph"/>
        <w:numPr>
          <w:ilvl w:val="1"/>
          <w:numId w:val="147"/>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rPr>
      </w:pPr>
      <w:r>
        <w:rPr>
          <w:rFonts w:ascii="Arial" w:hAnsi="Arial"/>
          <w:sz w:val="20"/>
        </w:rPr>
        <w:lastRenderedPageBreak/>
        <w:t>Ilustrações podem ser encontradas na Base de Dados da OMPI sobre Políticas de PI, escolhendo o foco “conflito de interesses”. Por exemplo:</w:t>
      </w:r>
    </w:p>
    <w:p w14:paraId="38362A6A" w14:textId="77777777" w:rsidR="00F20AED" w:rsidRPr="00FD20EE" w:rsidRDefault="00F265C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rPr>
      </w:pPr>
      <w:hyperlink r:id="rId207" w:history="1">
        <w:r w:rsidR="00372C70">
          <w:rPr>
            <w:rStyle w:val="Hyperlink"/>
            <w:rFonts w:ascii="Arial" w:hAnsi="Arial"/>
            <w:sz w:val="20"/>
          </w:rPr>
          <w:t>Universidade de Glasgow</w:t>
        </w:r>
      </w:hyperlink>
      <w:r w:rsidR="00372C70">
        <w:rPr>
          <w:rFonts w:ascii="Arial" w:hAnsi="Arial"/>
          <w:sz w:val="20"/>
        </w:rPr>
        <w:t>, Reino Unido</w:t>
      </w:r>
    </w:p>
    <w:p w14:paraId="1105FF8D" w14:textId="77777777" w:rsidR="00BF5EC9" w:rsidRPr="00FD20EE" w:rsidRDefault="00F265C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rPr>
      </w:pPr>
      <w:hyperlink r:id="rId208" w:history="1">
        <w:r w:rsidR="00372C70">
          <w:rPr>
            <w:rStyle w:val="Hyperlink"/>
            <w:rFonts w:ascii="Arial" w:hAnsi="Arial"/>
            <w:sz w:val="20"/>
          </w:rPr>
          <w:t>Universidade Northwestern</w:t>
        </w:r>
      </w:hyperlink>
      <w:r w:rsidR="00372C70">
        <w:rPr>
          <w:rFonts w:ascii="Arial" w:hAnsi="Arial"/>
          <w:sz w:val="20"/>
        </w:rPr>
        <w:t>, Estados Unidos da América</w:t>
      </w:r>
    </w:p>
    <w:p w14:paraId="2E296BF0" w14:textId="77777777" w:rsidR="00C21C73" w:rsidRPr="00FD20EE" w:rsidRDefault="00F265C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rPr>
      </w:pPr>
      <w:hyperlink r:id="rId209" w:history="1">
        <w:r w:rsidR="00372C70">
          <w:rPr>
            <w:rStyle w:val="Hyperlink"/>
            <w:rFonts w:ascii="Arial" w:hAnsi="Arial"/>
            <w:sz w:val="20"/>
          </w:rPr>
          <w:t>A Universidade de Auckland</w:t>
        </w:r>
      </w:hyperlink>
      <w:r w:rsidR="00372C70">
        <w:rPr>
          <w:rFonts w:ascii="Arial" w:hAnsi="Arial"/>
          <w:sz w:val="20"/>
        </w:rPr>
        <w:t>, Nova Zelândia</w:t>
      </w:r>
    </w:p>
    <w:p w14:paraId="061E9402" w14:textId="77777777" w:rsidR="0039187D" w:rsidRPr="00FD20EE" w:rsidRDefault="00F265C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rPr>
      </w:pPr>
      <w:hyperlink r:id="rId210" w:history="1">
        <w:r w:rsidR="00372C70">
          <w:rPr>
            <w:rStyle w:val="Hyperlink"/>
            <w:rFonts w:ascii="Arial" w:hAnsi="Arial"/>
            <w:sz w:val="20"/>
          </w:rPr>
          <w:t>Universidade de Notre Dame</w:t>
        </w:r>
      </w:hyperlink>
      <w:r w:rsidR="00372C70">
        <w:rPr>
          <w:rFonts w:ascii="Arial" w:hAnsi="Arial"/>
          <w:sz w:val="20"/>
        </w:rPr>
        <w:t>, Estados Unidos da América, Nairobi</w:t>
      </w:r>
    </w:p>
    <w:p w14:paraId="5E20BE95" w14:textId="77777777" w:rsidR="00541C91" w:rsidRPr="00FD20EE" w:rsidRDefault="00F265CB"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rPr>
      </w:pPr>
      <w:hyperlink r:id="rId211" w:history="1">
        <w:r w:rsidR="00372C70">
          <w:rPr>
            <w:rStyle w:val="Hyperlink"/>
            <w:rFonts w:ascii="Arial" w:hAnsi="Arial"/>
            <w:sz w:val="20"/>
          </w:rPr>
          <w:t>Universidade Chuka</w:t>
        </w:r>
      </w:hyperlink>
      <w:r w:rsidR="00372C70">
        <w:rPr>
          <w:rFonts w:ascii="Arial" w:hAnsi="Arial"/>
          <w:sz w:val="20"/>
        </w:rPr>
        <w:t>, Quênia</w:t>
      </w:r>
    </w:p>
    <w:p w14:paraId="293C3A43" w14:textId="77777777" w:rsidR="003C5CA1" w:rsidRPr="00FD20EE" w:rsidRDefault="003C5CA1" w:rsidP="009D4A54">
      <w:pPr>
        <w:pStyle w:val="ListParagraph"/>
        <w:numPr>
          <w:ilvl w:val="1"/>
          <w:numId w:val="148"/>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ascii="Arial" w:hAnsi="Arial" w:cs="Arial"/>
          <w:sz w:val="20"/>
        </w:rPr>
      </w:pPr>
      <w:r>
        <w:rPr>
          <w:rFonts w:ascii="Arial" w:hAnsi="Arial"/>
          <w:sz w:val="20"/>
        </w:rPr>
        <w:t xml:space="preserve">Exemplos de políticas de COI publicadas nos EUA podem ser visualizados no </w:t>
      </w:r>
      <w:hyperlink r:id="rId212" w:history="1">
        <w:r>
          <w:rPr>
            <w:rStyle w:val="Hyperlink"/>
            <w:rFonts w:ascii="Arial" w:hAnsi="Arial"/>
            <w:sz w:val="20"/>
          </w:rPr>
          <w:t>Site da AUTM</w:t>
        </w:r>
      </w:hyperlink>
      <w:r>
        <w:rPr>
          <w:rFonts w:ascii="Arial" w:hAnsi="Arial"/>
          <w:sz w:val="20"/>
        </w:rPr>
        <w:t>.</w:t>
      </w:r>
    </w:p>
    <w:p w14:paraId="0693F7E8" w14:textId="77777777" w:rsidR="003D3A23" w:rsidRPr="00FD20EE" w:rsidRDefault="003C5CA1" w:rsidP="009D4A54">
      <w:pPr>
        <w:pStyle w:val="ListParagraph"/>
        <w:numPr>
          <w:ilvl w:val="1"/>
          <w:numId w:val="148"/>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rPr>
      </w:pPr>
      <w:r>
        <w:rPr>
          <w:rFonts w:ascii="Arial" w:hAnsi="Arial"/>
          <w:sz w:val="20"/>
        </w:rPr>
        <w:t xml:space="preserve">Outros exemplos incluem: </w:t>
      </w:r>
    </w:p>
    <w:p w14:paraId="759A3168" w14:textId="77777777" w:rsidR="003D3A23" w:rsidRPr="00FD20EE" w:rsidRDefault="00F265C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rPr>
      </w:pPr>
      <w:hyperlink r:id="rId213" w:history="1">
        <w:r w:rsidR="00372C70">
          <w:rPr>
            <w:rStyle w:val="Hyperlink"/>
            <w:rFonts w:ascii="Arial" w:hAnsi="Arial"/>
            <w:sz w:val="20"/>
          </w:rPr>
          <w:t>Instituto de Tecnologia da Índia</w:t>
        </w:r>
      </w:hyperlink>
      <w:r w:rsidR="00372C70">
        <w:rPr>
          <w:rFonts w:ascii="Arial" w:hAnsi="Arial"/>
          <w:sz w:val="20"/>
        </w:rPr>
        <w:t>, Bombaim</w:t>
      </w:r>
    </w:p>
    <w:p w14:paraId="3766507A" w14:textId="77777777" w:rsidR="00C9585B" w:rsidRPr="00FD20EE" w:rsidRDefault="00F265CB"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sz w:val="20"/>
        </w:rPr>
      </w:pPr>
      <w:hyperlink r:id="rId214" w:history="1">
        <w:r w:rsidR="00372C70">
          <w:rPr>
            <w:rStyle w:val="Hyperlink"/>
            <w:rFonts w:ascii="Arial" w:hAnsi="Arial"/>
            <w:snapToGrid w:val="0"/>
            <w:sz w:val="20"/>
          </w:rPr>
          <w:t>Universidade</w:t>
        </w:r>
        <w:r w:rsidR="00372C70">
          <w:rPr>
            <w:rStyle w:val="Hyperlink"/>
            <w:rFonts w:ascii="Arial" w:hAnsi="Arial"/>
            <w:sz w:val="20"/>
          </w:rPr>
          <w:t xml:space="preserve"> da Cidade do Cabo</w:t>
        </w:r>
      </w:hyperlink>
      <w:r w:rsidR="00372C70">
        <w:rPr>
          <w:rFonts w:ascii="Arial" w:hAnsi="Arial"/>
          <w:sz w:val="20"/>
        </w:rPr>
        <w:t>, África do Sul</w:t>
      </w:r>
    </w:p>
    <w:p w14:paraId="6B2A2F29" w14:textId="77777777" w:rsidR="00162F6A" w:rsidRPr="00FD20EE" w:rsidRDefault="00C958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rPr>
      </w:pPr>
      <w:r>
        <w:rPr>
          <w:rFonts w:ascii="Arial" w:hAnsi="Arial"/>
          <w:snapToGrid w:val="0"/>
          <w:sz w:val="20"/>
        </w:rPr>
        <w:t>Universidade de Harvard, Estados Unidos da América</w:t>
      </w:r>
    </w:p>
    <w:p w14:paraId="4C6025BD" w14:textId="77777777" w:rsidR="00046743" w:rsidRPr="00FD20EE" w:rsidRDefault="00F265C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rPr>
      </w:pPr>
      <w:hyperlink r:id="rId215" w:history="1">
        <w:r w:rsidR="00372C70">
          <w:rPr>
            <w:rStyle w:val="Hyperlink"/>
            <w:rFonts w:ascii="Arial" w:hAnsi="Arial"/>
            <w:snapToGrid w:val="0"/>
            <w:sz w:val="20"/>
          </w:rPr>
          <w:t>MIT</w:t>
        </w:r>
      </w:hyperlink>
      <w:r w:rsidR="00372C70">
        <w:rPr>
          <w:rFonts w:ascii="Arial" w:hAnsi="Arial"/>
          <w:snapToGrid w:val="0"/>
          <w:sz w:val="20"/>
        </w:rPr>
        <w:t>, EUA, Declaração de Política de Conflito de Interesses</w:t>
      </w:r>
    </w:p>
    <w:p w14:paraId="1F94A897" w14:textId="77777777" w:rsidR="00F20AED" w:rsidRPr="00FD20EE" w:rsidRDefault="00F265CB"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rPr>
      </w:pPr>
      <w:hyperlink r:id="rId216" w:history="1">
        <w:r w:rsidR="00372C70">
          <w:rPr>
            <w:rStyle w:val="Hyperlink"/>
            <w:rFonts w:ascii="Arial" w:hAnsi="Arial"/>
            <w:snapToGrid w:val="0"/>
            <w:sz w:val="20"/>
          </w:rPr>
          <w:t>Universidade de Oxford</w:t>
        </w:r>
      </w:hyperlink>
      <w:r w:rsidR="00372C70">
        <w:rPr>
          <w:rFonts w:ascii="Arial" w:hAnsi="Arial"/>
          <w:snapToGrid w:val="0"/>
          <w:sz w:val="20"/>
        </w:rPr>
        <w:t>, Reino Unido</w:t>
      </w:r>
    </w:p>
    <w:p w14:paraId="25147609" w14:textId="77777777" w:rsidR="00621A21" w:rsidRPr="0024467F" w:rsidRDefault="00F265CB" w:rsidP="00165A63">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lang w:val="fr-FR"/>
        </w:rPr>
      </w:pPr>
      <w:hyperlink r:id="rId217" w:history="1">
        <w:r w:rsidR="00372C70" w:rsidRPr="0024467F">
          <w:rPr>
            <w:rStyle w:val="Hyperlink"/>
            <w:rFonts w:ascii="Arial" w:hAnsi="Arial"/>
            <w:snapToGrid w:val="0"/>
            <w:sz w:val="20"/>
            <w:lang w:val="fr-FR"/>
          </w:rPr>
          <w:t>Ecole polytechnique fédérale de Lausanne</w:t>
        </w:r>
      </w:hyperlink>
      <w:r w:rsidR="00372C70" w:rsidRPr="0024467F">
        <w:rPr>
          <w:rFonts w:ascii="Arial" w:hAnsi="Arial"/>
          <w:snapToGrid w:val="0"/>
          <w:sz w:val="20"/>
          <w:lang w:val="fr-FR"/>
        </w:rPr>
        <w:t xml:space="preserve"> (EPFL)</w:t>
      </w:r>
    </w:p>
    <w:p w14:paraId="1D00EE32" w14:textId="77777777" w:rsidR="00E22076" w:rsidRPr="0024467F" w:rsidRDefault="00E22076" w:rsidP="002F3C51">
      <w:pPr>
        <w:pStyle w:val="Heading2"/>
        <w:rPr>
          <w:lang w:val="fr-FR"/>
        </w:rPr>
      </w:pPr>
      <w:bookmarkStart w:id="419" w:name="_Toc490468529"/>
      <w:bookmarkStart w:id="420" w:name="_Toc490821217"/>
    </w:p>
    <w:p w14:paraId="47BEAD1C" w14:textId="77777777" w:rsidR="004454DD" w:rsidRPr="00FD20EE" w:rsidRDefault="004454DD" w:rsidP="002F3C51">
      <w:pPr>
        <w:pStyle w:val="Heading2"/>
      </w:pPr>
      <w:bookmarkStart w:id="421" w:name="_Toc516160116"/>
      <w:bookmarkStart w:id="422" w:name="_Toc516219452"/>
      <w:bookmarkStart w:id="423" w:name="_Toc516496096"/>
      <w:bookmarkStart w:id="424" w:name="_Toc516829468"/>
      <w:bookmarkStart w:id="425" w:name="_Toc185241092"/>
      <w:r>
        <w:t xml:space="preserve">ARTIGO 14 – </w:t>
      </w:r>
      <w:bookmarkEnd w:id="419"/>
      <w:bookmarkEnd w:id="420"/>
      <w:r>
        <w:t>DISPUTA</w:t>
      </w:r>
      <w:bookmarkEnd w:id="421"/>
      <w:bookmarkEnd w:id="422"/>
      <w:bookmarkEnd w:id="423"/>
      <w:bookmarkEnd w:id="424"/>
      <w:bookmarkEnd w:id="425"/>
    </w:p>
    <w:p w14:paraId="7903E6CE" w14:textId="77777777" w:rsidR="00E22076" w:rsidRPr="00FD20EE" w:rsidRDefault="00E22076">
      <w:pPr>
        <w:pStyle w:val="Heading2"/>
        <w:rPr>
          <w:lang w:val="en-US"/>
        </w:rPr>
      </w:pPr>
    </w:p>
    <w:p w14:paraId="25BA72A9" w14:textId="348C034C" w:rsidR="00F20AED" w:rsidRPr="00FD20EE" w:rsidRDefault="00F20AED" w:rsidP="009D4A54">
      <w:pPr>
        <w:pStyle w:val="Heading3"/>
        <w:numPr>
          <w:ilvl w:val="0"/>
          <w:numId w:val="56"/>
        </w:numPr>
        <w:ind w:left="426" w:hanging="426"/>
        <w:jc w:val="both"/>
        <w:rPr>
          <w:b w:val="0"/>
          <w:color w:val="auto"/>
          <w:sz w:val="20"/>
          <w:szCs w:val="20"/>
        </w:rPr>
      </w:pPr>
      <w:bookmarkStart w:id="426" w:name="_Toc494116001"/>
      <w:bookmarkStart w:id="427" w:name="_Toc516160117"/>
      <w:bookmarkStart w:id="428" w:name="_Toc516219453"/>
      <w:bookmarkStart w:id="429" w:name="_Toc516496097"/>
      <w:bookmarkStart w:id="430" w:name="_Toc516829469"/>
      <w:bookmarkEnd w:id="418"/>
      <w:r>
        <w:rPr>
          <w:color w:val="auto"/>
          <w:sz w:val="20"/>
        </w:rPr>
        <w:t>Artigo 14.1 - Violação da Política</w:t>
      </w:r>
      <w:bookmarkEnd w:id="426"/>
      <w:r>
        <w:rPr>
          <w:b w:val="0"/>
          <w:color w:val="auto"/>
          <w:sz w:val="20"/>
        </w:rPr>
        <w:t>: As instituições são incentivadas a aplicar de forma clara e consistente sua Política de PI. No entanto, é preciso ter algum cuidado. Uma aplicação excessivamente agressiva de uma Política de PI pode ter um efeito potencialmente negativo na cultura e nas atividades tradicionais de uma universidade. As universidades devem evitar burocracias autoritárias e punições muito rigorosas para infrações da Política de Propriedade Intelectual. Mais importante ainda, os potenciais inventores e criadores devem participar do processo de PI voluntariamente e não à força. Cada instituição precisará determinar o quão agressiva será na aplicação da Política de PI.</w:t>
      </w:r>
      <w:bookmarkEnd w:id="427"/>
      <w:bookmarkEnd w:id="428"/>
      <w:bookmarkEnd w:id="429"/>
      <w:bookmarkEnd w:id="430"/>
    </w:p>
    <w:p w14:paraId="7CCD80C0" w14:textId="77777777" w:rsidR="005F0C90" w:rsidRPr="00FD20EE" w:rsidRDefault="00F20AED" w:rsidP="00BD07D8">
      <w:pPr>
        <w:pStyle w:val="Heading3"/>
        <w:numPr>
          <w:ilvl w:val="0"/>
          <w:numId w:val="56"/>
        </w:numPr>
        <w:ind w:left="426" w:hanging="426"/>
        <w:jc w:val="both"/>
      </w:pPr>
      <w:bookmarkStart w:id="431" w:name="_Toc516160118"/>
      <w:bookmarkStart w:id="432" w:name="_Toc516219454"/>
      <w:bookmarkStart w:id="433" w:name="_Toc516496098"/>
      <w:bookmarkStart w:id="434" w:name="_Toc516829470"/>
      <w:r>
        <w:rPr>
          <w:color w:val="auto"/>
          <w:sz w:val="20"/>
        </w:rPr>
        <w:t>Artigo 14.2 – Resolução de Disputas</w:t>
      </w:r>
      <w:r w:rsidRPr="002F7AC6">
        <w:rPr>
          <w:b w:val="0"/>
          <w:bCs w:val="0"/>
          <w:color w:val="auto"/>
          <w:sz w:val="20"/>
        </w:rPr>
        <w:t xml:space="preserve">: </w:t>
      </w:r>
      <w:r>
        <w:rPr>
          <w:b w:val="0"/>
          <w:color w:val="auto"/>
          <w:sz w:val="20"/>
        </w:rPr>
        <w:t xml:space="preserve">Para consideração diferente de seguir uma resolução de disputa por meio dos tribunais, é necessário atender aos mecanismos alternativos de resolução de disputas na Política de PI. Isso pode ser feito separadamente ou em adição ao relatório aos tribunais no caso de falha da ADR. Para mais detalhes, consulte </w:t>
      </w:r>
      <w:hyperlink r:id="rId218" w:history="1">
        <w:r>
          <w:rPr>
            <w:rStyle w:val="Hyperlink"/>
            <w:b w:val="0"/>
            <w:sz w:val="20"/>
          </w:rPr>
          <w:t>WIPO ADR mechanism and procedure</w:t>
        </w:r>
      </w:hyperlink>
      <w:bookmarkEnd w:id="431"/>
      <w:r>
        <w:rPr>
          <w:b w:val="0"/>
          <w:color w:val="auto"/>
          <w:sz w:val="20"/>
        </w:rPr>
        <w:t>.</w:t>
      </w:r>
      <w:bookmarkEnd w:id="432"/>
      <w:bookmarkEnd w:id="433"/>
      <w:bookmarkEnd w:id="434"/>
    </w:p>
    <w:p w14:paraId="72D15144" w14:textId="77777777" w:rsidR="00862017" w:rsidRPr="00FD20EE" w:rsidRDefault="00862017" w:rsidP="00862017">
      <w:pPr>
        <w:pStyle w:val="Heading2"/>
        <w:rPr>
          <w:lang w:val="en-US"/>
        </w:rPr>
      </w:pPr>
    </w:p>
    <w:p w14:paraId="63277FEF" w14:textId="77777777" w:rsidR="00862017" w:rsidRPr="00FD20EE" w:rsidRDefault="00862017" w:rsidP="00862017">
      <w:pPr>
        <w:pStyle w:val="Heading2"/>
      </w:pPr>
      <w:bookmarkStart w:id="435" w:name="_Toc516160119"/>
      <w:bookmarkStart w:id="436" w:name="_Toc516219455"/>
      <w:bookmarkStart w:id="437" w:name="_Toc516496099"/>
      <w:bookmarkStart w:id="438" w:name="_Toc516829471"/>
      <w:bookmarkStart w:id="439" w:name="_Toc185241093"/>
      <w:r>
        <w:t>ARTIGO 15 – ALTERAÇÃO</w:t>
      </w:r>
      <w:bookmarkEnd w:id="435"/>
      <w:bookmarkEnd w:id="436"/>
      <w:bookmarkEnd w:id="437"/>
      <w:bookmarkEnd w:id="438"/>
      <w:bookmarkEnd w:id="439"/>
    </w:p>
    <w:p w14:paraId="7D63D2C1" w14:textId="77777777" w:rsidR="00862017" w:rsidRPr="00FD20EE" w:rsidRDefault="00862017" w:rsidP="00862017">
      <w:pPr>
        <w:pStyle w:val="Heading2"/>
        <w:rPr>
          <w:lang w:val="en-US"/>
        </w:rPr>
      </w:pPr>
    </w:p>
    <w:p w14:paraId="79993BA2" w14:textId="77777777" w:rsidR="00862017" w:rsidRPr="00FD20EE" w:rsidRDefault="00862017" w:rsidP="003D0ECF">
      <w:pPr>
        <w:spacing w:after="0"/>
        <w:rPr>
          <w:lang w:val="en-US" w:eastAsia="en-US"/>
        </w:rPr>
      </w:pPr>
    </w:p>
    <w:p w14:paraId="0691AA12" w14:textId="77777777" w:rsidR="006A55D5" w:rsidRPr="00FD20EE" w:rsidRDefault="00F20AED" w:rsidP="009D4A54">
      <w:pPr>
        <w:pStyle w:val="Heading3"/>
        <w:numPr>
          <w:ilvl w:val="0"/>
          <w:numId w:val="56"/>
        </w:numPr>
        <w:spacing w:after="0"/>
        <w:ind w:left="425" w:hanging="425"/>
        <w:jc w:val="both"/>
        <w:rPr>
          <w:b w:val="0"/>
          <w:i/>
          <w:color w:val="000000" w:themeColor="text1"/>
          <w:sz w:val="20"/>
        </w:rPr>
      </w:pPr>
      <w:bookmarkStart w:id="440" w:name="_Toc494116003"/>
      <w:bookmarkStart w:id="441" w:name="_Toc516160120"/>
      <w:bookmarkStart w:id="442" w:name="_Toc516219456"/>
      <w:bookmarkStart w:id="443" w:name="_Toc516496100"/>
      <w:bookmarkStart w:id="444" w:name="_Toc516829472"/>
      <w:r>
        <w:rPr>
          <w:color w:val="000000" w:themeColor="text1"/>
          <w:sz w:val="20"/>
        </w:rPr>
        <w:t xml:space="preserve">Artigo 15.1, </w:t>
      </w:r>
      <w:bookmarkEnd w:id="440"/>
      <w:r>
        <w:rPr>
          <w:color w:val="000000" w:themeColor="text1"/>
          <w:sz w:val="20"/>
        </w:rPr>
        <w:t>Revisão</w:t>
      </w:r>
      <w:r>
        <w:rPr>
          <w:b w:val="0"/>
          <w:color w:val="000000" w:themeColor="text1"/>
          <w:sz w:val="20"/>
        </w:rPr>
        <w:t>:</w:t>
      </w:r>
      <w:bookmarkEnd w:id="441"/>
      <w:bookmarkEnd w:id="442"/>
      <w:bookmarkEnd w:id="443"/>
      <w:bookmarkEnd w:id="444"/>
      <w:r>
        <w:rPr>
          <w:b w:val="0"/>
          <w:color w:val="000000" w:themeColor="text1"/>
          <w:sz w:val="20"/>
        </w:rPr>
        <w:t xml:space="preserve"> </w:t>
      </w:r>
    </w:p>
    <w:p w14:paraId="1D361D87" w14:textId="69034527" w:rsidR="006A55D5" w:rsidRPr="00FD20EE" w:rsidRDefault="006A55D5" w:rsidP="009D4A54">
      <w:pPr>
        <w:pStyle w:val="Heading3"/>
        <w:numPr>
          <w:ilvl w:val="1"/>
          <w:numId w:val="56"/>
        </w:numPr>
        <w:spacing w:after="0"/>
        <w:ind w:left="709" w:hanging="284"/>
        <w:jc w:val="both"/>
        <w:rPr>
          <w:b w:val="0"/>
          <w:i/>
          <w:color w:val="943634" w:themeColor="accent2" w:themeShade="BF"/>
          <w:sz w:val="20"/>
        </w:rPr>
      </w:pPr>
      <w:bookmarkStart w:id="445" w:name="_Toc516160121"/>
      <w:bookmarkStart w:id="446" w:name="_Toc516219457"/>
      <w:bookmarkStart w:id="447" w:name="_Toc516496101"/>
      <w:bookmarkStart w:id="448" w:name="_Toc516829473"/>
      <w:r>
        <w:rPr>
          <w:b w:val="0"/>
          <w:color w:val="auto"/>
          <w:sz w:val="20"/>
        </w:rPr>
        <w:t>Uma cópia da Política revisada precisa ser enviada a todas as partes interessadas relevantes, e seu consentimento por escrito (assinatura) precisa ser obtido. Tenha cuidado ao alterar e indicar claramente o número da versão e a data de vigência de cada nova Política.</w:t>
      </w:r>
      <w:bookmarkEnd w:id="445"/>
      <w:bookmarkEnd w:id="446"/>
      <w:bookmarkEnd w:id="447"/>
      <w:bookmarkEnd w:id="448"/>
    </w:p>
    <w:p w14:paraId="4017853B" w14:textId="77777777" w:rsidR="009E4057" w:rsidRPr="00FD20EE" w:rsidRDefault="00F20AED" w:rsidP="009D4A54">
      <w:pPr>
        <w:pStyle w:val="Heading3"/>
        <w:numPr>
          <w:ilvl w:val="1"/>
          <w:numId w:val="56"/>
        </w:numPr>
        <w:ind w:left="709" w:hanging="283"/>
        <w:jc w:val="both"/>
        <w:rPr>
          <w:b w:val="0"/>
          <w:i/>
          <w:color w:val="943634" w:themeColor="accent2" w:themeShade="BF"/>
          <w:sz w:val="20"/>
        </w:rPr>
      </w:pPr>
      <w:bookmarkStart w:id="449" w:name="_Toc516160122"/>
      <w:bookmarkStart w:id="450" w:name="_Toc516219458"/>
      <w:bookmarkStart w:id="451" w:name="_Toc516496102"/>
      <w:bookmarkStart w:id="452" w:name="_Toc516829474"/>
      <w:r>
        <w:rPr>
          <w:b w:val="0"/>
          <w:color w:val="auto"/>
          <w:sz w:val="20"/>
        </w:rPr>
        <w:t>Em alguns países, a legislação trabalhista exige a aprovação de um órgão de representação dos funcionários (um comitê interno que representa o conjunto de funcionários) para aprovar (quaisquer alterações) na Política de PI, especialmente quando se refere a incentivos financeiros e remuneração.</w:t>
      </w:r>
      <w:bookmarkEnd w:id="449"/>
      <w:bookmarkEnd w:id="450"/>
      <w:bookmarkEnd w:id="451"/>
      <w:bookmarkEnd w:id="452"/>
    </w:p>
    <w:p w14:paraId="615F0352" w14:textId="77777777" w:rsidR="00F20AED" w:rsidRPr="00FD20EE" w:rsidRDefault="009E4057" w:rsidP="009E4057">
      <w:pPr>
        <w:pStyle w:val="Heading3"/>
        <w:tabs>
          <w:tab w:val="left" w:pos="426"/>
          <w:tab w:val="left" w:pos="6096"/>
        </w:tabs>
        <w:spacing w:after="0"/>
        <w:ind w:left="426"/>
        <w:rPr>
          <w:b w:val="0"/>
          <w:color w:val="auto"/>
          <w:sz w:val="20"/>
          <w:szCs w:val="32"/>
        </w:rPr>
      </w:pPr>
      <w:r>
        <w:rPr>
          <w:b w:val="0"/>
          <w:color w:val="auto"/>
          <w:sz w:val="20"/>
        </w:rPr>
        <w:tab/>
      </w:r>
      <w:bookmarkStart w:id="453" w:name="_Toc516160123"/>
      <w:bookmarkStart w:id="454" w:name="_Toc516219459"/>
      <w:bookmarkStart w:id="455" w:name="_Toc516496103"/>
      <w:bookmarkStart w:id="456" w:name="_Toc516829475"/>
      <w:r>
        <w:rPr>
          <w:b w:val="0"/>
          <w:color w:val="auto"/>
          <w:sz w:val="20"/>
        </w:rPr>
        <w:t>[Fim do documento]</w:t>
      </w:r>
      <w:bookmarkEnd w:id="453"/>
      <w:bookmarkEnd w:id="454"/>
      <w:bookmarkEnd w:id="455"/>
      <w:bookmarkEnd w:id="456"/>
    </w:p>
    <w:p w14:paraId="150F474B" w14:textId="77777777" w:rsidR="00165A63" w:rsidRPr="00FD20EE" w:rsidRDefault="00165A63" w:rsidP="00E73746">
      <w:pPr>
        <w:spacing w:line="240" w:lineRule="auto"/>
        <w:rPr>
          <w:rFonts w:ascii="Arial" w:eastAsiaTheme="majorEastAsia" w:hAnsi="Arial" w:cs="Arial"/>
          <w:b/>
          <w:bCs/>
          <w:color w:val="000000" w:themeColor="text1"/>
          <w:sz w:val="20"/>
          <w:lang w:val="en-US"/>
        </w:rPr>
      </w:pPr>
    </w:p>
    <w:sectPr w:rsidR="00165A63" w:rsidRPr="00FD20EE" w:rsidSect="00841897">
      <w:footerReference w:type="even" r:id="rId219"/>
      <w:footerReference w:type="default" r:id="rId220"/>
      <w:footerReference w:type="first" r:id="rId221"/>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C67E5" w14:textId="77777777" w:rsidR="008178A1" w:rsidRDefault="008178A1">
      <w:pPr>
        <w:spacing w:after="0" w:line="240" w:lineRule="auto"/>
      </w:pPr>
      <w:r>
        <w:separator/>
      </w:r>
    </w:p>
  </w:endnote>
  <w:endnote w:type="continuationSeparator" w:id="0">
    <w:p w14:paraId="06D4BCB0" w14:textId="77777777" w:rsidR="008178A1" w:rsidRDefault="0081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Roboto Slab">
    <w:altName w:val="Times New Roman"/>
    <w:charset w:val="00"/>
    <w:family w:val="auto"/>
    <w:pitch w:val="variable"/>
    <w:sig w:usb0="000004FF" w:usb1="8000405F" w:usb2="00000022"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9448F" w14:textId="69312AF9" w:rsidR="0024467F" w:rsidRDefault="0024467F">
    <w:pPr>
      <w:pStyle w:val="Footer"/>
    </w:pPr>
    <w:r>
      <w:rPr>
        <w:noProof/>
      </w:rPr>
      <mc:AlternateContent>
        <mc:Choice Requires="wps">
          <w:drawing>
            <wp:anchor distT="0" distB="0" distL="0" distR="0" simplePos="0" relativeHeight="251659264" behindDoc="0" locked="0" layoutInCell="1" allowOverlap="1" wp14:anchorId="1E4A91FD" wp14:editId="14F9BC2D">
              <wp:simplePos x="635" y="635"/>
              <wp:positionH relativeFrom="page">
                <wp:align>center</wp:align>
              </wp:positionH>
              <wp:positionV relativeFrom="page">
                <wp:align>bottom</wp:align>
              </wp:positionV>
              <wp:extent cx="1090930" cy="368935"/>
              <wp:effectExtent l="0" t="0" r="13970" b="0"/>
              <wp:wrapNone/>
              <wp:docPr id="2114046167" name="Text Box 2"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68935"/>
                      </a:xfrm>
                      <a:prstGeom prst="rect">
                        <a:avLst/>
                      </a:prstGeom>
                      <a:noFill/>
                      <a:ln>
                        <a:noFill/>
                      </a:ln>
                    </wps:spPr>
                    <wps:txbx>
                      <w:txbxContent>
                        <w:p w14:paraId="5FD24F13" w14:textId="2230775A"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4A91FD" id="_x0000_t202" coordsize="21600,21600" o:spt="202" path="m,l,21600r21600,l21600,xe">
              <v:stroke joinstyle="miter"/>
              <v:path gradientshapeok="t" o:connecttype="rect"/>
            </v:shapetype>
            <v:shape id="Text Box 2" o:spid="_x0000_s1026" type="#_x0000_t202" alt="WIPO CONFIDENTIAL " style="position:absolute;margin-left:0;margin-top:0;width:85.9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" filled="f" stroked="f">
              <v:fill o:detectmouseclick="t"/>
              <v:textbox style="mso-fit-shape-to-text:t" inset="0,0,0,15pt">
                <w:txbxContent>
                  <w:p w14:paraId="5FD24F13" w14:textId="2230775A"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078E5" w14:textId="77777777" w:rsidR="0024467F" w:rsidRDefault="0024467F">
    <w:pPr>
      <w:pStyle w:val="Footer"/>
      <w:pBdr>
        <w:bottom w:val="single" w:sz="12" w:space="1" w:color="auto"/>
      </w:pBdr>
      <w:jc w:val="right"/>
    </w:pPr>
    <w:r>
      <w:rPr>
        <w:noProof/>
      </w:rPr>
      <mc:AlternateContent>
        <mc:Choice Requires="wps">
          <w:drawing>
            <wp:anchor distT="0" distB="0" distL="0" distR="0" simplePos="0" relativeHeight="251660288" behindDoc="0" locked="0" layoutInCell="1" allowOverlap="1" wp14:anchorId="05E3D661" wp14:editId="6D50176F">
              <wp:simplePos x="914400" y="9696450"/>
              <wp:positionH relativeFrom="page">
                <wp:align>center</wp:align>
              </wp:positionH>
              <wp:positionV relativeFrom="page">
                <wp:align>bottom</wp:align>
              </wp:positionV>
              <wp:extent cx="1090930" cy="368935"/>
              <wp:effectExtent l="0" t="0" r="13970" b="0"/>
              <wp:wrapNone/>
              <wp:docPr id="1732284294" name="Text Box 3"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68935"/>
                      </a:xfrm>
                      <a:prstGeom prst="rect">
                        <a:avLst/>
                      </a:prstGeom>
                      <a:noFill/>
                      <a:ln>
                        <a:noFill/>
                      </a:ln>
                    </wps:spPr>
                    <wps:txbx>
                      <w:txbxContent>
                        <w:p w14:paraId="7133C76C" w14:textId="6A7670B2"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E3D661" id="_x0000_t202" coordsize="21600,21600" o:spt="202" path="m,l,21600r21600,l21600,xe">
              <v:stroke joinstyle="miter"/>
              <v:path gradientshapeok="t" o:connecttype="rect"/>
            </v:shapetype>
            <v:shape id="Text Box 3" o:spid="_x0000_s1027" type="#_x0000_t202" alt="WIPO CONFIDENTIAL " style="position:absolute;left:0;text-align:left;margin-left:0;margin-top:0;width:85.9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" filled="f" stroked="f">
              <v:fill o:detectmouseclick="t"/>
              <v:textbox style="mso-fit-shape-to-text:t" inset="0,0,0,15pt">
                <w:txbxContent>
                  <w:p w14:paraId="7133C76C" w14:textId="6A7670B2"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v:textbox>
              <w10:wrap anchorx="page" anchory="page"/>
            </v:shape>
          </w:pict>
        </mc:Fallback>
      </mc:AlternateContent>
    </w:r>
  </w:p>
  <w:sdt>
    <w:sdtPr>
      <w:id w:val="-240489988"/>
      <w:docPartObj>
        <w:docPartGallery w:val="Page Numbers (Bottom of Page)"/>
        <w:docPartUnique/>
      </w:docPartObj>
    </w:sdtPr>
    <w:sdtEndPr/>
    <w:sdtContent>
      <w:p w14:paraId="77E8352A" w14:textId="5CCE3D3F" w:rsidR="008178A1" w:rsidRDefault="008178A1">
        <w:pPr>
          <w:pStyle w:val="Footer"/>
          <w:pBdr>
            <w:bottom w:val="single" w:sz="12" w:space="1" w:color="auto"/>
          </w:pBdr>
          <w:jc w:val="right"/>
        </w:pPr>
      </w:p>
      <w:p w14:paraId="224C8259" w14:textId="77777777" w:rsidR="008178A1" w:rsidRDefault="008178A1" w:rsidP="00B22934">
        <w:pPr>
          <w:pStyle w:val="Footer"/>
          <w:jc w:val="right"/>
        </w:pPr>
        <w:r>
          <w:t xml:space="preserve">Página | </w:t>
        </w:r>
        <w:r>
          <w:fldChar w:fldCharType="begin"/>
        </w:r>
        <w:r>
          <w:instrText xml:space="preserve"> PAGE   \* MERGEFORMAT </w:instrText>
        </w:r>
        <w:r>
          <w:fldChar w:fldCharType="separate"/>
        </w:r>
        <w:r w:rsidR="00372C70">
          <w:t>3</w:t>
        </w:r>
        <w: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AF4CE" w14:textId="3D3ECC8F" w:rsidR="0024467F" w:rsidRDefault="0024467F">
    <w:pPr>
      <w:pStyle w:val="Footer"/>
    </w:pPr>
    <w:r>
      <w:rPr>
        <w:noProof/>
      </w:rPr>
      <mc:AlternateContent>
        <mc:Choice Requires="wps">
          <w:drawing>
            <wp:anchor distT="0" distB="0" distL="0" distR="0" simplePos="0" relativeHeight="251658240" behindDoc="0" locked="0" layoutInCell="1" allowOverlap="1" wp14:anchorId="2D3A7061" wp14:editId="35F15FB9">
              <wp:simplePos x="635" y="635"/>
              <wp:positionH relativeFrom="page">
                <wp:align>center</wp:align>
              </wp:positionH>
              <wp:positionV relativeFrom="page">
                <wp:align>bottom</wp:align>
              </wp:positionV>
              <wp:extent cx="1090930" cy="368935"/>
              <wp:effectExtent l="0" t="0" r="13970" b="0"/>
              <wp:wrapNone/>
              <wp:docPr id="2090982164" name="Text Box 1"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68935"/>
                      </a:xfrm>
                      <a:prstGeom prst="rect">
                        <a:avLst/>
                      </a:prstGeom>
                      <a:noFill/>
                      <a:ln>
                        <a:noFill/>
                      </a:ln>
                    </wps:spPr>
                    <wps:txbx>
                      <w:txbxContent>
                        <w:p w14:paraId="37D9A09C" w14:textId="32F3629B"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A7061" id="_x0000_t202" coordsize="21600,21600" o:spt="202" path="m,l,21600r21600,l21600,xe">
              <v:stroke joinstyle="miter"/>
              <v:path gradientshapeok="t" o:connecttype="rect"/>
            </v:shapetype>
            <v:shape id="Text Box 1" o:spid="_x0000_s1028" type="#_x0000_t202" alt="WIPO CONFIDENTIAL " style="position:absolute;margin-left:0;margin-top:0;width:85.9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" filled="f" stroked="f">
              <v:fill o:detectmouseclick="t"/>
              <v:textbox style="mso-fit-shape-to-text:t" inset="0,0,0,15pt">
                <w:txbxContent>
                  <w:p w14:paraId="37D9A09C" w14:textId="32F3629B" w:rsidR="0024467F" w:rsidRPr="0024467F" w:rsidRDefault="0024467F" w:rsidP="0024467F">
                    <w:pPr>
                      <w:spacing w:after="0"/>
                      <w:rPr>
                        <w:rFonts w:ascii="Calibri" w:eastAsia="Calibri" w:hAnsi="Calibri" w:cs="Calibri"/>
                        <w:noProof/>
                        <w:color w:val="FF0000"/>
                        <w:sz w:val="20"/>
                        <w:szCs w:val="20"/>
                      </w:rPr>
                    </w:pPr>
                    <w:r w:rsidRPr="0024467F">
                      <w:rPr>
                        <w:rFonts w:ascii="Calibri" w:eastAsia="Calibri" w:hAnsi="Calibri" w:cs="Calibri"/>
                        <w:noProof/>
                        <w:color w:val="FF0000"/>
                        <w:sz w:val="20"/>
                        <w:szCs w:val="20"/>
                      </w:rPr>
                      <w:t xml:space="preserve">WIPO CONFIDENTIAL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DBD5E" w14:textId="77777777" w:rsidR="008178A1" w:rsidRDefault="008178A1">
      <w:pPr>
        <w:spacing w:after="0" w:line="240" w:lineRule="auto"/>
      </w:pPr>
      <w:r>
        <w:separator/>
      </w:r>
    </w:p>
  </w:footnote>
  <w:footnote w:type="continuationSeparator" w:id="0">
    <w:p w14:paraId="6838B046" w14:textId="77777777" w:rsidR="008178A1" w:rsidRDefault="008178A1">
      <w:pPr>
        <w:spacing w:after="0" w:line="240" w:lineRule="auto"/>
      </w:pPr>
      <w:r>
        <w:continuationSeparator/>
      </w:r>
    </w:p>
  </w:footnote>
  <w:footnote w:id="1">
    <w:p w14:paraId="5F6BDEAE" w14:textId="77777777" w:rsidR="008178A1" w:rsidRPr="00744113" w:rsidRDefault="008178A1" w:rsidP="0074411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 Conjunto</w:t>
      </w:r>
      <w:r>
        <w:rPr>
          <w:rFonts w:ascii="Arial" w:hAnsi="Arial"/>
          <w:color w:val="000000" w:themeColor="text1"/>
          <w:sz w:val="16"/>
        </w:rPr>
        <w:t xml:space="preserve"> de Ferramentas </w:t>
      </w:r>
      <w:r>
        <w:rPr>
          <w:rFonts w:ascii="Arial" w:hAnsi="Arial"/>
          <w:sz w:val="16"/>
        </w:rPr>
        <w:t xml:space="preserve">fornece uma solução completa para instituições acadêmicas e de pesquisa que buscam orientação no decurso de formulação e implementação de suas políticas institucionais de PI. Uma cópia pode ser encontrada no </w:t>
      </w:r>
      <w:hyperlink r:id="rId1" w:history="1">
        <w:r>
          <w:rPr>
            <w:rStyle w:val="Hyperlink"/>
            <w:rFonts w:ascii="Arial" w:hAnsi="Arial"/>
            <w:sz w:val="16"/>
          </w:rPr>
          <w:t>site da OMPI</w:t>
        </w:r>
      </w:hyperlink>
      <w:r>
        <w:rPr>
          <w:rFonts w:ascii="Arial" w:hAnsi="Arial"/>
          <w:sz w:val="16"/>
        </w:rPr>
        <w:t>.</w:t>
      </w:r>
    </w:p>
  </w:footnote>
  <w:footnote w:id="2">
    <w:p w14:paraId="484AA1F6" w14:textId="77777777" w:rsidR="008178A1" w:rsidRPr="006D4DBF" w:rsidRDefault="008178A1" w:rsidP="00B50D7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b/>
          <w:sz w:val="16"/>
        </w:rPr>
        <w:t>Comercialização responsável de PI</w:t>
      </w:r>
      <w:r>
        <w:rPr>
          <w:rFonts w:ascii="Arial" w:hAnsi="Arial"/>
          <w:sz w:val="16"/>
        </w:rPr>
        <w:t xml:space="preserve"> se refere, no contexto desta Diretriz, à comercialização de PI criada em ambientes acadêmicos, para atingir a missão das Instituições acadêmicas de disseminar conhecimento; aprimorar as economias locais; e mudar o mundo para melhor. Veja também </w:t>
      </w:r>
      <w:hyperlink w:anchor="Article1p3p1" w:history="1">
        <w:r>
          <w:rPr>
            <w:rStyle w:val="Hyperlink"/>
            <w:rFonts w:ascii="Arial" w:hAnsi="Arial"/>
            <w:sz w:val="16"/>
          </w:rPr>
          <w:t>Artigo 1.3.1</w:t>
        </w:r>
      </w:hyperlink>
      <w:r>
        <w:rPr>
          <w:rFonts w:ascii="Arial" w:hAnsi="Arial"/>
          <w:sz w:val="16"/>
        </w:rPr>
        <w:t>.</w:t>
      </w:r>
    </w:p>
  </w:footnote>
  <w:footnote w:id="3">
    <w:p w14:paraId="723431A8" w14:textId="77777777" w:rsidR="008178A1" w:rsidRPr="00956281" w:rsidRDefault="008178A1" w:rsidP="00272089">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Uma análise de todas as disposições relevantes em leis, regulamentos, políticas e iniciativas governamentais nacionais, que fomentam o comportamento empreendedor em instituições de P&amp;D, apoiam a comercialização, regulam a titularidade e ajudam a acelerar o processo de difusão de tecnologia de instituições acadêmicas e de pesquisa para empresas locais, nacionais ou mesmo internacionais. </w:t>
      </w:r>
      <w:r>
        <w:t>A</w:t>
      </w:r>
      <w:r>
        <w:rPr>
          <w:rFonts w:ascii="Arial" w:hAnsi="Arial"/>
          <w:sz w:val="16"/>
        </w:rPr>
        <w:t xml:space="preserve"> </w:t>
      </w:r>
      <w:hyperlink r:id="rId2" w:history="1">
        <w:r>
          <w:rPr>
            <w:rStyle w:val="Hyperlink"/>
            <w:rFonts w:ascii="Arial" w:hAnsi="Arial"/>
            <w:i/>
            <w:sz w:val="16"/>
          </w:rPr>
          <w:t>Checklist de Escritores de Políticas da OMPI</w:t>
        </w:r>
      </w:hyperlink>
      <w:r>
        <w:rPr>
          <w:rFonts w:ascii="Arial" w:hAnsi="Arial"/>
          <w:sz w:val="16"/>
        </w:rPr>
        <w:t xml:space="preserve"> pode ajudar a analisar as leis e políticas relevantes de um país. Para obter mais informações sobre as leis de PI em diferentes países, visite a </w:t>
      </w:r>
      <w:hyperlink r:id="rId3" w:history="1">
        <w:r>
          <w:rPr>
            <w:rStyle w:val="Hyperlink"/>
            <w:rFonts w:ascii="Arial" w:hAnsi="Arial"/>
            <w:sz w:val="16"/>
          </w:rPr>
          <w:t>base de dados WIPO Lex</w:t>
        </w:r>
      </w:hyperlink>
      <w:r>
        <w:rPr>
          <w:rFonts w:ascii="Arial" w:hAnsi="Arial"/>
          <w:sz w:val="16"/>
        </w:rPr>
        <w:t xml:space="preserve"> e o </w:t>
      </w:r>
      <w:hyperlink r:id="rId4" w:history="1">
        <w:r>
          <w:rPr>
            <w:rStyle w:val="Hyperlink"/>
            <w:rFonts w:ascii="Arial" w:hAnsi="Arial"/>
            <w:sz w:val="16"/>
          </w:rPr>
          <w:t>Conjunto de Ferramentas</w:t>
        </w:r>
      </w:hyperlink>
      <w:r>
        <w:rPr>
          <w:rFonts w:ascii="Arial" w:hAnsi="Arial"/>
          <w:sz w:val="16"/>
        </w:rPr>
        <w:t xml:space="preserve"> fornecida pelo HEIP-link.</w:t>
      </w:r>
    </w:p>
  </w:footnote>
  <w:footnote w:id="4">
    <w:p w14:paraId="5761EB52" w14:textId="77777777" w:rsidR="008178A1" w:rsidRPr="006D4DBF" w:rsidRDefault="008178A1" w:rsidP="0072797F">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Dadas diferentes histórias, cenários econômicos e participantes, nem todos os fatores que funcionaram para uma instituição necessariamente funcionarão para outra. Portanto, copiar ou adotar políticas semelhantes de instituições líderes de sucesso não garante resultados semelhantes. </w:t>
      </w:r>
    </w:p>
  </w:footnote>
  <w:footnote w:id="5">
    <w:p w14:paraId="628D9B34" w14:textId="1C7024F5" w:rsidR="008178A1" w:rsidRPr="006D4DBF" w:rsidRDefault="008178A1" w:rsidP="0072797F">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w:t>
      </w:r>
      <w:hyperlink r:id="rId5" w:history="1">
        <w:r>
          <w:rPr>
            <w:rStyle w:val="Hyperlink"/>
            <w:rFonts w:ascii="Arial" w:hAnsi="Arial"/>
            <w:i/>
            <w:sz w:val="16"/>
          </w:rPr>
          <w:t>Checklist de Escritores de Políticas da OMPI</w:t>
        </w:r>
      </w:hyperlink>
      <w:r>
        <w:rPr>
          <w:rFonts w:ascii="Arial" w:hAnsi="Arial"/>
          <w:sz w:val="16"/>
        </w:rPr>
        <w:t xml:space="preserve"> pode ajudar a entender melhor as necessidades, características, organização e estrutura política mais ampla de uma instituição</w:t>
      </w:r>
      <w:r w:rsidR="008411EA">
        <w:rPr>
          <w:rFonts w:ascii="Arial" w:hAnsi="Arial"/>
          <w:sz w:val="16"/>
        </w:rPr>
        <w:t xml:space="preserve">. </w:t>
      </w:r>
    </w:p>
  </w:footnote>
  <w:footnote w:id="6">
    <w:p w14:paraId="6D8801BD" w14:textId="77777777" w:rsidR="008178A1" w:rsidRPr="006D4DBF"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Portanto, a consulta com pessoas envolvidas na comercialização de pesquisas de todo o ecossistema é crucial. Veja a </w:t>
      </w:r>
      <w:hyperlink r:id="rId6" w:history="1">
        <w:r>
          <w:rPr>
            <w:rStyle w:val="Hyperlink"/>
            <w:rFonts w:ascii="Arial" w:hAnsi="Arial"/>
            <w:sz w:val="16"/>
          </w:rPr>
          <w:t>Checklist de Escritores de Políticas</w:t>
        </w:r>
      </w:hyperlink>
      <w:r>
        <w:rPr>
          <w:rFonts w:ascii="Arial" w:hAnsi="Arial"/>
          <w:sz w:val="16"/>
        </w:rPr>
        <w:t>, Checklist 3.</w:t>
      </w:r>
    </w:p>
  </w:footnote>
  <w:footnote w:id="7">
    <w:p w14:paraId="15B7A66D" w14:textId="4F4085E5" w:rsidR="008178A1" w:rsidRPr="006D4DBF" w:rsidRDefault="008178A1" w:rsidP="0072797F">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Vários exemplos dessas diretrizes podem ser encontrados pesquisando o </w:t>
      </w:r>
      <w:hyperlink r:id="rId7" w:history="1">
        <w:r>
          <w:rPr>
            <w:rStyle w:val="Hyperlink"/>
            <w:rFonts w:ascii="Arial" w:hAnsi="Arial"/>
            <w:sz w:val="16"/>
          </w:rPr>
          <w:t>Base de Dados de Políticas de PI da OMPI</w:t>
        </w:r>
      </w:hyperlink>
      <w:r>
        <w:rPr>
          <w:rFonts w:ascii="Arial" w:hAnsi="Arial"/>
          <w:sz w:val="16"/>
        </w:rPr>
        <w:t>, indicando “Diretrizes e outros recursos” na caixa de Documentos Anexos</w:t>
      </w:r>
      <w:r w:rsidR="008411EA">
        <w:rPr>
          <w:rFonts w:ascii="Arial" w:hAnsi="Arial"/>
          <w:sz w:val="16"/>
        </w:rPr>
        <w:t xml:space="preserve">. </w:t>
      </w:r>
      <w:r>
        <w:rPr>
          <w:rFonts w:ascii="Arial" w:hAnsi="Arial"/>
          <w:sz w:val="16"/>
        </w:rPr>
        <w:t xml:space="preserve">Alguns exemplos de diretrizes a nível nacional são: o </w:t>
      </w:r>
      <w:hyperlink r:id="rId8" w:history="1">
        <w:r>
          <w:rPr>
            <w:rStyle w:val="Hyperlink"/>
            <w:rFonts w:ascii="Arial" w:hAnsi="Arial"/>
            <w:sz w:val="16"/>
          </w:rPr>
          <w:t>Conjunto de Ferramentas de PI Australiano para Colaboração</w:t>
        </w:r>
      </w:hyperlink>
      <w:r>
        <w:rPr>
          <w:rFonts w:ascii="Arial" w:hAnsi="Arial"/>
          <w:sz w:val="16"/>
        </w:rPr>
        <w:t xml:space="preserve"> e um conjunto de </w:t>
      </w:r>
      <w:hyperlink r:id="rId9" w:history="1">
        <w:r>
          <w:rPr>
            <w:rStyle w:val="Hyperlink"/>
            <w:rFonts w:ascii="Arial" w:hAnsi="Arial"/>
            <w:sz w:val="16"/>
            <w:highlight w:val="yellow"/>
          </w:rPr>
          <w:t>Manuais e Guias</w:t>
        </w:r>
      </w:hyperlink>
      <w:r>
        <w:rPr>
          <w:rFonts w:ascii="Arial" w:hAnsi="Arial"/>
          <w:sz w:val="16"/>
        </w:rPr>
        <w:t xml:space="preserve"> sobre Gestão de PI produzidos pela Associação para Pesquisa Universitária e Links Industriais (AURIL).</w:t>
      </w:r>
    </w:p>
  </w:footnote>
  <w:footnote w:id="8">
    <w:p w14:paraId="41785354" w14:textId="77777777" w:rsidR="008178A1" w:rsidRPr="00B7519E"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10" w:history="1">
        <w:r>
          <w:rPr>
            <w:rStyle w:val="Hyperlink"/>
            <w:rFonts w:ascii="Arial" w:hAnsi="Arial"/>
            <w:i/>
            <w:sz w:val="16"/>
          </w:rPr>
          <w:t>Checklist de Escritores de Políticas</w:t>
        </w:r>
      </w:hyperlink>
      <w:r>
        <w:rPr>
          <w:rFonts w:ascii="Arial" w:hAnsi="Arial"/>
          <w:sz w:val="16"/>
        </w:rPr>
        <w:t>, Checklist 24.</w:t>
      </w:r>
    </w:p>
  </w:footnote>
  <w:footnote w:id="9">
    <w:p w14:paraId="40218C0A" w14:textId="77777777" w:rsidR="008178A1" w:rsidRPr="006D4DBF" w:rsidRDefault="008178A1" w:rsidP="00A163C3">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“terceira missão” das universidades pode ser entendida como o uso econômico da pesquisa, DPIs, spin-offs, transferência tecnológica e, em um sentido mais amplo, tudo na direção da sociedade e do uso econômico da pesquisa e da PI (ver: Dan, Michaela-Cornelia (2012), </w:t>
      </w:r>
      <w:hyperlink r:id="rId11" w:history="1">
        <w:r>
          <w:rPr>
            <w:rStyle w:val="Hyperlink"/>
            <w:rFonts w:ascii="Arial" w:hAnsi="Arial"/>
            <w:i/>
            <w:sz w:val="16"/>
          </w:rPr>
          <w:t>The Third Mission of Universities in the Development Strategy of Vienna City</w:t>
        </w:r>
      </w:hyperlink>
      <w:r>
        <w:rPr>
          <w:rFonts w:ascii="Arial" w:hAnsi="Arial"/>
          <w:sz w:val="16"/>
        </w:rPr>
        <w:t>).</w:t>
      </w:r>
    </w:p>
  </w:footnote>
  <w:footnote w:id="10">
    <w:p w14:paraId="62064342" w14:textId="77777777" w:rsidR="008178A1" w:rsidRPr="00956281" w:rsidRDefault="008178A1" w:rsidP="00FF6CD3">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Como agências governamentais, organizações filantrópicas, organizações não governamentais (ONGs), outras instituições de ensino superior, investidores privados e indivíduos em todo o mundo.</w:t>
      </w:r>
    </w:p>
  </w:footnote>
  <w:footnote w:id="11">
    <w:p w14:paraId="254F1CD6" w14:textId="77777777" w:rsidR="008178A1" w:rsidRPr="006D4DBF" w:rsidRDefault="008178A1" w:rsidP="003C3F7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As Instituições devem tentar antecipar quais tecnologias podem ter aplicações que atendam a necessidades sociais importantes não cumpridas, que provavelmente não serão atendidas por termos apropriados para mercados comerciais, e estruturar acordos a serem seguidos para essas aplicações. Os principais exemplos são tecnologias adequadas para atender às necessidades agrícolas, médicas e alimentares dos países em desenvolvimento. Veja </w:t>
      </w:r>
      <w:hyperlink r:id="rId12" w:history="1">
        <w:r>
          <w:rPr>
            <w:rStyle w:val="Hyperlink"/>
            <w:rFonts w:ascii="Arial" w:hAnsi="Arial"/>
            <w:sz w:val="16"/>
          </w:rPr>
          <w:t>Nove Pontos a Considerar no Licenciamento de Tecnologia da Universidade</w:t>
        </w:r>
      </w:hyperlink>
      <w:r>
        <w:rPr>
          <w:rFonts w:ascii="Arial" w:hAnsi="Arial"/>
          <w:sz w:val="16"/>
        </w:rPr>
        <w:t xml:space="preserve"> (Ponto 9).</w:t>
      </w:r>
    </w:p>
  </w:footnote>
  <w:footnote w:id="12">
    <w:p w14:paraId="6711F9C2" w14:textId="77777777" w:rsidR="008178A1" w:rsidRPr="006D4DBF" w:rsidRDefault="008178A1" w:rsidP="003C3F7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transferência de conhecimento pode gerar renda de royalties e licenças que podem ser reinvestidas em novos programas de pesquisa e ensino, embora estudos indiquem que a maioria das instituições não obterá renda suficiente para cobrir os custos de um EGPI.</w:t>
      </w:r>
    </w:p>
  </w:footnote>
  <w:footnote w:id="13">
    <w:p w14:paraId="37A77446" w14:textId="77777777" w:rsidR="008178A1" w:rsidRPr="006D4DBF" w:rsidRDefault="008178A1" w:rsidP="00AA1A8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Instituições que conseguem levar descobertas do laboratório para o mercado geralmente criam seguidores de prestígio.</w:t>
      </w:r>
    </w:p>
  </w:footnote>
  <w:footnote w:id="14">
    <w:p w14:paraId="2E247161" w14:textId="77777777" w:rsidR="008178A1" w:rsidRPr="006D4DBF" w:rsidRDefault="008178A1" w:rsidP="00AA1A8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meio de equipamentos industriais, entender melhor as necessidades do mercado e da pesquisa aplicada.</w:t>
      </w:r>
    </w:p>
  </w:footnote>
  <w:footnote w:id="15">
    <w:p w14:paraId="471E68CF" w14:textId="77777777" w:rsidR="008178A1" w:rsidRPr="006D4DBF" w:rsidRDefault="008178A1" w:rsidP="00E57DC1">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Ensino prático por meio da participação de palestrantes da indústria e estudos de caso reais.</w:t>
      </w:r>
    </w:p>
  </w:footnote>
  <w:footnote w:id="16">
    <w:p w14:paraId="74A7AD7B" w14:textId="77777777" w:rsidR="008178A1" w:rsidRPr="006D4DBF" w:rsidRDefault="008178A1" w:rsidP="00AA1A8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Perspectivas de emprego de alunos e pesquisadores iniciantes, intercâmbios de funcionários entre a Instituição e empresas e admissão de ex-alunos em empresas.</w:t>
      </w:r>
    </w:p>
  </w:footnote>
  <w:footnote w:id="17">
    <w:p w14:paraId="5FB7312E" w14:textId="77777777" w:rsidR="008178A1" w:rsidRPr="00B7519E" w:rsidRDefault="008178A1" w:rsidP="00AA1A8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Universidades que adotam um ambiente robusto de transferência de tecnologia são mais atraentes para professores, cientistas e alunos empreendedores que veem a instituição como um caminho de sucesso tanto para o desenvolvimento de carreira quanto para levar inovação ao mercado.</w:t>
      </w:r>
    </w:p>
  </w:footnote>
  <w:footnote w:id="18">
    <w:p w14:paraId="11E6A853" w14:textId="77777777" w:rsidR="008178A1" w:rsidRPr="00C84AE2" w:rsidRDefault="008178A1" w:rsidP="00E57DC1">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Os cientistas acadêmicos geralmente buscam a rápida disseminação de suas ideias, especialmente por meio de publicações em periódicos acadêmicos seletivos e reconhecimento por pares. Eles também podem buscar recompensas financeiras, que podem ser reinvestidas em suas pesquisas.</w:t>
      </w:r>
    </w:p>
  </w:footnote>
  <w:footnote w:id="19">
    <w:p w14:paraId="58D4403B" w14:textId="77777777" w:rsidR="008178A1" w:rsidRPr="00157F4C" w:rsidRDefault="008178A1" w:rsidP="00E57DC1">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O EGPI e outros administradores de pesquisa geralmente tentam gerar receita do portfólio de PI e buscam transferir ou comercializar tecnologias institucionais para empresas.</w:t>
      </w:r>
    </w:p>
  </w:footnote>
  <w:footnote w:id="20">
    <w:p w14:paraId="61B10D98" w14:textId="77777777" w:rsidR="008178A1" w:rsidRPr="00157F4C" w:rsidRDefault="008178A1" w:rsidP="00A26BC7">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As empresas são motivadas pelo desejo de comercializar propriedade intelectual desenvolvida em instituições para obter ganhos financeiros. Elas desejam garantir direitos exclusivos sobre tal propriedade intelectual e dão grande ênfase à velocidade.</w:t>
      </w:r>
    </w:p>
  </w:footnote>
  <w:footnote w:id="21">
    <w:p w14:paraId="60636B37" w14:textId="77777777" w:rsidR="008178A1" w:rsidRPr="0024467F" w:rsidRDefault="008178A1" w:rsidP="00BF4081">
      <w:pPr>
        <w:pStyle w:val="FootnoteText"/>
        <w:jc w:val="both"/>
        <w:rPr>
          <w:rFonts w:ascii="Arial" w:hAnsi="Arial" w:cs="Arial"/>
          <w:sz w:val="16"/>
          <w:szCs w:val="16"/>
          <w:lang w:val="en-US"/>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Espera-se cada vez mais que as universidades e as instituições de investigação participem ativamente e contribuam para um ecossistema regional de conhecimento e inovação</w:t>
      </w:r>
      <w:r>
        <w:rPr>
          <w:rFonts w:ascii="Arial" w:hAnsi="Arial"/>
          <w:sz w:val="16"/>
        </w:rPr>
        <w:t xml:space="preserve">. </w:t>
      </w:r>
      <w:r w:rsidRPr="0024467F">
        <w:rPr>
          <w:rFonts w:ascii="Arial" w:hAnsi="Arial"/>
          <w:sz w:val="16"/>
          <w:lang w:val="en-US"/>
        </w:rPr>
        <w:t xml:space="preserve">Veja, por exemplo, na Europa: European University Association, </w:t>
      </w:r>
      <w:hyperlink r:id="rId13" w:history="1">
        <w:r w:rsidRPr="0024467F">
          <w:rPr>
            <w:rStyle w:val="Hyperlink"/>
            <w:rFonts w:ascii="Arial" w:hAnsi="Arial"/>
            <w:i/>
            <w:color w:val="auto"/>
            <w:sz w:val="16"/>
            <w:lang w:val="en-US"/>
          </w:rPr>
          <w:t>University-Business Collaborative Research:</w:t>
        </w:r>
      </w:hyperlink>
      <w:hyperlink r:id="rId14" w:history="1">
        <w:r w:rsidRPr="0024467F">
          <w:rPr>
            <w:rStyle w:val="Hyperlink"/>
            <w:rFonts w:ascii="Arial" w:hAnsi="Arial"/>
            <w:i/>
            <w:color w:val="auto"/>
            <w:sz w:val="16"/>
            <w:lang w:val="en-US"/>
          </w:rPr>
          <w:t xml:space="preserve"> Goals, Outcomes and New Assessment Tools</w:t>
        </w:r>
      </w:hyperlink>
      <w:r w:rsidRPr="0024467F">
        <w:rPr>
          <w:rFonts w:ascii="Arial" w:hAnsi="Arial"/>
          <w:sz w:val="16"/>
          <w:lang w:val="en-US"/>
        </w:rPr>
        <w:t xml:space="preserve"> (2014).</w:t>
      </w:r>
    </w:p>
  </w:footnote>
  <w:footnote w:id="22">
    <w:p w14:paraId="61150581" w14:textId="77777777" w:rsidR="008178A1" w:rsidRPr="00C84AE2" w:rsidRDefault="008178A1" w:rsidP="008C13DD">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também </w:t>
      </w:r>
      <w:hyperlink w:anchor="Commercialization Pathways" w:history="1">
        <w:r>
          <w:rPr>
            <w:rStyle w:val="Hyperlink"/>
            <w:rFonts w:ascii="Arial" w:hAnsi="Arial"/>
            <w:sz w:val="16"/>
          </w:rPr>
          <w:t>Artigo 9.4.a</w:t>
        </w:r>
      </w:hyperlink>
      <w:r>
        <w:rPr>
          <w:rFonts w:ascii="Arial" w:hAnsi="Arial"/>
          <w:sz w:val="16"/>
        </w:rPr>
        <w:t xml:space="preserve"> e </w:t>
      </w:r>
      <w:hyperlink w:anchor="Box60" w:history="1">
        <w:r>
          <w:rPr>
            <w:rStyle w:val="Hyperlink"/>
            <w:rFonts w:ascii="Arial" w:hAnsi="Arial"/>
            <w:sz w:val="16"/>
          </w:rPr>
          <w:t>Caixa 61</w:t>
        </w:r>
      </w:hyperlink>
      <w:r>
        <w:rPr>
          <w:rFonts w:ascii="Arial" w:hAnsi="Arial"/>
          <w:sz w:val="16"/>
        </w:rPr>
        <w:t>. As instituições que recebem financiamento governamental para pesquisa geralmente são obrigadas a dar preferência à emissão de licenças para pequenas empresas locais se elas tiverem recursos e capacidade para comercializar a invenção.</w:t>
      </w:r>
    </w:p>
  </w:footnote>
  <w:footnote w:id="23">
    <w:p w14:paraId="7E810E9C"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“Diretrizes sobre Responsabilidade Social” da Organização Internacional de Normalização”.</w:t>
      </w:r>
    </w:p>
  </w:footnote>
  <w:footnote w:id="24">
    <w:p w14:paraId="381A7454" w14:textId="77777777" w:rsidR="008178A1" w:rsidRPr="006E4BB0" w:rsidRDefault="008178A1" w:rsidP="006E4BB0">
      <w:pPr>
        <w:pStyle w:val="FootnoteText"/>
        <w:jc w:val="both"/>
        <w:rPr>
          <w:rFonts w:ascii="Arial" w:hAnsi="Arial" w:cs="Arial"/>
          <w:sz w:val="16"/>
        </w:rPr>
      </w:pPr>
      <w:r>
        <w:rPr>
          <w:rStyle w:val="FootnoteReference"/>
          <w:rFonts w:ascii="Arial" w:hAnsi="Arial" w:cs="Arial"/>
          <w:sz w:val="16"/>
          <w:szCs w:val="16"/>
        </w:rPr>
        <w:footnoteRef/>
      </w:r>
      <w:r>
        <w:rPr>
          <w:rFonts w:ascii="Arial" w:hAnsi="Arial"/>
          <w:sz w:val="16"/>
        </w:rPr>
        <w:t>O projeto EU-USR (http://www.eu-usr.eu) foi concebido como uma resposta à prioridade política da Comissão Europeia sobre a necessidade de uma estratégia comum de responsabilidade social para todas as universidades Europeias. O Relatório UE-USR propõe um conjunto de padrões de referência que fornecem um modelo Europeu para aumentar a responsabilidade social das universidades.</w:t>
      </w:r>
    </w:p>
  </w:footnote>
  <w:footnote w:id="25">
    <w:p w14:paraId="69ED8584" w14:textId="77777777" w:rsidR="008178A1" w:rsidRPr="0024467F" w:rsidRDefault="008178A1" w:rsidP="00A26BC7">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w:t>
      </w:r>
      <w:hyperlink r:id="rId15" w:history="1">
        <w:r w:rsidRPr="0024467F">
          <w:rPr>
            <w:rStyle w:val="Hyperlink"/>
            <w:rFonts w:ascii="Arial" w:hAnsi="Arial"/>
            <w:sz w:val="16"/>
            <w:lang w:val="en-US"/>
          </w:rPr>
          <w:t>Social Responsibility in Higher Education Institutions:</w:t>
        </w:r>
      </w:hyperlink>
      <w:hyperlink r:id="rId16" w:history="1">
        <w:r w:rsidRPr="0024467F">
          <w:rPr>
            <w:rStyle w:val="Hyperlink"/>
            <w:rFonts w:ascii="Arial" w:hAnsi="Arial"/>
            <w:sz w:val="16"/>
            <w:lang w:val="en-US"/>
          </w:rPr>
          <w:t xml:space="preserve"> Application case from the Middle East</w:t>
        </w:r>
      </w:hyperlink>
      <w:r w:rsidRPr="0024467F">
        <w:rPr>
          <w:rFonts w:ascii="Arial" w:hAnsi="Arial"/>
          <w:sz w:val="16"/>
          <w:lang w:val="en-US"/>
        </w:rPr>
        <w:t>.</w:t>
      </w:r>
    </w:p>
  </w:footnote>
  <w:footnote w:id="26">
    <w:p w14:paraId="58281256" w14:textId="77777777" w:rsidR="008178A1" w:rsidRPr="0024467F" w:rsidRDefault="008178A1" w:rsidP="00A26BC7">
      <w:pPr>
        <w:autoSpaceDE w:val="0"/>
        <w:autoSpaceDN w:val="0"/>
        <w:adjustRightInd w:val="0"/>
        <w:spacing w:after="0" w:line="240" w:lineRule="auto"/>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w:t>
      </w:r>
      <w:hyperlink r:id="rId17" w:history="1">
        <w:r w:rsidRPr="0024467F">
          <w:rPr>
            <w:rStyle w:val="Hyperlink"/>
            <w:rFonts w:ascii="Arial" w:hAnsi="Arial"/>
            <w:sz w:val="16"/>
            <w:lang w:val="en-US"/>
          </w:rPr>
          <w:t>A Framework for University Social Responsibility and Sustainability:</w:t>
        </w:r>
      </w:hyperlink>
      <w:hyperlink r:id="rId18" w:history="1">
        <w:r w:rsidRPr="0024467F">
          <w:rPr>
            <w:rStyle w:val="Hyperlink"/>
            <w:rFonts w:ascii="Arial" w:hAnsi="Arial"/>
            <w:sz w:val="16"/>
            <w:lang w:val="en-US"/>
          </w:rPr>
          <w:t xml:space="preserve"> The Case of South Valley University, Egypt</w:t>
        </w:r>
      </w:hyperlink>
      <w:r w:rsidRPr="0024467F">
        <w:rPr>
          <w:rFonts w:ascii="Arial" w:hAnsi="Arial"/>
          <w:sz w:val="16"/>
          <w:lang w:val="en-US"/>
        </w:rPr>
        <w:t>.</w:t>
      </w:r>
    </w:p>
  </w:footnote>
  <w:footnote w:id="27">
    <w:p w14:paraId="145450FA" w14:textId="77777777" w:rsidR="008178A1" w:rsidRPr="0046400E" w:rsidRDefault="008178A1" w:rsidP="00A26BC7">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responsabilidade social é um dos nossos três principais objetivos estratégicos em </w:t>
      </w:r>
      <w:hyperlink r:id="rId19" w:history="1">
        <w:r>
          <w:rPr>
            <w:rStyle w:val="Hyperlink"/>
            <w:rFonts w:ascii="Arial" w:hAnsi="Arial"/>
            <w:sz w:val="16"/>
          </w:rPr>
          <w:t>Manchester 2020 Strategy</w:t>
        </w:r>
      </w:hyperlink>
      <w:r>
        <w:rPr>
          <w:rFonts w:ascii="Arial" w:hAnsi="Arial"/>
          <w:sz w:val="16"/>
        </w:rPr>
        <w:t xml:space="preserve">. A Universidade tem </w:t>
      </w:r>
      <w:r>
        <w:rPr>
          <w:rFonts w:ascii="Arial" w:hAnsi="Arial"/>
          <w:i/>
          <w:sz w:val="16"/>
        </w:rPr>
        <w:t>Política de Comercialização de PI Humanitária</w:t>
      </w:r>
      <w:r>
        <w:rPr>
          <w:rFonts w:ascii="Arial" w:hAnsi="Arial"/>
          <w:sz w:val="16"/>
        </w:rPr>
        <w:t>.</w:t>
      </w:r>
    </w:p>
  </w:footnote>
  <w:footnote w:id="28">
    <w:p w14:paraId="01B3313C" w14:textId="77777777" w:rsidR="008178A1" w:rsidRPr="004B4C70" w:rsidRDefault="008178A1" w:rsidP="00A26BC7">
      <w:pPr>
        <w:pStyle w:val="FootnoteText"/>
        <w:jc w:val="both"/>
        <w:rPr>
          <w:rFonts w:ascii="Arial" w:hAnsi="Arial" w:cs="Arial"/>
          <w:sz w:val="16"/>
          <w:szCs w:val="16"/>
        </w:rPr>
      </w:pPr>
      <w:r>
        <w:rPr>
          <w:rStyle w:val="FootnoteReference"/>
          <w:rFonts w:ascii="Arial" w:hAnsi="Arial" w:cs="Arial"/>
          <w:sz w:val="16"/>
          <w:szCs w:val="16"/>
        </w:rPr>
        <w:footnoteRef/>
      </w:r>
      <w:r w:rsidRPr="004B4C70">
        <w:rPr>
          <w:rFonts w:ascii="Arial" w:hAnsi="Arial"/>
          <w:sz w:val="16"/>
        </w:rPr>
        <w:t xml:space="preserve"> Veja o </w:t>
      </w:r>
      <w:hyperlink r:id="rId20" w:history="1">
        <w:r w:rsidRPr="004B4C70">
          <w:rPr>
            <w:rStyle w:val="Hyperlink"/>
            <w:rFonts w:ascii="Arial" w:hAnsi="Arial"/>
            <w:sz w:val="16"/>
          </w:rPr>
          <w:t>UWS Sustainability Plan 2016 to 2020</w:t>
        </w:r>
      </w:hyperlink>
      <w:r w:rsidRPr="004B4C70">
        <w:rPr>
          <w:rFonts w:ascii="Arial" w:hAnsi="Arial"/>
          <w:sz w:val="16"/>
        </w:rPr>
        <w:t>.</w:t>
      </w:r>
    </w:p>
  </w:footnote>
  <w:footnote w:id="29">
    <w:p w14:paraId="527476EE" w14:textId="77777777" w:rsidR="008178A1" w:rsidRPr="0024467F" w:rsidRDefault="008178A1" w:rsidP="00712AD1">
      <w:pPr>
        <w:pStyle w:val="FootnoteText"/>
        <w:rPr>
          <w:lang w:val="en-US"/>
        </w:rPr>
      </w:pPr>
      <w:r>
        <w:rPr>
          <w:rStyle w:val="FootnoteReference"/>
        </w:rPr>
        <w:footnoteRef/>
      </w:r>
      <w:r w:rsidRPr="0024467F">
        <w:rPr>
          <w:lang w:val="en-US"/>
        </w:rPr>
        <w:t xml:space="preserve"> Veja </w:t>
      </w:r>
      <w:hyperlink r:id="rId21" w:history="1">
        <w:r w:rsidRPr="0024467F">
          <w:rPr>
            <w:rStyle w:val="Hyperlink"/>
            <w:lang w:val="en-US"/>
          </w:rPr>
          <w:t>University of Oslo Strategy 2020</w:t>
        </w:r>
      </w:hyperlink>
      <w:r w:rsidRPr="0024467F">
        <w:rPr>
          <w:lang w:val="en-US"/>
        </w:rPr>
        <w:t>.</w:t>
      </w:r>
    </w:p>
  </w:footnote>
  <w:footnote w:id="30">
    <w:p w14:paraId="590361C7" w14:textId="77777777" w:rsidR="008178A1" w:rsidRPr="00F71527" w:rsidRDefault="008178A1">
      <w:pPr>
        <w:pStyle w:val="FootnoteText"/>
      </w:pPr>
      <w:r>
        <w:rPr>
          <w:rStyle w:val="FootnoteReference"/>
        </w:rPr>
        <w:footnoteRef/>
      </w:r>
      <w:r>
        <w:t xml:space="preserve"> A Universidade de Berkeley tem um Programa de Licenciamento Socialmente Responsável para maximizar o impacto social.</w:t>
      </w:r>
    </w:p>
  </w:footnote>
  <w:footnote w:id="31">
    <w:p w14:paraId="71CAED8D" w14:textId="77777777" w:rsidR="008178A1" w:rsidRPr="0024467F" w:rsidRDefault="008178A1">
      <w:pPr>
        <w:pStyle w:val="FootnoteText"/>
        <w:rPr>
          <w:lang w:val="en-US"/>
        </w:rPr>
      </w:pPr>
      <w:r>
        <w:rPr>
          <w:rStyle w:val="FootnoteReference"/>
        </w:rPr>
        <w:footnoteRef/>
      </w:r>
      <w:r w:rsidRPr="0024467F">
        <w:rPr>
          <w:lang w:val="en-US"/>
        </w:rPr>
        <w:t xml:space="preserve"> Veja o artigo </w:t>
      </w:r>
      <w:hyperlink r:id="rId22" w:history="1">
        <w:r w:rsidRPr="0024467F">
          <w:rPr>
            <w:rStyle w:val="Hyperlink"/>
            <w:i/>
            <w:lang w:val="en-US"/>
          </w:rPr>
          <w:t>By doing good, Cornell can do well</w:t>
        </w:r>
      </w:hyperlink>
      <w:r w:rsidRPr="0024467F">
        <w:rPr>
          <w:lang w:val="en-US"/>
        </w:rPr>
        <w:t xml:space="preserve">. </w:t>
      </w:r>
    </w:p>
  </w:footnote>
  <w:footnote w:id="32">
    <w:p w14:paraId="11082765" w14:textId="77777777" w:rsidR="008178A1" w:rsidRPr="0046400E" w:rsidRDefault="008178A1" w:rsidP="00B9654A">
      <w:pPr>
        <w:pStyle w:val="FootnoteText"/>
        <w:jc w:val="both"/>
        <w:rPr>
          <w:rFonts w:ascii="Arial" w:hAnsi="Arial" w:cs="Arial"/>
          <w:color w:val="1A1A1A"/>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1A1A1A"/>
          <w:sz w:val="16"/>
        </w:rPr>
        <w:t>A Carta Universitária de Responsabilidade Social foi criada para orientar a condução das atividades na CityU para que a operação da universidade possa ser administrada de forma sensível e responsável, ao mesmo tempo em que se dá a devida consideração ao seu impacto no meio ambiente e na sociedade; equilibrando o crescimento com a sustentabilidade. [</w:t>
      </w:r>
      <w:hyperlink r:id="rId23" w:history="1">
        <w:r>
          <w:rPr>
            <w:rStyle w:val="Hyperlink"/>
            <w:rFonts w:ascii="Arial" w:hAnsi="Arial"/>
            <w:sz w:val="16"/>
          </w:rPr>
          <w:t>http://www6.cityu.edu.hk/puo/newscentre/usr/uni-charter.htm</w:t>
        </w:r>
      </w:hyperlink>
      <w:r>
        <w:rPr>
          <w:rFonts w:ascii="Arial" w:hAnsi="Arial"/>
          <w:color w:val="1A1A1A"/>
          <w:sz w:val="16"/>
        </w:rPr>
        <w:t>]</w:t>
      </w:r>
    </w:p>
  </w:footnote>
  <w:footnote w:id="33">
    <w:p w14:paraId="00DC1A33" w14:textId="77777777" w:rsidR="008178A1" w:rsidRPr="00BD07D8" w:rsidRDefault="008178A1" w:rsidP="00B9654A">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24" w:history="1">
        <w:r>
          <w:rPr>
            <w:rStyle w:val="Hyperlink"/>
            <w:rFonts w:ascii="Arial" w:hAnsi="Arial"/>
            <w:sz w:val="16"/>
          </w:rPr>
          <w:t>http://www.aunsec.org/aunusrs.php</w:t>
        </w:r>
      </w:hyperlink>
      <w:r>
        <w:rPr>
          <w:rFonts w:ascii="Arial" w:hAnsi="Arial"/>
          <w:sz w:val="16"/>
        </w:rPr>
        <w:t xml:space="preserve"> </w:t>
      </w:r>
    </w:p>
  </w:footnote>
  <w:footnote w:id="34">
    <w:p w14:paraId="16E5B51A" w14:textId="77777777" w:rsidR="008178A1" w:rsidRPr="00B64647" w:rsidRDefault="008178A1" w:rsidP="00B9654A">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25" w:history="1">
        <w:r>
          <w:rPr>
            <w:rStyle w:val="Hyperlink"/>
            <w:rFonts w:ascii="Arial" w:hAnsi="Arial"/>
            <w:sz w:val="16"/>
          </w:rPr>
          <w:t>https://www.emeraldinsight.com/doi/abs/10.1108/S2043-905920140000008013</w:t>
        </w:r>
      </w:hyperlink>
      <w:r>
        <w:rPr>
          <w:rFonts w:ascii="Arial" w:hAnsi="Arial"/>
          <w:sz w:val="16"/>
        </w:rPr>
        <w:t xml:space="preserve"> </w:t>
      </w:r>
    </w:p>
  </w:footnote>
  <w:footnote w:id="35">
    <w:p w14:paraId="05615E1F"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Em: Intellectual Property Management in Health and Agricultural Innovation: A Handbook of Best Practices.</w:t>
      </w:r>
    </w:p>
  </w:footnote>
  <w:footnote w:id="36">
    <w:p w14:paraId="036488AB" w14:textId="77777777" w:rsidR="008178A1" w:rsidRPr="0024467F" w:rsidRDefault="008178A1" w:rsidP="00B7519E">
      <w:pPr>
        <w:pStyle w:val="FootnoteText"/>
        <w:jc w:val="both"/>
        <w:rPr>
          <w:rFonts w:ascii="Arial" w:hAnsi="Arial" w:cs="Arial"/>
          <w:sz w:val="16"/>
          <w:szCs w:val="16"/>
          <w:lang w:val="en-US"/>
        </w:rPr>
      </w:pPr>
      <w:r>
        <w:rPr>
          <w:rStyle w:val="FootnoteReference"/>
          <w:rFonts w:ascii="Arial" w:hAnsi="Arial" w:cs="Arial"/>
          <w:sz w:val="16"/>
          <w:szCs w:val="16"/>
        </w:rPr>
        <w:footnoteRef/>
      </w:r>
      <w:r>
        <w:rPr>
          <w:rFonts w:ascii="Arial" w:hAnsi="Arial"/>
          <w:sz w:val="16"/>
        </w:rPr>
        <w:t xml:space="preserve"> Por exemplo, na Europa e em alguns outros países, a experimentação de uma invenção (ao contrário de com uma invenção) é permitida até mesmo para fins comerciais. Nos Estados Unidos, no entanto, a pesquisa sem a autorização do titular da patente só foi admitida de forma restrita para fins científicos. </w:t>
      </w:r>
      <w:r w:rsidRPr="0024467F">
        <w:rPr>
          <w:rFonts w:ascii="Arial" w:hAnsi="Arial"/>
          <w:sz w:val="16"/>
          <w:lang w:val="en-US"/>
        </w:rPr>
        <w:t xml:space="preserve">Veja: Correa, Carlos (2016), South Centre Research Paper 69, </w:t>
      </w:r>
      <w:hyperlink r:id="rId26" w:history="1">
        <w:r w:rsidRPr="0024467F">
          <w:rPr>
            <w:rStyle w:val="Hyperlink"/>
            <w:rFonts w:ascii="Arial" w:hAnsi="Arial"/>
            <w:i/>
            <w:sz w:val="16"/>
            <w:lang w:val="en-US"/>
          </w:rPr>
          <w:t>Intellectual Property and Access to Science</w:t>
        </w:r>
      </w:hyperlink>
      <w:r w:rsidRPr="0024467F">
        <w:rPr>
          <w:rFonts w:ascii="Arial" w:hAnsi="Arial"/>
          <w:sz w:val="16"/>
          <w:lang w:val="en-US"/>
        </w:rPr>
        <w:t>.</w:t>
      </w:r>
    </w:p>
  </w:footnote>
  <w:footnote w:id="37">
    <w:p w14:paraId="42DBC932" w14:textId="12916EE6" w:rsidR="008178A1" w:rsidRPr="00157F4C" w:rsidRDefault="008178A1" w:rsidP="009357E9">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Muitas vezes, essas diretrizes se aplicam apenas à PI gerada a partir da pesquisa que é financiada inteiramente por fontes públicas, nas quais nenhuma pesquisa financiada comercialmente tenha contribuído para a PI</w:t>
      </w:r>
      <w:r w:rsidR="008411EA">
        <w:rPr>
          <w:rFonts w:ascii="Arial" w:hAnsi="Arial"/>
          <w:sz w:val="16"/>
        </w:rPr>
        <w:t xml:space="preserve">. </w:t>
      </w:r>
    </w:p>
  </w:footnote>
  <w:footnote w:id="38">
    <w:p w14:paraId="04C266C9" w14:textId="77777777" w:rsidR="008178A1" w:rsidRPr="00BD07D8" w:rsidRDefault="008178A1" w:rsidP="00BD07D8">
      <w:pPr>
        <w:pStyle w:val="FootnoteText"/>
        <w:jc w:val="both"/>
        <w:rPr>
          <w:rFonts w:ascii="Arial" w:hAnsi="Arial" w:cs="Arial"/>
          <w:sz w:val="16"/>
          <w:szCs w:val="16"/>
        </w:rPr>
      </w:pPr>
      <w:r>
        <w:rPr>
          <w:rStyle w:val="FootnoteReference"/>
          <w:rFonts w:ascii="Arial" w:hAnsi="Arial" w:cs="Arial"/>
          <w:sz w:val="16"/>
          <w:szCs w:val="16"/>
        </w:rPr>
        <w:footnoteRef/>
      </w:r>
      <w:r>
        <w:rPr>
          <w:rStyle w:val="FootnoteReference"/>
          <w:rFonts w:ascii="Arial" w:hAnsi="Arial"/>
          <w:sz w:val="16"/>
        </w:rPr>
        <w:t xml:space="preserve"> </w:t>
      </w:r>
      <w:r>
        <w:rPr>
          <w:rFonts w:ascii="Arial" w:hAnsi="Arial"/>
          <w:sz w:val="16"/>
        </w:rPr>
        <w:t xml:space="preserve">Veja também o documento de trabalho anterior desenvolvido pela Comissão Europeia: </w:t>
      </w:r>
      <w:hyperlink r:id="rId27" w:history="1">
        <w:r>
          <w:rPr>
            <w:rStyle w:val="Hyperlink"/>
            <w:rFonts w:ascii="Arial" w:hAnsi="Arial"/>
            <w:i/>
            <w:sz w:val="16"/>
          </w:rPr>
          <w:t>Management of Intellectual Property in Publicly-funded Research Organisations:</w:t>
        </w:r>
      </w:hyperlink>
      <w:hyperlink r:id="rId28" w:history="1">
        <w:r>
          <w:rPr>
            <w:rStyle w:val="Hyperlink"/>
            <w:rFonts w:ascii="Arial" w:hAnsi="Arial"/>
            <w:i/>
            <w:sz w:val="16"/>
          </w:rPr>
          <w:t xml:space="preserve"> Towards European Guidelines</w:t>
        </w:r>
      </w:hyperlink>
      <w:r>
        <w:rPr>
          <w:rStyle w:val="Hyperlink"/>
          <w:rFonts w:ascii="Arial" w:hAnsi="Arial"/>
          <w:i/>
          <w:sz w:val="16"/>
        </w:rPr>
        <w:t xml:space="preserve"> </w:t>
      </w:r>
      <w:r>
        <w:rPr>
          <w:rFonts w:ascii="Arial" w:hAnsi="Arial"/>
          <w:sz w:val="16"/>
        </w:rPr>
        <w:t xml:space="preserve">(2004). </w:t>
      </w:r>
    </w:p>
  </w:footnote>
  <w:footnote w:id="39">
    <w:p w14:paraId="30EDE01F" w14:textId="77777777" w:rsidR="008178A1" w:rsidRPr="00B7519E" w:rsidRDefault="008178A1" w:rsidP="00B7519E">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 projeto IP-Unilink</w:t>
      </w:r>
      <w:r>
        <w:rPr>
          <w:rFonts w:ascii="Arial" w:hAnsi="Arial"/>
          <w:b/>
          <w:sz w:val="16"/>
        </w:rPr>
        <w:t xml:space="preserve"> </w:t>
      </w:r>
      <w:r>
        <w:rPr>
          <w:rFonts w:ascii="Arial" w:hAnsi="Arial"/>
          <w:sz w:val="16"/>
        </w:rPr>
        <w:t>é uma iniciativa de Instituições de Ensino Superior da União Europeia (UE), Brasil, Rússia, Índia e China (países BRICs), cofinanciado pela União Europeia.</w:t>
      </w:r>
    </w:p>
  </w:footnote>
  <w:footnote w:id="40">
    <w:p w14:paraId="30BBDA75" w14:textId="77777777" w:rsidR="008178A1" w:rsidRPr="00157F4C"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Para mais informações, veja: </w:t>
      </w:r>
      <w:hyperlink r:id="rId29" w:history="1">
        <w:r>
          <w:rPr>
            <w:rStyle w:val="Hyperlink"/>
            <w:rFonts w:ascii="Arial" w:hAnsi="Arial"/>
            <w:color w:val="auto"/>
            <w:sz w:val="16"/>
          </w:rPr>
          <w:t>Nota Informativa n.º 10 “Propriedade Intelectual e Recursos Genéticos”</w:t>
        </w:r>
      </w:hyperlink>
      <w:r>
        <w:rPr>
          <w:rFonts w:ascii="Arial" w:hAnsi="Arial"/>
          <w:sz w:val="16"/>
        </w:rPr>
        <w:t>.</w:t>
      </w:r>
    </w:p>
  </w:footnote>
  <w:footnote w:id="41">
    <w:p w14:paraId="31B88223" w14:textId="0361DA44" w:rsidR="008178A1"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w:t>
      </w:r>
      <w:hyperlink r:id="rId30" w:history="1">
        <w:r>
          <w:rPr>
            <w:rStyle w:val="Hyperlink"/>
            <w:rFonts w:ascii="Arial" w:hAnsi="Arial"/>
            <w:color w:val="auto"/>
            <w:sz w:val="16"/>
          </w:rPr>
          <w:t>Convenção sobre a Diversidade Biológica</w:t>
        </w:r>
      </w:hyperlink>
      <w:r>
        <w:rPr>
          <w:rFonts w:ascii="Arial" w:hAnsi="Arial"/>
          <w:sz w:val="16"/>
        </w:rPr>
        <w:t xml:space="preserve"> (CDB) foi adotada em 1992 para promover a conservação da diversidade biológica, o uso sustentável dos componentes da diversidade biológica e a repartição justa e equitativa dos benefícios decorrentes da utilização dos RGs. A CDB é o primeiro acordo internacional que aborda o acesso e a repartição de benefícios em seus objetivos e disposições. Ela reconhece os direitos soberanos dos Estados sobre seus recursos naturais e afirma a autoridade que os governos têm, sujeitos à sua legislação nacional, para determinar o acesso aos RGs. O </w:t>
      </w:r>
      <w:hyperlink r:id="rId31" w:history="1">
        <w:r>
          <w:rPr>
            <w:rStyle w:val="Hyperlink"/>
            <w:rFonts w:ascii="Arial" w:hAnsi="Arial"/>
            <w:color w:val="auto"/>
            <w:sz w:val="16"/>
          </w:rPr>
          <w:t>Protocolo de Nagoya</w:t>
        </w:r>
      </w:hyperlink>
      <w:r>
        <w:rPr>
          <w:rFonts w:ascii="Arial" w:hAnsi="Arial"/>
          <w:sz w:val="16"/>
        </w:rPr>
        <w:t xml:space="preserve"> sobre o Acesso aos Recursos Genéticos e a Repartição Justa e Equitativa dos Benefícios Derivados de sua Utilização à Convenção sobre a Diversidade Biológica foi adotado em 2010 e é um acordo suplementar à CDB. Ele estabelece as regras e os mecanismos para acesso e repartição de benefícios e fornece uma estrutura legal para a implementação efetiva da repartição justa e equitativa dos benefícios decorrentes da utilização dos RGs</w:t>
      </w:r>
      <w:r w:rsidR="008411EA">
        <w:rPr>
          <w:rFonts w:ascii="Arial" w:hAnsi="Arial"/>
          <w:sz w:val="16"/>
        </w:rPr>
        <w:t xml:space="preserve">. </w:t>
      </w:r>
      <w:r>
        <w:rPr>
          <w:rFonts w:ascii="Arial" w:hAnsi="Arial"/>
          <w:sz w:val="16"/>
        </w:rPr>
        <w:t xml:space="preserve">O </w:t>
      </w:r>
      <w:hyperlink r:id="rId32" w:history="1">
        <w:r>
          <w:rPr>
            <w:rStyle w:val="Hyperlink"/>
            <w:rFonts w:ascii="Arial" w:hAnsi="Arial"/>
            <w:color w:val="auto"/>
            <w:sz w:val="16"/>
          </w:rPr>
          <w:t>Tratado Internacional sobre Recursos Genéticos Vegetais para Alimentação e Agricultura</w:t>
        </w:r>
      </w:hyperlink>
      <w:r>
        <w:rPr>
          <w:rFonts w:ascii="Arial" w:hAnsi="Arial"/>
          <w:sz w:val="16"/>
        </w:rPr>
        <w:t>, que foi adotado em 2001 e que se limita os RGs de plantas para alimentação e agricultura, regulamenta a troca de uma série de culturas alimentares importantes e facilita o acesso a variedades de culturas e seus componentes para pesquisa agrícola e melhoramento de novas variedades. Ver Nota Informativa n.º 10 “Propriedade Intelectual e Recursos Genéticos”, disponível em:</w:t>
      </w:r>
    </w:p>
    <w:p w14:paraId="0E654512" w14:textId="77777777" w:rsidR="008178A1" w:rsidRPr="00157F4C" w:rsidRDefault="00F265CB" w:rsidP="00B7519E">
      <w:pPr>
        <w:pStyle w:val="FootnoteText"/>
        <w:jc w:val="both"/>
        <w:rPr>
          <w:rFonts w:ascii="Arial" w:hAnsi="Arial" w:cs="Arial"/>
          <w:sz w:val="16"/>
          <w:szCs w:val="16"/>
        </w:rPr>
      </w:pPr>
      <w:hyperlink r:id="rId33" w:history="1">
        <w:r w:rsidR="00372C70">
          <w:rPr>
            <w:rStyle w:val="Hyperlink"/>
            <w:rFonts w:ascii="Arial" w:hAnsi="Arial"/>
            <w:sz w:val="16"/>
          </w:rPr>
          <w:t>http://www.wipo.int/publications/en/details.jsp?id=4011</w:t>
        </w:r>
      </w:hyperlink>
      <w:r w:rsidR="00372C70">
        <w:rPr>
          <w:rFonts w:ascii="Arial" w:hAnsi="Arial"/>
          <w:sz w:val="16"/>
        </w:rPr>
        <w:t>.</w:t>
      </w:r>
    </w:p>
  </w:footnote>
  <w:footnote w:id="42">
    <w:p w14:paraId="5E177A89" w14:textId="77777777" w:rsidR="008178A1" w:rsidRPr="00BD07D8"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o Artigo 15 da CDB. </w:t>
      </w:r>
    </w:p>
  </w:footnote>
  <w:footnote w:id="43">
    <w:p w14:paraId="45C4C00C" w14:textId="77777777" w:rsidR="008178A1" w:rsidRPr="0024467F" w:rsidRDefault="008178A1" w:rsidP="00B7519E">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as </w:t>
      </w:r>
      <w:hyperlink r:id="rId34" w:history="1">
        <w:r w:rsidRPr="0024467F">
          <w:rPr>
            <w:rStyle w:val="Hyperlink"/>
            <w:rFonts w:ascii="Arial" w:hAnsi="Arial"/>
            <w:sz w:val="16"/>
            <w:lang w:val="en-US"/>
          </w:rPr>
          <w:t>Bonn Guidelines on Access to Genetic Resources and Fair and Equitable Sharing of the Benefits Arising out of their Utilization</w:t>
        </w:r>
      </w:hyperlink>
      <w:r w:rsidRPr="0024467F">
        <w:rPr>
          <w:rFonts w:ascii="Arial" w:hAnsi="Arial"/>
          <w:sz w:val="16"/>
          <w:lang w:val="en-US"/>
        </w:rPr>
        <w:t xml:space="preserve">. </w:t>
      </w:r>
    </w:p>
  </w:footnote>
  <w:footnote w:id="44">
    <w:p w14:paraId="280863E1" w14:textId="77777777" w:rsidR="008178A1" w:rsidRPr="00B7519E" w:rsidRDefault="008178A1">
      <w:pPr>
        <w:pStyle w:val="FootnoteText"/>
        <w:rPr>
          <w:rFonts w:ascii="Arial" w:hAnsi="Arial" w:cs="Arial"/>
          <w:sz w:val="16"/>
          <w:szCs w:val="18"/>
        </w:rPr>
      </w:pPr>
      <w:r>
        <w:rPr>
          <w:rStyle w:val="FootnoteReference"/>
          <w:rFonts w:ascii="Arial" w:hAnsi="Arial" w:cs="Arial"/>
          <w:sz w:val="16"/>
          <w:szCs w:val="16"/>
        </w:rPr>
        <w:footnoteRef/>
      </w:r>
      <w:r>
        <w:rPr>
          <w:rFonts w:ascii="Arial" w:hAnsi="Arial"/>
          <w:sz w:val="16"/>
        </w:rPr>
        <w:t xml:space="preserve"> Veja o Modelo do Artigo 10.</w:t>
      </w:r>
    </w:p>
  </w:footnote>
  <w:footnote w:id="45">
    <w:p w14:paraId="64EC6835" w14:textId="77777777" w:rsidR="008178A1" w:rsidRPr="0024467F" w:rsidRDefault="008178A1" w:rsidP="00B7519E">
      <w:pPr>
        <w:autoSpaceDE w:val="0"/>
        <w:autoSpaceDN w:val="0"/>
        <w:adjustRightInd w:val="0"/>
        <w:spacing w:after="0" w:line="240" w:lineRule="auto"/>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Definição retirada do Biocat/Interbio whitebook (2012), </w:t>
      </w:r>
      <w:hyperlink r:id="rId35" w:history="1">
        <w:r w:rsidRPr="0024467F">
          <w:rPr>
            <w:rStyle w:val="Hyperlink"/>
            <w:rFonts w:ascii="Arial" w:hAnsi="Arial"/>
            <w:sz w:val="16"/>
            <w:lang w:val="en-US"/>
          </w:rPr>
          <w:t>From Research To Market:</w:t>
        </w:r>
      </w:hyperlink>
      <w:hyperlink r:id="rId36" w:history="1">
        <w:r w:rsidRPr="0024467F">
          <w:rPr>
            <w:rStyle w:val="Hyperlink"/>
            <w:rFonts w:ascii="Arial" w:hAnsi="Arial"/>
            <w:sz w:val="16"/>
            <w:lang w:val="en-US"/>
          </w:rPr>
          <w:t xml:space="preserve"> Key Issues Of Technology Transfer From Public Research Centres To Businesses White Paper</w:t>
        </w:r>
      </w:hyperlink>
      <w:r w:rsidRPr="0024467F">
        <w:rPr>
          <w:rFonts w:ascii="Arial" w:hAnsi="Arial"/>
          <w:sz w:val="16"/>
          <w:lang w:val="en-US"/>
        </w:rPr>
        <w:t>.</w:t>
      </w:r>
    </w:p>
  </w:footnote>
  <w:footnote w:id="46">
    <w:p w14:paraId="5C669F4E" w14:textId="77777777" w:rsidR="008178A1" w:rsidRPr="0024467F" w:rsidRDefault="008178A1" w:rsidP="00F97422">
      <w:pPr>
        <w:pStyle w:val="FootnoteText"/>
        <w:rPr>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37" w:history="1">
        <w:r w:rsidRPr="0024467F">
          <w:rPr>
            <w:rStyle w:val="Hyperlink"/>
            <w:rFonts w:ascii="Arial" w:hAnsi="Arial"/>
            <w:sz w:val="16"/>
            <w:lang w:val="en-US"/>
          </w:rPr>
          <w:t>http://www.cam.ac.uk/research/news/what-is-knowledge-transfer</w:t>
        </w:r>
      </w:hyperlink>
      <w:r w:rsidRPr="0024467F">
        <w:rPr>
          <w:rFonts w:ascii="Arial" w:hAnsi="Arial"/>
          <w:sz w:val="16"/>
          <w:lang w:val="en-US"/>
        </w:rPr>
        <w:t xml:space="preserve"> </w:t>
      </w:r>
    </w:p>
  </w:footnote>
  <w:footnote w:id="47">
    <w:p w14:paraId="67FA5C4F" w14:textId="7862D676" w:rsidR="008178A1" w:rsidRPr="00157F4C" w:rsidRDefault="008178A1" w:rsidP="0067511A">
      <w:pPr>
        <w:spacing w:after="0" w:line="240" w:lineRule="auto"/>
        <w:rPr>
          <w:rFonts w:ascii="Arial" w:hAnsi="Arial" w:cs="Arial"/>
          <w:b/>
          <w:sz w:val="16"/>
          <w:szCs w:val="16"/>
        </w:rPr>
      </w:pPr>
      <w:r>
        <w:rPr>
          <w:rStyle w:val="FootnoteReference"/>
          <w:rFonts w:ascii="Arial" w:hAnsi="Arial" w:cs="Arial"/>
          <w:sz w:val="16"/>
          <w:szCs w:val="16"/>
        </w:rPr>
        <w:footnoteRef/>
      </w:r>
      <w:r>
        <w:rPr>
          <w:rFonts w:ascii="Arial" w:hAnsi="Arial"/>
          <w:sz w:val="16"/>
        </w:rPr>
        <w:t xml:space="preserve"> Para notas explicativas da definição, veja: </w:t>
      </w:r>
      <w:hyperlink r:id="rId38" w:history="1">
        <w:r>
          <w:rPr>
            <w:rStyle w:val="Hyperlink"/>
            <w:rFonts w:ascii="Arial" w:hAnsi="Arial"/>
            <w:sz w:val="16"/>
          </w:rPr>
          <w:t>www.upov.int/edocs/expndocs/en/upov_exn_var.pdf</w:t>
        </w:r>
      </w:hyperlink>
      <w:r>
        <w:rPr>
          <w:rFonts w:ascii="Arial" w:hAnsi="Arial"/>
          <w:sz w:val="16"/>
        </w:rPr>
        <w:t xml:space="preserve"> e </w:t>
      </w:r>
      <w:hyperlink r:id="rId39" w:history="1">
        <w:r>
          <w:rPr>
            <w:rStyle w:val="Hyperlink"/>
            <w:rFonts w:ascii="Arial" w:hAnsi="Arial"/>
            <w:sz w:val="16"/>
          </w:rPr>
          <w:t>http://www.upov.int/overview/en/variety.html</w:t>
        </w:r>
      </w:hyperlink>
      <w:r>
        <w:rPr>
          <w:rStyle w:val="Hyperlink"/>
          <w:rFonts w:ascii="Arial" w:hAnsi="Arial"/>
          <w:b/>
          <w:color w:val="auto"/>
          <w:sz w:val="16"/>
        </w:rPr>
        <w:t>.</w:t>
      </w:r>
    </w:p>
  </w:footnote>
  <w:footnote w:id="48">
    <w:p w14:paraId="0AB42EE6" w14:textId="02CA6608" w:rsidR="008178A1" w:rsidRPr="00157F4C"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Convenção de UPOV contém exceções importantes ao direito do melhorador: O uso de variedades protegidas na agricultura de subsistência não requer autorização do melhorador</w:t>
      </w:r>
      <w:r w:rsidR="008411EA">
        <w:rPr>
          <w:rFonts w:ascii="Arial" w:hAnsi="Arial"/>
          <w:sz w:val="16"/>
        </w:rPr>
        <w:t xml:space="preserve">. </w:t>
      </w:r>
      <w:r>
        <w:rPr>
          <w:rFonts w:ascii="Arial" w:hAnsi="Arial"/>
          <w:sz w:val="16"/>
        </w:rPr>
        <w:t>Variedades protegidas estão disponíveis sem a autorização do melhorador para pesquisa e melhoramento de plantas, e as Partes Contratantes da Convenção podem, dentro de certos limites, permitir que agricultores (exceto agricultores de subsistência) utilizem, para fins de propagação, o produto da colheita que obtiveram da variedade protegida.</w:t>
      </w:r>
    </w:p>
  </w:footnote>
  <w:footnote w:id="49">
    <w:p w14:paraId="3D77EC1F"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w:t>
      </w:r>
      <w:hyperlink r:id="rId40" w:history="1">
        <w:r w:rsidRPr="0024467F">
          <w:rPr>
            <w:rStyle w:val="Hyperlink"/>
            <w:rFonts w:ascii="Arial" w:hAnsi="Arial"/>
            <w:sz w:val="16"/>
            <w:lang w:val="en-US"/>
          </w:rPr>
          <w:t>Guide to the Copyright and Related Rights Treaties by WIPO and Glossary of Copyright and Related Rights Terms</w:t>
        </w:r>
      </w:hyperlink>
    </w:p>
  </w:footnote>
  <w:footnote w:id="50">
    <w:p w14:paraId="3CAA2E70"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41" w:history="1">
        <w:r w:rsidRPr="0024467F">
          <w:rPr>
            <w:rStyle w:val="Hyperlink"/>
            <w:rFonts w:ascii="Arial" w:hAnsi="Arial"/>
            <w:sz w:val="16"/>
            <w:lang w:val="en-US"/>
          </w:rPr>
          <w:t>WIPO Standing Committee on the Law of Patents, SCP/13/5</w:t>
        </w:r>
      </w:hyperlink>
    </w:p>
  </w:footnote>
  <w:footnote w:id="51">
    <w:p w14:paraId="67C45BF9"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Fonte: </w:t>
      </w:r>
      <w:hyperlink r:id="rId42" w:history="1">
        <w:r w:rsidRPr="0024467F">
          <w:rPr>
            <w:rStyle w:val="Hyperlink"/>
            <w:rFonts w:ascii="Arial" w:hAnsi="Arial"/>
            <w:sz w:val="16"/>
            <w:lang w:val="en-US"/>
          </w:rPr>
          <w:t>Frascati Manual</w:t>
        </w:r>
      </w:hyperlink>
      <w:r w:rsidRPr="0024467F">
        <w:rPr>
          <w:rFonts w:ascii="Arial" w:hAnsi="Arial"/>
          <w:sz w:val="16"/>
          <w:lang w:val="en-US"/>
        </w:rPr>
        <w:t xml:space="preserve"> 2015. Guidelines for Collecting and Reporting Data on Research and Experimental Development, (2005), OECD</w:t>
      </w:r>
    </w:p>
  </w:footnote>
  <w:footnote w:id="52">
    <w:p w14:paraId="73093EC3" w14:textId="77777777" w:rsidR="008178A1" w:rsidRPr="00157F4C"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 de Calgary, Canadá.</w:t>
      </w:r>
    </w:p>
  </w:footnote>
  <w:footnote w:id="53">
    <w:p w14:paraId="44B9C0D7" w14:textId="77777777" w:rsidR="008178A1" w:rsidRPr="00157F4C"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 Carnegie Mellon, EUA.</w:t>
      </w:r>
    </w:p>
  </w:footnote>
  <w:footnote w:id="54">
    <w:p w14:paraId="2527D7A4" w14:textId="77777777" w:rsidR="008178A1" w:rsidRPr="00157F4C"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 de Malta.</w:t>
      </w:r>
    </w:p>
  </w:footnote>
  <w:footnote w:id="55">
    <w:p w14:paraId="048878C3" w14:textId="77777777" w:rsidR="008178A1" w:rsidRPr="00B7519E" w:rsidRDefault="008178A1" w:rsidP="00B7519E">
      <w:pPr>
        <w:pStyle w:val="FootnoteText"/>
        <w:jc w:val="both"/>
        <w:rPr>
          <w:rFonts w:ascii="Arial" w:hAnsi="Arial" w:cs="Arial"/>
          <w:sz w:val="16"/>
          <w:szCs w:val="18"/>
        </w:rPr>
      </w:pPr>
      <w:r>
        <w:rPr>
          <w:rStyle w:val="FootnoteReference"/>
          <w:rFonts w:ascii="Arial" w:hAnsi="Arial" w:cs="Arial"/>
          <w:sz w:val="16"/>
          <w:szCs w:val="16"/>
        </w:rPr>
        <w:footnoteRef/>
      </w:r>
      <w:r>
        <w:rPr>
          <w:rFonts w:ascii="Arial" w:hAnsi="Arial"/>
          <w:sz w:val="16"/>
        </w:rPr>
        <w:t xml:space="preserve"> O DNA, ou ácido desoxirribonucleico, é como um projeto de diretrizes biológicas que um organismo vivo deve seguir para existir e permanecer funcional. O RNA, ou ácido ribonucleico, ajuda a executar as diretrizes deste projeto.</w:t>
      </w:r>
    </w:p>
  </w:footnote>
  <w:footnote w:id="56">
    <w:p w14:paraId="028D7D93" w14:textId="77777777" w:rsidR="008178A1" w:rsidRPr="0067511A" w:rsidRDefault="008178A1" w:rsidP="0034174F">
      <w:pPr>
        <w:pStyle w:val="FootnoteText"/>
        <w:jc w:val="both"/>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Mesmo o know-how “negativo” (resultados de pesquisas que indicam que um determinado produto ou conceito não é comercialmente útil) pode ser protegido como segredo comercial. No entanto, se as universidades estiverem dispostas a manter esse conhecimento negativo em segredo, isso poderá comprometer sua posição como árbitros verdadeiros da sociedade.</w:t>
      </w:r>
    </w:p>
  </w:footnote>
  <w:footnote w:id="57">
    <w:p w14:paraId="091734BE" w14:textId="77777777" w:rsidR="008178A1" w:rsidRPr="00B7519E"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Para mais informações, veja </w:t>
      </w:r>
      <w:hyperlink r:id="rId43" w:history="1">
        <w:r>
          <w:rPr>
            <w:rStyle w:val="Hyperlink"/>
            <w:rFonts w:ascii="Arial" w:hAnsi="Arial"/>
            <w:sz w:val="16"/>
          </w:rPr>
          <w:t>Site da OMPI sobre Conhecimento Tradicional</w:t>
        </w:r>
      </w:hyperlink>
      <w:r>
        <w:rPr>
          <w:rFonts w:ascii="Arial" w:hAnsi="Arial"/>
          <w:sz w:val="16"/>
        </w:rPr>
        <w:t>.</w:t>
      </w:r>
    </w:p>
  </w:footnote>
  <w:footnote w:id="58">
    <w:p w14:paraId="5A4F0350" w14:textId="77777777" w:rsidR="008178A1" w:rsidRPr="004803CE" w:rsidRDefault="008178A1" w:rsidP="00074140">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Legislação subordinada (ou delegada ou subsidiária) é a tomada de decisões legislativas por funcionários não parlamentares aos quais o poder foi delegado por meio de um estatuto autorizativo. É essencialmente uma transferência de poder legislativo.</w:t>
      </w:r>
    </w:p>
  </w:footnote>
  <w:footnote w:id="59">
    <w:p w14:paraId="243EFDEE" w14:textId="77777777" w:rsidR="008178A1" w:rsidRPr="00B7519E" w:rsidRDefault="008178A1" w:rsidP="00074140">
      <w:pPr>
        <w:pStyle w:val="FootnoteText"/>
        <w:jc w:val="both"/>
        <w:rPr>
          <w:rFonts w:ascii="Arial" w:hAnsi="Arial" w:cs="Arial"/>
          <w:sz w:val="16"/>
          <w:szCs w:val="18"/>
        </w:rPr>
      </w:pPr>
      <w:r>
        <w:rPr>
          <w:rStyle w:val="FootnoteReference"/>
          <w:rFonts w:ascii="Arial" w:hAnsi="Arial" w:cs="Arial"/>
          <w:sz w:val="16"/>
          <w:szCs w:val="16"/>
        </w:rPr>
        <w:footnoteRef/>
      </w:r>
      <w:r>
        <w:rPr>
          <w:rFonts w:ascii="Arial" w:hAnsi="Arial"/>
          <w:sz w:val="16"/>
        </w:rPr>
        <w:t xml:space="preserve"> A incorporação por referência é o ato de incluir um segundo documento dentro de outro documento mencionando apenas o segundo documento. A incorporação por referência é frequentemente usada para vincular as partes de um contrato aos termos de outro documento, sem precisar duplicar o documento inteiro no contrato.</w:t>
      </w:r>
    </w:p>
  </w:footnote>
  <w:footnote w:id="60">
    <w:p w14:paraId="1FA050E8" w14:textId="77777777" w:rsidR="008178A1" w:rsidRPr="004803CE" w:rsidRDefault="008178A1" w:rsidP="00B5600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exemplo, a University College London, no Reino Unido, tem uma Declaração de Política sobre direitos de PI em relação aos alunos, com diretrizes específicas. Para mais exemplos, veja a base de dados de Políticas de PI da OMPI.</w:t>
      </w:r>
    </w:p>
  </w:footnote>
  <w:footnote w:id="61">
    <w:p w14:paraId="644C85A8" w14:textId="77777777" w:rsidR="008178A1" w:rsidRPr="006D4DBF" w:rsidRDefault="008178A1" w:rsidP="00CD1670">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 da África do Sul.</w:t>
      </w:r>
    </w:p>
  </w:footnote>
  <w:footnote w:id="62">
    <w:p w14:paraId="66B072C4" w14:textId="77777777" w:rsidR="008178A1" w:rsidRPr="00B7519E"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Muitos países têm leis que protegem uma parte de um contrato de termos injustos, bem como de conduta inconcebível da outra parte de um contrato. Uma Política de PI que determina que um aluno deve ceder toda a sua PI à Instituição, ou que afirma ou declara que a Instituição, somente por força da política, é titular de toda a PI criada por um aluno, tem grande probabilidade de ser nula. </w:t>
      </w:r>
      <w:r w:rsidRPr="0024467F">
        <w:rPr>
          <w:rFonts w:ascii="Arial" w:hAnsi="Arial"/>
          <w:sz w:val="16"/>
          <w:lang w:val="en-US"/>
        </w:rPr>
        <w:t xml:space="preserve">Veja Mendes, Philip (2016), </w:t>
      </w:r>
      <w:hyperlink r:id="rId44" w:history="1">
        <w:r w:rsidRPr="0024467F">
          <w:rPr>
            <w:rStyle w:val="Hyperlink"/>
            <w:rFonts w:ascii="Arial" w:hAnsi="Arial"/>
            <w:i/>
            <w:sz w:val="16"/>
            <w:lang w:val="en-US"/>
          </w:rPr>
          <w:t>To What Extent are University IP Policies Legally Binding?</w:t>
        </w:r>
      </w:hyperlink>
      <w:hyperlink r:id="rId45" w:history="1">
        <w:r w:rsidRPr="0024467F">
          <w:rPr>
            <w:rStyle w:val="Hyperlink"/>
            <w:rFonts w:ascii="Arial" w:hAnsi="Arial"/>
            <w:i/>
            <w:sz w:val="16"/>
            <w:lang w:val="en-US"/>
          </w:rPr>
          <w:t xml:space="preserve"> </w:t>
        </w:r>
        <w:r>
          <w:rPr>
            <w:rStyle w:val="Hyperlink"/>
            <w:rFonts w:ascii="Arial" w:hAnsi="Arial"/>
            <w:i/>
            <w:sz w:val="16"/>
          </w:rPr>
          <w:t>Part 2:</w:t>
        </w:r>
      </w:hyperlink>
      <w:hyperlink r:id="rId46" w:history="1">
        <w:r>
          <w:rPr>
            <w:rStyle w:val="Hyperlink"/>
            <w:rFonts w:ascii="Arial" w:hAnsi="Arial"/>
            <w:i/>
            <w:sz w:val="16"/>
          </w:rPr>
          <w:t xml:space="preserve"> Students</w:t>
        </w:r>
      </w:hyperlink>
      <w:r>
        <w:rPr>
          <w:rStyle w:val="Hyperlink"/>
          <w:rFonts w:ascii="Arial" w:hAnsi="Arial"/>
          <w:i/>
          <w:color w:val="auto"/>
          <w:sz w:val="16"/>
          <w:u w:val="none"/>
        </w:rPr>
        <w:t>.</w:t>
      </w:r>
    </w:p>
  </w:footnote>
  <w:footnote w:id="63">
    <w:p w14:paraId="1A2FC942" w14:textId="77777777" w:rsidR="008178A1" w:rsidRPr="0046400E"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rPr>
        <w:t>Como os alunos geralmente são partes pouco sofisticadas no sentido legal, qualquer acordo contratual com eles deve ser tratado com cuidado.</w:t>
      </w:r>
    </w:p>
  </w:footnote>
  <w:footnote w:id="64">
    <w:p w14:paraId="3648ACB6" w14:textId="77777777" w:rsidR="008178A1" w:rsidRPr="00BD07D8" w:rsidRDefault="008178A1">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sz w:val="16"/>
        </w:rPr>
        <w:t xml:space="preserve"> </w:t>
      </w:r>
      <w:r>
        <w:rPr>
          <w:rStyle w:val="FootnoteReference"/>
          <w:rFonts w:ascii="Arial" w:hAnsi="Arial"/>
          <w:sz w:val="16"/>
          <w:vertAlign w:val="baseline"/>
        </w:rPr>
        <w:t>Instituto de Tecnologia de Massachusetts (MIT) e Universidade de Minnesota.</w:t>
      </w:r>
    </w:p>
  </w:footnote>
  <w:footnote w:id="65">
    <w:p w14:paraId="1D16A3C0" w14:textId="77777777" w:rsidR="008178A1" w:rsidRPr="00BD07D8" w:rsidRDefault="008178A1">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sz w:val="16"/>
        </w:rPr>
        <w:t xml:space="preserve"> </w:t>
      </w:r>
      <w:r>
        <w:rPr>
          <w:rStyle w:val="FootnoteReference"/>
          <w:rFonts w:ascii="Arial" w:hAnsi="Arial"/>
          <w:sz w:val="16"/>
          <w:vertAlign w:val="baseline"/>
        </w:rPr>
        <w:t>Universidade de Harvard.</w:t>
      </w:r>
    </w:p>
  </w:footnote>
  <w:footnote w:id="66">
    <w:p w14:paraId="0894CA3B" w14:textId="77777777" w:rsidR="008178A1" w:rsidRPr="00BD07D8" w:rsidRDefault="008178A1">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sz w:val="16"/>
        </w:rPr>
        <w:t xml:space="preserve"> </w:t>
      </w:r>
      <w:r>
        <w:rPr>
          <w:rStyle w:val="FootnoteReference"/>
          <w:rFonts w:ascii="Arial" w:hAnsi="Arial"/>
          <w:sz w:val="16"/>
          <w:vertAlign w:val="baseline"/>
        </w:rPr>
        <w:t>Universidade Duke.</w:t>
      </w:r>
    </w:p>
  </w:footnote>
  <w:footnote w:id="67">
    <w:p w14:paraId="4F1EE5DE" w14:textId="77777777" w:rsidR="008178A1" w:rsidRPr="002009C9" w:rsidRDefault="008178A1">
      <w:pPr>
        <w:pStyle w:val="FootnoteText"/>
        <w:rPr>
          <w:rStyle w:val="FootnoteReference"/>
          <w:rFonts w:ascii="Arial" w:hAnsi="Arial" w:cs="Arial"/>
          <w:sz w:val="18"/>
          <w:szCs w:val="18"/>
        </w:rPr>
      </w:pPr>
      <w:r>
        <w:rPr>
          <w:rStyle w:val="FootnoteReference"/>
          <w:rFonts w:ascii="Arial" w:hAnsi="Arial" w:cs="Arial"/>
          <w:sz w:val="16"/>
          <w:szCs w:val="16"/>
        </w:rPr>
        <w:footnoteRef/>
      </w:r>
      <w:r>
        <w:rPr>
          <w:rStyle w:val="FootnoteReference"/>
          <w:rFonts w:ascii="Arial" w:hAnsi="Arial"/>
          <w:sz w:val="16"/>
        </w:rPr>
        <w:t xml:space="preserve"> </w:t>
      </w:r>
      <w:r>
        <w:rPr>
          <w:rStyle w:val="FootnoteReference"/>
          <w:rFonts w:ascii="Arial" w:hAnsi="Arial"/>
          <w:sz w:val="16"/>
          <w:vertAlign w:val="baseline"/>
        </w:rPr>
        <w:t>Universidade da Cidade do Cabo.</w:t>
      </w:r>
    </w:p>
  </w:footnote>
  <w:footnote w:id="68">
    <w:p w14:paraId="6F654478" w14:textId="29B8E972" w:rsidR="008178A1" w:rsidRPr="00AA1A8A" w:rsidRDefault="008178A1">
      <w:pPr>
        <w:pStyle w:val="FootnoteText"/>
        <w:rPr>
          <w:sz w:val="16"/>
        </w:rPr>
      </w:pPr>
      <w:r>
        <w:rPr>
          <w:rStyle w:val="FootnoteReference"/>
        </w:rPr>
        <w:footnoteRef/>
      </w:r>
      <w:r>
        <w:t xml:space="preserve"> </w:t>
      </w:r>
      <w:r>
        <w:rPr>
          <w:rFonts w:ascii="Arial" w:hAnsi="Arial"/>
          <w:sz w:val="16"/>
        </w:rPr>
        <w:t>As instituições frequentemente enfrentam a questão de se o Comitê de PI deve ser colocado sob o diretor financeiro da instituição ou o diretor responsável pelo empreendimento de pesquisa. Nos EUA e em muitas outras universidades ao redor do mundo, esse debate já acabou há muito tempo: o Comitê de PI é responsável pela pesquisa, não pelas finanças.</w:t>
      </w:r>
    </w:p>
  </w:footnote>
  <w:footnote w:id="69">
    <w:p w14:paraId="1B00B318" w14:textId="77777777" w:rsidR="008178A1" w:rsidRPr="00B7519E" w:rsidRDefault="008178A1" w:rsidP="003D0ECF">
      <w:pPr>
        <w:pStyle w:val="FootnoteText"/>
        <w:jc w:val="both"/>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Universidade de Pretória, África do Sul. Embora o “ETT” seja a palavra mais comumente usada, ela às vezes cai em desuso porque grande parte do conhecimento ou PI transferida por universidades e instituições de pesquisa hoje não envolve tecnologia, por exemplo, os direitos sobre tecidos biológicos ou programas de software de logística.</w:t>
      </w:r>
    </w:p>
  </w:footnote>
  <w:footnote w:id="70">
    <w:p w14:paraId="04E3712B" w14:textId="77777777" w:rsidR="008178A1" w:rsidRPr="00B7519E" w:rsidRDefault="008178A1" w:rsidP="003D0ECF">
      <w:pPr>
        <w:pStyle w:val="FootnoteText"/>
        <w:jc w:val="both"/>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Instituto de Tecnologia de Massachusetts (MIT), Estados Unidos da América.</w:t>
      </w:r>
    </w:p>
  </w:footnote>
  <w:footnote w:id="71">
    <w:p w14:paraId="2479431C" w14:textId="77777777" w:rsidR="008178A1" w:rsidRPr="00B7519E" w:rsidRDefault="008178A1" w:rsidP="003D0ECF">
      <w:pPr>
        <w:pStyle w:val="FootnoteText"/>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Universidade da Cidade do Cabo, África do Sul.</w:t>
      </w:r>
    </w:p>
    <w:p w14:paraId="5B103D65" w14:textId="77777777" w:rsidR="008178A1" w:rsidRPr="00B7519E" w:rsidRDefault="008178A1" w:rsidP="003D0ECF">
      <w:pPr>
        <w:pStyle w:val="FootnoteText"/>
        <w:rPr>
          <w:rFonts w:ascii="Arial" w:hAnsi="Arial" w:cs="Arial"/>
          <w:sz w:val="16"/>
          <w:szCs w:val="18"/>
        </w:rPr>
      </w:pPr>
      <w:r>
        <w:rPr>
          <w:rStyle w:val="FootnoteReference"/>
          <w:rFonts w:ascii="Arial" w:hAnsi="Arial"/>
          <w:sz w:val="16"/>
        </w:rPr>
        <w:t>66</w:t>
      </w:r>
      <w:r>
        <w:rPr>
          <w:rFonts w:ascii="Arial" w:hAnsi="Arial"/>
          <w:sz w:val="16"/>
        </w:rPr>
        <w:t xml:space="preserve"> Universidade Emory, Estados Unidos da América.</w:t>
      </w:r>
    </w:p>
    <w:p w14:paraId="19103CB0" w14:textId="77777777" w:rsidR="008178A1" w:rsidRPr="00B7519E" w:rsidRDefault="008178A1" w:rsidP="003D0ECF">
      <w:pPr>
        <w:pStyle w:val="FootnoteText"/>
        <w:rPr>
          <w:rFonts w:ascii="Arial" w:hAnsi="Arial" w:cs="Arial"/>
          <w:sz w:val="16"/>
          <w:szCs w:val="18"/>
        </w:rPr>
      </w:pPr>
      <w:r>
        <w:rPr>
          <w:rStyle w:val="FootnoteReference"/>
          <w:rFonts w:ascii="Arial" w:hAnsi="Arial"/>
          <w:sz w:val="16"/>
        </w:rPr>
        <w:t>67</w:t>
      </w:r>
      <w:r>
        <w:rPr>
          <w:rFonts w:ascii="Arial" w:hAnsi="Arial"/>
          <w:sz w:val="16"/>
        </w:rPr>
        <w:t xml:space="preserve"> Universidade de Harvard, Estados Unidos da América.</w:t>
      </w:r>
    </w:p>
  </w:footnote>
  <w:footnote w:id="72">
    <w:p w14:paraId="1EF4DC1E" w14:textId="77777777" w:rsidR="008178A1" w:rsidRPr="008178A1" w:rsidRDefault="008178A1" w:rsidP="003D0ECF">
      <w:pPr>
        <w:pStyle w:val="FootnoteText"/>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Universidade Livre de Bruxelas (VUB), Bélgica.</w:t>
      </w:r>
    </w:p>
  </w:footnote>
  <w:footnote w:id="73">
    <w:p w14:paraId="32AD3CDF" w14:textId="77777777" w:rsidR="008178A1" w:rsidRPr="00B7519E" w:rsidRDefault="008178A1" w:rsidP="003D0ECF">
      <w:pPr>
        <w:pStyle w:val="FootnoteText"/>
        <w:jc w:val="both"/>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Universidade Nacional de Cingapura.</w:t>
      </w:r>
    </w:p>
  </w:footnote>
  <w:footnote w:id="74">
    <w:p w14:paraId="3B0505E9" w14:textId="77777777" w:rsidR="008178A1" w:rsidRPr="00B7519E" w:rsidRDefault="008178A1" w:rsidP="003D0ECF">
      <w:pPr>
        <w:pStyle w:val="FootnoteText"/>
        <w:jc w:val="both"/>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Núcleo de Inovação Tecnológica, termo instituído pela Lei de Inovação Tecnológica nº 10.973/2004 no Brasil.</w:t>
      </w:r>
    </w:p>
  </w:footnote>
  <w:footnote w:id="75">
    <w:p w14:paraId="4AC09FC0" w14:textId="77777777" w:rsidR="008178A1" w:rsidRPr="00B7519E" w:rsidRDefault="008178A1" w:rsidP="00074140">
      <w:pPr>
        <w:pStyle w:val="FootnoteText"/>
        <w:jc w:val="both"/>
        <w:rPr>
          <w:rFonts w:ascii="Arial" w:hAnsi="Arial" w:cs="Arial"/>
          <w:sz w:val="16"/>
          <w:szCs w:val="18"/>
        </w:rPr>
      </w:pPr>
      <w:r>
        <w:rPr>
          <w:rStyle w:val="FootnoteReference"/>
          <w:rFonts w:ascii="Arial" w:hAnsi="Arial" w:cs="Arial"/>
          <w:sz w:val="16"/>
          <w:szCs w:val="18"/>
        </w:rPr>
        <w:footnoteRef/>
      </w:r>
      <w:r>
        <w:rPr>
          <w:rFonts w:ascii="Arial" w:hAnsi="Arial"/>
          <w:sz w:val="16"/>
        </w:rPr>
        <w:t xml:space="preserve"> Conhecimento tem um significado muito mais amplo que PI e não deve ser confundido com PI, cujo significado foi definido nesta diretriz.</w:t>
      </w:r>
    </w:p>
  </w:footnote>
  <w:footnote w:id="76">
    <w:p w14:paraId="5ABD5600" w14:textId="77777777" w:rsidR="008178A1" w:rsidRPr="00BD07D8" w:rsidRDefault="008178A1" w:rsidP="005A05E5">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exemplo, a Universidade Estadual da Pensilvânia, nos EUA, oferece serviços de consultoria e programas educacionais para empreendedores que estão iniciando negócios</w:t>
      </w:r>
    </w:p>
  </w:footnote>
  <w:footnote w:id="77">
    <w:p w14:paraId="2C992241" w14:textId="12AC7D61" w:rsidR="008178A1" w:rsidRPr="00BD07D8" w:rsidRDefault="008178A1" w:rsidP="00074140">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 ENGPI é o Escritório Nacional de Gestão da Propriedade Intelectual, estabelecido por esta lei sul-africana com o mandato de supervisionar a implementação da Lei</w:t>
      </w:r>
      <w:r w:rsidR="008411EA">
        <w:rPr>
          <w:rFonts w:ascii="Arial" w:hAnsi="Arial"/>
          <w:sz w:val="16"/>
        </w:rPr>
        <w:t xml:space="preserve">. </w:t>
      </w:r>
      <w:r>
        <w:rPr>
          <w:rFonts w:ascii="Arial" w:hAnsi="Arial"/>
          <w:sz w:val="16"/>
        </w:rPr>
        <w:t>Ele também auxilia as Instituições com desenvolvimento de capacidade e outras áreas de gestão de PI, incluindo o financiamento dos custos de proteção de PI pelas Instituições.</w:t>
      </w:r>
    </w:p>
  </w:footnote>
  <w:footnote w:id="78">
    <w:p w14:paraId="09C3F2CE" w14:textId="77777777" w:rsidR="008178A1" w:rsidRPr="0024467F" w:rsidRDefault="008178A1" w:rsidP="00074140">
      <w:pPr>
        <w:autoSpaceDE w:val="0"/>
        <w:autoSpaceDN w:val="0"/>
        <w:adjustRightInd w:val="0"/>
        <w:spacing w:after="0" w:line="240" w:lineRule="auto"/>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A lista é baseada em: Young, T., </w:t>
      </w:r>
      <w:hyperlink r:id="rId47" w:history="1">
        <w:r w:rsidRPr="0024467F">
          <w:rPr>
            <w:rStyle w:val="Hyperlink"/>
            <w:rFonts w:ascii="Arial" w:hAnsi="Arial"/>
            <w:i/>
            <w:color w:val="auto"/>
            <w:sz w:val="16"/>
            <w:lang w:val="en-US"/>
          </w:rPr>
          <w:t>Establishing a Technology Transfer Office</w:t>
        </w:r>
      </w:hyperlink>
      <w:r w:rsidRPr="0024467F">
        <w:rPr>
          <w:rFonts w:ascii="Arial" w:hAnsi="Arial"/>
          <w:sz w:val="16"/>
          <w:lang w:val="en-US"/>
        </w:rPr>
        <w:t xml:space="preserve"> (2007), capítulo 6.2. em Intellectual Property Management in Health and Agricultural Innovation: A Handbook of Best Practices.</w:t>
      </w:r>
    </w:p>
  </w:footnote>
  <w:footnote w:id="79">
    <w:p w14:paraId="3D467E7C" w14:textId="42C63980" w:rsidR="008178A1" w:rsidRPr="0024467F" w:rsidRDefault="008178A1" w:rsidP="00074140">
      <w:pPr>
        <w:pStyle w:val="FootnoteText"/>
        <w:jc w:val="both"/>
        <w:rPr>
          <w:rFonts w:ascii="Arial" w:hAnsi="Arial" w:cs="Arial"/>
          <w:sz w:val="16"/>
          <w:szCs w:val="16"/>
          <w:lang w:val="en-US"/>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A liderança de cada instituição deve articular uma missão clara para o EGPI e transmiti-la às partes interessadas internas e externas</w:t>
      </w:r>
      <w:r w:rsidR="008411EA">
        <w:rPr>
          <w:rFonts w:ascii="Arial" w:hAnsi="Arial"/>
          <w:color w:val="000000" w:themeColor="text1"/>
          <w:sz w:val="16"/>
        </w:rPr>
        <w:t xml:space="preserve">. </w:t>
      </w:r>
      <w:r>
        <w:rPr>
          <w:rFonts w:ascii="Arial" w:hAnsi="Arial"/>
          <w:color w:val="000000" w:themeColor="text1"/>
          <w:sz w:val="16"/>
        </w:rPr>
        <w:t>A declaração de missão deve abranger a responsabilidade fundamental da Instituição de dar suporte a processos eficientes para incentivar a mais ampla disseminação da PI gerada pela Instituição para o bem público.</w:t>
      </w:r>
      <w:r>
        <w:rPr>
          <w:rFonts w:ascii="Arial" w:hAnsi="Arial"/>
          <w:i/>
          <w:color w:val="000000" w:themeColor="text1"/>
          <w:sz w:val="16"/>
        </w:rPr>
        <w:t xml:space="preserve"> </w:t>
      </w:r>
      <w:r w:rsidRPr="0024467F">
        <w:rPr>
          <w:rFonts w:ascii="Arial" w:hAnsi="Arial"/>
          <w:sz w:val="16"/>
          <w:lang w:val="en-US"/>
        </w:rPr>
        <w:t xml:space="preserve">Veja: National Research Council of the National Academies (2011), </w:t>
      </w:r>
      <w:r w:rsidRPr="0024467F">
        <w:rPr>
          <w:rFonts w:ascii="Arial" w:hAnsi="Arial"/>
          <w:i/>
          <w:sz w:val="16"/>
          <w:lang w:val="en-US"/>
        </w:rPr>
        <w:t>Managing University Intellectual Property in the Public Interest</w:t>
      </w:r>
      <w:r w:rsidRPr="0024467F">
        <w:rPr>
          <w:rFonts w:ascii="Arial" w:hAnsi="Arial"/>
          <w:sz w:val="16"/>
          <w:lang w:val="en-US"/>
        </w:rPr>
        <w:t>.</w:t>
      </w:r>
    </w:p>
  </w:footnote>
  <w:footnote w:id="80">
    <w:p w14:paraId="546F36FC" w14:textId="77777777" w:rsidR="008178A1" w:rsidRPr="00B3511C" w:rsidRDefault="008178A1" w:rsidP="00074140">
      <w:pPr>
        <w:pStyle w:val="CommentText"/>
        <w:spacing w:after="0"/>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Para esse propósito, os gestores do EGPI devem ser capacitados pela administração de alto nível da Instituição. Caso contrário, essa independência não será implementada, uma vez que a tomada de decisões será enviada à alta gerência.</w:t>
      </w:r>
    </w:p>
  </w:footnote>
  <w:footnote w:id="81">
    <w:p w14:paraId="499D3684" w14:textId="77777777" w:rsidR="008178A1" w:rsidRPr="002009C9" w:rsidRDefault="008178A1">
      <w:pPr>
        <w:pStyle w:val="FootnoteText"/>
        <w:rPr>
          <w:rFonts w:ascii="Arial" w:hAnsi="Arial" w:cs="Arial"/>
          <w:sz w:val="18"/>
          <w:szCs w:val="18"/>
        </w:rPr>
      </w:pPr>
      <w:r>
        <w:rPr>
          <w:rStyle w:val="FootnoteReference"/>
          <w:rFonts w:ascii="Arial" w:hAnsi="Arial" w:cs="Arial"/>
          <w:sz w:val="16"/>
          <w:szCs w:val="16"/>
        </w:rPr>
        <w:footnoteRef/>
      </w:r>
      <w:r>
        <w:rPr>
          <w:rFonts w:ascii="Arial" w:hAnsi="Arial"/>
          <w:sz w:val="16"/>
        </w:rPr>
        <w:t xml:space="preserve"> http://www.innovus.co.za/</w:t>
      </w:r>
    </w:p>
  </w:footnote>
  <w:footnote w:id="82">
    <w:p w14:paraId="2F413F0B" w14:textId="77777777" w:rsidR="008178A1" w:rsidRPr="00B7519E" w:rsidRDefault="008178A1" w:rsidP="00F11556">
      <w:pPr>
        <w:shd w:val="clear" w:color="auto" w:fill="FFFFFF" w:themeFill="background1"/>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No entanto, as várias décadas de experiência em transferência de tecnologia baseada em PI nos EUA e no Reino Unido mostraram que as preocupações iniciais sobre os custos operacionais acabam sendo superadas pela importância da função para a missão principal da universidade - em outras palavras, é um custo que deve ser suportado para que uma universidade cumpra sua missão moderna e satisfaça as expectativas da sociedade em relação à academia.</w:t>
      </w:r>
    </w:p>
  </w:footnote>
  <w:footnote w:id="83">
    <w:p w14:paraId="751C61B5" w14:textId="01431FB3" w:rsidR="008178A1" w:rsidRPr="00BD07D8" w:rsidRDefault="008178A1" w:rsidP="0017005A">
      <w:pPr>
        <w:pStyle w:val="ListParagraph"/>
        <w:shd w:val="clear" w:color="auto" w:fill="FFFFFF" w:themeFill="background1"/>
        <w:spacing w:after="0" w:line="240" w:lineRule="auto"/>
        <w:ind w:left="0"/>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Os governos criarão tais EGPIs quando a legislação governamental permitir, geralmente reunindo recursos de universidades e instituições de P&amp;D através de fronteiras, especialmente em países em desenvolvimento</w:t>
      </w:r>
      <w:r w:rsidR="008411EA">
        <w:rPr>
          <w:rFonts w:ascii="Arial" w:hAnsi="Arial"/>
          <w:sz w:val="16"/>
        </w:rPr>
        <w:t xml:space="preserve">. </w:t>
      </w:r>
    </w:p>
  </w:footnote>
  <w:footnote w:id="84">
    <w:p w14:paraId="5CDD5F5A" w14:textId="77777777" w:rsidR="008178A1" w:rsidRPr="0024467F" w:rsidRDefault="008178A1" w:rsidP="00AA1A8A">
      <w:pPr>
        <w:pStyle w:val="Heading1"/>
        <w:spacing w:before="0" w:after="0" w:line="288" w:lineRule="atLeast"/>
        <w:rPr>
          <w:sz w:val="16"/>
          <w:szCs w:val="16"/>
          <w:lang w:val="en-US"/>
        </w:rPr>
      </w:pPr>
      <w:r>
        <w:rPr>
          <w:rStyle w:val="FootnoteReference"/>
          <w:rFonts w:eastAsiaTheme="minorEastAsia"/>
          <w:b w:val="0"/>
          <w:bCs w:val="0"/>
          <w:color w:val="auto"/>
          <w:sz w:val="16"/>
          <w:szCs w:val="16"/>
        </w:rPr>
        <w:footnoteRef/>
      </w:r>
      <w:r w:rsidRPr="0024467F">
        <w:rPr>
          <w:rStyle w:val="FootnoteReference"/>
          <w:sz w:val="16"/>
          <w:lang w:val="en-US"/>
        </w:rPr>
        <w:t xml:space="preserve"> </w:t>
      </w:r>
      <w:r w:rsidRPr="0024467F">
        <w:rPr>
          <w:b w:val="0"/>
          <w:color w:val="auto"/>
          <w:sz w:val="16"/>
          <w:lang w:val="en-US"/>
        </w:rPr>
        <w:t>Em: The World Bank (2011), Agricultural Innovation Systems: An Investment Sourcebook.</w:t>
      </w:r>
    </w:p>
  </w:footnote>
  <w:footnote w:id="85">
    <w:p w14:paraId="339FF09D" w14:textId="77777777" w:rsidR="008178A1" w:rsidRPr="00BD07D8"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experiência empresarial e a base de conhecimento dos funcionários do EGPI têm mais peso do que o número de funcionários do EGPI.</w:t>
      </w:r>
    </w:p>
  </w:footnote>
  <w:footnote w:id="86">
    <w:p w14:paraId="19DE869D"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Fonte: Nelson, R., Massachusetts Institute of Technology (MIT). </w:t>
      </w:r>
    </w:p>
  </w:footnote>
  <w:footnote w:id="87">
    <w:p w14:paraId="08DEE4C5" w14:textId="77777777" w:rsidR="008178A1" w:rsidRPr="0046400E" w:rsidRDefault="008178A1" w:rsidP="002E2A56">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Para exemplos de tais estruturas, veja </w:t>
      </w:r>
      <w:hyperlink w:anchor="Box22" w:history="1">
        <w:r>
          <w:rPr>
            <w:rStyle w:val="Hyperlink"/>
            <w:rFonts w:ascii="Arial" w:hAnsi="Arial"/>
            <w:sz w:val="16"/>
          </w:rPr>
          <w:t>Caixa 22</w:t>
        </w:r>
      </w:hyperlink>
      <w:r>
        <w:rPr>
          <w:rFonts w:ascii="Arial" w:hAnsi="Arial"/>
          <w:sz w:val="16"/>
        </w:rPr>
        <w:t xml:space="preserve">. </w:t>
      </w:r>
    </w:p>
  </w:footnote>
  <w:footnote w:id="88">
    <w:p w14:paraId="69FB01BA" w14:textId="77777777" w:rsidR="008178A1" w:rsidRPr="00621A21" w:rsidRDefault="008178A1">
      <w:pPr>
        <w:pStyle w:val="FootnoteText"/>
        <w:rPr>
          <w:rFonts w:ascii="Arial" w:hAnsi="Arial" w:cs="Arial"/>
          <w:sz w:val="18"/>
          <w:szCs w:val="18"/>
        </w:rPr>
      </w:pPr>
      <w:r>
        <w:rPr>
          <w:rStyle w:val="FootnoteReference"/>
          <w:rFonts w:ascii="Arial" w:hAnsi="Arial" w:cs="Arial"/>
          <w:sz w:val="16"/>
          <w:szCs w:val="16"/>
        </w:rPr>
        <w:footnoteRef/>
      </w:r>
      <w:r>
        <w:rPr>
          <w:rFonts w:ascii="Arial" w:hAnsi="Arial"/>
          <w:sz w:val="16"/>
        </w:rPr>
        <w:t xml:space="preserve"> </w:t>
      </w:r>
      <w:hyperlink r:id="rId48" w:history="1">
        <w:r>
          <w:rPr>
            <w:rStyle w:val="Hyperlink"/>
            <w:rFonts w:ascii="Arial" w:hAnsi="Arial"/>
            <w:sz w:val="16"/>
          </w:rPr>
          <w:t>https://otd.harvard.edu/</w:t>
        </w:r>
      </w:hyperlink>
      <w:r>
        <w:rPr>
          <w:rFonts w:ascii="Arial" w:hAnsi="Arial"/>
          <w:sz w:val="16"/>
        </w:rPr>
        <w:t xml:space="preserve"> </w:t>
      </w:r>
      <w:r>
        <w:rPr>
          <w:rStyle w:val="Hyperlink"/>
          <w:rFonts w:ascii="Arial" w:hAnsi="Arial"/>
          <w:color w:val="auto"/>
          <w:sz w:val="16"/>
        </w:rPr>
        <w:t xml:space="preserve"> </w:t>
      </w:r>
      <w:r>
        <w:rPr>
          <w:rFonts w:ascii="Arial" w:hAnsi="Arial"/>
          <w:sz w:val="18"/>
        </w:rPr>
        <w:t xml:space="preserve"> </w:t>
      </w:r>
    </w:p>
  </w:footnote>
  <w:footnote w:id="89">
    <w:p w14:paraId="5D7E2432"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49" w:history="1">
        <w:r>
          <w:rPr>
            <w:rStyle w:val="Hyperlink"/>
            <w:rFonts w:ascii="Arial" w:hAnsi="Arial"/>
            <w:sz w:val="16"/>
          </w:rPr>
          <w:t>http://www.rci.uct.ac.za/</w:t>
        </w:r>
      </w:hyperlink>
      <w:r>
        <w:rPr>
          <w:rFonts w:ascii="Arial" w:hAnsi="Arial"/>
          <w:sz w:val="16"/>
        </w:rPr>
        <w:t xml:space="preserve"> </w:t>
      </w:r>
    </w:p>
  </w:footnote>
  <w:footnote w:id="90">
    <w:p w14:paraId="4B3F7405"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Universidade Estadual de Campinas é uma universidade pública financiada pelo estado de São Paulo, Brasil.</w:t>
      </w:r>
    </w:p>
  </w:footnote>
  <w:footnote w:id="91">
    <w:p w14:paraId="5C52C632" w14:textId="77777777" w:rsidR="008178A1" w:rsidRPr="001B2246" w:rsidRDefault="008178A1">
      <w:pPr>
        <w:pStyle w:val="FootnoteText"/>
      </w:pPr>
      <w:r>
        <w:rPr>
          <w:rStyle w:val="FootnoteReference"/>
          <w:rFonts w:ascii="Arial" w:hAnsi="Arial" w:cs="Arial"/>
          <w:sz w:val="16"/>
          <w:szCs w:val="16"/>
        </w:rPr>
        <w:footnoteRef/>
      </w:r>
      <w:r>
        <w:rPr>
          <w:rFonts w:ascii="Arial" w:hAnsi="Arial"/>
          <w:sz w:val="16"/>
        </w:rPr>
        <w:t xml:space="preserve"> Veja </w:t>
      </w:r>
      <w:hyperlink r:id="rId50" w:history="1">
        <w:r>
          <w:rPr>
            <w:rStyle w:val="Hyperlink"/>
            <w:rFonts w:ascii="Arial" w:hAnsi="Arial"/>
            <w:sz w:val="16"/>
          </w:rPr>
          <w:t>www.inova.unicamp.br</w:t>
        </w:r>
      </w:hyperlink>
      <w:r>
        <w:rPr>
          <w:rFonts w:ascii="Arial" w:hAnsi="Arial"/>
          <w:sz w:val="16"/>
        </w:rPr>
        <w:t xml:space="preserve"> </w:t>
      </w:r>
    </w:p>
  </w:footnote>
  <w:footnote w:id="92">
    <w:p w14:paraId="6E8A58F5"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51" w:history="1">
        <w:r>
          <w:rPr>
            <w:rStyle w:val="Hyperlink"/>
            <w:rFonts w:ascii="Arial" w:hAnsi="Arial"/>
            <w:sz w:val="16"/>
          </w:rPr>
          <w:t>https://wits-enterprise.co.za/</w:t>
        </w:r>
      </w:hyperlink>
      <w:r>
        <w:rPr>
          <w:rFonts w:ascii="Arial" w:hAnsi="Arial"/>
          <w:sz w:val="16"/>
        </w:rPr>
        <w:t xml:space="preserve"> </w:t>
      </w:r>
    </w:p>
  </w:footnote>
  <w:footnote w:id="93">
    <w:p w14:paraId="4C83A551" w14:textId="77777777" w:rsidR="008178A1" w:rsidRPr="00BD07D8" w:rsidRDefault="008178A1" w:rsidP="001B2246">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52" w:history="1">
        <w:r>
          <w:rPr>
            <w:rStyle w:val="Hyperlink"/>
            <w:rFonts w:ascii="Arial" w:hAnsi="Arial"/>
            <w:sz w:val="16"/>
          </w:rPr>
          <w:t>http://www.innovus.co.za/</w:t>
        </w:r>
      </w:hyperlink>
      <w:r>
        <w:rPr>
          <w:rFonts w:ascii="Arial" w:hAnsi="Arial"/>
          <w:sz w:val="16"/>
        </w:rPr>
        <w:t xml:space="preserve"> </w:t>
      </w:r>
    </w:p>
  </w:footnote>
  <w:footnote w:id="94">
    <w:p w14:paraId="7169E712" w14:textId="77777777" w:rsidR="008178A1" w:rsidRPr="0024467F" w:rsidRDefault="008178A1" w:rsidP="006E5B9E">
      <w:pPr>
        <w:pStyle w:val="FootnoteText"/>
        <w:rPr>
          <w:rFonts w:ascii="Arial" w:hAnsi="Arial" w:cs="Arial"/>
          <w:sz w:val="18"/>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53" w:history="1">
        <w:r w:rsidRPr="0024467F">
          <w:rPr>
            <w:rStyle w:val="Hyperlink"/>
            <w:rFonts w:ascii="Arial" w:hAnsi="Arial"/>
            <w:sz w:val="16"/>
            <w:lang w:val="en-US"/>
          </w:rPr>
          <w:t>http://www.iperative.com/</w:t>
        </w:r>
      </w:hyperlink>
      <w:r w:rsidRPr="0024467F">
        <w:rPr>
          <w:rFonts w:ascii="Arial" w:hAnsi="Arial"/>
          <w:sz w:val="16"/>
          <w:lang w:val="en-US"/>
        </w:rPr>
        <w:t xml:space="preserve"> </w:t>
      </w:r>
    </w:p>
  </w:footnote>
  <w:footnote w:id="95">
    <w:p w14:paraId="06D284CB" w14:textId="77777777" w:rsidR="008178A1" w:rsidRPr="0024467F" w:rsidRDefault="008178A1" w:rsidP="007D0C94">
      <w:pPr>
        <w:pStyle w:val="FootnoteText"/>
        <w:jc w:val="both"/>
        <w:rPr>
          <w:rFonts w:ascii="Arial" w:eastAsiaTheme="minorHAnsi"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Ramli, Nasiibah e Zainol, Zinatul (2014), </w:t>
      </w:r>
      <w:r w:rsidRPr="0024467F">
        <w:rPr>
          <w:rFonts w:ascii="Arial" w:hAnsi="Arial"/>
          <w:i/>
          <w:sz w:val="16"/>
          <w:lang w:val="en-US"/>
        </w:rPr>
        <w:t>Intellectual Property Ownership in Academia: An Analysis</w:t>
      </w:r>
      <w:r w:rsidRPr="0024467F">
        <w:rPr>
          <w:rFonts w:ascii="Arial" w:hAnsi="Arial"/>
          <w:sz w:val="16"/>
          <w:lang w:val="en-US"/>
        </w:rPr>
        <w:t>, Journal of Intellectual Property Rights, Vol 19, maio de 2014, pp 177-188.</w:t>
      </w:r>
    </w:p>
  </w:footnote>
  <w:footnote w:id="96">
    <w:p w14:paraId="553D1EE9" w14:textId="77777777" w:rsidR="008178A1" w:rsidRPr="00BD07D8" w:rsidRDefault="008178A1" w:rsidP="00417367">
      <w:pPr>
        <w:shd w:val="clear" w:color="auto" w:fill="FFFFFF" w:themeFill="background1"/>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maioria das leis nacionais prevê que um </w:t>
      </w:r>
      <w:r>
        <w:rPr>
          <w:rFonts w:ascii="Arial" w:hAnsi="Arial"/>
          <w:b/>
          <w:bCs/>
          <w:sz w:val="16"/>
        </w:rPr>
        <w:t>inventor</w:t>
      </w:r>
      <w:r>
        <w:rPr>
          <w:rFonts w:ascii="Arial" w:hAnsi="Arial"/>
          <w:sz w:val="16"/>
        </w:rPr>
        <w:t xml:space="preserve"> tem o direito de requerer uma patente. Entretanto, se a invenção foi feita no decurso do emprego, o empregador tem o direito de solicitar uma patente. No que diz respeito aos </w:t>
      </w:r>
      <w:r>
        <w:rPr>
          <w:rFonts w:ascii="Arial" w:hAnsi="Arial"/>
          <w:b/>
          <w:bCs/>
          <w:sz w:val="16"/>
        </w:rPr>
        <w:t>direitos autorais</w:t>
      </w:r>
      <w:r>
        <w:rPr>
          <w:rFonts w:ascii="Arial" w:hAnsi="Arial"/>
          <w:sz w:val="16"/>
        </w:rPr>
        <w:t>, a maioria das leis nacionais prevê que o autor de uma obra protegida por direitos autorais é o titular dos direitos autorais da obra. Entretanto, se a obra for criada no decurso do emprego, o empregador se torna o titular dos direitos autorais. Outras leis nacionais estabelecem que o autor continua sendo o titular dos direitos autorais, independentemente da obra ter sido criada no decurso do emprego ou não. A maioria das leis também determinará que essas disposições padrão sobre titularidade podem ser regulamentadas por contrato.</w:t>
      </w:r>
    </w:p>
  </w:footnote>
  <w:footnote w:id="97">
    <w:p w14:paraId="24D7AF35" w14:textId="01977B51" w:rsidR="008178A1" w:rsidRPr="00BD07D8" w:rsidRDefault="008178A1" w:rsidP="000C3E6E">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Mesmo quando há abordagens semelhantes (por exemplo, países que promulgaram uma lei semelhante à Bayh-Dole), o escopo ou a aplicabilidade das leis difere entre os países</w:t>
      </w:r>
      <w:r w:rsidR="008411EA">
        <w:rPr>
          <w:rFonts w:ascii="Arial" w:hAnsi="Arial"/>
          <w:sz w:val="16"/>
        </w:rPr>
        <w:t xml:space="preserve">. </w:t>
      </w:r>
      <w:r>
        <w:rPr>
          <w:rFonts w:ascii="Arial" w:hAnsi="Arial"/>
          <w:sz w:val="16"/>
        </w:rPr>
        <w:t>Para ilustrar: o assunto da Lei Bayh-Dole japonesa é mais amplo do que o da Lei Bayh-Dole norte-americana, porque abrange não apenas direitos de patente, mas também certos outros direitos de propriedade intelectual; e não submete as instituições às mesmas condições para manter a titularidade. O mesmo acontece com a legislação sul-africana, que considera todas as formas de PI, não apenas patentes.</w:t>
      </w:r>
    </w:p>
  </w:footnote>
  <w:footnote w:id="98">
    <w:p w14:paraId="01694093" w14:textId="77777777" w:rsidR="008178A1" w:rsidRPr="002009C9" w:rsidRDefault="008178A1" w:rsidP="00194209">
      <w:pPr>
        <w:autoSpaceDE w:val="0"/>
        <w:autoSpaceDN w:val="0"/>
        <w:adjustRightInd w:val="0"/>
        <w:spacing w:after="0" w:line="240" w:lineRule="auto"/>
        <w:jc w:val="both"/>
        <w:rPr>
          <w:rFonts w:ascii="Arial" w:eastAsiaTheme="minorHAnsi" w:hAnsi="Arial" w:cs="Arial"/>
          <w:sz w:val="18"/>
          <w:szCs w:val="18"/>
        </w:rPr>
      </w:pPr>
      <w:r>
        <w:rPr>
          <w:rStyle w:val="FootnoteReference"/>
          <w:rFonts w:ascii="Arial" w:hAnsi="Arial" w:cs="Arial"/>
          <w:sz w:val="16"/>
          <w:szCs w:val="16"/>
        </w:rPr>
        <w:footnoteRef/>
      </w:r>
      <w:r>
        <w:rPr>
          <w:rFonts w:ascii="Arial" w:hAnsi="Arial"/>
          <w:sz w:val="16"/>
        </w:rPr>
        <w:t xml:space="preserve"> Pode haver disposições relevantes em políticas de incentivo à inovação, planos de desenvolvimento de ciência e tecnologia, etc.</w:t>
      </w:r>
    </w:p>
  </w:footnote>
  <w:footnote w:id="99">
    <w:p w14:paraId="3DDF0358" w14:textId="77777777" w:rsidR="008178A1" w:rsidRPr="00BD07D8" w:rsidRDefault="008178A1" w:rsidP="007D0C94">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Países como Áustria, Bélgica, Dinamarca, Finlândia, Alemanha, Japão e Noruega mudaram sua política de titularidade do inventor para o modelo de titularidade da instituição. </w:t>
      </w:r>
    </w:p>
  </w:footnote>
  <w:footnote w:id="100">
    <w:p w14:paraId="2F902CCC" w14:textId="77777777" w:rsidR="008178A1" w:rsidRPr="0024467F" w:rsidRDefault="008178A1" w:rsidP="00B7519E">
      <w:pPr>
        <w:pStyle w:val="FootnoteText"/>
        <w:jc w:val="both"/>
        <w:rPr>
          <w:rFonts w:ascii="Arial" w:hAnsi="Arial" w:cs="Arial"/>
          <w:i/>
          <w:sz w:val="16"/>
          <w:szCs w:val="16"/>
          <w:lang w:val="en-US"/>
        </w:rPr>
      </w:pPr>
      <w:r>
        <w:rPr>
          <w:rStyle w:val="FootnoteReference"/>
          <w:rFonts w:ascii="Arial" w:hAnsi="Arial" w:cs="Arial"/>
          <w:sz w:val="16"/>
          <w:szCs w:val="16"/>
        </w:rPr>
        <w:footnoteRef/>
      </w:r>
      <w:r>
        <w:rPr>
          <w:rFonts w:ascii="Arial" w:hAnsi="Arial"/>
          <w:sz w:val="16"/>
        </w:rPr>
        <w:t xml:space="preserve"> A Lei Bayh-Dole foi a primeira estrutura legal específica que institucionalizou a transferência do controle exclusivo sobre muitas invenções financiadas pelo governo para universidades. A mudança e o esclarecimento da titularidade dessas invenções reduziram os custos de transação, pois não era mais necessária a permissão de agências federais de financiamento e porque isso deu maior clareza aos direitos de titularidade e, portanto, maior segurança aos licenciados posteriores. A Lei também contém regras para divulgação de invenções e exige que as instituições forneçam incentivos aos pesquisadores. </w:t>
      </w:r>
      <w:r w:rsidRPr="0024467F">
        <w:rPr>
          <w:rFonts w:ascii="Arial" w:hAnsi="Arial"/>
          <w:sz w:val="16"/>
          <w:lang w:val="en-US"/>
        </w:rPr>
        <w:t xml:space="preserve">Veja </w:t>
      </w:r>
      <w:hyperlink r:id="rId54" w:history="1">
        <w:r w:rsidRPr="0024467F">
          <w:rPr>
            <w:rStyle w:val="Hyperlink"/>
            <w:rFonts w:ascii="Arial" w:hAnsi="Arial"/>
            <w:i/>
            <w:sz w:val="16"/>
            <w:lang w:val="en-US"/>
          </w:rPr>
          <w:t>Harnessing Public Research for Innovation – The Role of Intellectual Property</w:t>
        </w:r>
      </w:hyperlink>
      <w:r w:rsidRPr="0024467F">
        <w:rPr>
          <w:rFonts w:ascii="Arial" w:hAnsi="Arial"/>
          <w:i/>
          <w:sz w:val="16"/>
          <w:lang w:val="en-US"/>
        </w:rPr>
        <w:t>.</w:t>
      </w:r>
    </w:p>
  </w:footnote>
  <w:footnote w:id="101">
    <w:p w14:paraId="49136DA5" w14:textId="77777777" w:rsidR="008178A1" w:rsidRPr="00B7519E" w:rsidRDefault="008178A1" w:rsidP="00CC3D49">
      <w:pPr>
        <w:pStyle w:val="FootnoteText"/>
        <w:rPr>
          <w:rFonts w:ascii="Arial" w:hAnsi="Arial" w:cs="Arial"/>
        </w:rPr>
      </w:pPr>
      <w:r>
        <w:rPr>
          <w:rStyle w:val="FootnoteReference"/>
          <w:rFonts w:ascii="Arial" w:hAnsi="Arial" w:cs="Arial"/>
          <w:sz w:val="16"/>
          <w:szCs w:val="16"/>
        </w:rPr>
        <w:footnoteRef/>
      </w:r>
      <w:r>
        <w:rPr>
          <w:rFonts w:ascii="Arial" w:hAnsi="Arial"/>
          <w:sz w:val="16"/>
        </w:rPr>
        <w:t xml:space="preserve"> Veja </w:t>
      </w:r>
      <w:hyperlink r:id="rId55" w:history="1">
        <w:r>
          <w:rPr>
            <w:rStyle w:val="Hyperlink"/>
            <w:rFonts w:ascii="Arial" w:hAnsi="Arial"/>
            <w:sz w:val="16"/>
          </w:rPr>
          <w:t>http://www.npc.gov.cn/englishnpc/Law/2009-02/20/content_1471617.htm</w:t>
        </w:r>
      </w:hyperlink>
      <w:r>
        <w:rPr>
          <w:rFonts w:ascii="Arial" w:hAnsi="Arial"/>
          <w:sz w:val="16"/>
        </w:rPr>
        <w:t>.</w:t>
      </w:r>
    </w:p>
  </w:footnote>
  <w:footnote w:id="102">
    <w:p w14:paraId="09621D20" w14:textId="77777777" w:rsidR="008178A1" w:rsidRPr="00BD07D8"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seção 15(2) estabelece requisitos específicos para a cotitularidade entre uma instituição e uma entidade ou organização privada; a definição de destinatário inclui uma instituição.</w:t>
      </w:r>
    </w:p>
  </w:footnote>
  <w:footnote w:id="103">
    <w:p w14:paraId="1404015C" w14:textId="7FFAF687" w:rsidR="008178A1" w:rsidRPr="002009C9" w:rsidRDefault="008178A1" w:rsidP="00E3707D">
      <w:pPr>
        <w:pStyle w:val="CommentText"/>
        <w:spacing w:after="0"/>
        <w:jc w:val="both"/>
        <w:rPr>
          <w:rFonts w:ascii="Arial" w:hAnsi="Arial" w:cs="Arial"/>
          <w:sz w:val="18"/>
          <w:szCs w:val="18"/>
        </w:rPr>
      </w:pPr>
      <w:r>
        <w:rPr>
          <w:rStyle w:val="FootnoteReference"/>
          <w:rFonts w:ascii="Arial" w:hAnsi="Arial" w:cs="Arial"/>
          <w:sz w:val="16"/>
          <w:szCs w:val="16"/>
        </w:rPr>
        <w:footnoteRef/>
      </w:r>
      <w:r>
        <w:rPr>
          <w:rFonts w:ascii="Arial" w:hAnsi="Arial"/>
          <w:sz w:val="16"/>
        </w:rPr>
        <w:t xml:space="preserve"> A Suécia manteve o sistema de privilégios dos professores. A Itália introduziu o sistema de privilégio do professor em 2001. A titularidade da universidade geralmente favorece o modelo de negócios de patentes e licenciamento, enquanto a titularidade de inventores favorece o modelo de negócios de spinoffs. Na verdade, na Itália, isso só se aplica a pesquisas 100% financiadas com recursos públicos</w:t>
      </w:r>
      <w:r w:rsidR="008411EA">
        <w:rPr>
          <w:rFonts w:ascii="Arial" w:hAnsi="Arial"/>
          <w:sz w:val="16"/>
        </w:rPr>
        <w:t xml:space="preserve">. </w:t>
      </w:r>
      <w:r>
        <w:rPr>
          <w:rFonts w:ascii="Arial" w:hAnsi="Arial"/>
          <w:sz w:val="16"/>
        </w:rPr>
        <w:t>Somente a Suécia tem um desempenho de PP puro na UE.</w:t>
      </w:r>
      <w:r>
        <w:rPr>
          <w:rFonts w:ascii="Arial" w:hAnsi="Arial"/>
          <w:sz w:val="18"/>
        </w:rPr>
        <w:t xml:space="preserve"> </w:t>
      </w:r>
    </w:p>
  </w:footnote>
  <w:footnote w:id="104">
    <w:p w14:paraId="78B4EAC1" w14:textId="77777777" w:rsidR="008178A1" w:rsidRPr="0024467F" w:rsidRDefault="008178A1" w:rsidP="00074140">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Policy 73 – Intellectual Property Rights (1997): </w:t>
      </w:r>
      <w:hyperlink r:id="rId56" w:history="1">
        <w:r w:rsidRPr="0024467F">
          <w:rPr>
            <w:rStyle w:val="Hyperlink"/>
            <w:rFonts w:ascii="Arial" w:hAnsi="Arial"/>
            <w:sz w:val="16"/>
            <w:lang w:val="en-US"/>
          </w:rPr>
          <w:t>https://uwaterloo.ca/secretariat/policies-procedures-guidelines/policy-73-intellectual-property-rights</w:t>
        </w:r>
      </w:hyperlink>
      <w:r w:rsidRPr="0024467F">
        <w:rPr>
          <w:rFonts w:ascii="Arial" w:hAnsi="Arial"/>
          <w:sz w:val="16"/>
          <w:lang w:val="en-US"/>
        </w:rPr>
        <w:t>.</w:t>
      </w:r>
    </w:p>
  </w:footnote>
  <w:footnote w:id="105">
    <w:p w14:paraId="4F9EE121" w14:textId="77777777" w:rsidR="008178A1" w:rsidRPr="0046400E" w:rsidRDefault="008178A1" w:rsidP="00320668">
      <w:pPr>
        <w:pStyle w:val="CommentText"/>
        <w:spacing w:after="0"/>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57" w:history="1">
        <w:r>
          <w:rPr>
            <w:rStyle w:val="Hyperlink"/>
            <w:rFonts w:ascii="Arial" w:hAnsi="Arial"/>
            <w:sz w:val="16"/>
          </w:rPr>
          <w:t>AUTM</w:t>
        </w:r>
      </w:hyperlink>
      <w:r>
        <w:rPr>
          <w:rFonts w:ascii="Arial" w:hAnsi="Arial"/>
          <w:sz w:val="16"/>
        </w:rPr>
        <w:t xml:space="preserve"> vem publicando há muitos anos seu Manual de Melhores Práticas de Transferência de Tecnologia, que tem sido uma referência para muitos países ao redor do mundo.</w:t>
      </w:r>
    </w:p>
  </w:footnote>
  <w:footnote w:id="106">
    <w:p w14:paraId="1D2F81F0" w14:textId="77777777" w:rsidR="008178A1" w:rsidRPr="0046400E" w:rsidRDefault="008178A1" w:rsidP="00320668">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sidRPr="0034635B">
        <w:rPr>
          <w:rFonts w:ascii="Arial" w:hAnsi="Arial"/>
          <w:sz w:val="16"/>
        </w:rPr>
        <w:t>A missão do</w:t>
      </w:r>
      <w:r>
        <w:t xml:space="preserve"> </w:t>
      </w:r>
      <w:hyperlink r:id="rId58" w:history="1">
        <w:r>
          <w:rPr>
            <w:rStyle w:val="Hyperlink"/>
            <w:rFonts w:ascii="Arial" w:hAnsi="Arial"/>
            <w:sz w:val="16"/>
          </w:rPr>
          <w:t>ICETT</w:t>
        </w:r>
      </w:hyperlink>
      <w:r>
        <w:rPr>
          <w:rFonts w:ascii="Arial" w:hAnsi="Arial"/>
          <w:sz w:val="16"/>
        </w:rPr>
        <w:t xml:space="preserve"> é transferir tecnologia ambiental Japonesa sofisticada para outros países, especialmente os em desenvolvimento, para ajudá-los a resolver seus problemas ambientais, contribuindo assim para a proteção do meio ambiente global.</w:t>
      </w:r>
    </w:p>
  </w:footnote>
  <w:footnote w:id="107">
    <w:p w14:paraId="42988A96" w14:textId="77777777" w:rsidR="008178A1" w:rsidRPr="0046400E" w:rsidRDefault="008178A1" w:rsidP="00320668">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59" w:history="1">
        <w:r>
          <w:rPr>
            <w:rStyle w:val="Hyperlink"/>
            <w:rFonts w:ascii="Arial" w:hAnsi="Arial"/>
            <w:sz w:val="16"/>
          </w:rPr>
          <w:t>KCA</w:t>
        </w:r>
      </w:hyperlink>
      <w:r>
        <w:rPr>
          <w:rFonts w:ascii="Arial" w:hAnsi="Arial"/>
          <w:sz w:val="16"/>
        </w:rPr>
        <w:t xml:space="preserve"> é uma organização sem fins lucrativos liderada por voluntários cujo objetivo é “auxiliar no desenvolvimento e manutenção de habilidades associadas à transferência de conhecimento de organizações do setor público”.</w:t>
      </w:r>
    </w:p>
  </w:footnote>
  <w:footnote w:id="108">
    <w:p w14:paraId="71097162" w14:textId="77777777" w:rsidR="008178A1" w:rsidRPr="0046400E" w:rsidRDefault="008178A1" w:rsidP="00320668">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60" w:history="1">
        <w:r>
          <w:rPr>
            <w:rStyle w:val="Hyperlink"/>
            <w:rFonts w:ascii="Arial" w:hAnsi="Arial"/>
            <w:sz w:val="16"/>
          </w:rPr>
          <w:t>ACCT Canada</w:t>
        </w:r>
      </w:hyperlink>
      <w:r>
        <w:rPr>
          <w:rFonts w:ascii="Arial" w:hAnsi="Arial"/>
          <w:sz w:val="16"/>
        </w:rPr>
        <w:t xml:space="preserve"> (</w:t>
      </w:r>
      <w:r>
        <w:rPr>
          <w:rFonts w:ascii="Arial" w:hAnsi="Arial"/>
          <w:i/>
          <w:sz w:val="16"/>
        </w:rPr>
        <w:t>l’Association canadienne pour la ccommercialization des technologies</w:t>
      </w:r>
      <w:r>
        <w:rPr>
          <w:rFonts w:ascii="Arial" w:hAnsi="Arial"/>
          <w:sz w:val="16"/>
        </w:rPr>
        <w:t xml:space="preserve">) é a organização mais importante do Canadá em todos os assuntos relacionados à interface entre pesquisa acadêmica e engajamento da indústria e mobilização de descobertas de pesquisa. </w:t>
      </w:r>
    </w:p>
  </w:footnote>
  <w:footnote w:id="109">
    <w:p w14:paraId="124FB517" w14:textId="77777777" w:rsidR="008178A1" w:rsidRPr="00734F31" w:rsidRDefault="008178A1" w:rsidP="00320668">
      <w:pPr>
        <w:pStyle w:val="FootnoteText"/>
        <w:jc w:val="both"/>
        <w:rPr>
          <w:rFonts w:ascii="Arial" w:hAnsi="Arial" w:cs="Arial"/>
          <w:sz w:val="18"/>
          <w:szCs w:val="18"/>
        </w:rPr>
      </w:pPr>
      <w:r>
        <w:rPr>
          <w:rStyle w:val="FootnoteReference"/>
          <w:rFonts w:ascii="Arial" w:hAnsi="Arial" w:cs="Arial"/>
          <w:sz w:val="16"/>
          <w:szCs w:val="16"/>
        </w:rPr>
        <w:footnoteRef/>
      </w:r>
      <w:r>
        <w:rPr>
          <w:rFonts w:ascii="Arial" w:hAnsi="Arial"/>
          <w:sz w:val="16"/>
        </w:rPr>
        <w:t xml:space="preserve"> </w:t>
      </w:r>
      <w:hyperlink r:id="rId61" w:history="1">
        <w:r>
          <w:rPr>
            <w:rStyle w:val="Hyperlink"/>
            <w:rFonts w:ascii="Arial" w:hAnsi="Arial"/>
            <w:sz w:val="16"/>
          </w:rPr>
          <w:t>AURIL</w:t>
        </w:r>
      </w:hyperlink>
      <w:r>
        <w:rPr>
          <w:rFonts w:ascii="Arial" w:hAnsi="Arial"/>
          <w:sz w:val="16"/>
        </w:rPr>
        <w:t xml:space="preserve"> é a associação profissional que representa todos os profissionais envolvidos na criação, desenvolvimento e troca de conhecimento no Reino Unido que trabalham para garantir que novas ideias, tecnologias e inovações fluam de sua instituição para o mercado.</w:t>
      </w:r>
    </w:p>
  </w:footnote>
  <w:footnote w:id="110">
    <w:p w14:paraId="16E2E9D5" w14:textId="77777777" w:rsidR="008178A1" w:rsidRPr="0046400E" w:rsidRDefault="008178A1" w:rsidP="00417367">
      <w:pPr>
        <w:pStyle w:val="FootnoteText"/>
        <w:jc w:val="both"/>
        <w:rPr>
          <w:rFonts w:ascii="Arial" w:hAnsi="Arial" w:cs="Arial"/>
          <w:sz w:val="16"/>
          <w:szCs w:val="16"/>
          <w:vertAlign w:val="superscript"/>
        </w:rPr>
      </w:pPr>
      <w:r>
        <w:rPr>
          <w:rStyle w:val="FootnoteReference"/>
          <w:rFonts w:ascii="Arial" w:hAnsi="Arial" w:cs="Arial"/>
          <w:sz w:val="16"/>
          <w:szCs w:val="16"/>
        </w:rPr>
        <w:footnoteRef/>
      </w:r>
      <w:r>
        <w:rPr>
          <w:rStyle w:val="FootnoteReference"/>
          <w:rFonts w:ascii="Arial" w:hAnsi="Arial"/>
          <w:sz w:val="16"/>
        </w:rPr>
        <w:t xml:space="preserve"> </w:t>
      </w:r>
      <w:r>
        <w:rPr>
          <w:rStyle w:val="FootnoteReference"/>
          <w:rFonts w:ascii="Arial" w:hAnsi="Arial"/>
          <w:sz w:val="16"/>
          <w:vertAlign w:val="baseline"/>
        </w:rPr>
        <w:t>Sob a</w:t>
      </w:r>
      <w:r>
        <w:rPr>
          <w:rFonts w:ascii="Arial" w:hAnsi="Arial"/>
          <w:sz w:val="16"/>
        </w:rPr>
        <w:t xml:space="preserve"> Política de PI da Universidade de Calgary</w:t>
      </w:r>
      <w:r>
        <w:rPr>
          <w:rStyle w:val="FootnoteReference"/>
          <w:rFonts w:ascii="Arial" w:hAnsi="Arial"/>
          <w:sz w:val="16"/>
          <w:vertAlign w:val="baseline"/>
        </w:rPr>
        <w:t xml:space="preserve">,criadores de </w:t>
      </w:r>
      <w:r>
        <w:rPr>
          <w:rFonts w:ascii="Arial" w:hAnsi="Arial"/>
          <w:sz w:val="16"/>
        </w:rPr>
        <w:t>PI</w:t>
      </w:r>
      <w:r>
        <w:rPr>
          <w:rStyle w:val="FootnoteReference"/>
          <w:rFonts w:ascii="Arial" w:hAnsi="Arial"/>
          <w:sz w:val="16"/>
          <w:vertAlign w:val="baseline"/>
        </w:rPr>
        <w:t xml:space="preserve"> que são membros da comunidade universitária são donos de suas obras. Ao mesmo tempo, se eles usaram as instalações e o apoio da Universidade na criação de PI, a Universidade t</w:t>
      </w:r>
      <w:r>
        <w:rPr>
          <w:rFonts w:ascii="Arial" w:hAnsi="Arial"/>
          <w:sz w:val="16"/>
        </w:rPr>
        <w:t>e</w:t>
      </w:r>
      <w:r>
        <w:rPr>
          <w:rStyle w:val="FootnoteReference"/>
          <w:rFonts w:ascii="Arial" w:hAnsi="Arial"/>
          <w:sz w:val="16"/>
          <w:vertAlign w:val="baseline"/>
        </w:rPr>
        <w:t>m um direito de repartir as receitas líquidas obtidas com a comercialização da PI</w:t>
      </w:r>
      <w:r>
        <w:rPr>
          <w:rFonts w:ascii="Arial" w:hAnsi="Arial"/>
          <w:sz w:val="16"/>
        </w:rPr>
        <w:t>.</w:t>
      </w:r>
    </w:p>
  </w:footnote>
  <w:footnote w:id="111">
    <w:p w14:paraId="1A3145E1" w14:textId="77777777" w:rsidR="008178A1" w:rsidRPr="0046400E" w:rsidRDefault="008178A1" w:rsidP="00074140">
      <w:pPr>
        <w:pStyle w:val="FootnoteText"/>
        <w:jc w:val="both"/>
        <w:rPr>
          <w:rStyle w:val="FootnoteReference"/>
          <w:rFonts w:ascii="Arial" w:hAnsi="Arial" w:cs="Arial"/>
          <w:sz w:val="16"/>
          <w:szCs w:val="16"/>
          <w:vertAlign w:val="baseline"/>
        </w:rPr>
      </w:pPr>
      <w:r>
        <w:rPr>
          <w:rStyle w:val="FootnoteReference"/>
          <w:rFonts w:ascii="Arial" w:hAnsi="Arial" w:cs="Arial"/>
          <w:sz w:val="16"/>
          <w:szCs w:val="16"/>
        </w:rPr>
        <w:footnoteRef/>
      </w:r>
      <w:r>
        <w:rPr>
          <w:rFonts w:ascii="Arial" w:hAnsi="Arial"/>
          <w:sz w:val="16"/>
        </w:rPr>
        <w:t xml:space="preserve"> </w:t>
      </w:r>
      <w:r>
        <w:rPr>
          <w:rStyle w:val="FootnoteReference"/>
          <w:rFonts w:ascii="Arial" w:hAnsi="Arial"/>
          <w:sz w:val="16"/>
          <w:vertAlign w:val="baseline"/>
        </w:rPr>
        <w:t xml:space="preserve">Artigos 5.1.1 a 5.1.9 da política de </w:t>
      </w:r>
      <w:r>
        <w:rPr>
          <w:rFonts w:ascii="Arial" w:hAnsi="Arial"/>
          <w:sz w:val="16"/>
        </w:rPr>
        <w:t xml:space="preserve"> PI </w:t>
      </w:r>
      <w:r>
        <w:rPr>
          <w:rStyle w:val="FootnoteReference"/>
          <w:rFonts w:ascii="Arial" w:hAnsi="Arial"/>
          <w:sz w:val="16"/>
          <w:vertAlign w:val="baseline"/>
        </w:rPr>
        <w:t xml:space="preserve"> </w:t>
      </w:r>
      <w:r>
        <w:rPr>
          <w:rFonts w:ascii="Arial" w:hAnsi="Arial"/>
          <w:sz w:val="16"/>
        </w:rPr>
        <w:t xml:space="preserve">da Universidade Victoria de Wellington </w:t>
      </w:r>
      <w:r>
        <w:rPr>
          <w:rStyle w:val="FootnoteReference"/>
          <w:rFonts w:ascii="Arial" w:hAnsi="Arial"/>
          <w:sz w:val="16"/>
          <w:vertAlign w:val="baseline"/>
        </w:rPr>
        <w:t>elabora mais detalhadamente as regras de titularidade para cada tipo de criador.</w:t>
      </w:r>
    </w:p>
  </w:footnote>
  <w:footnote w:id="112">
    <w:p w14:paraId="6F5296BC" w14:textId="77777777" w:rsidR="008178A1" w:rsidRPr="0024467F" w:rsidRDefault="008178A1" w:rsidP="00457084">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Francois Guay “Who owns copyright: Employee or Employer?” em</w:t>
      </w:r>
    </w:p>
    <w:p w14:paraId="4E6DADDF" w14:textId="77777777" w:rsidR="008178A1" w:rsidRPr="0024467F" w:rsidRDefault="00A3789E" w:rsidP="00457084">
      <w:pPr>
        <w:pStyle w:val="FootnoteText"/>
        <w:jc w:val="both"/>
        <w:rPr>
          <w:rFonts w:ascii="Arial" w:hAnsi="Arial" w:cs="Arial"/>
          <w:sz w:val="16"/>
          <w:szCs w:val="16"/>
          <w:lang w:val="en-US"/>
        </w:rPr>
      </w:pPr>
      <w:hyperlink r:id="rId62" w:history="1">
        <w:r w:rsidR="00372C70" w:rsidRPr="0024467F">
          <w:rPr>
            <w:rStyle w:val="Hyperlink"/>
            <w:rFonts w:ascii="Arial" w:hAnsi="Arial"/>
            <w:sz w:val="16"/>
            <w:lang w:val="en-US"/>
          </w:rPr>
          <w:t>http://smart-biggar-web-com.sitepreview.ca/en/newsletters/Intellectual_Property_Magazine_Dec2010.pdf</w:t>
        </w:r>
      </w:hyperlink>
    </w:p>
  </w:footnote>
  <w:footnote w:id="113">
    <w:p w14:paraId="60B41C5A" w14:textId="77777777" w:rsidR="008178A1" w:rsidRPr="0024467F" w:rsidRDefault="008178A1" w:rsidP="00457084">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Jim Fitzsimons e Alexandra Bridges “The importance of being specific: IP ownership in employee contracts” </w:t>
      </w:r>
      <w:hyperlink r:id="rId63" w:history="1">
        <w:r w:rsidRPr="0024467F">
          <w:rPr>
            <w:rStyle w:val="Hyperlink"/>
            <w:rFonts w:ascii="Arial" w:hAnsi="Arial"/>
            <w:sz w:val="16"/>
            <w:lang w:val="en-US"/>
          </w:rPr>
          <w:t>https://www.claytonutz.com/knowledge/2010/december/the-importance-of-being-specific-ip-ownership-in-employee-contracts</w:t>
        </w:r>
      </w:hyperlink>
      <w:r w:rsidRPr="0024467F">
        <w:rPr>
          <w:rFonts w:ascii="Arial" w:hAnsi="Arial"/>
          <w:sz w:val="16"/>
          <w:lang w:val="en-US"/>
        </w:rPr>
        <w:t xml:space="preserve">. </w:t>
      </w:r>
    </w:p>
  </w:footnote>
  <w:footnote w:id="114">
    <w:p w14:paraId="78B08873" w14:textId="77777777" w:rsidR="008178A1" w:rsidRPr="0024467F" w:rsidRDefault="008178A1" w:rsidP="00457084">
      <w:pPr>
        <w:pStyle w:val="FootnoteText"/>
        <w:rPr>
          <w:rFonts w:ascii="Arial" w:hAnsi="Arial" w:cs="Arial"/>
          <w:sz w:val="18"/>
          <w:szCs w:val="18"/>
          <w:lang w:val="en-US"/>
        </w:rPr>
      </w:pPr>
      <w:r>
        <w:rPr>
          <w:rStyle w:val="FootnoteReference"/>
          <w:rFonts w:ascii="Arial" w:hAnsi="Arial" w:cs="Arial"/>
          <w:sz w:val="16"/>
          <w:szCs w:val="16"/>
        </w:rPr>
        <w:footnoteRef/>
      </w:r>
      <w:r w:rsidRPr="0024467F">
        <w:rPr>
          <w:rFonts w:ascii="Arial" w:hAnsi="Arial"/>
          <w:sz w:val="16"/>
          <w:lang w:val="en-US"/>
        </w:rPr>
        <w:t xml:space="preserve"> [2009] 2 All SA 31 (SCA) 35.</w:t>
      </w:r>
    </w:p>
  </w:footnote>
  <w:footnote w:id="115">
    <w:p w14:paraId="276FA93A" w14:textId="77777777" w:rsidR="008178A1" w:rsidRPr="0024467F" w:rsidRDefault="008178A1" w:rsidP="00457084">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também “Mary Still, Employers, employees, and intellectual property: The saga of University of Western Australia v Gray” em </w:t>
      </w:r>
      <w:hyperlink r:id="rId64" w:history="1">
        <w:r w:rsidRPr="0024467F">
          <w:rPr>
            <w:rStyle w:val="Hyperlink"/>
            <w:rFonts w:ascii="Arial" w:hAnsi="Arial"/>
            <w:sz w:val="16"/>
            <w:lang w:val="en-US"/>
          </w:rPr>
          <w:t>https://www.claytonutz.com/knowledge/2010/march/employers-employees-and-intellectual-property-the-saga-of-university-of-western-australia-v-gray</w:t>
        </w:r>
      </w:hyperlink>
      <w:r w:rsidRPr="0024467F">
        <w:rPr>
          <w:rFonts w:ascii="Arial" w:hAnsi="Arial"/>
          <w:sz w:val="16"/>
          <w:lang w:val="en-US"/>
        </w:rPr>
        <w:t xml:space="preserve"> </w:t>
      </w:r>
    </w:p>
  </w:footnote>
  <w:footnote w:id="116">
    <w:p w14:paraId="01BBDCE2" w14:textId="77777777" w:rsidR="008178A1" w:rsidRPr="0046400E" w:rsidRDefault="008178A1" w:rsidP="00457084">
      <w:pPr>
        <w:tabs>
          <w:tab w:val="left" w:pos="993"/>
        </w:tabs>
        <w:spacing w:after="0" w:line="240" w:lineRule="auto"/>
        <w:jc w:val="both"/>
        <w:rPr>
          <w:rFonts w:ascii="Arial" w:eastAsia="Times New Roman" w:hAnsi="Arial" w:cs="Arial"/>
          <w:color w:val="000000"/>
          <w:sz w:val="16"/>
          <w:szCs w:val="16"/>
          <w:highlight w:val="yellow"/>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rPr>
        <w:t xml:space="preserve">Os inventores ou criadores que desejam reembolsar diretamente a Instituição pelo uso de seus recursos devem tomar providências para fazê-lo antes que o nível de uso de recursos para uma PI específica se torne substancial. </w:t>
      </w:r>
    </w:p>
  </w:footnote>
  <w:footnote w:id="117">
    <w:p w14:paraId="1F15702B" w14:textId="77777777" w:rsidR="008178A1" w:rsidRPr="000810C3" w:rsidRDefault="008178A1" w:rsidP="0034402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Bowdoin College Brunswick, Estados Unidos da América: </w:t>
      </w:r>
      <w:hyperlink r:id="rId65" w:history="1">
        <w:r>
          <w:rPr>
            <w:rStyle w:val="Hyperlink"/>
            <w:rFonts w:ascii="Arial" w:hAnsi="Arial"/>
            <w:sz w:val="16"/>
          </w:rPr>
          <w:t>student handbook</w:t>
        </w:r>
      </w:hyperlink>
      <w:r>
        <w:rPr>
          <w:rFonts w:ascii="Arial" w:hAnsi="Arial"/>
          <w:sz w:val="16"/>
        </w:rPr>
        <w:t xml:space="preserve">. </w:t>
      </w:r>
    </w:p>
  </w:footnote>
  <w:footnote w:id="118">
    <w:p w14:paraId="147CDF98" w14:textId="3365AE1E" w:rsidR="008178A1" w:rsidRPr="000810C3" w:rsidRDefault="008178A1" w:rsidP="008648D5">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exemplo, na África do Sul não seria possível que um empregador se tornasse titular de uma invenção feita fora do decurso e escopo do emprego, mas com uso substancial dos recursos da Instituição. A Seção 59(2) da Lei de Patentes 57 de 1978 prevê que qualquer condição em um contrato de trabalho que — (a) exija que um empregado ceda ao seu empregador uma invenção feita por ele que, de outra forma, não estando dentro do decurso e escopo de seu emprego será nula e sem efeito</w:t>
      </w:r>
      <w:r w:rsidR="008411EA">
        <w:rPr>
          <w:rFonts w:ascii="Arial" w:hAnsi="Arial"/>
          <w:sz w:val="16"/>
        </w:rPr>
        <w:t xml:space="preserve">. </w:t>
      </w:r>
      <w:r>
        <w:rPr>
          <w:rFonts w:ascii="Arial" w:hAnsi="Arial"/>
          <w:sz w:val="16"/>
        </w:rPr>
        <w:t>Entretanto, em termos da Lei de Direitos de Propriedade Intelectual de Pesquisa e Desenvolvimento Financiados Publicamente de 2008, a Instituição poderá reivindicar a titularidade de tal PI, uma vez que o uso substancial dos recursos da Instituição coloca a PI resultante dentro do escopo desta lei, que exige que a Instituição, como beneficiária de fundos públicos e empregadora, seja a titular de tal PI.</w:t>
      </w:r>
    </w:p>
  </w:footnote>
  <w:footnote w:id="119">
    <w:p w14:paraId="159A76A7" w14:textId="42A950A2" w:rsidR="008178A1" w:rsidRPr="00BD07D8" w:rsidRDefault="008178A1" w:rsidP="00BD07D8">
      <w:pPr>
        <w:pStyle w:val="CommentText"/>
        <w:spacing w:after="0"/>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Neste caso, o vínculo com a universidade deve ser profundamente esclarecido no contrato de trabalho</w:t>
      </w:r>
      <w:r w:rsidR="008411EA">
        <w:rPr>
          <w:rFonts w:ascii="Arial" w:hAnsi="Arial"/>
          <w:sz w:val="16"/>
        </w:rPr>
        <w:t xml:space="preserve">. </w:t>
      </w:r>
    </w:p>
  </w:footnote>
  <w:footnote w:id="120">
    <w:p w14:paraId="61C6B37E" w14:textId="35525FD5" w:rsidR="008178A1" w:rsidRPr="00BD07D8" w:rsidRDefault="008178A1">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As Regras da Instituição geralmente exigem, como condição de matrícula, que a Instituição reserve o direito de reter o original ou cópia de quaisquer teses e uma licença conforme descrito no Artigo 5.2.2</w:t>
      </w:r>
      <w:r w:rsidR="008411EA">
        <w:rPr>
          <w:rFonts w:ascii="Arial" w:hAnsi="Arial"/>
          <w:sz w:val="16"/>
        </w:rPr>
        <w:t xml:space="preserve">. </w:t>
      </w:r>
      <w:r>
        <w:rPr>
          <w:rFonts w:ascii="Arial" w:hAnsi="Arial"/>
          <w:sz w:val="16"/>
        </w:rPr>
        <w:t>Deve ser feita referência às Regras aplicáveis</w:t>
      </w:r>
      <w:r w:rsidR="008411EA">
        <w:rPr>
          <w:rFonts w:ascii="Arial" w:hAnsi="Arial"/>
          <w:sz w:val="16"/>
        </w:rPr>
        <w:t xml:space="preserve">. </w:t>
      </w:r>
      <w:r>
        <w:rPr>
          <w:rFonts w:ascii="Arial" w:hAnsi="Arial"/>
          <w:sz w:val="16"/>
        </w:rPr>
        <w:t>Tal retenção não afeta nenhum direito autoral ou outro direito de PI que possa existir em tais teses.</w:t>
      </w:r>
    </w:p>
  </w:footnote>
  <w:footnote w:id="121">
    <w:p w14:paraId="1EE0C5E9"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66" w:history="1">
        <w:r w:rsidRPr="0024467F">
          <w:rPr>
            <w:rStyle w:val="Hyperlink"/>
            <w:rFonts w:ascii="Arial" w:hAnsi="Arial"/>
            <w:sz w:val="16"/>
            <w:lang w:val="en-US"/>
          </w:rPr>
          <w:t>University of Cape Town Intellectual Property Policy</w:t>
        </w:r>
      </w:hyperlink>
      <w:r w:rsidRPr="0024467F">
        <w:rPr>
          <w:rFonts w:ascii="Arial" w:hAnsi="Arial"/>
          <w:sz w:val="16"/>
          <w:lang w:val="en-US"/>
        </w:rPr>
        <w:t xml:space="preserve"> (2011).</w:t>
      </w:r>
    </w:p>
  </w:footnote>
  <w:footnote w:id="122">
    <w:p w14:paraId="30154D05" w14:textId="77777777" w:rsidR="008178A1" w:rsidRPr="00BD07D8" w:rsidRDefault="008178A1" w:rsidP="00EC1B44">
      <w:pPr>
        <w:pStyle w:val="FootnoteText"/>
        <w:rPr>
          <w:rFonts w:ascii="Arial" w:hAnsi="Arial" w:cs="Arial"/>
          <w:color w:val="000000"/>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rPr>
        <w:t>Universidade de Johns Hopkins, Estados Unidos.</w:t>
      </w:r>
    </w:p>
  </w:footnote>
  <w:footnote w:id="123">
    <w:p w14:paraId="3C387655" w14:textId="77777777" w:rsidR="008178A1" w:rsidRPr="00BD07D8" w:rsidRDefault="008178A1" w:rsidP="00EC1B44">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Universidade de Stanford, Estados Unidos.</w:t>
      </w:r>
    </w:p>
  </w:footnote>
  <w:footnote w:id="124">
    <w:p w14:paraId="5D207996" w14:textId="77777777" w:rsidR="008178A1" w:rsidRPr="00BD07D8" w:rsidRDefault="008178A1" w:rsidP="00EC1B44">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por exemplo: Universidade de Cambridge, Reino Unido.</w:t>
      </w:r>
    </w:p>
  </w:footnote>
  <w:footnote w:id="125">
    <w:p w14:paraId="41E5601C" w14:textId="77777777" w:rsidR="008178A1" w:rsidRPr="00BD07D8" w:rsidRDefault="008178A1" w:rsidP="00EC1B44">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por exemplo: Universidade Central de Queensland, Austrália.</w:t>
      </w:r>
    </w:p>
  </w:footnote>
  <w:footnote w:id="126">
    <w:p w14:paraId="17A4EC3D" w14:textId="77777777" w:rsidR="008178A1" w:rsidRPr="002009C9" w:rsidRDefault="008178A1" w:rsidP="00074140">
      <w:pPr>
        <w:pStyle w:val="FootnoteText"/>
        <w:jc w:val="both"/>
        <w:rPr>
          <w:rFonts w:ascii="Arial" w:hAnsi="Arial" w:cs="Arial"/>
          <w:sz w:val="18"/>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rPr>
        <w:t>Poucas universidades afirmam ter interesse em livros, artigos, obras de arte e músicas criadas por autores da faculdade. No entanto, isso pode estar mudando no ambiente digital, especialmente para o material do curso on-line.</w:t>
      </w:r>
    </w:p>
  </w:footnote>
  <w:footnote w:id="127">
    <w:p w14:paraId="2D07A060" w14:textId="77777777" w:rsidR="008178A1" w:rsidRPr="0046400E" w:rsidRDefault="008178A1" w:rsidP="0043748B">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Iniciativa de Acesso Aberto de Budapeste (BOAI); a Declaração de Bethesda sobre Publicação de Acesso Aberto; a Declaração de Berlim sobre Acesso Aberto ao Conhecimento nas Ciências e Humanidades.</w:t>
      </w:r>
    </w:p>
  </w:footnote>
  <w:footnote w:id="128">
    <w:p w14:paraId="18A04FE7" w14:textId="77777777" w:rsidR="008178A1" w:rsidRPr="0046400E" w:rsidRDefault="008178A1" w:rsidP="0043748B">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iniciativa OpenCourseWare (OCW) iniciada pelo Instituto de Tecnologia de Massachusetts.</w:t>
      </w:r>
    </w:p>
  </w:footnote>
  <w:footnote w:id="129">
    <w:p w14:paraId="59262044" w14:textId="77777777" w:rsidR="008178A1" w:rsidRPr="0046400E" w:rsidRDefault="008178A1" w:rsidP="0043748B">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67" w:history="1">
        <w:r>
          <w:rPr>
            <w:rStyle w:val="Hyperlink"/>
            <w:rFonts w:ascii="Arial" w:hAnsi="Arial"/>
            <w:sz w:val="16"/>
          </w:rPr>
          <w:t>https://openeducationalresources.pbworks.com/w/page/25308415/Legal%20Aspects%20of%20OER</w:t>
        </w:r>
      </w:hyperlink>
      <w:r>
        <w:rPr>
          <w:rFonts w:ascii="Arial" w:hAnsi="Arial"/>
          <w:sz w:val="16"/>
        </w:rPr>
        <w:t xml:space="preserve">. </w:t>
      </w:r>
    </w:p>
  </w:footnote>
  <w:footnote w:id="130">
    <w:p w14:paraId="26B0B842" w14:textId="77777777" w:rsidR="008178A1" w:rsidRPr="0024467F" w:rsidRDefault="008178A1" w:rsidP="00EC1B44">
      <w:pPr>
        <w:pStyle w:val="FootnoteText"/>
        <w:rPr>
          <w:rFonts w:ascii="Arial" w:hAnsi="Arial" w:cs="Arial"/>
          <w:sz w:val="18"/>
          <w:lang w:val="en-US"/>
        </w:rPr>
      </w:pPr>
      <w:r>
        <w:rPr>
          <w:rStyle w:val="FootnoteReference"/>
          <w:rFonts w:ascii="Arial" w:hAnsi="Arial" w:cs="Arial"/>
          <w:sz w:val="16"/>
          <w:szCs w:val="16"/>
        </w:rPr>
        <w:footnoteRef/>
      </w:r>
      <w:r w:rsidRPr="0024467F">
        <w:rPr>
          <w:rFonts w:ascii="Arial" w:hAnsi="Arial"/>
          <w:sz w:val="16"/>
          <w:lang w:val="en-US"/>
        </w:rPr>
        <w:t xml:space="preserve"> Fonte: </w:t>
      </w:r>
      <w:hyperlink r:id="rId68" w:history="1">
        <w:r w:rsidRPr="0024467F">
          <w:rPr>
            <w:rStyle w:val="Hyperlink"/>
            <w:rFonts w:ascii="Arial" w:hAnsi="Arial"/>
            <w:sz w:val="16"/>
            <w:lang w:val="en-US"/>
          </w:rPr>
          <w:t>IP Policy of the University of Manchester</w:t>
        </w:r>
      </w:hyperlink>
    </w:p>
  </w:footnote>
  <w:footnote w:id="131">
    <w:p w14:paraId="64997080" w14:textId="77777777" w:rsidR="008178A1" w:rsidRPr="00FD52F3"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Sua instituição pode ser obrigada por lei ou estatutos administrativos a publicar os resultados de pesquisas financiadas publicamente. Na maioria dos países, no entanto, as instituições têm o poder de concordar em adiar a publicação para permitir que os pedidos de patente sejam feitos. Para uma visão geral dos contextos nacionais na Europa, veja o </w:t>
      </w:r>
      <w:hyperlink r:id="rId69" w:history="1">
        <w:r>
          <w:rPr>
            <w:rStyle w:val="Hyperlink"/>
            <w:rFonts w:ascii="Arial" w:hAnsi="Arial"/>
            <w:sz w:val="16"/>
          </w:rPr>
          <w:t>CREST Report</w:t>
        </w:r>
      </w:hyperlink>
      <w:r>
        <w:rPr>
          <w:rFonts w:ascii="Arial" w:hAnsi="Arial"/>
          <w:sz w:val="16"/>
        </w:rPr>
        <w:t>, p.31- 33.</w:t>
      </w:r>
    </w:p>
  </w:footnote>
  <w:footnote w:id="132">
    <w:p w14:paraId="6D7DC500" w14:textId="77777777" w:rsidR="008178A1" w:rsidRPr="0067511A" w:rsidRDefault="008178A1" w:rsidP="00BE113E">
      <w:pPr>
        <w:pStyle w:val="FootnoteText"/>
        <w:jc w:val="both"/>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Se a tecnologia for licenciada para muitas partes, aumentando o risco de divulgação, é melhor patentear a tecnologia. Comercializar um segredo comercial por meio de um acordo de confidencialidade também é possível, mas a disseminação pode fazer com que o segredo perca seu valor.</w:t>
      </w:r>
    </w:p>
  </w:footnote>
  <w:footnote w:id="133">
    <w:p w14:paraId="0CFB7D6D" w14:textId="77777777" w:rsidR="008178A1" w:rsidRPr="009F22C7" w:rsidRDefault="008178A1" w:rsidP="00BE113E">
      <w:pPr>
        <w:pStyle w:val="FootnoteText"/>
        <w:jc w:val="both"/>
        <w:rPr>
          <w:rFonts w:ascii="Arial" w:eastAsia="Times New Roman" w:hAnsi="Arial" w:cs="Arial"/>
          <w:sz w:val="16"/>
          <w:szCs w:val="18"/>
        </w:rPr>
      </w:pPr>
      <w:r>
        <w:rPr>
          <w:rStyle w:val="FootnoteReference"/>
          <w:rFonts w:ascii="Arial" w:hAnsi="Arial" w:cs="Arial"/>
          <w:sz w:val="16"/>
          <w:szCs w:val="16"/>
        </w:rPr>
        <w:footnoteRef/>
      </w:r>
      <w:r>
        <w:rPr>
          <w:rFonts w:ascii="Arial" w:hAnsi="Arial"/>
          <w:sz w:val="16"/>
        </w:rPr>
        <w:t xml:space="preserve"> As start-ups normalmente precisam apresentar suas ideias de negócios aos investidores. Além disso, como geralmente há pouco dinheiro, elas podem precisar patentear para indicar ao mercado que têm uma vantagem competitiva, atraindo capital, bem como para criar garantias para empréstimos.</w:t>
      </w:r>
    </w:p>
  </w:footnote>
  <w:footnote w:id="134">
    <w:p w14:paraId="27076BC8" w14:textId="77777777" w:rsidR="008178A1" w:rsidRPr="00BD07D8" w:rsidRDefault="008178A1" w:rsidP="00BE113E">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Os segredos comerciais são mais atraentes para tecnologias com rápida inovação e mudanças, como software.</w:t>
      </w:r>
    </w:p>
  </w:footnote>
  <w:footnote w:id="135">
    <w:p w14:paraId="62BE9F70" w14:textId="2E9CFB8F" w:rsidR="008178A1" w:rsidRPr="0067511A" w:rsidRDefault="008178A1" w:rsidP="00BE113E">
      <w:pPr>
        <w:pStyle w:val="FootnoteText"/>
        <w:jc w:val="both"/>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Os titulares de PI preferirão a proteção de patente se a invenção puder ser facilmente submetida a engenharia reversa, porque um segredo comercial não pode ser protegido contra engenharia reversa realizada sem roubar o segredo. Por outro lado, mesmo que um concorrente possa fazer engenharia reversa de uma patente, ele/ela não poderá usar a tecnologia patenteada sem a permissão do titular da patente</w:t>
      </w:r>
      <w:r w:rsidR="008411EA">
        <w:rPr>
          <w:rFonts w:ascii="Arial" w:hAnsi="Arial"/>
          <w:sz w:val="16"/>
        </w:rPr>
        <w:t xml:space="preserve">. </w:t>
      </w:r>
    </w:p>
  </w:footnote>
  <w:footnote w:id="136">
    <w:p w14:paraId="45F765FA" w14:textId="506B588C" w:rsidR="008178A1" w:rsidRPr="00940672" w:rsidRDefault="008178A1" w:rsidP="00BE113E">
      <w:pPr>
        <w:pStyle w:val="FootnoteText"/>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Por exemplo, as universidades costumam tratar softwares de computador e materiais biológicos como segredos comerciais</w:t>
      </w:r>
      <w:r w:rsidR="008411EA">
        <w:rPr>
          <w:rFonts w:ascii="Arial" w:hAnsi="Arial"/>
          <w:sz w:val="16"/>
        </w:rPr>
        <w:t xml:space="preserve">. </w:t>
      </w:r>
      <w:r>
        <w:rPr>
          <w:rFonts w:ascii="Arial" w:hAnsi="Arial"/>
          <w:sz w:val="16"/>
        </w:rPr>
        <w:t>Elas também exigem um acordo de confidencialidade para permitir que terceiros vejam informações não publicadas de “segredo comercial” detalhando uma possível invenção a ser licenciada.</w:t>
      </w:r>
    </w:p>
  </w:footnote>
  <w:footnote w:id="137">
    <w:p w14:paraId="3F0FFCF0" w14:textId="77777777" w:rsidR="008178A1" w:rsidRPr="0046400E" w:rsidRDefault="008178A1" w:rsidP="00B7519E">
      <w:pPr>
        <w:pStyle w:val="FootnoteText"/>
        <w:jc w:val="both"/>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Na maioria dos contratos de pesquisa patrocinados, há uma cláusula de publicação declarando que haverá um hiato na publicação para garantir que nada de confidencial seja publicado por acidente.</w:t>
      </w:r>
    </w:p>
  </w:footnote>
  <w:footnote w:id="138">
    <w:p w14:paraId="63676A36" w14:textId="0785E813" w:rsidR="008178A1" w:rsidRPr="0024467F" w:rsidRDefault="008178A1" w:rsidP="006D266E">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por exemplo, a </w:t>
      </w:r>
      <w:hyperlink r:id="rId70" w:anchor="4.0" w:history="1">
        <w:r w:rsidRPr="0024467F">
          <w:rPr>
            <w:rStyle w:val="Hyperlink"/>
            <w:rFonts w:ascii="Arial" w:hAnsi="Arial"/>
            <w:sz w:val="16"/>
            <w:lang w:val="en-US"/>
          </w:rPr>
          <w:t>IP Policy of the University of Rochester</w:t>
        </w:r>
      </w:hyperlink>
      <w:r w:rsidRPr="0024467F">
        <w:rPr>
          <w:rFonts w:ascii="Arial" w:hAnsi="Arial"/>
          <w:sz w:val="16"/>
          <w:lang w:val="en-US"/>
        </w:rPr>
        <w:t>, artigo 4.0</w:t>
      </w:r>
      <w:r w:rsidR="008411EA">
        <w:rPr>
          <w:rFonts w:ascii="Arial" w:hAnsi="Arial"/>
          <w:sz w:val="16"/>
          <w:lang w:val="en-US"/>
        </w:rPr>
        <w:t xml:space="preserve">. </w:t>
      </w:r>
    </w:p>
  </w:footnote>
  <w:footnote w:id="139">
    <w:p w14:paraId="11629075" w14:textId="77777777" w:rsidR="008178A1" w:rsidRPr="0024467F" w:rsidRDefault="008178A1" w:rsidP="00030E4B">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71" w:history="1">
        <w:r w:rsidRPr="0024467F">
          <w:rPr>
            <w:rStyle w:val="Hyperlink"/>
            <w:rFonts w:ascii="Arial" w:hAnsi="Arial"/>
            <w:sz w:val="16"/>
            <w:lang w:val="en-US"/>
          </w:rPr>
          <w:t>IP Policy of The City University</w:t>
        </w:r>
      </w:hyperlink>
      <w:r w:rsidRPr="0024467F">
        <w:rPr>
          <w:rFonts w:ascii="Arial" w:hAnsi="Arial"/>
          <w:sz w:val="16"/>
          <w:lang w:val="en-US"/>
        </w:rPr>
        <w:t>, 2014.</w:t>
      </w:r>
    </w:p>
  </w:footnote>
  <w:footnote w:id="140">
    <w:p w14:paraId="0D4C8F21" w14:textId="1B98378B" w:rsidR="008178A1" w:rsidRPr="0024467F" w:rsidRDefault="008178A1" w:rsidP="00201FE6">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72" w:history="1">
        <w:r w:rsidRPr="0024467F">
          <w:rPr>
            <w:rStyle w:val="Hyperlink"/>
            <w:rFonts w:ascii="Arial" w:hAnsi="Arial"/>
            <w:sz w:val="16"/>
            <w:lang w:val="en-US"/>
          </w:rPr>
          <w:t>Research and Innovation.</w:t>
        </w:r>
      </w:hyperlink>
      <w:hyperlink r:id="rId73" w:history="1">
        <w:r w:rsidRPr="0024467F">
          <w:rPr>
            <w:rStyle w:val="Hyperlink"/>
            <w:rFonts w:ascii="Arial" w:hAnsi="Arial"/>
            <w:sz w:val="16"/>
            <w:lang w:val="en-US"/>
          </w:rPr>
          <w:t xml:space="preserve"> Collaborating with the University of Copenhagen.</w:t>
        </w:r>
      </w:hyperlink>
      <w:hyperlink r:id="rId74" w:history="1">
        <w:r w:rsidRPr="0024467F">
          <w:rPr>
            <w:rStyle w:val="Hyperlink"/>
            <w:rFonts w:ascii="Arial" w:hAnsi="Arial"/>
            <w:sz w:val="16"/>
            <w:lang w:val="en-US"/>
          </w:rPr>
          <w:t xml:space="preserve"> The University’s Overall Principles.</w:t>
        </w:r>
      </w:hyperlink>
      <w:hyperlink r:id="rId75" w:history="1">
        <w:r w:rsidRPr="0024467F">
          <w:rPr>
            <w:rStyle w:val="Hyperlink"/>
            <w:rFonts w:ascii="Arial" w:hAnsi="Arial"/>
            <w:sz w:val="16"/>
            <w:lang w:val="en-US"/>
          </w:rPr>
          <w:t xml:space="preserve"> A guide for our collaboration partners</w:t>
        </w:r>
      </w:hyperlink>
      <w:r w:rsidRPr="0024467F">
        <w:rPr>
          <w:rFonts w:ascii="Arial" w:hAnsi="Arial"/>
          <w:sz w:val="16"/>
          <w:lang w:val="en-US"/>
        </w:rPr>
        <w:t xml:space="preserve"> (2012)</w:t>
      </w:r>
      <w:r w:rsidR="008411EA">
        <w:rPr>
          <w:rFonts w:ascii="Arial" w:hAnsi="Arial"/>
          <w:sz w:val="16"/>
          <w:lang w:val="en-US"/>
        </w:rPr>
        <w:t xml:space="preserve">. </w:t>
      </w:r>
    </w:p>
  </w:footnote>
  <w:footnote w:id="141">
    <w:p w14:paraId="4D1BA86C" w14:textId="77777777" w:rsidR="008178A1" w:rsidRPr="0024467F" w:rsidRDefault="008178A1">
      <w:pPr>
        <w:pStyle w:val="FootnoteText"/>
        <w:rPr>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76" w:history="1">
        <w:r w:rsidRPr="0024467F">
          <w:rPr>
            <w:rStyle w:val="Hyperlink"/>
            <w:rFonts w:ascii="Arial" w:hAnsi="Arial"/>
            <w:sz w:val="16"/>
            <w:lang w:val="en-US"/>
          </w:rPr>
          <w:t>Guidelines for Responsible Conduct of Research</w:t>
        </w:r>
      </w:hyperlink>
      <w:r w:rsidRPr="0024467F">
        <w:rPr>
          <w:rFonts w:ascii="Arial" w:hAnsi="Arial"/>
          <w:sz w:val="16"/>
          <w:lang w:val="en-US"/>
        </w:rPr>
        <w:t xml:space="preserve"> (2011), artigo 4.</w:t>
      </w:r>
    </w:p>
  </w:footnote>
  <w:footnote w:id="142">
    <w:p w14:paraId="3919235B" w14:textId="77777777" w:rsidR="008178A1" w:rsidRPr="0024467F" w:rsidRDefault="008178A1" w:rsidP="00030E4B">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77" w:history="1">
        <w:r w:rsidRPr="0024467F">
          <w:rPr>
            <w:rStyle w:val="Hyperlink"/>
            <w:rFonts w:ascii="Arial" w:hAnsi="Arial"/>
            <w:sz w:val="16"/>
            <w:lang w:val="en-US"/>
          </w:rPr>
          <w:t>Stanford University Researcher’s Guide to Working with Industry</w:t>
        </w:r>
      </w:hyperlink>
    </w:p>
  </w:footnote>
  <w:footnote w:id="143">
    <w:p w14:paraId="146E3806" w14:textId="03C2050E" w:rsidR="008178A1" w:rsidRPr="0024467F" w:rsidRDefault="008178A1" w:rsidP="00201FE6">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78" w:history="1">
        <w:r w:rsidRPr="0024467F">
          <w:rPr>
            <w:rStyle w:val="Hyperlink"/>
            <w:rFonts w:ascii="Arial" w:hAnsi="Arial"/>
            <w:sz w:val="16"/>
            <w:lang w:val="en-US"/>
          </w:rPr>
          <w:t>Research and Innovation.</w:t>
        </w:r>
      </w:hyperlink>
      <w:hyperlink r:id="rId79" w:history="1">
        <w:r w:rsidRPr="0024467F">
          <w:rPr>
            <w:rStyle w:val="Hyperlink"/>
            <w:rFonts w:ascii="Arial" w:hAnsi="Arial"/>
            <w:sz w:val="16"/>
            <w:lang w:val="en-US"/>
          </w:rPr>
          <w:t xml:space="preserve"> Collaborating with the University of Copenhagen.</w:t>
        </w:r>
      </w:hyperlink>
      <w:hyperlink r:id="rId80" w:history="1">
        <w:r w:rsidRPr="0024467F">
          <w:rPr>
            <w:rStyle w:val="Hyperlink"/>
            <w:rFonts w:ascii="Arial" w:hAnsi="Arial"/>
            <w:sz w:val="16"/>
            <w:lang w:val="en-US"/>
          </w:rPr>
          <w:t xml:space="preserve"> The University’s Overall Principles.</w:t>
        </w:r>
      </w:hyperlink>
      <w:hyperlink r:id="rId81" w:history="1">
        <w:r w:rsidRPr="0024467F">
          <w:rPr>
            <w:rStyle w:val="Hyperlink"/>
            <w:rFonts w:ascii="Arial" w:hAnsi="Arial"/>
            <w:sz w:val="16"/>
            <w:lang w:val="en-US"/>
          </w:rPr>
          <w:t xml:space="preserve"> A guide for our collaboration partners</w:t>
        </w:r>
      </w:hyperlink>
      <w:r w:rsidRPr="0024467F">
        <w:rPr>
          <w:rFonts w:ascii="Arial" w:hAnsi="Arial"/>
          <w:sz w:val="16"/>
          <w:lang w:val="en-US"/>
        </w:rPr>
        <w:t xml:space="preserve"> (2012)</w:t>
      </w:r>
      <w:r w:rsidR="008411EA">
        <w:rPr>
          <w:rFonts w:ascii="Arial" w:hAnsi="Arial"/>
          <w:sz w:val="16"/>
          <w:lang w:val="en-US"/>
        </w:rPr>
        <w:t xml:space="preserve">. </w:t>
      </w:r>
    </w:p>
  </w:footnote>
  <w:footnote w:id="144">
    <w:p w14:paraId="6367E91D"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ECU </w:t>
      </w:r>
      <w:hyperlink r:id="rId82" w:history="1">
        <w:r w:rsidRPr="0024467F">
          <w:rPr>
            <w:rStyle w:val="Hyperlink"/>
            <w:rFonts w:ascii="Arial" w:hAnsi="Arial"/>
            <w:sz w:val="16"/>
            <w:lang w:val="en-US"/>
          </w:rPr>
          <w:t>Delegation of Authority to Sign Contracts Policy</w:t>
        </w:r>
      </w:hyperlink>
      <w:r w:rsidRPr="0024467F">
        <w:rPr>
          <w:rFonts w:ascii="Arial" w:hAnsi="Arial"/>
          <w:sz w:val="16"/>
          <w:lang w:val="en-US"/>
        </w:rPr>
        <w:t xml:space="preserve"> REG01.10.01</w:t>
      </w:r>
    </w:p>
  </w:footnote>
  <w:footnote w:id="145">
    <w:p w14:paraId="2466DA73" w14:textId="77777777" w:rsidR="008178A1" w:rsidRPr="0024467F" w:rsidRDefault="008178A1" w:rsidP="003A04D2">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Fonte: Management of Intellectual Property. A Guide to Strategic Decision Making in Universities, AURIL/Universities UK (2002).</w:t>
      </w:r>
    </w:p>
  </w:footnote>
  <w:footnote w:id="146">
    <w:p w14:paraId="18D72A3F" w14:textId="77777777" w:rsidR="008178A1" w:rsidRPr="00FD52F3" w:rsidRDefault="008178A1" w:rsidP="00D3107A">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 acesso aos resultados pode ser garantido por meio de acordos de licenciamento gratuito. A Instituição pode receber uma parcela das receitas geradas pelo patrocinador e dúvidas sobre a capacidade/desejo do patrocinador de comercializar os resultados podem ser abordadas pela introdução de cláusulas de penalidade por falha na comercialização, incluindo a reatribuição à Instituição.</w:t>
      </w:r>
    </w:p>
  </w:footnote>
  <w:footnote w:id="147">
    <w:p w14:paraId="117C7CC5" w14:textId="77777777" w:rsidR="008178A1" w:rsidRPr="00BF6B49"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Fonte: </w:t>
      </w:r>
      <w:hyperlink r:id="rId83" w:history="1">
        <w:r>
          <w:rPr>
            <w:rStyle w:val="Hyperlink"/>
            <w:rFonts w:ascii="Arial" w:hAnsi="Arial"/>
            <w:sz w:val="16"/>
          </w:rPr>
          <w:t>Intellectual Asset Management for Universities</w:t>
        </w:r>
      </w:hyperlink>
      <w:r>
        <w:rPr>
          <w:rFonts w:ascii="Arial" w:hAnsi="Arial"/>
          <w:sz w:val="16"/>
        </w:rPr>
        <w:t>, Escritório de Propriedade Intelectual do Reino Unido.</w:t>
      </w:r>
    </w:p>
  </w:footnote>
  <w:footnote w:id="148">
    <w:p w14:paraId="6FCB48C9" w14:textId="77777777" w:rsidR="008178A1" w:rsidRPr="00BD07D8" w:rsidRDefault="008178A1" w:rsidP="00316B9D">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rPr>
        <w:t>A serendipidade implica encontrar uma coisa enquanto se procura outra. Existem muitos exemplos em descobertas de fármacos, por exemplo, penicilina e Viagra. Outros exemplos incluem raios X, velcro, baquelite (o primeiro plástico do mundo), sacarina, forno de micro-ondas, raios X, vaselina e marcapasso.</w:t>
      </w:r>
    </w:p>
  </w:footnote>
  <w:footnote w:id="149">
    <w:p w14:paraId="64B44233" w14:textId="77777777" w:rsidR="008178A1" w:rsidRPr="0046400E" w:rsidRDefault="008178A1" w:rsidP="00132893">
      <w:pPr>
        <w:pStyle w:val="FootnoteText"/>
        <w:jc w:val="both"/>
        <w:rPr>
          <w:rFonts w:ascii="Arial" w:hAnsi="Arial" w:cs="Arial"/>
          <w:sz w:val="16"/>
          <w:szCs w:val="16"/>
        </w:rPr>
      </w:pPr>
      <w:r>
        <w:rPr>
          <w:rStyle w:val="FootnoteReference"/>
          <w:rFonts w:ascii="Arial" w:hAnsi="Arial" w:cs="Arial"/>
          <w:sz w:val="16"/>
          <w:szCs w:val="16"/>
        </w:rPr>
        <w:footnoteRef/>
      </w:r>
      <w:r>
        <w:rPr>
          <w:rStyle w:val="FootnoteReference"/>
          <w:rFonts w:ascii="Arial" w:hAnsi="Arial"/>
          <w:sz w:val="16"/>
        </w:rPr>
        <w:t xml:space="preserve"> </w:t>
      </w:r>
      <w:r>
        <w:rPr>
          <w:rFonts w:ascii="Arial" w:hAnsi="Arial"/>
          <w:sz w:val="16"/>
        </w:rPr>
        <w:t xml:space="preserve">Veja também o documento de trabalho anterior desenvolvido pela Comissão Europeia: </w:t>
      </w:r>
      <w:hyperlink r:id="rId84" w:history="1">
        <w:r>
          <w:rPr>
            <w:rStyle w:val="Hyperlink"/>
            <w:rFonts w:ascii="Arial" w:hAnsi="Arial"/>
            <w:i/>
            <w:sz w:val="16"/>
          </w:rPr>
          <w:t>Management of Intellectual Property in Publicly-funded Research Organisations:</w:t>
        </w:r>
      </w:hyperlink>
      <w:hyperlink r:id="rId85" w:history="1">
        <w:r>
          <w:rPr>
            <w:rStyle w:val="Hyperlink"/>
            <w:rFonts w:ascii="Arial" w:hAnsi="Arial"/>
            <w:i/>
            <w:sz w:val="16"/>
          </w:rPr>
          <w:t xml:space="preserve"> Towards European Guidelines</w:t>
        </w:r>
      </w:hyperlink>
      <w:r>
        <w:rPr>
          <w:rStyle w:val="Hyperlink"/>
          <w:rFonts w:ascii="Arial" w:hAnsi="Arial"/>
          <w:i/>
          <w:sz w:val="16"/>
        </w:rPr>
        <w:t xml:space="preserve"> </w:t>
      </w:r>
      <w:r>
        <w:rPr>
          <w:rFonts w:ascii="Arial" w:hAnsi="Arial"/>
          <w:sz w:val="16"/>
        </w:rPr>
        <w:t xml:space="preserve">(2004). </w:t>
      </w:r>
    </w:p>
    <w:p w14:paraId="725C900A" w14:textId="77777777" w:rsidR="008178A1" w:rsidRPr="00B52DF6" w:rsidRDefault="008178A1" w:rsidP="00132893">
      <w:pPr>
        <w:pStyle w:val="FootnoteText"/>
      </w:pPr>
    </w:p>
  </w:footnote>
  <w:footnote w:id="150">
    <w:p w14:paraId="640ED6F4" w14:textId="77777777" w:rsidR="008178A1" w:rsidRPr="0046400E" w:rsidRDefault="008178A1" w:rsidP="003017B7">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sz w:val="16"/>
          <w:shd w:val="clear" w:color="auto" w:fill="FFFFFF"/>
        </w:rPr>
        <w:t xml:space="preserve">As propriedades descentralizadas, de ponto a ponto e confiáveis das blockchains oferecem a possibilidade de criação de um registro claro e inviolável, o que é importante para a PI. </w:t>
      </w:r>
      <w:r>
        <w:rPr>
          <w:rFonts w:ascii="Arial" w:hAnsi="Arial"/>
          <w:sz w:val="16"/>
        </w:rPr>
        <w:t>As blockchains são resistentes à modificação de dados. Uma vez registrados, os dados em qualquer bloco não podem ser alterados sem a alteração de todos os blocos subsequentes e a colusão da rede. Graças a isso, a tecnologia blockchain pode ser usada por indivíduos para fornecer uma prova sólida de autoria e evidência de criação, podendo assim substituir ou complementar os cadernos de laboratório usados quando se trata da divulgação de uma invenção.</w:t>
      </w:r>
    </w:p>
  </w:footnote>
  <w:footnote w:id="151">
    <w:p w14:paraId="28592A48" w14:textId="77777777" w:rsidR="008178A1" w:rsidRPr="007F0AC2" w:rsidRDefault="008178A1" w:rsidP="009A7567">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O depósito de uma divulgação de invenção declara a invenção, os inventores e a data da invenção. Mesmo que um pedido de patente nunca seja depositado, uma divulgação de invenção devidamente concluída pode fornecer alguma proteção contra pedidos de patente subsequentes depositados por outras partes (veja Mc Gee, D. </w:t>
      </w:r>
      <w:hyperlink r:id="rId86" w:history="1">
        <w:r>
          <w:rPr>
            <w:rStyle w:val="Hyperlink"/>
            <w:rFonts w:ascii="Arial" w:hAnsi="Arial"/>
            <w:i/>
            <w:sz w:val="16"/>
          </w:rPr>
          <w:t>Invention Disclosures and the Role of Inventors</w:t>
        </w:r>
      </w:hyperlink>
      <w:r>
        <w:rPr>
          <w:rFonts w:ascii="Arial" w:hAnsi="Arial"/>
          <w:i/>
          <w:sz w:val="16"/>
        </w:rPr>
        <w:t>).</w:t>
      </w:r>
    </w:p>
  </w:footnote>
  <w:footnote w:id="152">
    <w:p w14:paraId="481711D3" w14:textId="112A0C2F" w:rsidR="008178A1" w:rsidRPr="0024467F" w:rsidRDefault="008178A1" w:rsidP="0037079F">
      <w:pPr>
        <w:pStyle w:val="FootnoteText"/>
        <w:jc w:val="both"/>
      </w:pPr>
      <w:r>
        <w:rPr>
          <w:rStyle w:val="FootnoteReference"/>
          <w:rFonts w:ascii="Arial" w:hAnsi="Arial" w:cs="Arial"/>
          <w:sz w:val="16"/>
          <w:szCs w:val="16"/>
        </w:rPr>
        <w:footnoteRef/>
      </w:r>
      <w:r>
        <w:rPr>
          <w:rStyle w:val="FootnoteReference"/>
          <w:rFonts w:ascii="Arial" w:hAnsi="Arial"/>
          <w:sz w:val="16"/>
        </w:rPr>
        <w:t xml:space="preserve"> </w:t>
      </w:r>
      <w:r>
        <w:rPr>
          <w:rFonts w:ascii="Arial" w:hAnsi="Arial"/>
          <w:color w:val="000000"/>
          <w:sz w:val="16"/>
          <w:shd w:val="clear" w:color="auto" w:fill="FFFFFF"/>
        </w:rPr>
        <w:t>Isso também se relaciona à prática de algumas instituições de reivindicar titularidade sobre propriedade intelectual feita por Alunos sob a supervisão de professores ou funcionários</w:t>
      </w:r>
      <w:r w:rsidR="008411EA">
        <w:rPr>
          <w:rFonts w:ascii="Arial" w:hAnsi="Arial"/>
          <w:color w:val="000000"/>
          <w:sz w:val="16"/>
          <w:shd w:val="clear" w:color="auto" w:fill="FFFFFF"/>
        </w:rPr>
        <w:t xml:space="preserve">. </w:t>
      </w:r>
      <w:r>
        <w:rPr>
          <w:rFonts w:ascii="Arial" w:hAnsi="Arial"/>
          <w:color w:val="000000"/>
          <w:sz w:val="16"/>
          <w:shd w:val="clear" w:color="auto" w:fill="FFFFFF"/>
        </w:rPr>
        <w:t>A maioria das universidades não faz tal afirmação, acreditando que isso é uma afirmação exagerada da Instituição.</w:t>
      </w:r>
    </w:p>
  </w:footnote>
  <w:footnote w:id="153">
    <w:p w14:paraId="3813A2F2" w14:textId="77777777" w:rsidR="008178A1" w:rsidRPr="0024467F" w:rsidRDefault="008178A1" w:rsidP="006567C2">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Veja a Publicação da OMPI  “</w:t>
      </w:r>
      <w:hyperlink r:id="rId87" w:history="1">
        <w:r w:rsidRPr="0024467F">
          <w:rPr>
            <w:rStyle w:val="Hyperlink"/>
            <w:rFonts w:ascii="Arial" w:hAnsi="Arial"/>
            <w:sz w:val="16"/>
            <w:lang w:val="en-US"/>
          </w:rPr>
          <w:t>Key Questions on Developing Patent Disclosure Requirements for Genetic Resources and Traditional Knowledge</w:t>
        </w:r>
      </w:hyperlink>
      <w:r w:rsidRPr="0024467F">
        <w:rPr>
          <w:rFonts w:ascii="Arial" w:hAnsi="Arial"/>
          <w:sz w:val="16"/>
          <w:lang w:val="en-US"/>
        </w:rPr>
        <w:t>”.</w:t>
      </w:r>
    </w:p>
  </w:footnote>
  <w:footnote w:id="154">
    <w:p w14:paraId="645EE8D7" w14:textId="77777777" w:rsidR="008178A1" w:rsidRPr="00042004" w:rsidRDefault="008178A1" w:rsidP="00835251">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Conforme publicado em 16 de dezembro de 1980 (conforme última alteração pelo Artigo 1 da Lei de 19 de outubro de 2013).</w:t>
      </w:r>
    </w:p>
  </w:footnote>
  <w:footnote w:id="155">
    <w:p w14:paraId="28177286" w14:textId="77777777" w:rsidR="008178A1" w:rsidRPr="00042004" w:rsidRDefault="008178A1" w:rsidP="00835251">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Lei Federal Suíça de 25 de junho de 1954 sobre Patentes de Invenções (status em 1º de janeiro de 2017).</w:t>
      </w:r>
    </w:p>
  </w:footnote>
  <w:footnote w:id="156">
    <w:p w14:paraId="2691402B" w14:textId="77777777" w:rsidR="008178A1" w:rsidRPr="002D2732" w:rsidRDefault="008178A1" w:rsidP="00835251">
      <w:pPr>
        <w:pStyle w:val="FootnoteText"/>
        <w:jc w:val="both"/>
        <w:rPr>
          <w:rFonts w:ascii="Arial" w:hAnsi="Arial" w:cs="Arial"/>
          <w:sz w:val="18"/>
          <w:szCs w:val="18"/>
        </w:rPr>
      </w:pPr>
      <w:r>
        <w:rPr>
          <w:rStyle w:val="FootnoteReference"/>
          <w:rFonts w:ascii="Arial" w:hAnsi="Arial" w:cs="Arial"/>
          <w:sz w:val="16"/>
          <w:szCs w:val="16"/>
        </w:rPr>
        <w:footnoteRef/>
      </w:r>
      <w:r>
        <w:rPr>
          <w:rFonts w:ascii="Arial" w:hAnsi="Arial"/>
          <w:sz w:val="16"/>
        </w:rPr>
        <w:t xml:space="preserve"> Uma publicação da OMPI intitulada “</w:t>
      </w:r>
      <w:hyperlink r:id="rId88" w:history="1">
        <w:r>
          <w:rPr>
            <w:rStyle w:val="Hyperlink"/>
            <w:rFonts w:ascii="Arial" w:hAnsi="Arial"/>
            <w:sz w:val="16"/>
          </w:rPr>
          <w:t>Perguntas-chave sobre o Desenvolvimento de Requisitos de Divulgação de Patentes para Recursos Genéticos e Conhecimento Tradicional</w:t>
        </w:r>
      </w:hyperlink>
      <w:r>
        <w:rPr>
          <w:rFonts w:ascii="Arial" w:hAnsi="Arial"/>
          <w:sz w:val="16"/>
        </w:rPr>
        <w:t>” se concentra nas perguntas-chave que os formuladores de políticas precisarão considerar em cada estágio do processo de desenvolvimento de políticas de requisitos específicos de divulgação de patentes relacionados a RGs/CT. Veja também “</w:t>
      </w:r>
      <w:hyperlink r:id="rId89" w:history="1">
        <w:r>
          <w:rPr>
            <w:rStyle w:val="Hyperlink"/>
            <w:rFonts w:ascii="Arial" w:hAnsi="Arial"/>
            <w:sz w:val="16"/>
          </w:rPr>
          <w:t>Nota Informativa n.º 10 “Propriedade Intelectual e Recursos Genéticos</w:t>
        </w:r>
      </w:hyperlink>
      <w:r>
        <w:rPr>
          <w:rFonts w:ascii="Arial" w:hAnsi="Arial"/>
          <w:sz w:val="16"/>
        </w:rPr>
        <w:t>”.</w:t>
      </w:r>
      <w:r>
        <w:rPr>
          <w:rFonts w:ascii="Arial" w:hAnsi="Arial"/>
          <w:sz w:val="18"/>
        </w:rPr>
        <w:t xml:space="preserve"> </w:t>
      </w:r>
    </w:p>
  </w:footnote>
  <w:footnote w:id="157">
    <w:p w14:paraId="2D578205" w14:textId="77777777" w:rsidR="008178A1" w:rsidRPr="00042004" w:rsidRDefault="008178A1" w:rsidP="00835251">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90" w:history="1">
        <w:r>
          <w:rPr>
            <w:rStyle w:val="Hyperlink"/>
            <w:rFonts w:ascii="Arial" w:hAnsi="Arial"/>
            <w:sz w:val="16"/>
          </w:rPr>
          <w:t>Regulamento nº 511/2014</w:t>
        </w:r>
      </w:hyperlink>
      <w:r>
        <w:rPr>
          <w:rFonts w:ascii="Arial" w:hAnsi="Arial"/>
          <w:sz w:val="16"/>
        </w:rPr>
        <w:t xml:space="preserve"> do Parlamento Europeu e do Conselho sobre medidas de conformidade para usuários do Protocolo de Nagoia sobre Acesso aos Recursos Genéticos e Repartição Justa e Equitativa dos Benefícios Decorrentes de sua Utilização na União, 16 de abril de 2014.</w:t>
      </w:r>
    </w:p>
  </w:footnote>
  <w:footnote w:id="158">
    <w:p w14:paraId="1123CFD6" w14:textId="77777777" w:rsidR="008178A1" w:rsidRPr="0024467F" w:rsidRDefault="008178A1" w:rsidP="00E766D2">
      <w:pPr>
        <w:pStyle w:val="FootnoteText"/>
        <w:rPr>
          <w:rFonts w:ascii="Arial" w:hAnsi="Arial" w:cs="Arial"/>
          <w:sz w:val="16"/>
          <w:szCs w:val="16"/>
          <w:lang w:val="fr-FR"/>
        </w:rPr>
      </w:pPr>
      <w:r>
        <w:rPr>
          <w:rStyle w:val="FootnoteReference"/>
          <w:rFonts w:ascii="Arial" w:hAnsi="Arial" w:cs="Arial"/>
          <w:sz w:val="16"/>
          <w:szCs w:val="16"/>
        </w:rPr>
        <w:footnoteRef/>
      </w:r>
      <w:r w:rsidRPr="0024467F">
        <w:rPr>
          <w:rFonts w:ascii="Arial" w:hAnsi="Arial"/>
          <w:sz w:val="16"/>
          <w:lang w:val="fr-FR"/>
        </w:rPr>
        <w:t xml:space="preserve"> Fonte: Universidade de New Hampshire </w:t>
      </w:r>
      <w:hyperlink r:id="rId91" w:history="1">
        <w:r w:rsidRPr="0024467F">
          <w:rPr>
            <w:rStyle w:val="Hyperlink"/>
            <w:rFonts w:ascii="Arial" w:hAnsi="Arial"/>
            <w:sz w:val="16"/>
            <w:lang w:val="fr-FR"/>
          </w:rPr>
          <w:t>blog</w:t>
        </w:r>
      </w:hyperlink>
      <w:r w:rsidRPr="0024467F">
        <w:rPr>
          <w:rFonts w:ascii="Arial" w:hAnsi="Arial"/>
          <w:sz w:val="16"/>
          <w:lang w:val="fr-FR"/>
        </w:rPr>
        <w:t xml:space="preserve">. </w:t>
      </w:r>
    </w:p>
  </w:footnote>
  <w:footnote w:id="159">
    <w:p w14:paraId="25E90C4D" w14:textId="77777777" w:rsidR="008178A1" w:rsidRPr="00793C0C"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Uma cessão é a transferência do título legal de uma invenção ou criação.</w:t>
      </w:r>
    </w:p>
  </w:footnote>
  <w:footnote w:id="160">
    <w:p w14:paraId="7889AB5A" w14:textId="77777777" w:rsidR="008178A1" w:rsidRPr="00BD07D8" w:rsidRDefault="008178A1" w:rsidP="00BD07D8">
      <w:pPr>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decisão de que uma invenção tem valor comercial potencial “suficiente” para um pedido de patente varia de instituição para instituição e depende de muitos fatores. Uma consideração é a receita futura de royalties prevista da licença. Outro fator é se uma entidade comercial já está interessada na descoberta e é capaz de desenvolvê-la. Um terceiro fator é quão ampla ou executável a patente resultante provavelmente será, e se os direitos autorais são uma ferramenta de PI mais adequada. Por exemplo, se a patenteabilidade da invenção for duvidosa, mas incluir matéria protegida por direitos autorais e for, de outra forma, muito comercializável, pode ser melhor para a instituição financeiramente e para a comunidade científica em geral licenciar imediatamente a invenção sem proteção de patente.</w:t>
      </w:r>
    </w:p>
  </w:footnote>
  <w:footnote w:id="161">
    <w:p w14:paraId="547FA38A" w14:textId="77777777" w:rsidR="008178A1" w:rsidRPr="00BD07D8" w:rsidRDefault="008178A1" w:rsidP="0034779E">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92" w:history="1">
        <w:r>
          <w:rPr>
            <w:rStyle w:val="Hyperlink"/>
            <w:rFonts w:ascii="Arial" w:hAnsi="Arial"/>
            <w:sz w:val="16"/>
          </w:rPr>
          <w:t>Association of University Technology Managers</w:t>
        </w:r>
      </w:hyperlink>
      <w:r>
        <w:rPr>
          <w:rFonts w:ascii="Arial" w:hAnsi="Arial"/>
          <w:color w:val="000000"/>
          <w:sz w:val="16"/>
        </w:rPr>
        <w:t xml:space="preserve"> (AUTM) Pesquisas de Atividade de Licenciamento de universidades, hospitais e instituições de pesquisa.</w:t>
      </w:r>
    </w:p>
  </w:footnote>
  <w:footnote w:id="162">
    <w:p w14:paraId="3FB1CB1C" w14:textId="77777777" w:rsidR="008178A1" w:rsidRPr="007F0AC2" w:rsidRDefault="008178A1" w:rsidP="00404124">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 xml:space="preserve">Trecho do </w:t>
      </w:r>
      <w:hyperlink r:id="rId93" w:history="1">
        <w:r>
          <w:rPr>
            <w:rStyle w:val="Hyperlink"/>
            <w:rFonts w:ascii="Arial" w:hAnsi="Arial"/>
            <w:i/>
            <w:sz w:val="16"/>
          </w:rPr>
          <w:t>Levantamento Sul-Africano sobre Propriedade Intelectual e Transferência de Tecnologia em Instituições de Pesquisa Financiadas Publicamente e em Instituições Financiadas com Recursos Públicos</w:t>
        </w:r>
      </w:hyperlink>
      <w:r>
        <w:rPr>
          <w:rFonts w:ascii="Arial" w:hAnsi="Arial"/>
          <w:i/>
          <w:color w:val="000000" w:themeColor="text1"/>
          <w:sz w:val="16"/>
        </w:rPr>
        <w:t>.</w:t>
      </w:r>
      <w:r>
        <w:rPr>
          <w:rFonts w:ascii="Arial" w:hAnsi="Arial"/>
          <w:color w:val="000000" w:themeColor="text1"/>
          <w:sz w:val="16"/>
        </w:rPr>
        <w:t xml:space="preserve"> </w:t>
      </w:r>
      <w:r>
        <w:rPr>
          <w:rFonts w:ascii="Arial" w:hAnsi="Arial"/>
          <w:sz w:val="16"/>
        </w:rPr>
        <w:t>Este levantamento estabelece indicadores de base necessários para monitorar a atividade global na gestão da Propriedade Intelectual (PI) e na Transferência de Tecnologia (TT) em instituições de pesquisa financiadas publicamente na África do Sul.</w:t>
      </w:r>
    </w:p>
  </w:footnote>
  <w:footnote w:id="163">
    <w:p w14:paraId="22C9D32E"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94" w:history="1">
        <w:r>
          <w:rPr>
            <w:rStyle w:val="Hyperlink"/>
            <w:rFonts w:ascii="Arial" w:hAnsi="Arial"/>
            <w:sz w:val="16"/>
          </w:rPr>
          <w:t>http://research.ump.edu.my/images/docman/Intelectual_Property/UMP-IP-Policy.pdf</w:t>
        </w:r>
      </w:hyperlink>
      <w:r>
        <w:rPr>
          <w:rFonts w:ascii="Arial" w:hAnsi="Arial"/>
          <w:sz w:val="16"/>
        </w:rPr>
        <w:t xml:space="preserve"> </w:t>
      </w:r>
    </w:p>
  </w:footnote>
  <w:footnote w:id="164">
    <w:p w14:paraId="33B755AB" w14:textId="77777777" w:rsidR="008178A1" w:rsidRPr="00BD07D8" w:rsidRDefault="008178A1" w:rsidP="004B3FAF">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Além disso, o campo de uso pode ser restrito para que outras empresas possam explorar campos que não são de interesse do licenciado inicial.</w:t>
      </w:r>
    </w:p>
  </w:footnote>
  <w:footnote w:id="165">
    <w:p w14:paraId="1B5E3F50" w14:textId="77777777" w:rsidR="008178A1" w:rsidRPr="002009C9" w:rsidRDefault="008178A1" w:rsidP="004B3FAF">
      <w:pPr>
        <w:pStyle w:val="FootnoteText"/>
        <w:jc w:val="both"/>
        <w:rPr>
          <w:rStyle w:val="FootnoteReference"/>
          <w:rFonts w:ascii="Arial" w:hAnsi="Arial" w:cs="Arial"/>
          <w:sz w:val="18"/>
          <w:vertAlign w:val="baseline"/>
        </w:rPr>
      </w:pPr>
      <w:r>
        <w:rPr>
          <w:rStyle w:val="FootnoteReference"/>
          <w:rFonts w:ascii="Arial" w:hAnsi="Arial" w:cs="Arial"/>
          <w:sz w:val="16"/>
          <w:szCs w:val="16"/>
          <w:vertAlign w:val="baseline"/>
        </w:rPr>
        <w:footnoteRef/>
      </w:r>
      <w:r>
        <w:rPr>
          <w:rStyle w:val="FootnoteReference"/>
          <w:rFonts w:ascii="Arial" w:hAnsi="Arial"/>
          <w:sz w:val="16"/>
          <w:vertAlign w:val="baseline"/>
        </w:rPr>
        <w:t xml:space="preserve"> Cervantes, Mario, </w:t>
      </w:r>
      <w:hyperlink r:id="rId95" w:history="1">
        <w:r>
          <w:rPr>
            <w:rStyle w:val="FootnoteReference"/>
            <w:rFonts w:ascii="Arial" w:hAnsi="Arial"/>
            <w:sz w:val="16"/>
            <w:vertAlign w:val="baseline"/>
          </w:rPr>
          <w:t>Academic Patenting:</w:t>
        </w:r>
      </w:hyperlink>
      <w:hyperlink r:id="rId96" w:history="1">
        <w:r>
          <w:rPr>
            <w:rStyle w:val="FootnoteReference"/>
            <w:rFonts w:ascii="Arial" w:hAnsi="Arial"/>
            <w:sz w:val="16"/>
            <w:vertAlign w:val="baseline"/>
          </w:rPr>
          <w:t xml:space="preserve"> How universities and public research organizations are using their intellectual property to boost research and spur innovative start-ups</w:t>
        </w:r>
      </w:hyperlink>
      <w:r>
        <w:rPr>
          <w:rStyle w:val="FootnoteReference"/>
          <w:rFonts w:ascii="Arial" w:hAnsi="Arial"/>
          <w:sz w:val="16"/>
          <w:vertAlign w:val="baseline"/>
        </w:rPr>
        <w:t>.</w:t>
      </w:r>
      <w:r>
        <w:rPr>
          <w:rStyle w:val="FootnoteReference"/>
          <w:rFonts w:ascii="Arial" w:hAnsi="Arial"/>
          <w:sz w:val="18"/>
          <w:vertAlign w:val="baseline"/>
        </w:rPr>
        <w:t xml:space="preserve"> </w:t>
      </w:r>
    </w:p>
  </w:footnote>
  <w:footnote w:id="166">
    <w:p w14:paraId="09AFB0C4" w14:textId="77777777" w:rsidR="008178A1" w:rsidRPr="0024467F" w:rsidRDefault="008178A1" w:rsidP="00C21221">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Coletado de: Breznitz, S. (2014), </w:t>
      </w:r>
      <w:r w:rsidRPr="0024467F">
        <w:rPr>
          <w:rFonts w:ascii="Arial" w:hAnsi="Arial"/>
          <w:i/>
          <w:sz w:val="16"/>
          <w:lang w:val="en-US"/>
        </w:rPr>
        <w:t>The Fountain of Knowledge</w:t>
      </w:r>
      <w:r w:rsidRPr="0024467F">
        <w:rPr>
          <w:rFonts w:ascii="Arial" w:hAnsi="Arial"/>
          <w:sz w:val="16"/>
          <w:lang w:val="en-US"/>
        </w:rPr>
        <w:t>.</w:t>
      </w:r>
    </w:p>
    <w:p w14:paraId="341CF45E" w14:textId="77777777" w:rsidR="008178A1" w:rsidRPr="0024467F" w:rsidRDefault="008178A1">
      <w:pPr>
        <w:pStyle w:val="FootnoteText"/>
        <w:rPr>
          <w:lang w:val="en-US"/>
        </w:rPr>
      </w:pPr>
    </w:p>
  </w:footnote>
  <w:footnote w:id="167">
    <w:p w14:paraId="55D79795" w14:textId="2D7D08FB" w:rsidR="008178A1" w:rsidRPr="0024467F" w:rsidRDefault="008178A1" w:rsidP="00BD07D8">
      <w:pPr>
        <w:pStyle w:val="FootnoteText"/>
        <w:jc w:val="both"/>
        <w:rPr>
          <w:rFonts w:ascii="Arial" w:hAnsi="Arial" w:cs="Arial"/>
          <w:sz w:val="16"/>
          <w:szCs w:val="16"/>
          <w:lang w:val="en-US"/>
        </w:rPr>
      </w:pPr>
      <w:r>
        <w:rPr>
          <w:rStyle w:val="FootnoteReference"/>
          <w:rFonts w:ascii="Arial" w:hAnsi="Arial" w:cs="Arial"/>
          <w:sz w:val="16"/>
          <w:szCs w:val="16"/>
        </w:rPr>
        <w:footnoteRef/>
      </w:r>
      <w:r w:rsidRPr="008411EA">
        <w:rPr>
          <w:rFonts w:ascii="Arial" w:hAnsi="Arial"/>
          <w:sz w:val="16"/>
          <w:lang w:val="en-US"/>
        </w:rPr>
        <w:t xml:space="preserve"> Siegel, D. e Phan, P</w:t>
      </w:r>
      <w:r w:rsidR="008411EA" w:rsidRPr="008411EA">
        <w:rPr>
          <w:rFonts w:ascii="Arial" w:hAnsi="Arial"/>
          <w:sz w:val="16"/>
          <w:lang w:val="en-US"/>
        </w:rPr>
        <w:t xml:space="preserve">. </w:t>
      </w:r>
      <w:r w:rsidRPr="0024467F">
        <w:rPr>
          <w:rFonts w:ascii="Arial" w:hAnsi="Arial"/>
          <w:i/>
          <w:sz w:val="16"/>
          <w:lang w:val="en-US"/>
        </w:rPr>
        <w:t>Analyzing the Effectiveness of University Technology Transfer: Implications for Entrepreneurship Education</w:t>
      </w:r>
      <w:r w:rsidRPr="0024467F">
        <w:rPr>
          <w:rFonts w:ascii="Arial" w:hAnsi="Arial"/>
          <w:sz w:val="16"/>
          <w:lang w:val="en-US"/>
        </w:rPr>
        <w:t xml:space="preserve">, em Libecap, G. (2005), </w:t>
      </w:r>
      <w:r w:rsidRPr="0024467F">
        <w:rPr>
          <w:rFonts w:ascii="Arial" w:hAnsi="Arial"/>
          <w:i/>
          <w:sz w:val="16"/>
          <w:lang w:val="en-US"/>
        </w:rPr>
        <w:t>University Entrepreneurship and Technology Transfer: Process, Design and Intellectual Property</w:t>
      </w:r>
      <w:r w:rsidRPr="0024467F">
        <w:rPr>
          <w:rFonts w:ascii="Arial" w:hAnsi="Arial"/>
          <w:sz w:val="16"/>
          <w:lang w:val="en-US"/>
        </w:rPr>
        <w:t>.</w:t>
      </w:r>
    </w:p>
  </w:footnote>
  <w:footnote w:id="168">
    <w:p w14:paraId="4ADF1C60" w14:textId="77777777" w:rsidR="008178A1" w:rsidRPr="00BF4FA8" w:rsidRDefault="008178A1" w:rsidP="004B3FAF">
      <w:pPr>
        <w:pStyle w:val="FootnoteText"/>
        <w:jc w:val="both"/>
        <w:rPr>
          <w:rFonts w:ascii="Arial" w:hAnsi="Arial" w:cs="Arial"/>
        </w:rPr>
      </w:pPr>
      <w:r>
        <w:rPr>
          <w:rStyle w:val="FootnoteReference"/>
          <w:rFonts w:ascii="Arial" w:hAnsi="Arial" w:cs="Arial"/>
          <w:sz w:val="16"/>
          <w:szCs w:val="16"/>
        </w:rPr>
        <w:footnoteRef/>
      </w:r>
      <w:r>
        <w:rPr>
          <w:rFonts w:ascii="Arial" w:hAnsi="Arial"/>
          <w:sz w:val="16"/>
        </w:rPr>
        <w:t xml:space="preserve"> O arquivamento ou a suspensão da PI acadêmica se refere a pacotes de PI e divulgação de invenções que permanecem inexplorados, sem licença ou sem uso.</w:t>
      </w:r>
    </w:p>
  </w:footnote>
  <w:footnote w:id="169">
    <w:p w14:paraId="6C506245" w14:textId="77777777" w:rsidR="008178A1" w:rsidRPr="002009C9" w:rsidRDefault="008178A1" w:rsidP="004B3FAF">
      <w:pPr>
        <w:pStyle w:val="FootnoteText"/>
        <w:rPr>
          <w:rFonts w:ascii="Arial" w:hAnsi="Arial" w:cs="Arial"/>
          <w:sz w:val="18"/>
        </w:rPr>
      </w:pPr>
    </w:p>
  </w:footnote>
  <w:footnote w:id="170">
    <w:p w14:paraId="62D6D146" w14:textId="77777777" w:rsidR="008178A1" w:rsidRPr="007F0AC2" w:rsidRDefault="008178A1" w:rsidP="009D4A54">
      <w:pPr>
        <w:spacing w:after="0" w:line="240" w:lineRule="auto"/>
        <w:jc w:val="both"/>
        <w:rPr>
          <w:rFonts w:ascii="Arial" w:hAnsi="Arial" w:cs="Arial"/>
          <w:sz w:val="16"/>
          <w:szCs w:val="16"/>
        </w:rPr>
      </w:pPr>
      <w:r>
        <w:rPr>
          <w:rStyle w:val="FootnoteReference"/>
          <w:rFonts w:ascii="Arial" w:hAnsi="Arial" w:cs="Arial"/>
          <w:sz w:val="16"/>
          <w:szCs w:val="16"/>
        </w:rPr>
        <w:footnoteRef/>
      </w:r>
      <w:r w:rsidRPr="0024467F">
        <w:rPr>
          <w:rFonts w:ascii="Arial" w:hAnsi="Arial"/>
          <w:sz w:val="16"/>
          <w:lang w:val="en-US"/>
        </w:rPr>
        <w:t xml:space="preserve"> Fonte: </w:t>
      </w:r>
      <w:hyperlink r:id="rId97" w:history="1">
        <w:r w:rsidRPr="0024467F">
          <w:rPr>
            <w:rStyle w:val="Hyperlink"/>
            <w:rFonts w:ascii="Arial" w:hAnsi="Arial"/>
            <w:sz w:val="16"/>
            <w:lang w:val="en-US"/>
          </w:rPr>
          <w:t>Harnessing public research for innovation – the role of Intellectual Property</w:t>
        </w:r>
      </w:hyperlink>
      <w:r w:rsidRPr="0024467F">
        <w:rPr>
          <w:rFonts w:ascii="Arial" w:hAnsi="Arial"/>
          <w:sz w:val="16"/>
          <w:lang w:val="en-US"/>
        </w:rPr>
        <w:t xml:space="preserve">, no livro: World Intellectual Property Report 2011. </w:t>
      </w:r>
      <w:r>
        <w:rPr>
          <w:rFonts w:ascii="Arial" w:hAnsi="Arial"/>
          <w:sz w:val="16"/>
        </w:rPr>
        <w:t>The Changing Face of Innovation, Capítulo: 4.</w:t>
      </w:r>
    </w:p>
  </w:footnote>
  <w:footnote w:id="171">
    <w:p w14:paraId="66274CF5" w14:textId="77777777" w:rsidR="008178A1" w:rsidRPr="00B7519E" w:rsidRDefault="008178A1" w:rsidP="00C21221">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Também é fornecido um “Guia Rápido para Transferência de Tecnologia para Empresas”, que deve servir como uma checklist abrangente a ser levada em consideração ao iniciar qualquer processo de transferência de tecnologia.</w:t>
      </w:r>
    </w:p>
  </w:footnote>
  <w:footnote w:id="172">
    <w:p w14:paraId="0CC04DBD" w14:textId="770F2722" w:rsidR="008178A1" w:rsidRPr="007F0AC2" w:rsidRDefault="008178A1" w:rsidP="00B7519E">
      <w:pPr>
        <w:spacing w:after="0" w:line="240" w:lineRule="auto"/>
        <w:jc w:val="both"/>
        <w:rPr>
          <w:rFonts w:ascii="Arial" w:eastAsia="Times New Roman"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shd w:val="clear" w:color="auto" w:fill="FFFFFF"/>
        </w:rPr>
        <w:t xml:space="preserve">O </w:t>
      </w:r>
      <w:r>
        <w:rPr>
          <w:rFonts w:ascii="Arial" w:hAnsi="Arial"/>
          <w:b/>
          <w:color w:val="000000" w:themeColor="text1"/>
          <w:sz w:val="16"/>
          <w:shd w:val="clear" w:color="auto" w:fill="FFFFFF"/>
        </w:rPr>
        <w:t>fator de impacto</w:t>
      </w:r>
      <w:r>
        <w:rPr>
          <w:rFonts w:ascii="Arial" w:hAnsi="Arial"/>
          <w:color w:val="000000" w:themeColor="text1"/>
          <w:sz w:val="16"/>
          <w:shd w:val="clear" w:color="auto" w:fill="FFFFFF"/>
        </w:rPr>
        <w:t xml:space="preserve"> é uma medida da frequência com que o artigo médio em um</w:t>
      </w:r>
      <w:r>
        <w:rPr>
          <w:rFonts w:ascii="Arial" w:hAnsi="Arial"/>
          <w:b/>
          <w:color w:val="000000" w:themeColor="text1"/>
          <w:sz w:val="16"/>
          <w:shd w:val="clear" w:color="auto" w:fill="FFFFFF"/>
        </w:rPr>
        <w:t>periódico</w:t>
      </w:r>
      <w:r>
        <w:rPr>
          <w:rFonts w:ascii="Arial" w:hAnsi="Arial"/>
          <w:color w:val="000000" w:themeColor="text1"/>
          <w:sz w:val="16"/>
          <w:shd w:val="clear" w:color="auto" w:fill="FFFFFF"/>
        </w:rPr>
        <w:t xml:space="preserve"> foi citado em um ano específico</w:t>
      </w:r>
      <w:r w:rsidR="008411EA">
        <w:rPr>
          <w:rFonts w:ascii="Arial" w:hAnsi="Arial"/>
          <w:color w:val="000000" w:themeColor="text1"/>
          <w:sz w:val="16"/>
          <w:shd w:val="clear" w:color="auto" w:fill="FFFFFF"/>
        </w:rPr>
        <w:t xml:space="preserve">. </w:t>
      </w:r>
      <w:r>
        <w:rPr>
          <w:rFonts w:ascii="Arial" w:hAnsi="Arial"/>
          <w:color w:val="000000" w:themeColor="text1"/>
          <w:sz w:val="16"/>
          <w:shd w:val="clear" w:color="auto" w:fill="FFFFFF"/>
        </w:rPr>
        <w:t xml:space="preserve">Veja: </w:t>
      </w:r>
      <w:hyperlink r:id="rId98" w:history="1">
        <w:r>
          <w:rPr>
            <w:rStyle w:val="Hyperlink"/>
            <w:rFonts w:ascii="Arial" w:hAnsi="Arial"/>
            <w:sz w:val="16"/>
            <w:shd w:val="clear" w:color="auto" w:fill="FFFFFF"/>
          </w:rPr>
          <w:t>https://www.hsl.virginia.edu/services/howdoi/hdi-jcr.cfm</w:t>
        </w:r>
      </w:hyperlink>
      <w:r>
        <w:rPr>
          <w:rFonts w:ascii="Arial" w:hAnsi="Arial"/>
          <w:color w:val="000000" w:themeColor="text1"/>
          <w:sz w:val="16"/>
          <w:shd w:val="clear" w:color="auto" w:fill="FFFFFF"/>
        </w:rPr>
        <w:t>. Há uma forte correlação direta entre o fator de impacto e o valor da ciência para a comunidade científica.</w:t>
      </w:r>
    </w:p>
  </w:footnote>
  <w:footnote w:id="173">
    <w:p w14:paraId="4873135E" w14:textId="77777777" w:rsidR="008178A1" w:rsidRPr="00BD07D8" w:rsidRDefault="008178A1" w:rsidP="00B7519E">
      <w:pPr>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maioria dos pesquisadores universitários escolheu a rota acadêmica em vez da cultura empresarial e pode ver o envolvimento com o processo de comercialização como um fardo. Por outro lado, algum nível de envolvimento ativo dos Criadores é essencial para o sucesso da Comercialização. </w:t>
      </w:r>
    </w:p>
  </w:footnote>
  <w:footnote w:id="174">
    <w:p w14:paraId="01BAD079" w14:textId="77777777" w:rsidR="008178A1" w:rsidRPr="00BD07D8" w:rsidRDefault="008178A1" w:rsidP="00547F07">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Em alguns países, também existe a obrigação legal de repartir quaisquer lucros líquidos com os inventores.</w:t>
      </w:r>
    </w:p>
  </w:footnote>
  <w:footnote w:id="175">
    <w:p w14:paraId="76DC64D5"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o Artigo 1.3.2 Modelo.</w:t>
      </w:r>
    </w:p>
  </w:footnote>
  <w:footnote w:id="176">
    <w:p w14:paraId="0015260A" w14:textId="77777777" w:rsidR="008178A1" w:rsidRPr="00C23973" w:rsidRDefault="008178A1" w:rsidP="00547F07">
      <w:pPr>
        <w:pStyle w:val="FootnoteText"/>
      </w:pPr>
      <w:r>
        <w:rPr>
          <w:rStyle w:val="FootnoteReference"/>
          <w:rFonts w:ascii="Arial" w:hAnsi="Arial" w:cs="Arial"/>
          <w:sz w:val="16"/>
          <w:szCs w:val="16"/>
        </w:rPr>
        <w:footnoteRef/>
      </w:r>
      <w:r>
        <w:rPr>
          <w:rFonts w:ascii="Arial" w:hAnsi="Arial"/>
          <w:sz w:val="16"/>
        </w:rPr>
        <w:t xml:space="preserve"> Seção 202(c)(7)(C e D).</w:t>
      </w:r>
    </w:p>
  </w:footnote>
  <w:footnote w:id="177">
    <w:p w14:paraId="4660EBFB" w14:textId="77777777" w:rsidR="008178A1" w:rsidRPr="00FD52F3"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As boas práticas e os procedimentos a serem seguidos durante a criação da PI, a divulgação subsequente ao EGPI e a determinação da titularidade da PI estão definidos nos Artigos 8.1 a 8.3 e devem ser diligentemente observados e implementados</w:t>
      </w:r>
    </w:p>
  </w:footnote>
  <w:footnote w:id="178">
    <w:p w14:paraId="0F49C551" w14:textId="77777777" w:rsidR="008178A1" w:rsidRPr="00BC3899" w:rsidRDefault="008178A1" w:rsidP="00DB1B01">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Os cientistas acadêmicos geralmente buscam a rápida disseminação de suas ideias, especialmente por meio de publicações em periódicos acadêmicos seletivos e reconhecimento por pares. Eles também podem buscar recompensas financeiras, que podem ser reinvestidas em suas pesquisas.</w:t>
      </w:r>
    </w:p>
  </w:footnote>
  <w:footnote w:id="179">
    <w:p w14:paraId="1C238055" w14:textId="77777777" w:rsidR="008178A1" w:rsidRPr="00BC3899" w:rsidRDefault="008178A1" w:rsidP="00DB1B01">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O EGPI e outros administradores de pesquisa geralmente tentam gerar receita do portfólio de PI e buscam transferir ou comercializar tecnologias institucionais para empresas.</w:t>
      </w:r>
    </w:p>
  </w:footnote>
  <w:footnote w:id="180">
    <w:p w14:paraId="18FEF06F" w14:textId="77777777" w:rsidR="008178A1" w:rsidRPr="00BC3899" w:rsidRDefault="008178A1" w:rsidP="00DB1B01">
      <w:pPr>
        <w:pStyle w:val="FootnoteText"/>
        <w:jc w:val="both"/>
        <w:rPr>
          <w:rFonts w:ascii="Arial" w:hAnsi="Arial" w:cs="Arial"/>
          <w:color w:val="000000" w:themeColor="text1"/>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As empresas são motivadas pelo desejo de comercializar propriedade intelectual desenvolvida em instituições para obter ganhos financeiros. Elas desejam garantir direitos exclusivos sobre tal propriedade intelectual e dão grande ênfase à velocidade.</w:t>
      </w:r>
    </w:p>
  </w:footnote>
  <w:footnote w:id="181">
    <w:p w14:paraId="075A849B"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r>
        <w:rPr>
          <w:rFonts w:ascii="Arial" w:hAnsi="Arial"/>
          <w:color w:val="000000" w:themeColor="text1"/>
          <w:sz w:val="16"/>
        </w:rPr>
        <w:t>Lei nº 13.243/16 que entrou em vigor em 11 de janeiro de 2016.</w:t>
      </w:r>
    </w:p>
  </w:footnote>
  <w:footnote w:id="182">
    <w:p w14:paraId="369DDD37" w14:textId="77777777" w:rsidR="008178A1" w:rsidRPr="00212AAD" w:rsidRDefault="008178A1" w:rsidP="00E8794D">
      <w:pPr>
        <w:pStyle w:val="FootnoteText"/>
        <w:jc w:val="both"/>
        <w:rPr>
          <w:rFonts w:ascii="Arial" w:hAnsi="Arial" w:cs="Arial"/>
          <w:sz w:val="16"/>
        </w:rPr>
      </w:pPr>
      <w:r>
        <w:rPr>
          <w:rStyle w:val="FootnoteReference"/>
          <w:rFonts w:ascii="Arial" w:hAnsi="Arial" w:cs="Arial"/>
          <w:sz w:val="16"/>
          <w:szCs w:val="16"/>
        </w:rPr>
        <w:footnoteRef/>
      </w:r>
      <w:r>
        <w:rPr>
          <w:rFonts w:ascii="Arial" w:hAnsi="Arial"/>
          <w:sz w:val="16"/>
        </w:rPr>
        <w:t xml:space="preserve"> Artigo 20 da Lei ST: </w:t>
      </w:r>
      <w:r>
        <w:rPr>
          <w:rFonts w:ascii="Arial" w:hAnsi="Arial"/>
          <w:color w:val="211E1E"/>
          <w:sz w:val="16"/>
        </w:rPr>
        <w:t>As patentes de invenção obtidas em projetos cobertos pelo financiamento científico e tecnológico estabelecidos com financiamentos governamentais ou por planos científicos e tecnológicos, os direitos autorais de programas de computador, os direitos de patente de projeto de fiação de circuitos integrados e os direitos de novas linhagens de plantas serão, exceto quando estiverem envolvidos interesses e segurança nacional e interesses públicos vitais, são concedidos aos empreendedores autorizados de projetos de acordo com a lei</w:t>
      </w:r>
    </w:p>
  </w:footnote>
  <w:footnote w:id="183">
    <w:p w14:paraId="613C5594" w14:textId="77777777" w:rsidR="008178A1" w:rsidRPr="0024467F" w:rsidRDefault="008178A1" w:rsidP="00B7519E">
      <w:pPr>
        <w:pStyle w:val="FootnoteText"/>
        <w:jc w:val="both"/>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Coletado de: Breznitz, S. (2014), </w:t>
      </w:r>
      <w:r w:rsidRPr="0024467F">
        <w:rPr>
          <w:rFonts w:ascii="Arial" w:hAnsi="Arial"/>
          <w:i/>
          <w:sz w:val="16"/>
          <w:lang w:val="en-US"/>
        </w:rPr>
        <w:t xml:space="preserve">The Fountain of Knowledge; </w:t>
      </w:r>
      <w:r w:rsidRPr="0024467F">
        <w:rPr>
          <w:rFonts w:ascii="Arial" w:hAnsi="Arial"/>
          <w:sz w:val="16"/>
          <w:lang w:val="en-US"/>
        </w:rPr>
        <w:t xml:space="preserve">e Libecap, G. (2005), </w:t>
      </w:r>
      <w:r w:rsidRPr="0024467F">
        <w:rPr>
          <w:rFonts w:ascii="Arial" w:hAnsi="Arial"/>
          <w:i/>
          <w:sz w:val="16"/>
          <w:lang w:val="en-US"/>
        </w:rPr>
        <w:t>University Entrepreneurship and Technology Transfer: Process, Design and Intellectual Property</w:t>
      </w:r>
      <w:r w:rsidRPr="0024467F">
        <w:rPr>
          <w:rFonts w:ascii="Arial" w:hAnsi="Arial"/>
          <w:sz w:val="16"/>
          <w:lang w:val="en-US"/>
        </w:rPr>
        <w:t>.</w:t>
      </w:r>
    </w:p>
  </w:footnote>
  <w:footnote w:id="184">
    <w:p w14:paraId="62ABFD5C" w14:textId="77777777" w:rsidR="008178A1" w:rsidRPr="007F0AC2"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razão por trás disso é que professores plenos e associados, geralmente titulares, fazem a maior parte da divulgação de invenções e do patenteamento. Portanto, incentivar os professores mais jovens terá mais efeito. Veja Link, A. e Siegel, D. (2005), </w:t>
      </w:r>
      <w:r>
        <w:rPr>
          <w:rFonts w:ascii="Arial" w:hAnsi="Arial"/>
          <w:i/>
          <w:sz w:val="16"/>
        </w:rPr>
        <w:t>Generating science-based growth: An econometric analysis of the impact of organizational incentives on university-industry technology transfer</w:t>
      </w:r>
      <w:r>
        <w:rPr>
          <w:rFonts w:ascii="Arial" w:hAnsi="Arial"/>
          <w:sz w:val="16"/>
        </w:rPr>
        <w:t xml:space="preserve">. </w:t>
      </w:r>
    </w:p>
  </w:footnote>
  <w:footnote w:id="185">
    <w:p w14:paraId="7B239027" w14:textId="77777777" w:rsidR="008178A1" w:rsidRPr="0024467F" w:rsidRDefault="008178A1">
      <w:pPr>
        <w:pStyle w:val="FootnoteText"/>
        <w:rPr>
          <w:rFonts w:ascii="Arial" w:hAnsi="Arial" w:cs="Arial"/>
          <w:sz w:val="16"/>
          <w:szCs w:val="16"/>
          <w:lang w:val="de-DE"/>
        </w:rPr>
      </w:pPr>
      <w:r>
        <w:rPr>
          <w:rStyle w:val="FootnoteReference"/>
          <w:rFonts w:ascii="Arial" w:hAnsi="Arial" w:cs="Arial"/>
          <w:sz w:val="16"/>
          <w:szCs w:val="16"/>
        </w:rPr>
        <w:footnoteRef/>
      </w:r>
      <w:r w:rsidRPr="0024467F">
        <w:rPr>
          <w:rFonts w:ascii="Arial" w:hAnsi="Arial"/>
          <w:sz w:val="16"/>
          <w:lang w:val="de-DE"/>
        </w:rPr>
        <w:t xml:space="preserve"> Link, A. e Siegel, D. (2005).</w:t>
      </w:r>
    </w:p>
  </w:footnote>
  <w:footnote w:id="186">
    <w:p w14:paraId="1E5E314A"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Di Gregorio, D. e Shane, S. (2003), </w:t>
      </w:r>
      <w:r w:rsidRPr="0024467F">
        <w:rPr>
          <w:rFonts w:ascii="Arial" w:hAnsi="Arial"/>
          <w:i/>
          <w:sz w:val="16"/>
          <w:lang w:val="en-US"/>
        </w:rPr>
        <w:t>Why do some universities generate more start-ups than others</w:t>
      </w:r>
      <w:r w:rsidRPr="0024467F">
        <w:rPr>
          <w:rFonts w:ascii="Arial" w:hAnsi="Arial"/>
          <w:sz w:val="16"/>
          <w:lang w:val="en-US"/>
        </w:rPr>
        <w:t>? , Research Policy 32: 209-227.</w:t>
      </w:r>
    </w:p>
  </w:footnote>
  <w:footnote w:id="187">
    <w:p w14:paraId="1E95A6F2" w14:textId="77777777" w:rsidR="008178A1" w:rsidRPr="007F0AC2"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w:t>
      </w:r>
      <w:hyperlink r:id="rId99" w:history="1">
        <w:r>
          <w:rPr>
            <w:rStyle w:val="Hyperlink"/>
            <w:rFonts w:ascii="Arial" w:hAnsi="Arial"/>
            <w:sz w:val="16"/>
          </w:rPr>
          <w:t>Política de DPI</w:t>
        </w:r>
      </w:hyperlink>
      <w:r>
        <w:rPr>
          <w:rFonts w:ascii="Arial" w:hAnsi="Arial"/>
          <w:sz w:val="16"/>
        </w:rPr>
        <w:t xml:space="preserve"> da Universidade de Cambridge, Artigo 39 </w:t>
      </w:r>
    </w:p>
  </w:footnote>
  <w:footnote w:id="188">
    <w:p w14:paraId="6E325B31" w14:textId="77777777" w:rsidR="008178A1" w:rsidRPr="007F0AC2"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Cambridge Enterprise é o EGPI da universidade.</w:t>
      </w:r>
    </w:p>
  </w:footnote>
  <w:footnote w:id="189">
    <w:p w14:paraId="1CE1595E" w14:textId="77777777" w:rsidR="008178A1" w:rsidRPr="0024467F" w:rsidRDefault="008178A1">
      <w:pPr>
        <w:pStyle w:val="FootnoteText"/>
        <w:rPr>
          <w:rFonts w:ascii="Arial" w:hAnsi="Arial" w:cs="Arial"/>
          <w:sz w:val="16"/>
          <w:szCs w:val="16"/>
          <w:lang w:val="en-US"/>
        </w:rPr>
      </w:pPr>
      <w:r>
        <w:rPr>
          <w:rStyle w:val="FootnoteReference"/>
          <w:rFonts w:ascii="Arial" w:hAnsi="Arial" w:cs="Arial"/>
          <w:sz w:val="16"/>
          <w:szCs w:val="16"/>
        </w:rPr>
        <w:footnoteRef/>
      </w:r>
      <w:r w:rsidRPr="0024467F">
        <w:rPr>
          <w:rFonts w:ascii="Arial" w:hAnsi="Arial"/>
          <w:sz w:val="16"/>
          <w:lang w:val="en-US"/>
        </w:rPr>
        <w:t xml:space="preserve"> </w:t>
      </w:r>
      <w:hyperlink r:id="rId100" w:history="1">
        <w:r w:rsidRPr="0024467F">
          <w:rPr>
            <w:rStyle w:val="Hyperlink"/>
            <w:rFonts w:ascii="Arial" w:hAnsi="Arial"/>
            <w:sz w:val="16"/>
            <w:lang w:val="en-US"/>
          </w:rPr>
          <w:t>Yale University Patent Policy</w:t>
        </w:r>
      </w:hyperlink>
      <w:r w:rsidRPr="0024467F">
        <w:rPr>
          <w:rFonts w:ascii="Arial" w:hAnsi="Arial"/>
          <w:sz w:val="16"/>
          <w:lang w:val="en-US"/>
        </w:rPr>
        <w:t>, artigo 4(d).</w:t>
      </w:r>
    </w:p>
  </w:footnote>
  <w:footnote w:id="190">
    <w:p w14:paraId="0C2E3AA7" w14:textId="77777777" w:rsidR="008178A1" w:rsidRPr="00BD07D8" w:rsidRDefault="008178A1" w:rsidP="000C4C36">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101" w:history="1">
        <w:r>
          <w:rPr>
            <w:rStyle w:val="Hyperlink"/>
            <w:rFonts w:ascii="Arial" w:hAnsi="Arial"/>
            <w:sz w:val="16"/>
          </w:rPr>
          <w:t>http://research.southwales.ac.uk/our-culture/researcher-development/research-toolkit/career-progression/innovation-and-engagement-route/</w:t>
        </w:r>
      </w:hyperlink>
      <w:r>
        <w:rPr>
          <w:rFonts w:ascii="Arial" w:hAnsi="Arial"/>
          <w:sz w:val="16"/>
        </w:rPr>
        <w:t xml:space="preserve">. </w:t>
      </w:r>
    </w:p>
  </w:footnote>
  <w:footnote w:id="191">
    <w:p w14:paraId="648CC16D" w14:textId="77777777" w:rsidR="008178A1" w:rsidRPr="00940672"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Uma das atividades da FNP é conceder avaliações a acadêmicos que se inscrevem de acordo com categorias predefinidas. Explicitamente ou não, essas avaliações fazem parte dos envios que acadêmicos fazem para promoções e empregos em universidades sul-africanas.</w:t>
      </w:r>
    </w:p>
  </w:footnote>
  <w:footnote w:id="192">
    <w:p w14:paraId="06E56B9C" w14:textId="77777777" w:rsidR="008178A1" w:rsidRPr="0024467F" w:rsidRDefault="008178A1" w:rsidP="00B7519E">
      <w:pPr>
        <w:pStyle w:val="FootnoteText"/>
        <w:jc w:val="both"/>
        <w:rPr>
          <w:rFonts w:ascii="Arial" w:hAnsi="Arial" w:cs="Arial"/>
          <w:sz w:val="16"/>
          <w:szCs w:val="16"/>
          <w:lang w:val="en-US"/>
        </w:rPr>
      </w:pPr>
      <w:r>
        <w:rPr>
          <w:rStyle w:val="FootnoteReference"/>
          <w:rFonts w:ascii="Arial" w:hAnsi="Arial" w:cs="Arial"/>
          <w:sz w:val="16"/>
          <w:szCs w:val="16"/>
        </w:rPr>
        <w:footnoteRef/>
      </w:r>
      <w:r>
        <w:rPr>
          <w:rFonts w:ascii="Arial" w:hAnsi="Arial"/>
          <w:sz w:val="16"/>
        </w:rPr>
        <w:t xml:space="preserve"> Vários estudos demonstraram que um determinante importante para spin-offs é a capacidade da Instituição e dos inventores de obter participação societária em vez de taxas de royalties de licenciamento quando licenciam suas tecnologias para start-ups ou spin-offs. </w:t>
      </w:r>
      <w:r w:rsidRPr="0024467F">
        <w:rPr>
          <w:rFonts w:ascii="Arial" w:hAnsi="Arial"/>
          <w:sz w:val="16"/>
          <w:lang w:val="en-US"/>
        </w:rPr>
        <w:t xml:space="preserve">Veja Di Gregorio, D. e Shane, S. (2003), </w:t>
      </w:r>
      <w:r w:rsidRPr="0024467F">
        <w:rPr>
          <w:rFonts w:ascii="Arial" w:hAnsi="Arial"/>
          <w:i/>
          <w:sz w:val="16"/>
          <w:lang w:val="en-US"/>
        </w:rPr>
        <w:t>Why do some universities generate more start-ups than others</w:t>
      </w:r>
      <w:r w:rsidRPr="0024467F">
        <w:rPr>
          <w:rFonts w:ascii="Arial" w:hAnsi="Arial"/>
          <w:sz w:val="16"/>
          <w:lang w:val="en-US"/>
        </w:rPr>
        <w:t>? , Research Policy 32: 209-227.</w:t>
      </w:r>
    </w:p>
  </w:footnote>
  <w:footnote w:id="193">
    <w:p w14:paraId="2A5E0090" w14:textId="6512039A" w:rsidR="008178A1" w:rsidRPr="00B7519E" w:rsidRDefault="008178A1" w:rsidP="00B7519E">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exemplo, o pagamento de uma pequena quantia para concluir a divulgação de uma invenção; pagamento de uma quantia um pouco maior quando um pedido de patente for aprovado ou depositado no escritório de patentes; pagamento de uma quantia maior quando a patente é concedida</w:t>
      </w:r>
      <w:r w:rsidR="008411EA">
        <w:rPr>
          <w:rFonts w:ascii="Arial" w:hAnsi="Arial"/>
          <w:sz w:val="16"/>
        </w:rPr>
        <w:t xml:space="preserve">. </w:t>
      </w:r>
      <w:r>
        <w:rPr>
          <w:rFonts w:ascii="Arial" w:hAnsi="Arial"/>
          <w:sz w:val="16"/>
        </w:rPr>
        <w:t>Uma recompensa financeira também poderia ser dada para cada patente concedida pelo USPTO/EPO, de modo a promover a internacionalização.</w:t>
      </w:r>
    </w:p>
  </w:footnote>
  <w:footnote w:id="194">
    <w:p w14:paraId="73485353" w14:textId="77777777" w:rsidR="008178A1" w:rsidRPr="00B7519E" w:rsidRDefault="008178A1" w:rsidP="009B0D4D">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Estabelecer relacionamentos com negócios locais por meio de estágios estudantis e projetos de pesquisa.</w:t>
      </w:r>
    </w:p>
  </w:footnote>
  <w:footnote w:id="195">
    <w:p w14:paraId="38B18E24" w14:textId="77777777" w:rsidR="008178A1" w:rsidRPr="00B7519E" w:rsidRDefault="008178A1" w:rsidP="00B7519E">
      <w:pPr>
        <w:autoSpaceDE w:val="0"/>
        <w:autoSpaceDN w:val="0"/>
        <w:adjustRightInd w:val="0"/>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Este resumo de políticas do Banco Mundial analisa a lógica subjacente ao projeto e à implementação de políticas públicas para promover a transferência de tecnologia da ciência para a indústria. Ele se refere ao desalinhamento de incentivos.</w:t>
      </w:r>
    </w:p>
  </w:footnote>
  <w:footnote w:id="196">
    <w:p w14:paraId="0EA6BFA4" w14:textId="77777777" w:rsidR="008178A1" w:rsidRPr="00B7519E" w:rsidRDefault="008178A1" w:rsidP="00B7519E">
      <w:pPr>
        <w:spacing w:after="0" w:line="240" w:lineRule="auto"/>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Este estudo analisa os incentivos fornecidos por 8 universidades e instituições da Rede de Tecnologia Australiana para que equipes de pesquisa comercializem os resultados de suas pesquisas. Ele fornece estudos de caso de práticas de incentivo bem-sucedidas na Austrália e no exterior, métodos de melhores práticas no fornecimento de incentivos de comercialização e identificação de quaisquer lacunas ou fraquezas nas práticas universitárias australianas atuais.</w:t>
      </w:r>
    </w:p>
    <w:p w14:paraId="2E12B1C6" w14:textId="77777777" w:rsidR="008178A1" w:rsidRPr="0024467F" w:rsidRDefault="008178A1">
      <w:pPr>
        <w:pStyle w:val="FootnoteText"/>
      </w:pPr>
    </w:p>
  </w:footnote>
  <w:footnote w:id="197">
    <w:p w14:paraId="1E3ABF71" w14:textId="77777777" w:rsidR="008178A1" w:rsidRPr="00BD07D8" w:rsidRDefault="008178A1" w:rsidP="00AC72FB">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Para mais exemplos, veja em </w:t>
      </w:r>
      <w:hyperlink w:anchor="Useful Resources to Article 11" w:history="1">
        <w:r>
          <w:rPr>
            <w:rStyle w:val="Hyperlink"/>
            <w:rFonts w:ascii="Arial" w:hAnsi="Arial"/>
            <w:sz w:val="16"/>
          </w:rPr>
          <w:t>Recursos Úteis Relacionados ao Artigo 11</w:t>
        </w:r>
      </w:hyperlink>
      <w:r>
        <w:rPr>
          <w:rFonts w:ascii="Arial" w:hAnsi="Arial"/>
          <w:sz w:val="16"/>
        </w:rPr>
        <w:t>.</w:t>
      </w:r>
    </w:p>
  </w:footnote>
  <w:footnote w:id="198">
    <w:p w14:paraId="4ECF029B" w14:textId="77777777" w:rsidR="008178A1" w:rsidRPr="00BD07D8" w:rsidRDefault="008178A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Associação para pesquisa universitária e indústria Links.</w:t>
      </w:r>
    </w:p>
  </w:footnote>
  <w:footnote w:id="199">
    <w:p w14:paraId="76A3C2C1" w14:textId="34544706" w:rsidR="008178A1" w:rsidRPr="00BD07D8" w:rsidRDefault="008178A1" w:rsidP="00267CCE">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102" w:history="1">
        <w:r>
          <w:rPr>
            <w:rStyle w:val="Hyperlink"/>
            <w:rFonts w:ascii="Arial" w:hAnsi="Arial"/>
            <w:sz w:val="16"/>
          </w:rPr>
          <w:t>http://www.wipo.int/tk/en/igc/</w:t>
        </w:r>
      </w:hyperlink>
    </w:p>
  </w:footnote>
  <w:footnote w:id="200">
    <w:p w14:paraId="03736D23" w14:textId="1BFF3C54" w:rsidR="008178A1" w:rsidRPr="00BD07D8" w:rsidRDefault="008178A1" w:rsidP="00FB4172">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Uma coleção de textos legislativos nacionais e regionais relevantes para recursos genéticos e/ou conhecimento tradicional está disponível em </w:t>
      </w:r>
      <w:hyperlink r:id="rId103" w:history="1">
        <w:r>
          <w:rPr>
            <w:rStyle w:val="Hyperlink"/>
            <w:rFonts w:ascii="Arial" w:hAnsi="Arial"/>
            <w:sz w:val="16"/>
          </w:rPr>
          <w:t>http://www.wipo.int/tk/en/databases/tklaws/</w:t>
        </w:r>
      </w:hyperlink>
    </w:p>
  </w:footnote>
  <w:footnote w:id="201">
    <w:p w14:paraId="7E2E977A" w14:textId="77777777" w:rsidR="008178A1" w:rsidRPr="00BD07D8" w:rsidRDefault="008178A1" w:rsidP="00FB4172">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mais adiante o exemplo da Universidade de Adelaide.</w:t>
      </w:r>
    </w:p>
  </w:footnote>
  <w:footnote w:id="202">
    <w:p w14:paraId="5C761343" w14:textId="77777777" w:rsidR="008178A1" w:rsidRPr="00BD07D8" w:rsidRDefault="008178A1" w:rsidP="00FB4172">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Por exemplo, as universidades podem decidir reconhecer a titularidade dos direitos de propriedade intelectual e cultural aos povos indígenas (veja o exemplo da Universidade de Camberra). Foram desenvolvidos acordos-modelo relacionados a RGs e CT, como o acordo-modelo de transferência de material da Organização da Indústria de Biotecnologia (veja mais adiante um extrato do acordo-modelo). </w:t>
      </w:r>
    </w:p>
  </w:footnote>
  <w:footnote w:id="203">
    <w:p w14:paraId="38CDD991" w14:textId="6288C757" w:rsidR="008178A1" w:rsidRPr="00BD07D8" w:rsidRDefault="008178A1" w:rsidP="00FB4172">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A OMPI desenvolveu e mantém um Banco de Dados de Acordos de Acesso e Repartição de Benefícios relacionados à Biodiversidade, disponível em: http://www.wipo.int/tk/en/databases/contracts/ A OMPI preparou um rascunho de Diretrizes de Propriedade Intelectual para Acesso a Recursos Genéticos e Repartição Equitativa dos Benefícios decorrentes de sua</w:t>
      </w:r>
      <w:r>
        <w:rPr>
          <w:rFonts w:ascii="Arial" w:hAnsi="Arial"/>
          <w:sz w:val="18"/>
        </w:rPr>
        <w:t xml:space="preserve"> </w:t>
      </w:r>
      <w:r>
        <w:rPr>
          <w:rFonts w:ascii="Arial" w:hAnsi="Arial"/>
          <w:sz w:val="16"/>
        </w:rPr>
        <w:t xml:space="preserve">Utilização, que ilustram as questões práticas de PI que os provedores e destinatários de RGs provavelmente enfrentarão ao negociar um acordo, e está disponível em: </w:t>
      </w:r>
      <w:hyperlink r:id="rId104" w:history="1">
        <w:r>
          <w:rPr>
            <w:rStyle w:val="Hyperlink"/>
            <w:rFonts w:ascii="Arial" w:hAnsi="Arial"/>
            <w:sz w:val="16"/>
          </w:rPr>
          <w:t>http://www.wipo.int/export/sites/www/tk/en/resources/pdf/redrafted_guidelines.pdf</w:t>
        </w:r>
      </w:hyperlink>
    </w:p>
  </w:footnote>
  <w:footnote w:id="204">
    <w:p w14:paraId="4C205C8D" w14:textId="77777777" w:rsidR="008178A1" w:rsidRPr="00BD07D8" w:rsidRDefault="008178A1" w:rsidP="00C34A62">
      <w:pPr>
        <w:spacing w:after="0" w:line="240" w:lineRule="auto"/>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Veja </w:t>
      </w:r>
      <w:hyperlink r:id="rId105" w:history="1">
        <w:r>
          <w:rPr>
            <w:rStyle w:val="Hyperlink"/>
            <w:rFonts w:ascii="Arial" w:hAnsi="Arial"/>
            <w:sz w:val="16"/>
          </w:rPr>
          <w:t>https://www.ipaustralia.gov.au/sites/g/files/net856/f/uts_-_recognising_and_protecting_aboriginal_knowledge.pdf</w:t>
        </w:r>
      </w:hyperlink>
      <w:r>
        <w:rPr>
          <w:rFonts w:ascii="Arial" w:hAnsi="Arial"/>
          <w:sz w:val="16"/>
        </w:rPr>
        <w:t xml:space="preserve">, veja também a Publicação da OMPI  “Protect and Promote Your Culture” p. 37 disponível em: </w:t>
      </w:r>
      <w:hyperlink r:id="rId106" w:history="1">
        <w:r>
          <w:rPr>
            <w:rStyle w:val="Hyperlink"/>
            <w:rFonts w:ascii="Arial" w:hAnsi="Arial"/>
            <w:sz w:val="16"/>
          </w:rPr>
          <w:t>http://www.wipo.int/publications/en/details.jsp?id=4195</w:t>
        </w:r>
      </w:hyperlink>
      <w:r>
        <w:rPr>
          <w:rFonts w:ascii="Arial" w:hAnsi="Arial"/>
          <w:sz w:val="16"/>
        </w:rPr>
        <w:t xml:space="preserve"> </w:t>
      </w:r>
    </w:p>
  </w:footnote>
  <w:footnote w:id="205">
    <w:p w14:paraId="108B7500" w14:textId="77777777" w:rsidR="008178A1" w:rsidRPr="00BD07D8" w:rsidRDefault="008178A1" w:rsidP="00FB4172">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sz w:val="16"/>
        </w:rPr>
        <w:t xml:space="preserve"> Veja </w:t>
      </w:r>
      <w:hyperlink r:id="rId107" w:history="1">
        <w:r>
          <w:rPr>
            <w:rStyle w:val="Hyperlink"/>
            <w:rFonts w:ascii="Arial" w:hAnsi="Arial"/>
            <w:sz w:val="16"/>
          </w:rPr>
          <w:t>http://www.wipo.int/about-ip/en/universities_research/ip_policies/details.jsp?id=5896</w:t>
        </w:r>
      </w:hyperlink>
      <w:r>
        <w:rPr>
          <w:rFonts w:ascii="Arial" w:hAnsi="Arial"/>
          <w:sz w:val="16"/>
        </w:rPr>
        <w:t xml:space="preserve">  </w:t>
      </w:r>
    </w:p>
  </w:footnote>
  <w:footnote w:id="206">
    <w:p w14:paraId="51144A6E" w14:textId="77777777" w:rsidR="008178A1" w:rsidRPr="002009C9" w:rsidRDefault="008178A1" w:rsidP="00FB4172">
      <w:pPr>
        <w:pStyle w:val="FootnoteText"/>
        <w:jc w:val="both"/>
        <w:rPr>
          <w:sz w:val="18"/>
        </w:rPr>
      </w:pPr>
      <w:r>
        <w:rPr>
          <w:rStyle w:val="FootnoteReference"/>
          <w:rFonts w:ascii="Arial" w:hAnsi="Arial" w:cs="Arial"/>
          <w:sz w:val="16"/>
          <w:szCs w:val="16"/>
        </w:rPr>
        <w:footnoteRef/>
      </w:r>
      <w:r>
        <w:rPr>
          <w:rFonts w:ascii="Arial" w:hAnsi="Arial"/>
          <w:sz w:val="16"/>
        </w:rPr>
        <w:t xml:space="preserve"> Veja </w:t>
      </w:r>
      <w:hyperlink r:id="rId108" w:history="1">
        <w:r>
          <w:rPr>
            <w:rStyle w:val="Hyperlink"/>
            <w:rFonts w:ascii="Arial" w:hAnsi="Arial"/>
            <w:sz w:val="16"/>
          </w:rPr>
          <w:t>http://www.wipo.int/about-ip/en/universities_research/ip_policies/details.jsp?id=10067</w:t>
        </w:r>
      </w:hyperlink>
      <w:r>
        <w:rPr>
          <w:rFonts w:ascii="Arial" w:hAnsi="Arial"/>
          <w:sz w:val="16"/>
        </w:rPr>
        <w:t xml:space="preserve"> </w:t>
      </w:r>
      <w:r>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5B8B"/>
    <w:multiLevelType w:val="hybridMultilevel"/>
    <w:tmpl w:val="03C04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hybridMultilevel"/>
    <w:tmpl w:val="4F584B1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hybridMultilevel"/>
    <w:tmpl w:val="A0FEC0F8"/>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hybridMultilevel"/>
    <w:tmpl w:val="EDEAE01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hybridMultilevel"/>
    <w:tmpl w:val="94FA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hybridMultilevel"/>
    <w:tmpl w:val="3AA06788"/>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834D96"/>
    <w:multiLevelType w:val="hybridMultilevel"/>
    <w:tmpl w:val="9F6CA326"/>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hybridMultilevel"/>
    <w:tmpl w:val="1C7654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hybridMultilevel"/>
    <w:tmpl w:val="6ACC9504"/>
    <w:lvl w:ilvl="0" w:tplc="3E6ADE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hybridMultilevel"/>
    <w:tmpl w:val="229E5FD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hybridMultilevel"/>
    <w:tmpl w:val="0D3AD5C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hybridMultilevel"/>
    <w:tmpl w:val="CFACB3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20E0AE66"/>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Arial" w:hAnsi="Arial"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7CA7467"/>
    <w:multiLevelType w:val="hybridMultilevel"/>
    <w:tmpl w:val="A36E23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32C66"/>
    <w:multiLevelType w:val="hybridMultilevel"/>
    <w:tmpl w:val="ED4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hybridMultilevel"/>
    <w:tmpl w:val="4072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hybridMultilevel"/>
    <w:tmpl w:val="BA108F02"/>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hybridMultilevel"/>
    <w:tmpl w:val="BE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hybridMultilevel"/>
    <w:tmpl w:val="A1B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hybridMultilevel"/>
    <w:tmpl w:val="0F7EB38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hybridMultilevel"/>
    <w:tmpl w:val="A536B1CC"/>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hybridMultilevel"/>
    <w:tmpl w:val="44D2A5F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hybridMultilevel"/>
    <w:tmpl w:val="D9F63AFE"/>
    <w:lvl w:ilvl="0" w:tplc="F9420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65608A"/>
    <w:multiLevelType w:val="hybridMultilevel"/>
    <w:tmpl w:val="BFB2C5B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D">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hybridMultilevel"/>
    <w:tmpl w:val="361E9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hybridMultilevel"/>
    <w:tmpl w:val="86C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hybridMultilevel"/>
    <w:tmpl w:val="E3E8F49C"/>
    <w:lvl w:ilvl="0" w:tplc="B3D2162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hybridMultilevel"/>
    <w:tmpl w:val="0AD0264E"/>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hybridMultilevel"/>
    <w:tmpl w:val="F878B520"/>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hybridMultilevel"/>
    <w:tmpl w:val="3092BA02"/>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hybridMultilevel"/>
    <w:tmpl w:val="2FE84E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hybridMultilevel"/>
    <w:tmpl w:val="C8F8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hybridMultilevel"/>
    <w:tmpl w:val="331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hybridMultilevel"/>
    <w:tmpl w:val="A6A20DA2"/>
    <w:lvl w:ilvl="0" w:tplc="0409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6721FD"/>
    <w:multiLevelType w:val="hybridMultilevel"/>
    <w:tmpl w:val="D3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hybridMultilevel"/>
    <w:tmpl w:val="371A633A"/>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B4936"/>
    <w:multiLevelType w:val="hybridMultilevel"/>
    <w:tmpl w:val="03A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97375"/>
    <w:multiLevelType w:val="hybridMultilevel"/>
    <w:tmpl w:val="40042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E256FD"/>
    <w:multiLevelType w:val="hybridMultilevel"/>
    <w:tmpl w:val="4E3235F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7A2B95"/>
    <w:multiLevelType w:val="hybridMultilevel"/>
    <w:tmpl w:val="4754DAC6"/>
    <w:lvl w:ilvl="0" w:tplc="0409000D">
      <w:start w:val="1"/>
      <w:numFmt w:val="bullet"/>
      <w:lvlText w:val=""/>
      <w:lvlJc w:val="left"/>
      <w:pPr>
        <w:ind w:left="1080" w:hanging="360"/>
      </w:pPr>
      <w:rPr>
        <w:rFonts w:ascii="Wingdings" w:hAnsi="Wingdings"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14341E7"/>
    <w:multiLevelType w:val="hybridMultilevel"/>
    <w:tmpl w:val="27681FE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B2591C"/>
    <w:multiLevelType w:val="hybridMultilevel"/>
    <w:tmpl w:val="81646188"/>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B0C1C"/>
    <w:multiLevelType w:val="hybridMultilevel"/>
    <w:tmpl w:val="98B85A5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229F7054"/>
    <w:multiLevelType w:val="multilevel"/>
    <w:tmpl w:val="D35E3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C34192"/>
    <w:multiLevelType w:val="hybridMultilevel"/>
    <w:tmpl w:val="61A69E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385F4D"/>
    <w:multiLevelType w:val="hybridMultilevel"/>
    <w:tmpl w:val="FD70356C"/>
    <w:lvl w:ilvl="0" w:tplc="A40283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52077"/>
    <w:multiLevelType w:val="hybridMultilevel"/>
    <w:tmpl w:val="6AD612A6"/>
    <w:lvl w:ilvl="0" w:tplc="4BAEAE4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5D5F61"/>
    <w:multiLevelType w:val="hybridMultilevel"/>
    <w:tmpl w:val="198678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076644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55262"/>
    <w:multiLevelType w:val="hybridMultilevel"/>
    <w:tmpl w:val="67DE1CC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94F6B"/>
    <w:multiLevelType w:val="hybridMultilevel"/>
    <w:tmpl w:val="0FC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7415F8"/>
    <w:multiLevelType w:val="hybridMultilevel"/>
    <w:tmpl w:val="EBB4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8D552E"/>
    <w:multiLevelType w:val="hybridMultilevel"/>
    <w:tmpl w:val="C5D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D1C63"/>
    <w:multiLevelType w:val="hybridMultilevel"/>
    <w:tmpl w:val="853CC2AA"/>
    <w:lvl w:ilvl="0" w:tplc="04090001">
      <w:start w:val="1"/>
      <w:numFmt w:val="bullet"/>
      <w:lvlText w:val=""/>
      <w:lvlJc w:val="left"/>
      <w:pPr>
        <w:ind w:left="1080" w:hanging="360"/>
      </w:pPr>
      <w:rPr>
        <w:rFonts w:ascii="Symbol" w:hAnsi="Symbol" w:hint="default"/>
      </w:rPr>
    </w:lvl>
    <w:lvl w:ilvl="1" w:tplc="B3D21622">
      <w:start w:val="1"/>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63D3D20"/>
    <w:multiLevelType w:val="hybridMultilevel"/>
    <w:tmpl w:val="628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B359BE"/>
    <w:multiLevelType w:val="hybridMultilevel"/>
    <w:tmpl w:val="0484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97092D"/>
    <w:multiLevelType w:val="hybridMultilevel"/>
    <w:tmpl w:val="547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16DF4"/>
    <w:multiLevelType w:val="hybridMultilevel"/>
    <w:tmpl w:val="60F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36341D"/>
    <w:multiLevelType w:val="hybridMultilevel"/>
    <w:tmpl w:val="5822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AB3DCC"/>
    <w:multiLevelType w:val="hybridMultilevel"/>
    <w:tmpl w:val="398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94247D"/>
    <w:multiLevelType w:val="hybridMultilevel"/>
    <w:tmpl w:val="ECD0673E"/>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FE0221"/>
    <w:multiLevelType w:val="hybridMultilevel"/>
    <w:tmpl w:val="8E107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2B3A0379"/>
    <w:multiLevelType w:val="hybridMultilevel"/>
    <w:tmpl w:val="B4A6F50E"/>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3D7D1D"/>
    <w:multiLevelType w:val="hybridMultilevel"/>
    <w:tmpl w:val="8F10E2A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6C0B8D"/>
    <w:multiLevelType w:val="hybridMultilevel"/>
    <w:tmpl w:val="897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C31B8B"/>
    <w:multiLevelType w:val="hybridMultilevel"/>
    <w:tmpl w:val="9642DA50"/>
    <w:lvl w:ilvl="0" w:tplc="B3D21622">
      <w:start w:val="1"/>
      <w:numFmt w:val="bullet"/>
      <w:lvlText w:val="-"/>
      <w:lvlJc w:val="left"/>
      <w:pPr>
        <w:ind w:left="1080" w:hanging="360"/>
      </w:pPr>
      <w:rPr>
        <w:rFonts w:ascii="Arial" w:hAnsi="Aria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E564D36"/>
    <w:multiLevelType w:val="hybridMultilevel"/>
    <w:tmpl w:val="677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B064B"/>
    <w:multiLevelType w:val="hybridMultilevel"/>
    <w:tmpl w:val="26785218"/>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67" w15:restartNumberingAfterBreak="0">
    <w:nsid w:val="31111623"/>
    <w:multiLevelType w:val="hybridMultilevel"/>
    <w:tmpl w:val="9AFAD42E"/>
    <w:lvl w:ilvl="0" w:tplc="6D6E8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A42F51"/>
    <w:multiLevelType w:val="hybridMultilevel"/>
    <w:tmpl w:val="FBC8B3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321A55B9"/>
    <w:multiLevelType w:val="hybridMultilevel"/>
    <w:tmpl w:val="B84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784526"/>
    <w:multiLevelType w:val="hybridMultilevel"/>
    <w:tmpl w:val="E65AC05E"/>
    <w:lvl w:ilvl="0" w:tplc="100C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4F094E"/>
    <w:multiLevelType w:val="hybridMultilevel"/>
    <w:tmpl w:val="9F8AF83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34543BD4"/>
    <w:multiLevelType w:val="hybridMultilevel"/>
    <w:tmpl w:val="222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FF4A40"/>
    <w:multiLevelType w:val="hybridMultilevel"/>
    <w:tmpl w:val="81783CA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DB4CE4"/>
    <w:multiLevelType w:val="hybridMultilevel"/>
    <w:tmpl w:val="FA6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FE5E4A"/>
    <w:multiLevelType w:val="hybridMultilevel"/>
    <w:tmpl w:val="FCDADD9C"/>
    <w:lvl w:ilvl="0" w:tplc="0409000D">
      <w:start w:val="1"/>
      <w:numFmt w:val="bullet"/>
      <w:lvlText w:val=""/>
      <w:lvlJc w:val="left"/>
      <w:pPr>
        <w:ind w:left="1195" w:hanging="360"/>
      </w:pPr>
      <w:rPr>
        <w:rFonts w:ascii="Wingdings" w:hAnsi="Wingdings"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6" w15:restartNumberingAfterBreak="0">
    <w:nsid w:val="37E76462"/>
    <w:multiLevelType w:val="multilevel"/>
    <w:tmpl w:val="64F204C6"/>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F86891"/>
    <w:multiLevelType w:val="hybridMultilevel"/>
    <w:tmpl w:val="88EE83A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35074E"/>
    <w:multiLevelType w:val="hybridMultilevel"/>
    <w:tmpl w:val="454CF018"/>
    <w:lvl w:ilvl="0" w:tplc="0409000D">
      <w:start w:val="1"/>
      <w:numFmt w:val="bullet"/>
      <w:lvlText w:val=""/>
      <w:lvlJc w:val="left"/>
      <w:pPr>
        <w:ind w:left="1146" w:hanging="360"/>
      </w:pPr>
      <w:rPr>
        <w:rFonts w:ascii="Wingdings" w:hAnsi="Wingdings" w:hint="default"/>
      </w:rPr>
    </w:lvl>
    <w:lvl w:ilvl="1" w:tplc="61CE8762">
      <w:numFmt w:val="bullet"/>
      <w:lvlText w:val="–"/>
      <w:lvlJc w:val="left"/>
      <w:pPr>
        <w:ind w:left="1866" w:hanging="360"/>
      </w:pPr>
      <w:rPr>
        <w:rFonts w:ascii="Arial" w:eastAsiaTheme="minorEastAsia" w:hAnsi="Arial" w:cs="Aria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15:restartNumberingAfterBreak="0">
    <w:nsid w:val="38FB4433"/>
    <w:multiLevelType w:val="hybridMultilevel"/>
    <w:tmpl w:val="2AFEDA1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C901FC"/>
    <w:multiLevelType w:val="hybridMultilevel"/>
    <w:tmpl w:val="94C839F2"/>
    <w:lvl w:ilvl="0" w:tplc="04090001">
      <w:start w:val="1"/>
      <w:numFmt w:val="bullet"/>
      <w:lvlText w:val=""/>
      <w:lvlJc w:val="left"/>
      <w:pPr>
        <w:ind w:left="2160" w:hanging="360"/>
      </w:pPr>
      <w:rPr>
        <w:rFonts w:ascii="Symbol" w:hAnsi="Symbol" w:hint="default"/>
      </w:rPr>
    </w:lvl>
    <w:lvl w:ilvl="1" w:tplc="B3D21622">
      <w:start w:val="1"/>
      <w:numFmt w:val="bullet"/>
      <w:lvlText w:val="-"/>
      <w:lvlJc w:val="left"/>
      <w:pPr>
        <w:ind w:left="2880" w:hanging="360"/>
      </w:pPr>
      <w:rPr>
        <w:rFonts w:ascii="Arial" w:hAnsi="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39F93F5A"/>
    <w:multiLevelType w:val="hybridMultilevel"/>
    <w:tmpl w:val="94565250"/>
    <w:lvl w:ilvl="0" w:tplc="04090001">
      <w:start w:val="1"/>
      <w:numFmt w:val="bullet"/>
      <w:lvlText w:val=""/>
      <w:lvlJc w:val="left"/>
      <w:pPr>
        <w:ind w:left="1080" w:hanging="360"/>
      </w:pPr>
      <w:rPr>
        <w:rFonts w:ascii="Symbol" w:hAnsi="Symbol"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BCD5817"/>
    <w:multiLevelType w:val="hybridMultilevel"/>
    <w:tmpl w:val="6B947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E634E1"/>
    <w:multiLevelType w:val="hybridMultilevel"/>
    <w:tmpl w:val="296EBA54"/>
    <w:lvl w:ilvl="0" w:tplc="9ACAA65A">
      <w:start w:val="1"/>
      <w:numFmt w:val="bullet"/>
      <w:lvlText w:val=""/>
      <w:lvlJc w:val="left"/>
      <w:pPr>
        <w:ind w:left="720" w:hanging="360"/>
      </w:pPr>
      <w:rPr>
        <w:rFonts w:ascii="Symbol" w:hAnsi="Symbol" w:hint="default"/>
        <w:color w:val="000000" w:themeColor="text1"/>
        <w:spacing w:val="-25"/>
        <w:w w:val="99"/>
        <w:sz w:val="24"/>
        <w:szCs w:val="24"/>
      </w:rPr>
    </w:lvl>
    <w:lvl w:ilvl="1" w:tplc="C284CB74">
      <w:numFmt w:val="bullet"/>
      <w:lvlText w:val="•"/>
      <w:lvlJc w:val="left"/>
      <w:pPr>
        <w:ind w:left="3270" w:hanging="711"/>
      </w:pPr>
      <w:rPr>
        <w:rFonts w:hint="default"/>
      </w:rPr>
    </w:lvl>
    <w:lvl w:ilvl="2" w:tplc="AE1E4D76">
      <w:numFmt w:val="bullet"/>
      <w:lvlText w:val="•"/>
      <w:lvlJc w:val="left"/>
      <w:pPr>
        <w:ind w:left="4161" w:hanging="711"/>
      </w:pPr>
      <w:rPr>
        <w:rFonts w:hint="default"/>
      </w:rPr>
    </w:lvl>
    <w:lvl w:ilvl="3" w:tplc="30D23D76">
      <w:numFmt w:val="bullet"/>
      <w:lvlText w:val="•"/>
      <w:lvlJc w:val="left"/>
      <w:pPr>
        <w:ind w:left="5051" w:hanging="711"/>
      </w:pPr>
      <w:rPr>
        <w:rFonts w:hint="default"/>
      </w:rPr>
    </w:lvl>
    <w:lvl w:ilvl="4" w:tplc="6C989F06">
      <w:numFmt w:val="bullet"/>
      <w:lvlText w:val="•"/>
      <w:lvlJc w:val="left"/>
      <w:pPr>
        <w:ind w:left="5942" w:hanging="711"/>
      </w:pPr>
      <w:rPr>
        <w:rFonts w:hint="default"/>
      </w:rPr>
    </w:lvl>
    <w:lvl w:ilvl="5" w:tplc="44840E62">
      <w:numFmt w:val="bullet"/>
      <w:lvlText w:val="•"/>
      <w:lvlJc w:val="left"/>
      <w:pPr>
        <w:ind w:left="6833" w:hanging="711"/>
      </w:pPr>
      <w:rPr>
        <w:rFonts w:hint="default"/>
      </w:rPr>
    </w:lvl>
    <w:lvl w:ilvl="6" w:tplc="0280337E">
      <w:numFmt w:val="bullet"/>
      <w:lvlText w:val="•"/>
      <w:lvlJc w:val="left"/>
      <w:pPr>
        <w:ind w:left="7723" w:hanging="711"/>
      </w:pPr>
      <w:rPr>
        <w:rFonts w:hint="default"/>
      </w:rPr>
    </w:lvl>
    <w:lvl w:ilvl="7" w:tplc="B41E74F0">
      <w:numFmt w:val="bullet"/>
      <w:lvlText w:val="•"/>
      <w:lvlJc w:val="left"/>
      <w:pPr>
        <w:ind w:left="8614" w:hanging="711"/>
      </w:pPr>
      <w:rPr>
        <w:rFonts w:hint="default"/>
      </w:rPr>
    </w:lvl>
    <w:lvl w:ilvl="8" w:tplc="A64EB114">
      <w:numFmt w:val="bullet"/>
      <w:lvlText w:val="•"/>
      <w:lvlJc w:val="left"/>
      <w:pPr>
        <w:ind w:left="9505" w:hanging="711"/>
      </w:pPr>
      <w:rPr>
        <w:rFonts w:hint="default"/>
      </w:rPr>
    </w:lvl>
  </w:abstractNum>
  <w:abstractNum w:abstractNumId="84" w15:restartNumberingAfterBreak="0">
    <w:nsid w:val="3C03074B"/>
    <w:multiLevelType w:val="hybridMultilevel"/>
    <w:tmpl w:val="FB4C20B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6F28DE"/>
    <w:multiLevelType w:val="hybridMultilevel"/>
    <w:tmpl w:val="20EC5C8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64372"/>
    <w:multiLevelType w:val="hybridMultilevel"/>
    <w:tmpl w:val="582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9674A2"/>
    <w:multiLevelType w:val="hybridMultilevel"/>
    <w:tmpl w:val="DB3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E9E682D"/>
    <w:multiLevelType w:val="hybridMultilevel"/>
    <w:tmpl w:val="166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9C0810"/>
    <w:multiLevelType w:val="hybridMultilevel"/>
    <w:tmpl w:val="F9609EC4"/>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A77702"/>
    <w:multiLevelType w:val="hybridMultilevel"/>
    <w:tmpl w:val="C1406612"/>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1" w15:restartNumberingAfterBreak="0">
    <w:nsid w:val="41C90400"/>
    <w:multiLevelType w:val="hybridMultilevel"/>
    <w:tmpl w:val="376A5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9E74E6"/>
    <w:multiLevelType w:val="hybridMultilevel"/>
    <w:tmpl w:val="C986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537ABC"/>
    <w:multiLevelType w:val="hybridMultilevel"/>
    <w:tmpl w:val="97EE3526"/>
    <w:lvl w:ilvl="0" w:tplc="0409000D">
      <w:start w:val="1"/>
      <w:numFmt w:val="bullet"/>
      <w:lvlText w:val=""/>
      <w:lvlJc w:val="left"/>
      <w:pPr>
        <w:ind w:left="1146" w:hanging="360"/>
      </w:pPr>
      <w:rPr>
        <w:rFonts w:ascii="Wingdings" w:hAnsi="Wingdings"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4" w15:restartNumberingAfterBreak="0">
    <w:nsid w:val="43A6714C"/>
    <w:multiLevelType w:val="hybridMultilevel"/>
    <w:tmpl w:val="7A2C7AA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458F3E7C"/>
    <w:multiLevelType w:val="hybridMultilevel"/>
    <w:tmpl w:val="C4AA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B47A16"/>
    <w:multiLevelType w:val="hybridMultilevel"/>
    <w:tmpl w:val="E9AC20D4"/>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97" w15:restartNumberingAfterBreak="0">
    <w:nsid w:val="485D6477"/>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8" w15:restartNumberingAfterBreak="0">
    <w:nsid w:val="488D7A3C"/>
    <w:multiLevelType w:val="hybridMultilevel"/>
    <w:tmpl w:val="23FCF8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48C875D1"/>
    <w:multiLevelType w:val="hybridMultilevel"/>
    <w:tmpl w:val="614040A8"/>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0" w15:restartNumberingAfterBreak="0">
    <w:nsid w:val="4C71531E"/>
    <w:multiLevelType w:val="hybridMultilevel"/>
    <w:tmpl w:val="DEC0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F06662"/>
    <w:multiLevelType w:val="hybridMultilevel"/>
    <w:tmpl w:val="4D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16EB2"/>
    <w:multiLevelType w:val="hybridMultilevel"/>
    <w:tmpl w:val="9DC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B43DC9"/>
    <w:multiLevelType w:val="hybridMultilevel"/>
    <w:tmpl w:val="34D68162"/>
    <w:lvl w:ilvl="0" w:tplc="B3D21622">
      <w:start w:val="1"/>
      <w:numFmt w:val="bullet"/>
      <w:lvlText w:val="-"/>
      <w:lvlJc w:val="left"/>
      <w:pPr>
        <w:ind w:left="720" w:hanging="360"/>
      </w:pPr>
      <w:rPr>
        <w:rFonts w:ascii="Arial" w:hAnsi="Aria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B75420"/>
    <w:multiLevelType w:val="hybridMultilevel"/>
    <w:tmpl w:val="6ED8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3060B3"/>
    <w:multiLevelType w:val="hybridMultilevel"/>
    <w:tmpl w:val="EBDA8840"/>
    <w:lvl w:ilvl="0" w:tplc="B3D21622">
      <w:start w:val="1"/>
      <w:numFmt w:val="bullet"/>
      <w:lvlText w:val="-"/>
      <w:lvlJc w:val="left"/>
      <w:pPr>
        <w:ind w:left="1575" w:hanging="360"/>
      </w:pPr>
      <w:rPr>
        <w:rFonts w:ascii="Arial" w:hAnsi="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6" w15:restartNumberingAfterBreak="0">
    <w:nsid w:val="51BB2B4E"/>
    <w:multiLevelType w:val="hybridMultilevel"/>
    <w:tmpl w:val="3B1E3FFA"/>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261778"/>
    <w:multiLevelType w:val="multilevel"/>
    <w:tmpl w:val="FAD8C15E"/>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Wingdings" w:hAnsi="Wingdings"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15:restartNumberingAfterBreak="0">
    <w:nsid w:val="543D7093"/>
    <w:multiLevelType w:val="hybridMultilevel"/>
    <w:tmpl w:val="D8A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5F5BB4"/>
    <w:multiLevelType w:val="hybridMultilevel"/>
    <w:tmpl w:val="6D2C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4F50B2"/>
    <w:multiLevelType w:val="hybridMultilevel"/>
    <w:tmpl w:val="50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FA52B7"/>
    <w:multiLevelType w:val="hybridMultilevel"/>
    <w:tmpl w:val="FC96B2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2" w15:restartNumberingAfterBreak="0">
    <w:nsid w:val="583A7D6A"/>
    <w:multiLevelType w:val="hybridMultilevel"/>
    <w:tmpl w:val="94226FBA"/>
    <w:lvl w:ilvl="0" w:tplc="91EEEAB6">
      <w:start w:val="1"/>
      <w:numFmt w:val="bullet"/>
      <w:lvlText w:val=""/>
      <w:lvlJc w:val="left"/>
      <w:pPr>
        <w:ind w:left="720" w:hanging="360"/>
      </w:pPr>
      <w:rPr>
        <w:rFonts w:ascii="Symbol" w:hAnsi="Symbol" w:hint="default"/>
        <w:color w:val="auto"/>
        <w:sz w:val="20"/>
        <w:szCs w:val="20"/>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493A06"/>
    <w:multiLevelType w:val="hybridMultilevel"/>
    <w:tmpl w:val="64C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672639"/>
    <w:multiLevelType w:val="hybridMultilevel"/>
    <w:tmpl w:val="1D048DD0"/>
    <w:lvl w:ilvl="0" w:tplc="E07A446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F00A8D"/>
    <w:multiLevelType w:val="hybridMultilevel"/>
    <w:tmpl w:val="AF9A3E90"/>
    <w:lvl w:ilvl="0" w:tplc="28FCC47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6" w15:restartNumberingAfterBreak="0">
    <w:nsid w:val="5A5D7403"/>
    <w:multiLevelType w:val="hybridMultilevel"/>
    <w:tmpl w:val="D728AD34"/>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7F7A69"/>
    <w:multiLevelType w:val="hybridMultilevel"/>
    <w:tmpl w:val="9D9252F2"/>
    <w:lvl w:ilvl="0" w:tplc="0409000D">
      <w:start w:val="1"/>
      <w:numFmt w:val="bullet"/>
      <w:lvlText w:val=""/>
      <w:lvlJc w:val="left"/>
      <w:pPr>
        <w:ind w:left="1195" w:hanging="360"/>
      </w:pPr>
      <w:rPr>
        <w:rFonts w:ascii="Wingdings" w:hAnsi="Wingdings" w:hint="default"/>
      </w:rPr>
    </w:lvl>
    <w:lvl w:ilvl="1" w:tplc="0409000D">
      <w:start w:val="1"/>
      <w:numFmt w:val="bullet"/>
      <w:lvlText w:val=""/>
      <w:lvlJc w:val="left"/>
      <w:pPr>
        <w:ind w:left="1915" w:hanging="360"/>
      </w:pPr>
      <w:rPr>
        <w:rFonts w:ascii="Wingdings" w:hAnsi="Wingdings"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18" w15:restartNumberingAfterBreak="0">
    <w:nsid w:val="5AE250AB"/>
    <w:multiLevelType w:val="hybridMultilevel"/>
    <w:tmpl w:val="3892A7CC"/>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7446D3"/>
    <w:multiLevelType w:val="hybridMultilevel"/>
    <w:tmpl w:val="9B56B26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0" w15:restartNumberingAfterBreak="0">
    <w:nsid w:val="5C79517C"/>
    <w:multiLevelType w:val="hybridMultilevel"/>
    <w:tmpl w:val="A79EDC32"/>
    <w:lvl w:ilvl="0" w:tplc="E9A62F6A">
      <w:start w:val="29"/>
      <w:numFmt w:val="bullet"/>
      <w:lvlText w:val="-"/>
      <w:lvlJc w:val="left"/>
      <w:pPr>
        <w:ind w:left="1080" w:hanging="360"/>
      </w:pPr>
      <w:rPr>
        <w:rFonts w:ascii="Arial" w:eastAsiaTheme="minorEastAsia"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5CD05583"/>
    <w:multiLevelType w:val="hybridMultilevel"/>
    <w:tmpl w:val="A7CA739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2" w15:restartNumberingAfterBreak="0">
    <w:nsid w:val="5D5545C0"/>
    <w:multiLevelType w:val="hybridMultilevel"/>
    <w:tmpl w:val="55B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5B3D4D"/>
    <w:multiLevelType w:val="hybridMultilevel"/>
    <w:tmpl w:val="C750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A4147E"/>
    <w:multiLevelType w:val="hybridMultilevel"/>
    <w:tmpl w:val="C3CABB9E"/>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5" w15:restartNumberingAfterBreak="0">
    <w:nsid w:val="5DBF2E82"/>
    <w:multiLevelType w:val="hybridMultilevel"/>
    <w:tmpl w:val="69320D6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227CD3"/>
    <w:multiLevelType w:val="hybridMultilevel"/>
    <w:tmpl w:val="ED9E58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DB0DFC"/>
    <w:multiLevelType w:val="hybridMultilevel"/>
    <w:tmpl w:val="6CCA1F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0641D4"/>
    <w:multiLevelType w:val="hybridMultilevel"/>
    <w:tmpl w:val="22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5B0F71"/>
    <w:multiLevelType w:val="hybridMultilevel"/>
    <w:tmpl w:val="2B0A6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646D30"/>
    <w:multiLevelType w:val="hybridMultilevel"/>
    <w:tmpl w:val="202699BE"/>
    <w:lvl w:ilvl="0" w:tplc="E6225F0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2786BB5"/>
    <w:multiLevelType w:val="hybridMultilevel"/>
    <w:tmpl w:val="5A1C4154"/>
    <w:lvl w:ilvl="0" w:tplc="04090001">
      <w:start w:val="1"/>
      <w:numFmt w:val="bullet"/>
      <w:lvlText w:val=""/>
      <w:lvlJc w:val="left"/>
      <w:pPr>
        <w:ind w:left="928" w:hanging="360"/>
      </w:pPr>
      <w:rPr>
        <w:rFonts w:ascii="Symbol" w:hAnsi="Symbol" w:hint="default"/>
      </w:rPr>
    </w:lvl>
    <w:lvl w:ilvl="1" w:tplc="0409000D">
      <w:start w:val="1"/>
      <w:numFmt w:val="bullet"/>
      <w:lvlText w:val=""/>
      <w:lvlJc w:val="left"/>
      <w:pPr>
        <w:ind w:left="1648" w:hanging="360"/>
      </w:pPr>
      <w:rPr>
        <w:rFonts w:ascii="Wingdings" w:hAnsi="Wingdings"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32" w15:restartNumberingAfterBreak="0">
    <w:nsid w:val="62801377"/>
    <w:multiLevelType w:val="hybridMultilevel"/>
    <w:tmpl w:val="069CD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9A6198"/>
    <w:multiLevelType w:val="hybridMultilevel"/>
    <w:tmpl w:val="7FC648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B13D6A"/>
    <w:multiLevelType w:val="hybridMultilevel"/>
    <w:tmpl w:val="74C8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C63A23"/>
    <w:multiLevelType w:val="hybridMultilevel"/>
    <w:tmpl w:val="1FEE6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011587"/>
    <w:multiLevelType w:val="hybridMultilevel"/>
    <w:tmpl w:val="150254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6A1031FE"/>
    <w:multiLevelType w:val="hybridMultilevel"/>
    <w:tmpl w:val="FF5059C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11727"/>
    <w:multiLevelType w:val="hybridMultilevel"/>
    <w:tmpl w:val="B344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7C4E40"/>
    <w:multiLevelType w:val="hybridMultilevel"/>
    <w:tmpl w:val="6F28D9B2"/>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40" w15:restartNumberingAfterBreak="0">
    <w:nsid w:val="6DAB089C"/>
    <w:multiLevelType w:val="hybridMultilevel"/>
    <w:tmpl w:val="0A5A95C4"/>
    <w:lvl w:ilvl="0" w:tplc="B3D2162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B73992"/>
    <w:multiLevelType w:val="hybridMultilevel"/>
    <w:tmpl w:val="91A8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0616CE"/>
    <w:multiLevelType w:val="hybridMultilevel"/>
    <w:tmpl w:val="3B2EA8C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7231AF"/>
    <w:multiLevelType w:val="hybridMultilevel"/>
    <w:tmpl w:val="A078A170"/>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C40E43"/>
    <w:multiLevelType w:val="hybridMultilevel"/>
    <w:tmpl w:val="B7C8E42C"/>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2516DD"/>
    <w:multiLevelType w:val="hybridMultilevel"/>
    <w:tmpl w:val="B1FA6706"/>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4F123F"/>
    <w:multiLevelType w:val="hybridMultilevel"/>
    <w:tmpl w:val="399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88046A"/>
    <w:multiLevelType w:val="hybridMultilevel"/>
    <w:tmpl w:val="F0E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285CFB"/>
    <w:multiLevelType w:val="hybridMultilevel"/>
    <w:tmpl w:val="B6B48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B6281F"/>
    <w:multiLevelType w:val="hybridMultilevel"/>
    <w:tmpl w:val="C15C953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0" w15:restartNumberingAfterBreak="0">
    <w:nsid w:val="76724352"/>
    <w:multiLevelType w:val="hybridMultilevel"/>
    <w:tmpl w:val="9C502D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6E86883"/>
    <w:multiLevelType w:val="multilevel"/>
    <w:tmpl w:val="A57C21FE"/>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B12620"/>
    <w:multiLevelType w:val="multilevel"/>
    <w:tmpl w:val="CC6A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787867AE"/>
    <w:multiLevelType w:val="hybridMultilevel"/>
    <w:tmpl w:val="C3DEA3EC"/>
    <w:lvl w:ilvl="0" w:tplc="0409000D">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4" w15:restartNumberingAfterBreak="0">
    <w:nsid w:val="789B1F9A"/>
    <w:multiLevelType w:val="hybridMultilevel"/>
    <w:tmpl w:val="31608BF8"/>
    <w:lvl w:ilvl="0" w:tplc="B3D21622">
      <w:start w:val="1"/>
      <w:numFmt w:val="bullet"/>
      <w:lvlText w:val="-"/>
      <w:lvlJc w:val="left"/>
      <w:pPr>
        <w:ind w:left="1195" w:hanging="360"/>
      </w:pPr>
      <w:rPr>
        <w:rFonts w:ascii="Arial" w:hAnsi="Arial"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5" w15:restartNumberingAfterBreak="0">
    <w:nsid w:val="79AE5F9B"/>
    <w:multiLevelType w:val="hybridMultilevel"/>
    <w:tmpl w:val="099618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6" w15:restartNumberingAfterBreak="0">
    <w:nsid w:val="7AD461E6"/>
    <w:multiLevelType w:val="hybridMultilevel"/>
    <w:tmpl w:val="048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3F7133"/>
    <w:multiLevelType w:val="hybridMultilevel"/>
    <w:tmpl w:val="E05229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8" w15:restartNumberingAfterBreak="0">
    <w:nsid w:val="7B665B83"/>
    <w:multiLevelType w:val="multilevel"/>
    <w:tmpl w:val="E946D2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103206"/>
    <w:multiLevelType w:val="multilevel"/>
    <w:tmpl w:val="BD501AE0"/>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60" w15:restartNumberingAfterBreak="0">
    <w:nsid w:val="7D1033BC"/>
    <w:multiLevelType w:val="hybridMultilevel"/>
    <w:tmpl w:val="8E920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115AFB"/>
    <w:multiLevelType w:val="hybridMultilevel"/>
    <w:tmpl w:val="4D563590"/>
    <w:lvl w:ilvl="0" w:tplc="E9A62F6A">
      <w:start w:val="29"/>
      <w:numFmt w:val="bullet"/>
      <w:lvlText w:val="-"/>
      <w:lvlJc w:val="left"/>
      <w:pPr>
        <w:ind w:left="1080" w:hanging="360"/>
      </w:pPr>
      <w:rPr>
        <w:rFonts w:ascii="Arial" w:eastAsiaTheme="minorEastAsia"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D870515"/>
    <w:multiLevelType w:val="hybridMultilevel"/>
    <w:tmpl w:val="412210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BD040B"/>
    <w:multiLevelType w:val="hybridMultilevel"/>
    <w:tmpl w:val="852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ED42D2"/>
    <w:multiLevelType w:val="hybridMultilevel"/>
    <w:tmpl w:val="54663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E1968DD"/>
    <w:multiLevelType w:val="hybridMultilevel"/>
    <w:tmpl w:val="4ADC578E"/>
    <w:lvl w:ilvl="0" w:tplc="B3D21622">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C474C7"/>
    <w:multiLevelType w:val="hybridMultilevel"/>
    <w:tmpl w:val="491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C940B9"/>
    <w:multiLevelType w:val="hybridMultilevel"/>
    <w:tmpl w:val="7F50B65A"/>
    <w:lvl w:ilvl="0" w:tplc="92E6FA72">
      <w:start w:val="1"/>
      <w:numFmt w:val="bullet"/>
      <w:lvlText w:val="-"/>
      <w:lvlJc w:val="left"/>
      <w:pPr>
        <w:ind w:left="720" w:hanging="360"/>
      </w:pPr>
      <w:rPr>
        <w:rFonts w:ascii="Calibri" w:eastAsiaTheme="minorEastAsia" w:hAnsi="Calibri"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15:restartNumberingAfterBreak="0">
    <w:nsid w:val="7F50028E"/>
    <w:multiLevelType w:val="hybridMultilevel"/>
    <w:tmpl w:val="252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333735">
    <w:abstractNumId w:val="151"/>
  </w:num>
  <w:num w:numId="2" w16cid:durableId="772285560">
    <w:abstractNumId w:val="164"/>
  </w:num>
  <w:num w:numId="3" w16cid:durableId="531460437">
    <w:abstractNumId w:val="150"/>
  </w:num>
  <w:num w:numId="4" w16cid:durableId="818418327">
    <w:abstractNumId w:val="37"/>
  </w:num>
  <w:num w:numId="5" w16cid:durableId="847063231">
    <w:abstractNumId w:val="38"/>
  </w:num>
  <w:num w:numId="6" w16cid:durableId="802386113">
    <w:abstractNumId w:val="54"/>
  </w:num>
  <w:num w:numId="7" w16cid:durableId="612712064">
    <w:abstractNumId w:val="163"/>
  </w:num>
  <w:num w:numId="8" w16cid:durableId="623075824">
    <w:abstractNumId w:val="131"/>
  </w:num>
  <w:num w:numId="9" w16cid:durableId="1414624031">
    <w:abstractNumId w:val="69"/>
  </w:num>
  <w:num w:numId="10" w16cid:durableId="819539205">
    <w:abstractNumId w:val="159"/>
  </w:num>
  <w:num w:numId="11" w16cid:durableId="843593382">
    <w:abstractNumId w:val="146"/>
  </w:num>
  <w:num w:numId="12" w16cid:durableId="704062980">
    <w:abstractNumId w:val="81"/>
  </w:num>
  <w:num w:numId="13" w16cid:durableId="2100322916">
    <w:abstractNumId w:val="138"/>
  </w:num>
  <w:num w:numId="14" w16cid:durableId="399837621">
    <w:abstractNumId w:val="161"/>
  </w:num>
  <w:num w:numId="15" w16cid:durableId="1739285447">
    <w:abstractNumId w:val="120"/>
  </w:num>
  <w:num w:numId="16" w16cid:durableId="1495489835">
    <w:abstractNumId w:val="4"/>
  </w:num>
  <w:num w:numId="17" w16cid:durableId="1668291777">
    <w:abstractNumId w:val="16"/>
  </w:num>
  <w:num w:numId="18" w16cid:durableId="663822004">
    <w:abstractNumId w:val="85"/>
  </w:num>
  <w:num w:numId="19" w16cid:durableId="1478453722">
    <w:abstractNumId w:val="6"/>
  </w:num>
  <w:num w:numId="20" w16cid:durableId="1918393291">
    <w:abstractNumId w:val="43"/>
  </w:num>
  <w:num w:numId="21" w16cid:durableId="571937307">
    <w:abstractNumId w:val="31"/>
  </w:num>
  <w:num w:numId="22" w16cid:durableId="1842112637">
    <w:abstractNumId w:val="124"/>
  </w:num>
  <w:num w:numId="23" w16cid:durableId="1846893448">
    <w:abstractNumId w:val="7"/>
  </w:num>
  <w:num w:numId="24" w16cid:durableId="1048188590">
    <w:abstractNumId w:val="147"/>
  </w:num>
  <w:num w:numId="25" w16cid:durableId="1363822164">
    <w:abstractNumId w:val="166"/>
  </w:num>
  <w:num w:numId="26" w16cid:durableId="264533672">
    <w:abstractNumId w:val="137"/>
  </w:num>
  <w:num w:numId="27" w16cid:durableId="1123496220">
    <w:abstractNumId w:val="2"/>
  </w:num>
  <w:num w:numId="28" w16cid:durableId="772093544">
    <w:abstractNumId w:val="42"/>
  </w:num>
  <w:num w:numId="29" w16cid:durableId="130292428">
    <w:abstractNumId w:val="25"/>
  </w:num>
  <w:num w:numId="30" w16cid:durableId="827401557">
    <w:abstractNumId w:val="130"/>
  </w:num>
  <w:num w:numId="31" w16cid:durableId="9376737">
    <w:abstractNumId w:val="94"/>
  </w:num>
  <w:num w:numId="32" w16cid:durableId="1358309221">
    <w:abstractNumId w:val="39"/>
  </w:num>
  <w:num w:numId="33" w16cid:durableId="1719014285">
    <w:abstractNumId w:val="53"/>
  </w:num>
  <w:num w:numId="34" w16cid:durableId="673873571">
    <w:abstractNumId w:val="45"/>
  </w:num>
  <w:num w:numId="35" w16cid:durableId="1658341656">
    <w:abstractNumId w:val="156"/>
  </w:num>
  <w:num w:numId="36" w16cid:durableId="633945367">
    <w:abstractNumId w:val="24"/>
  </w:num>
  <w:num w:numId="37" w16cid:durableId="452791652">
    <w:abstractNumId w:val="158"/>
  </w:num>
  <w:num w:numId="38" w16cid:durableId="1280070350">
    <w:abstractNumId w:val="136"/>
  </w:num>
  <w:num w:numId="39" w16cid:durableId="1209224934">
    <w:abstractNumId w:val="11"/>
  </w:num>
  <w:num w:numId="40" w16cid:durableId="61608368">
    <w:abstractNumId w:val="155"/>
  </w:num>
  <w:num w:numId="41" w16cid:durableId="880552004">
    <w:abstractNumId w:val="28"/>
  </w:num>
  <w:num w:numId="42" w16cid:durableId="1035497616">
    <w:abstractNumId w:val="20"/>
  </w:num>
  <w:num w:numId="43" w16cid:durableId="123623073">
    <w:abstractNumId w:val="32"/>
  </w:num>
  <w:num w:numId="44" w16cid:durableId="337925255">
    <w:abstractNumId w:val="148"/>
  </w:num>
  <w:num w:numId="45" w16cid:durableId="1509296677">
    <w:abstractNumId w:val="73"/>
  </w:num>
  <w:num w:numId="46" w16cid:durableId="739407273">
    <w:abstractNumId w:val="140"/>
  </w:num>
  <w:num w:numId="47" w16cid:durableId="1731805216">
    <w:abstractNumId w:val="0"/>
  </w:num>
  <w:num w:numId="48" w16cid:durableId="2017074711">
    <w:abstractNumId w:val="34"/>
  </w:num>
  <w:num w:numId="49" w16cid:durableId="1046830677">
    <w:abstractNumId w:val="49"/>
  </w:num>
  <w:num w:numId="50" w16cid:durableId="90393328">
    <w:abstractNumId w:val="145"/>
  </w:num>
  <w:num w:numId="51" w16cid:durableId="8454712">
    <w:abstractNumId w:val="97"/>
  </w:num>
  <w:num w:numId="52" w16cid:durableId="191844985">
    <w:abstractNumId w:val="102"/>
  </w:num>
  <w:num w:numId="53" w16cid:durableId="1648706726">
    <w:abstractNumId w:val="58"/>
  </w:num>
  <w:num w:numId="54" w16cid:durableId="1675918391">
    <w:abstractNumId w:val="162"/>
  </w:num>
  <w:num w:numId="55" w16cid:durableId="2129545480">
    <w:abstractNumId w:val="33"/>
  </w:num>
  <w:num w:numId="56" w16cid:durableId="1066338585">
    <w:abstractNumId w:val="112"/>
  </w:num>
  <w:num w:numId="57" w16cid:durableId="1726489537">
    <w:abstractNumId w:val="79"/>
  </w:num>
  <w:num w:numId="58" w16cid:durableId="563756333">
    <w:abstractNumId w:val="29"/>
  </w:num>
  <w:num w:numId="59" w16cid:durableId="2094466746">
    <w:abstractNumId w:val="118"/>
  </w:num>
  <w:num w:numId="60" w16cid:durableId="2100322278">
    <w:abstractNumId w:val="35"/>
  </w:num>
  <w:num w:numId="61" w16cid:durableId="1986006972">
    <w:abstractNumId w:val="64"/>
  </w:num>
  <w:num w:numId="62" w16cid:durableId="1486045519">
    <w:abstractNumId w:val="57"/>
  </w:num>
  <w:num w:numId="63" w16cid:durableId="1553078708">
    <w:abstractNumId w:val="167"/>
  </w:num>
  <w:num w:numId="64" w16cid:durableId="1168667038">
    <w:abstractNumId w:val="46"/>
  </w:num>
  <w:num w:numId="65" w16cid:durableId="1741052192">
    <w:abstractNumId w:val="165"/>
  </w:num>
  <w:num w:numId="66" w16cid:durableId="1580484328">
    <w:abstractNumId w:val="89"/>
  </w:num>
  <w:num w:numId="67" w16cid:durableId="1833596101">
    <w:abstractNumId w:val="56"/>
  </w:num>
  <w:num w:numId="68" w16cid:durableId="238487275">
    <w:abstractNumId w:val="91"/>
  </w:num>
  <w:num w:numId="69" w16cid:durableId="2064130653">
    <w:abstractNumId w:val="47"/>
  </w:num>
  <w:num w:numId="70" w16cid:durableId="862867501">
    <w:abstractNumId w:val="41"/>
  </w:num>
  <w:num w:numId="71" w16cid:durableId="1648125374">
    <w:abstractNumId w:val="76"/>
  </w:num>
  <w:num w:numId="72" w16cid:durableId="639187521">
    <w:abstractNumId w:val="126"/>
  </w:num>
  <w:num w:numId="73" w16cid:durableId="1922519269">
    <w:abstractNumId w:val="160"/>
  </w:num>
  <w:num w:numId="74" w16cid:durableId="104926977">
    <w:abstractNumId w:val="128"/>
  </w:num>
  <w:num w:numId="75" w16cid:durableId="1778061795">
    <w:abstractNumId w:val="14"/>
  </w:num>
  <w:num w:numId="76" w16cid:durableId="1749693549">
    <w:abstractNumId w:val="65"/>
  </w:num>
  <w:num w:numId="77" w16cid:durableId="1161237658">
    <w:abstractNumId w:val="168"/>
  </w:num>
  <w:num w:numId="78" w16cid:durableId="1955552238">
    <w:abstractNumId w:val="133"/>
  </w:num>
  <w:num w:numId="79" w16cid:durableId="1035693300">
    <w:abstractNumId w:val="82"/>
  </w:num>
  <w:num w:numId="80" w16cid:durableId="229076046">
    <w:abstractNumId w:val="62"/>
  </w:num>
  <w:num w:numId="81" w16cid:durableId="2024629631">
    <w:abstractNumId w:val="92"/>
  </w:num>
  <w:num w:numId="82" w16cid:durableId="124738806">
    <w:abstractNumId w:val="78"/>
  </w:num>
  <w:num w:numId="83" w16cid:durableId="1281688265">
    <w:abstractNumId w:val="107"/>
  </w:num>
  <w:num w:numId="84" w16cid:durableId="1171407968">
    <w:abstractNumId w:val="70"/>
  </w:num>
  <w:num w:numId="85" w16cid:durableId="508258112">
    <w:abstractNumId w:val="98"/>
  </w:num>
  <w:num w:numId="86" w16cid:durableId="2125495175">
    <w:abstractNumId w:val="23"/>
  </w:num>
  <w:num w:numId="87" w16cid:durableId="1539472128">
    <w:abstractNumId w:val="153"/>
  </w:num>
  <w:num w:numId="88" w16cid:durableId="1728726934">
    <w:abstractNumId w:val="122"/>
  </w:num>
  <w:num w:numId="89" w16cid:durableId="1124036131">
    <w:abstractNumId w:val="103"/>
  </w:num>
  <w:num w:numId="90" w16cid:durableId="95175543">
    <w:abstractNumId w:val="157"/>
  </w:num>
  <w:num w:numId="91" w16cid:durableId="1368682082">
    <w:abstractNumId w:val="121"/>
  </w:num>
  <w:num w:numId="92" w16cid:durableId="2108306016">
    <w:abstractNumId w:val="111"/>
  </w:num>
  <w:num w:numId="93" w16cid:durableId="754935808">
    <w:abstractNumId w:val="60"/>
  </w:num>
  <w:num w:numId="94" w16cid:durableId="1043409067">
    <w:abstractNumId w:val="26"/>
  </w:num>
  <w:num w:numId="95" w16cid:durableId="572665333">
    <w:abstractNumId w:val="68"/>
  </w:num>
  <w:num w:numId="96" w16cid:durableId="1993830085">
    <w:abstractNumId w:val="36"/>
  </w:num>
  <w:num w:numId="97" w16cid:durableId="1025130755">
    <w:abstractNumId w:val="123"/>
  </w:num>
  <w:num w:numId="98" w16cid:durableId="1683363152">
    <w:abstractNumId w:val="141"/>
  </w:num>
  <w:num w:numId="99" w16cid:durableId="1524325092">
    <w:abstractNumId w:val="110"/>
  </w:num>
  <w:num w:numId="100" w16cid:durableId="1752387837">
    <w:abstractNumId w:val="72"/>
  </w:num>
  <w:num w:numId="101" w16cid:durableId="1592203185">
    <w:abstractNumId w:val="1"/>
  </w:num>
  <w:num w:numId="102" w16cid:durableId="2145542507">
    <w:abstractNumId w:val="83"/>
  </w:num>
  <w:num w:numId="103" w16cid:durableId="294609233">
    <w:abstractNumId w:val="149"/>
  </w:num>
  <w:num w:numId="104" w16cid:durableId="93862820">
    <w:abstractNumId w:val="13"/>
  </w:num>
  <w:num w:numId="105" w16cid:durableId="1433353051">
    <w:abstractNumId w:val="75"/>
  </w:num>
  <w:num w:numId="106" w16cid:durableId="1334990915">
    <w:abstractNumId w:val="67"/>
  </w:num>
  <w:num w:numId="107" w16cid:durableId="1761439276">
    <w:abstractNumId w:val="22"/>
  </w:num>
  <w:num w:numId="108" w16cid:durableId="653293089">
    <w:abstractNumId w:val="115"/>
  </w:num>
  <w:num w:numId="109" w16cid:durableId="1709069568">
    <w:abstractNumId w:val="129"/>
  </w:num>
  <w:num w:numId="110" w16cid:durableId="1466855217">
    <w:abstractNumId w:val="127"/>
  </w:num>
  <w:num w:numId="111" w16cid:durableId="984168252">
    <w:abstractNumId w:val="125"/>
  </w:num>
  <w:num w:numId="112" w16cid:durableId="1855535783">
    <w:abstractNumId w:val="10"/>
  </w:num>
  <w:num w:numId="113" w16cid:durableId="1165048977">
    <w:abstractNumId w:val="40"/>
  </w:num>
  <w:num w:numId="114" w16cid:durableId="733898034">
    <w:abstractNumId w:val="144"/>
  </w:num>
  <w:num w:numId="115" w16cid:durableId="2007198950">
    <w:abstractNumId w:val="80"/>
  </w:num>
  <w:num w:numId="116" w16cid:durableId="1519658299">
    <w:abstractNumId w:val="12"/>
  </w:num>
  <w:num w:numId="117" w16cid:durableId="204678903">
    <w:abstractNumId w:val="27"/>
  </w:num>
  <w:num w:numId="118" w16cid:durableId="1628898865">
    <w:abstractNumId w:val="101"/>
  </w:num>
  <w:num w:numId="119" w16cid:durableId="584652426">
    <w:abstractNumId w:val="99"/>
  </w:num>
  <w:num w:numId="120" w16cid:durableId="466972749">
    <w:abstractNumId w:val="119"/>
  </w:num>
  <w:num w:numId="121" w16cid:durableId="839736552">
    <w:abstractNumId w:val="71"/>
  </w:num>
  <w:num w:numId="122" w16cid:durableId="956790941">
    <w:abstractNumId w:val="113"/>
  </w:num>
  <w:num w:numId="123" w16cid:durableId="975986312">
    <w:abstractNumId w:val="104"/>
  </w:num>
  <w:num w:numId="124" w16cid:durableId="1259023442">
    <w:abstractNumId w:val="88"/>
  </w:num>
  <w:num w:numId="125" w16cid:durableId="1413771232">
    <w:abstractNumId w:val="55"/>
  </w:num>
  <w:num w:numId="126" w16cid:durableId="2058895498">
    <w:abstractNumId w:val="44"/>
  </w:num>
  <w:num w:numId="127" w16cid:durableId="338654461">
    <w:abstractNumId w:val="74"/>
  </w:num>
  <w:num w:numId="128" w16cid:durableId="175388243">
    <w:abstractNumId w:val="63"/>
  </w:num>
  <w:num w:numId="129" w16cid:durableId="636646394">
    <w:abstractNumId w:val="90"/>
  </w:num>
  <w:num w:numId="130" w16cid:durableId="835145476">
    <w:abstractNumId w:val="51"/>
  </w:num>
  <w:num w:numId="131" w16cid:durableId="322054761">
    <w:abstractNumId w:val="18"/>
  </w:num>
  <w:num w:numId="132" w16cid:durableId="1284119508">
    <w:abstractNumId w:val="109"/>
  </w:num>
  <w:num w:numId="133" w16cid:durableId="1361591011">
    <w:abstractNumId w:val="50"/>
  </w:num>
  <w:num w:numId="134" w16cid:durableId="410660881">
    <w:abstractNumId w:val="3"/>
  </w:num>
  <w:num w:numId="135" w16cid:durableId="1067848546">
    <w:abstractNumId w:val="17"/>
  </w:num>
  <w:num w:numId="136" w16cid:durableId="1288774705">
    <w:abstractNumId w:val="108"/>
  </w:num>
  <w:num w:numId="137" w16cid:durableId="150295915">
    <w:abstractNumId w:val="86"/>
  </w:num>
  <w:num w:numId="138" w16cid:durableId="2064132500">
    <w:abstractNumId w:val="87"/>
  </w:num>
  <w:num w:numId="139" w16cid:durableId="1165827568">
    <w:abstractNumId w:val="154"/>
  </w:num>
  <w:num w:numId="140" w16cid:durableId="1986661419">
    <w:abstractNumId w:val="21"/>
  </w:num>
  <w:num w:numId="141" w16cid:durableId="1672366831">
    <w:abstractNumId w:val="48"/>
  </w:num>
  <w:num w:numId="142" w16cid:durableId="1584295420">
    <w:abstractNumId w:val="84"/>
  </w:num>
  <w:num w:numId="143" w16cid:durableId="792405032">
    <w:abstractNumId w:val="9"/>
  </w:num>
  <w:num w:numId="144" w16cid:durableId="1677347100">
    <w:abstractNumId w:val="59"/>
  </w:num>
  <w:num w:numId="145" w16cid:durableId="1905221141">
    <w:abstractNumId w:val="19"/>
  </w:num>
  <w:num w:numId="146" w16cid:durableId="764347232">
    <w:abstractNumId w:val="96"/>
  </w:num>
  <w:num w:numId="147" w16cid:durableId="1378318788">
    <w:abstractNumId w:val="139"/>
  </w:num>
  <w:num w:numId="148" w16cid:durableId="1055422956">
    <w:abstractNumId w:val="66"/>
  </w:num>
  <w:num w:numId="149" w16cid:durableId="843861354">
    <w:abstractNumId w:val="30"/>
  </w:num>
  <w:num w:numId="150" w16cid:durableId="497579872">
    <w:abstractNumId w:val="142"/>
  </w:num>
  <w:num w:numId="151" w16cid:durableId="1573809251">
    <w:abstractNumId w:val="116"/>
  </w:num>
  <w:num w:numId="152" w16cid:durableId="2249161">
    <w:abstractNumId w:val="106"/>
  </w:num>
  <w:num w:numId="153" w16cid:durableId="569659658">
    <w:abstractNumId w:val="95"/>
  </w:num>
  <w:num w:numId="154" w16cid:durableId="607203740">
    <w:abstractNumId w:val="135"/>
  </w:num>
  <w:num w:numId="155" w16cid:durableId="1860772342">
    <w:abstractNumId w:val="117"/>
  </w:num>
  <w:num w:numId="156" w16cid:durableId="1979263498">
    <w:abstractNumId w:val="77"/>
  </w:num>
  <w:num w:numId="157" w16cid:durableId="989284515">
    <w:abstractNumId w:val="132"/>
  </w:num>
  <w:num w:numId="158" w16cid:durableId="966622025">
    <w:abstractNumId w:val="52"/>
  </w:num>
  <w:num w:numId="159" w16cid:durableId="1915582638">
    <w:abstractNumId w:val="93"/>
  </w:num>
  <w:num w:numId="160" w16cid:durableId="2001230959">
    <w:abstractNumId w:val="143"/>
  </w:num>
  <w:num w:numId="161" w16cid:durableId="77948820">
    <w:abstractNumId w:val="5"/>
  </w:num>
  <w:num w:numId="162" w16cid:durableId="319771616">
    <w:abstractNumId w:val="15"/>
  </w:num>
  <w:num w:numId="163" w16cid:durableId="476145435">
    <w:abstractNumId w:val="105"/>
  </w:num>
  <w:num w:numId="164" w16cid:durableId="1147211138">
    <w:abstractNumId w:val="134"/>
  </w:num>
  <w:num w:numId="165" w16cid:durableId="958410740">
    <w:abstractNumId w:val="61"/>
  </w:num>
  <w:num w:numId="166" w16cid:durableId="102459138">
    <w:abstractNumId w:val="152"/>
  </w:num>
  <w:num w:numId="167" w16cid:durableId="200843571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71785463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4069702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206984209">
    <w:abstractNumId w:val="100"/>
  </w:num>
  <w:num w:numId="171" w16cid:durableId="790978827">
    <w:abstractNumId w:val="8"/>
  </w:num>
  <w:num w:numId="172" w16cid:durableId="269318621">
    <w:abstractNumId w:val="8"/>
  </w:num>
  <w:num w:numId="173" w16cid:durableId="1324360413">
    <w:abstractNumId w:val="11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1157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2C2"/>
    <w:rsid w:val="00020809"/>
    <w:rsid w:val="00020D50"/>
    <w:rsid w:val="000224A1"/>
    <w:rsid w:val="00022B42"/>
    <w:rsid w:val="00023C71"/>
    <w:rsid w:val="00024138"/>
    <w:rsid w:val="0002456F"/>
    <w:rsid w:val="00026103"/>
    <w:rsid w:val="00026179"/>
    <w:rsid w:val="00026413"/>
    <w:rsid w:val="00026799"/>
    <w:rsid w:val="00027256"/>
    <w:rsid w:val="00030E4B"/>
    <w:rsid w:val="000337FA"/>
    <w:rsid w:val="000340C2"/>
    <w:rsid w:val="00034765"/>
    <w:rsid w:val="000401C0"/>
    <w:rsid w:val="0004177B"/>
    <w:rsid w:val="00042004"/>
    <w:rsid w:val="00042A41"/>
    <w:rsid w:val="00042C9A"/>
    <w:rsid w:val="00043F51"/>
    <w:rsid w:val="00044259"/>
    <w:rsid w:val="000444C2"/>
    <w:rsid w:val="000444D5"/>
    <w:rsid w:val="00044567"/>
    <w:rsid w:val="00044985"/>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6A48"/>
    <w:rsid w:val="000579B8"/>
    <w:rsid w:val="00057B2F"/>
    <w:rsid w:val="00057D3B"/>
    <w:rsid w:val="00057F37"/>
    <w:rsid w:val="00060399"/>
    <w:rsid w:val="00060558"/>
    <w:rsid w:val="000616D0"/>
    <w:rsid w:val="00063808"/>
    <w:rsid w:val="00064040"/>
    <w:rsid w:val="0006482A"/>
    <w:rsid w:val="0006517B"/>
    <w:rsid w:val="00066E1C"/>
    <w:rsid w:val="00067BE3"/>
    <w:rsid w:val="0007179C"/>
    <w:rsid w:val="00072818"/>
    <w:rsid w:val="00072989"/>
    <w:rsid w:val="00072C7B"/>
    <w:rsid w:val="00072F2A"/>
    <w:rsid w:val="0007322D"/>
    <w:rsid w:val="00073A55"/>
    <w:rsid w:val="00074140"/>
    <w:rsid w:val="00074698"/>
    <w:rsid w:val="00074DB0"/>
    <w:rsid w:val="00076ADB"/>
    <w:rsid w:val="00076C43"/>
    <w:rsid w:val="00076E83"/>
    <w:rsid w:val="0007723D"/>
    <w:rsid w:val="0008003B"/>
    <w:rsid w:val="000810C3"/>
    <w:rsid w:val="000814C7"/>
    <w:rsid w:val="000827C3"/>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A1395"/>
    <w:rsid w:val="000A3620"/>
    <w:rsid w:val="000A4009"/>
    <w:rsid w:val="000A4093"/>
    <w:rsid w:val="000A4AA3"/>
    <w:rsid w:val="000A4AF0"/>
    <w:rsid w:val="000A4F79"/>
    <w:rsid w:val="000A674C"/>
    <w:rsid w:val="000B0442"/>
    <w:rsid w:val="000B07E9"/>
    <w:rsid w:val="000B0D59"/>
    <w:rsid w:val="000B1631"/>
    <w:rsid w:val="000B2058"/>
    <w:rsid w:val="000B22A9"/>
    <w:rsid w:val="000B248A"/>
    <w:rsid w:val="000B27B9"/>
    <w:rsid w:val="000B2D59"/>
    <w:rsid w:val="000B4E29"/>
    <w:rsid w:val="000B4F38"/>
    <w:rsid w:val="000B5719"/>
    <w:rsid w:val="000B5B31"/>
    <w:rsid w:val="000B6677"/>
    <w:rsid w:val="000C0D19"/>
    <w:rsid w:val="000C1792"/>
    <w:rsid w:val="000C1F83"/>
    <w:rsid w:val="000C38E0"/>
    <w:rsid w:val="000C3E6E"/>
    <w:rsid w:val="000C4A96"/>
    <w:rsid w:val="000C4C36"/>
    <w:rsid w:val="000C5552"/>
    <w:rsid w:val="000C6F57"/>
    <w:rsid w:val="000D12AB"/>
    <w:rsid w:val="000D1A41"/>
    <w:rsid w:val="000D1F39"/>
    <w:rsid w:val="000D2C3E"/>
    <w:rsid w:val="000D3AA8"/>
    <w:rsid w:val="000D5B6D"/>
    <w:rsid w:val="000D5CEA"/>
    <w:rsid w:val="000D6517"/>
    <w:rsid w:val="000D7090"/>
    <w:rsid w:val="000D7320"/>
    <w:rsid w:val="000D75AC"/>
    <w:rsid w:val="000E0A05"/>
    <w:rsid w:val="000E0BF6"/>
    <w:rsid w:val="000E2073"/>
    <w:rsid w:val="000E266A"/>
    <w:rsid w:val="000E4127"/>
    <w:rsid w:val="000E47DB"/>
    <w:rsid w:val="000E58BE"/>
    <w:rsid w:val="000E645D"/>
    <w:rsid w:val="000E6BEF"/>
    <w:rsid w:val="000F0CEF"/>
    <w:rsid w:val="000F0DBF"/>
    <w:rsid w:val="000F1F1D"/>
    <w:rsid w:val="000F46DC"/>
    <w:rsid w:val="000F5747"/>
    <w:rsid w:val="000F5B08"/>
    <w:rsid w:val="000F6089"/>
    <w:rsid w:val="000F6501"/>
    <w:rsid w:val="000F6AF0"/>
    <w:rsid w:val="000F7816"/>
    <w:rsid w:val="001007A1"/>
    <w:rsid w:val="0010111B"/>
    <w:rsid w:val="001013B4"/>
    <w:rsid w:val="00103259"/>
    <w:rsid w:val="0010435A"/>
    <w:rsid w:val="00105E6A"/>
    <w:rsid w:val="00105FB4"/>
    <w:rsid w:val="00106927"/>
    <w:rsid w:val="00106E5E"/>
    <w:rsid w:val="0011100B"/>
    <w:rsid w:val="00112228"/>
    <w:rsid w:val="00112AFE"/>
    <w:rsid w:val="001160B7"/>
    <w:rsid w:val="00116388"/>
    <w:rsid w:val="0011650C"/>
    <w:rsid w:val="001165FC"/>
    <w:rsid w:val="00116A82"/>
    <w:rsid w:val="00116AB9"/>
    <w:rsid w:val="00117ED8"/>
    <w:rsid w:val="0012087B"/>
    <w:rsid w:val="00122126"/>
    <w:rsid w:val="00122347"/>
    <w:rsid w:val="00122403"/>
    <w:rsid w:val="0012258A"/>
    <w:rsid w:val="00122DF5"/>
    <w:rsid w:val="00122E9C"/>
    <w:rsid w:val="00123231"/>
    <w:rsid w:val="0012352F"/>
    <w:rsid w:val="0012362C"/>
    <w:rsid w:val="00124F91"/>
    <w:rsid w:val="0012633A"/>
    <w:rsid w:val="00126D60"/>
    <w:rsid w:val="001272E8"/>
    <w:rsid w:val="00131D84"/>
    <w:rsid w:val="00131EE3"/>
    <w:rsid w:val="00132893"/>
    <w:rsid w:val="001336DC"/>
    <w:rsid w:val="00134503"/>
    <w:rsid w:val="00135CB0"/>
    <w:rsid w:val="001362F4"/>
    <w:rsid w:val="00136894"/>
    <w:rsid w:val="0013727C"/>
    <w:rsid w:val="00140787"/>
    <w:rsid w:val="00140E88"/>
    <w:rsid w:val="00143031"/>
    <w:rsid w:val="001432FC"/>
    <w:rsid w:val="00144A93"/>
    <w:rsid w:val="00144C1C"/>
    <w:rsid w:val="00144F14"/>
    <w:rsid w:val="00145DE5"/>
    <w:rsid w:val="00146164"/>
    <w:rsid w:val="00146AC6"/>
    <w:rsid w:val="00147971"/>
    <w:rsid w:val="00150662"/>
    <w:rsid w:val="00150925"/>
    <w:rsid w:val="00152148"/>
    <w:rsid w:val="001523C5"/>
    <w:rsid w:val="00152EC6"/>
    <w:rsid w:val="00152F72"/>
    <w:rsid w:val="00153B6A"/>
    <w:rsid w:val="00154CE4"/>
    <w:rsid w:val="00155D38"/>
    <w:rsid w:val="00156387"/>
    <w:rsid w:val="00156847"/>
    <w:rsid w:val="00156BB4"/>
    <w:rsid w:val="0015756C"/>
    <w:rsid w:val="00157BF2"/>
    <w:rsid w:val="00157F4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609"/>
    <w:rsid w:val="00172756"/>
    <w:rsid w:val="001729EC"/>
    <w:rsid w:val="00172F28"/>
    <w:rsid w:val="0017343F"/>
    <w:rsid w:val="0017474C"/>
    <w:rsid w:val="00174D0A"/>
    <w:rsid w:val="00174EA7"/>
    <w:rsid w:val="00175B07"/>
    <w:rsid w:val="00175F19"/>
    <w:rsid w:val="0017627B"/>
    <w:rsid w:val="001770A4"/>
    <w:rsid w:val="00177E70"/>
    <w:rsid w:val="00184305"/>
    <w:rsid w:val="001853B1"/>
    <w:rsid w:val="001866F3"/>
    <w:rsid w:val="00186D19"/>
    <w:rsid w:val="00186DF6"/>
    <w:rsid w:val="0019098E"/>
    <w:rsid w:val="001920D8"/>
    <w:rsid w:val="001921AB"/>
    <w:rsid w:val="001928E9"/>
    <w:rsid w:val="001929CD"/>
    <w:rsid w:val="00192EA1"/>
    <w:rsid w:val="00193B71"/>
    <w:rsid w:val="00194209"/>
    <w:rsid w:val="001963F3"/>
    <w:rsid w:val="00196622"/>
    <w:rsid w:val="00197A75"/>
    <w:rsid w:val="00197D4D"/>
    <w:rsid w:val="001A078F"/>
    <w:rsid w:val="001A07C5"/>
    <w:rsid w:val="001A0D58"/>
    <w:rsid w:val="001A2075"/>
    <w:rsid w:val="001A32D1"/>
    <w:rsid w:val="001A3381"/>
    <w:rsid w:val="001A3B9D"/>
    <w:rsid w:val="001A56F4"/>
    <w:rsid w:val="001A5AA6"/>
    <w:rsid w:val="001A616B"/>
    <w:rsid w:val="001A775E"/>
    <w:rsid w:val="001B0C79"/>
    <w:rsid w:val="001B1DA5"/>
    <w:rsid w:val="001B2246"/>
    <w:rsid w:val="001B29C6"/>
    <w:rsid w:val="001B356E"/>
    <w:rsid w:val="001B4072"/>
    <w:rsid w:val="001B4644"/>
    <w:rsid w:val="001B4878"/>
    <w:rsid w:val="001B5BDA"/>
    <w:rsid w:val="001B6C31"/>
    <w:rsid w:val="001B6F4A"/>
    <w:rsid w:val="001B700C"/>
    <w:rsid w:val="001B7989"/>
    <w:rsid w:val="001C07E8"/>
    <w:rsid w:val="001C1E24"/>
    <w:rsid w:val="001C1EA3"/>
    <w:rsid w:val="001C5591"/>
    <w:rsid w:val="001C6398"/>
    <w:rsid w:val="001C7793"/>
    <w:rsid w:val="001C791F"/>
    <w:rsid w:val="001C7A47"/>
    <w:rsid w:val="001D063A"/>
    <w:rsid w:val="001D08C5"/>
    <w:rsid w:val="001D4B78"/>
    <w:rsid w:val="001D6350"/>
    <w:rsid w:val="001D6902"/>
    <w:rsid w:val="001D7A14"/>
    <w:rsid w:val="001E1307"/>
    <w:rsid w:val="001E22D8"/>
    <w:rsid w:val="001E2AFA"/>
    <w:rsid w:val="001E2B05"/>
    <w:rsid w:val="001E390B"/>
    <w:rsid w:val="001E3A9F"/>
    <w:rsid w:val="001E4548"/>
    <w:rsid w:val="001E4F1D"/>
    <w:rsid w:val="001E615A"/>
    <w:rsid w:val="001E61B6"/>
    <w:rsid w:val="001E6569"/>
    <w:rsid w:val="001E7984"/>
    <w:rsid w:val="001E7CE0"/>
    <w:rsid w:val="001E7E61"/>
    <w:rsid w:val="001F0033"/>
    <w:rsid w:val="001F061B"/>
    <w:rsid w:val="001F1275"/>
    <w:rsid w:val="001F1C33"/>
    <w:rsid w:val="001F3F98"/>
    <w:rsid w:val="001F47A0"/>
    <w:rsid w:val="001F4AA6"/>
    <w:rsid w:val="001F4ECE"/>
    <w:rsid w:val="001F61E1"/>
    <w:rsid w:val="001F685C"/>
    <w:rsid w:val="001F7814"/>
    <w:rsid w:val="002009C9"/>
    <w:rsid w:val="00200EE6"/>
    <w:rsid w:val="00201F39"/>
    <w:rsid w:val="00201FCD"/>
    <w:rsid w:val="00201FE6"/>
    <w:rsid w:val="002020F4"/>
    <w:rsid w:val="00202BB2"/>
    <w:rsid w:val="002045E1"/>
    <w:rsid w:val="00204C25"/>
    <w:rsid w:val="00205858"/>
    <w:rsid w:val="00206B7E"/>
    <w:rsid w:val="00207DDF"/>
    <w:rsid w:val="00210994"/>
    <w:rsid w:val="00210BFB"/>
    <w:rsid w:val="00211343"/>
    <w:rsid w:val="00212251"/>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67F"/>
    <w:rsid w:val="00244F40"/>
    <w:rsid w:val="002466A5"/>
    <w:rsid w:val="00247284"/>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3F07"/>
    <w:rsid w:val="002660BE"/>
    <w:rsid w:val="00267571"/>
    <w:rsid w:val="00267CCE"/>
    <w:rsid w:val="00267F59"/>
    <w:rsid w:val="002706C1"/>
    <w:rsid w:val="00272089"/>
    <w:rsid w:val="00272391"/>
    <w:rsid w:val="002728B7"/>
    <w:rsid w:val="00272A61"/>
    <w:rsid w:val="00273A07"/>
    <w:rsid w:val="00274DFD"/>
    <w:rsid w:val="0027537A"/>
    <w:rsid w:val="002753A1"/>
    <w:rsid w:val="0027568D"/>
    <w:rsid w:val="00275912"/>
    <w:rsid w:val="00275B84"/>
    <w:rsid w:val="0027602C"/>
    <w:rsid w:val="00276E83"/>
    <w:rsid w:val="00277164"/>
    <w:rsid w:val="002800CB"/>
    <w:rsid w:val="0028017B"/>
    <w:rsid w:val="002806EC"/>
    <w:rsid w:val="00280759"/>
    <w:rsid w:val="00282082"/>
    <w:rsid w:val="00282193"/>
    <w:rsid w:val="00282355"/>
    <w:rsid w:val="00282CDD"/>
    <w:rsid w:val="00282D13"/>
    <w:rsid w:val="00282E19"/>
    <w:rsid w:val="0028432A"/>
    <w:rsid w:val="00284FEC"/>
    <w:rsid w:val="002868BC"/>
    <w:rsid w:val="002876BB"/>
    <w:rsid w:val="0029196B"/>
    <w:rsid w:val="00292BA3"/>
    <w:rsid w:val="0029399E"/>
    <w:rsid w:val="002947A1"/>
    <w:rsid w:val="00294B77"/>
    <w:rsid w:val="002959BC"/>
    <w:rsid w:val="002968A9"/>
    <w:rsid w:val="002A13BA"/>
    <w:rsid w:val="002A190F"/>
    <w:rsid w:val="002A1D58"/>
    <w:rsid w:val="002A2271"/>
    <w:rsid w:val="002A2CCC"/>
    <w:rsid w:val="002A3827"/>
    <w:rsid w:val="002A6ABD"/>
    <w:rsid w:val="002A719B"/>
    <w:rsid w:val="002A7BE4"/>
    <w:rsid w:val="002A7DA9"/>
    <w:rsid w:val="002B148A"/>
    <w:rsid w:val="002B18D3"/>
    <w:rsid w:val="002B237C"/>
    <w:rsid w:val="002B3918"/>
    <w:rsid w:val="002B426B"/>
    <w:rsid w:val="002B447D"/>
    <w:rsid w:val="002B4F7E"/>
    <w:rsid w:val="002B5025"/>
    <w:rsid w:val="002B58D9"/>
    <w:rsid w:val="002B5E07"/>
    <w:rsid w:val="002B7773"/>
    <w:rsid w:val="002C110C"/>
    <w:rsid w:val="002C2782"/>
    <w:rsid w:val="002C29AF"/>
    <w:rsid w:val="002C2F12"/>
    <w:rsid w:val="002C332D"/>
    <w:rsid w:val="002C3701"/>
    <w:rsid w:val="002C4072"/>
    <w:rsid w:val="002C4B01"/>
    <w:rsid w:val="002C600B"/>
    <w:rsid w:val="002C71AE"/>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A6"/>
    <w:rsid w:val="002E0DD9"/>
    <w:rsid w:val="002E1533"/>
    <w:rsid w:val="002E241F"/>
    <w:rsid w:val="002E2A56"/>
    <w:rsid w:val="002E45CD"/>
    <w:rsid w:val="002E57D0"/>
    <w:rsid w:val="002E5D04"/>
    <w:rsid w:val="002E625B"/>
    <w:rsid w:val="002E6E0B"/>
    <w:rsid w:val="002E79BE"/>
    <w:rsid w:val="002F0427"/>
    <w:rsid w:val="002F05B9"/>
    <w:rsid w:val="002F0D8F"/>
    <w:rsid w:val="002F3C51"/>
    <w:rsid w:val="002F570B"/>
    <w:rsid w:val="002F5ABB"/>
    <w:rsid w:val="002F5C30"/>
    <w:rsid w:val="002F7AC6"/>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4B83"/>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1753"/>
    <w:rsid w:val="00332D42"/>
    <w:rsid w:val="00332FEA"/>
    <w:rsid w:val="0033383F"/>
    <w:rsid w:val="00333CCE"/>
    <w:rsid w:val="003340A6"/>
    <w:rsid w:val="003348E8"/>
    <w:rsid w:val="00334AE0"/>
    <w:rsid w:val="00334C92"/>
    <w:rsid w:val="00334F1B"/>
    <w:rsid w:val="00334F3A"/>
    <w:rsid w:val="003351F2"/>
    <w:rsid w:val="00335F58"/>
    <w:rsid w:val="003362FA"/>
    <w:rsid w:val="00336E84"/>
    <w:rsid w:val="00340057"/>
    <w:rsid w:val="0034174F"/>
    <w:rsid w:val="003419E0"/>
    <w:rsid w:val="00341EBD"/>
    <w:rsid w:val="00342261"/>
    <w:rsid w:val="0034402A"/>
    <w:rsid w:val="00344278"/>
    <w:rsid w:val="00344909"/>
    <w:rsid w:val="003451D3"/>
    <w:rsid w:val="0034635B"/>
    <w:rsid w:val="00347704"/>
    <w:rsid w:val="0034779E"/>
    <w:rsid w:val="003479A3"/>
    <w:rsid w:val="00350414"/>
    <w:rsid w:val="00350587"/>
    <w:rsid w:val="003507EC"/>
    <w:rsid w:val="00351B65"/>
    <w:rsid w:val="0035295B"/>
    <w:rsid w:val="003532B9"/>
    <w:rsid w:val="00353602"/>
    <w:rsid w:val="003550AB"/>
    <w:rsid w:val="0035604B"/>
    <w:rsid w:val="0035646C"/>
    <w:rsid w:val="00356495"/>
    <w:rsid w:val="003600F3"/>
    <w:rsid w:val="00360D8B"/>
    <w:rsid w:val="00363A07"/>
    <w:rsid w:val="00363A4F"/>
    <w:rsid w:val="00365427"/>
    <w:rsid w:val="00365F97"/>
    <w:rsid w:val="00365FE8"/>
    <w:rsid w:val="00366469"/>
    <w:rsid w:val="00367092"/>
    <w:rsid w:val="00367756"/>
    <w:rsid w:val="00367FD1"/>
    <w:rsid w:val="0037079F"/>
    <w:rsid w:val="003707A0"/>
    <w:rsid w:val="00370F82"/>
    <w:rsid w:val="003718DF"/>
    <w:rsid w:val="00371F66"/>
    <w:rsid w:val="00372430"/>
    <w:rsid w:val="00372763"/>
    <w:rsid w:val="00372C70"/>
    <w:rsid w:val="00372CF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F84"/>
    <w:rsid w:val="0039137A"/>
    <w:rsid w:val="0039187D"/>
    <w:rsid w:val="00392235"/>
    <w:rsid w:val="003926C6"/>
    <w:rsid w:val="003927CC"/>
    <w:rsid w:val="00392C58"/>
    <w:rsid w:val="00392D43"/>
    <w:rsid w:val="00393683"/>
    <w:rsid w:val="00393CA1"/>
    <w:rsid w:val="00393F6F"/>
    <w:rsid w:val="00394C8E"/>
    <w:rsid w:val="00395745"/>
    <w:rsid w:val="00396915"/>
    <w:rsid w:val="003976AC"/>
    <w:rsid w:val="003A04D2"/>
    <w:rsid w:val="003A11EC"/>
    <w:rsid w:val="003A185F"/>
    <w:rsid w:val="003A27A7"/>
    <w:rsid w:val="003A27FF"/>
    <w:rsid w:val="003A2FE2"/>
    <w:rsid w:val="003A3536"/>
    <w:rsid w:val="003A39A2"/>
    <w:rsid w:val="003A4C0F"/>
    <w:rsid w:val="003A6577"/>
    <w:rsid w:val="003A751E"/>
    <w:rsid w:val="003A76D9"/>
    <w:rsid w:val="003B01CB"/>
    <w:rsid w:val="003B072B"/>
    <w:rsid w:val="003B0981"/>
    <w:rsid w:val="003B16E8"/>
    <w:rsid w:val="003B3199"/>
    <w:rsid w:val="003B356C"/>
    <w:rsid w:val="003B4ADD"/>
    <w:rsid w:val="003B5A03"/>
    <w:rsid w:val="003B72A2"/>
    <w:rsid w:val="003B7502"/>
    <w:rsid w:val="003B7EA0"/>
    <w:rsid w:val="003C0ADB"/>
    <w:rsid w:val="003C0C74"/>
    <w:rsid w:val="003C1089"/>
    <w:rsid w:val="003C1373"/>
    <w:rsid w:val="003C1BFB"/>
    <w:rsid w:val="003C1EAA"/>
    <w:rsid w:val="003C344A"/>
    <w:rsid w:val="003C3562"/>
    <w:rsid w:val="003C3F7C"/>
    <w:rsid w:val="003C4D6A"/>
    <w:rsid w:val="003C53C6"/>
    <w:rsid w:val="003C5CA1"/>
    <w:rsid w:val="003C61F0"/>
    <w:rsid w:val="003C66B2"/>
    <w:rsid w:val="003C6A07"/>
    <w:rsid w:val="003C7A6B"/>
    <w:rsid w:val="003D0ECF"/>
    <w:rsid w:val="003D278F"/>
    <w:rsid w:val="003D37B7"/>
    <w:rsid w:val="003D3A23"/>
    <w:rsid w:val="003D5A9B"/>
    <w:rsid w:val="003D618B"/>
    <w:rsid w:val="003E0A16"/>
    <w:rsid w:val="003E2EB9"/>
    <w:rsid w:val="003E3402"/>
    <w:rsid w:val="003E3C35"/>
    <w:rsid w:val="003E5257"/>
    <w:rsid w:val="003E5F02"/>
    <w:rsid w:val="003E62AD"/>
    <w:rsid w:val="003E7703"/>
    <w:rsid w:val="003E7862"/>
    <w:rsid w:val="003F1799"/>
    <w:rsid w:val="003F237A"/>
    <w:rsid w:val="003F24F3"/>
    <w:rsid w:val="003F3C92"/>
    <w:rsid w:val="003F3F49"/>
    <w:rsid w:val="003F4283"/>
    <w:rsid w:val="003F6080"/>
    <w:rsid w:val="003F61C4"/>
    <w:rsid w:val="003F6ED5"/>
    <w:rsid w:val="003F7534"/>
    <w:rsid w:val="003F7C7D"/>
    <w:rsid w:val="00400605"/>
    <w:rsid w:val="00401A40"/>
    <w:rsid w:val="00401F17"/>
    <w:rsid w:val="00402935"/>
    <w:rsid w:val="004029C6"/>
    <w:rsid w:val="00402AC5"/>
    <w:rsid w:val="00402E50"/>
    <w:rsid w:val="00403108"/>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367"/>
    <w:rsid w:val="0041763D"/>
    <w:rsid w:val="00421C35"/>
    <w:rsid w:val="00422745"/>
    <w:rsid w:val="004228B2"/>
    <w:rsid w:val="004229FD"/>
    <w:rsid w:val="00422CCA"/>
    <w:rsid w:val="00423282"/>
    <w:rsid w:val="004234A0"/>
    <w:rsid w:val="0042387B"/>
    <w:rsid w:val="0042416D"/>
    <w:rsid w:val="004244BF"/>
    <w:rsid w:val="00424B66"/>
    <w:rsid w:val="00424D5E"/>
    <w:rsid w:val="00425802"/>
    <w:rsid w:val="00425C10"/>
    <w:rsid w:val="00425FC9"/>
    <w:rsid w:val="0042608A"/>
    <w:rsid w:val="0042657C"/>
    <w:rsid w:val="0042661D"/>
    <w:rsid w:val="00430532"/>
    <w:rsid w:val="0043054C"/>
    <w:rsid w:val="0043055D"/>
    <w:rsid w:val="00431777"/>
    <w:rsid w:val="004323E2"/>
    <w:rsid w:val="00432BF3"/>
    <w:rsid w:val="00433745"/>
    <w:rsid w:val="00435428"/>
    <w:rsid w:val="004358F3"/>
    <w:rsid w:val="004368E2"/>
    <w:rsid w:val="00437015"/>
    <w:rsid w:val="0043748B"/>
    <w:rsid w:val="00441927"/>
    <w:rsid w:val="00442434"/>
    <w:rsid w:val="00442885"/>
    <w:rsid w:val="00442A35"/>
    <w:rsid w:val="004454DD"/>
    <w:rsid w:val="00445FC3"/>
    <w:rsid w:val="00447198"/>
    <w:rsid w:val="00451AC0"/>
    <w:rsid w:val="00454675"/>
    <w:rsid w:val="004546AC"/>
    <w:rsid w:val="004550AD"/>
    <w:rsid w:val="004556EA"/>
    <w:rsid w:val="00455CCB"/>
    <w:rsid w:val="00456A50"/>
    <w:rsid w:val="00457084"/>
    <w:rsid w:val="004574DA"/>
    <w:rsid w:val="00461219"/>
    <w:rsid w:val="0046287A"/>
    <w:rsid w:val="00462962"/>
    <w:rsid w:val="00462AC6"/>
    <w:rsid w:val="00463D37"/>
    <w:rsid w:val="0046400E"/>
    <w:rsid w:val="00464282"/>
    <w:rsid w:val="0046513B"/>
    <w:rsid w:val="004652EC"/>
    <w:rsid w:val="00465AFB"/>
    <w:rsid w:val="00466480"/>
    <w:rsid w:val="00466C03"/>
    <w:rsid w:val="004670EC"/>
    <w:rsid w:val="00467C0D"/>
    <w:rsid w:val="00470BA6"/>
    <w:rsid w:val="0047198A"/>
    <w:rsid w:val="0047311B"/>
    <w:rsid w:val="00473829"/>
    <w:rsid w:val="0047469C"/>
    <w:rsid w:val="00475277"/>
    <w:rsid w:val="00475DBD"/>
    <w:rsid w:val="004762EB"/>
    <w:rsid w:val="004803CE"/>
    <w:rsid w:val="00482CC2"/>
    <w:rsid w:val="00482FE0"/>
    <w:rsid w:val="00483049"/>
    <w:rsid w:val="00483219"/>
    <w:rsid w:val="00485280"/>
    <w:rsid w:val="004852C6"/>
    <w:rsid w:val="00485743"/>
    <w:rsid w:val="00485FA8"/>
    <w:rsid w:val="00490EC3"/>
    <w:rsid w:val="004913D9"/>
    <w:rsid w:val="004930C6"/>
    <w:rsid w:val="00493B8F"/>
    <w:rsid w:val="0049403E"/>
    <w:rsid w:val="004942A7"/>
    <w:rsid w:val="00494B9E"/>
    <w:rsid w:val="004950E6"/>
    <w:rsid w:val="0049511C"/>
    <w:rsid w:val="00496348"/>
    <w:rsid w:val="00496448"/>
    <w:rsid w:val="00496506"/>
    <w:rsid w:val="004966D3"/>
    <w:rsid w:val="0049714B"/>
    <w:rsid w:val="00497805"/>
    <w:rsid w:val="004A0F1B"/>
    <w:rsid w:val="004A118D"/>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4C70"/>
    <w:rsid w:val="004B5F64"/>
    <w:rsid w:val="004B6008"/>
    <w:rsid w:val="004B7D5F"/>
    <w:rsid w:val="004B7F57"/>
    <w:rsid w:val="004C0E3E"/>
    <w:rsid w:val="004C1D30"/>
    <w:rsid w:val="004C21E4"/>
    <w:rsid w:val="004C349A"/>
    <w:rsid w:val="004C3CF2"/>
    <w:rsid w:val="004C4627"/>
    <w:rsid w:val="004C4643"/>
    <w:rsid w:val="004C5414"/>
    <w:rsid w:val="004C571B"/>
    <w:rsid w:val="004C6E6C"/>
    <w:rsid w:val="004C763D"/>
    <w:rsid w:val="004D0F74"/>
    <w:rsid w:val="004D109B"/>
    <w:rsid w:val="004D15A1"/>
    <w:rsid w:val="004D1B14"/>
    <w:rsid w:val="004D5849"/>
    <w:rsid w:val="004D5DA1"/>
    <w:rsid w:val="004D5E7B"/>
    <w:rsid w:val="004D6B38"/>
    <w:rsid w:val="004D6D3E"/>
    <w:rsid w:val="004D74C1"/>
    <w:rsid w:val="004D78FC"/>
    <w:rsid w:val="004E12BF"/>
    <w:rsid w:val="004E2A5F"/>
    <w:rsid w:val="004E2B29"/>
    <w:rsid w:val="004E30EE"/>
    <w:rsid w:val="004E386E"/>
    <w:rsid w:val="004E3DE4"/>
    <w:rsid w:val="004E3F04"/>
    <w:rsid w:val="004E456C"/>
    <w:rsid w:val="004E55B4"/>
    <w:rsid w:val="004E5669"/>
    <w:rsid w:val="004E5E53"/>
    <w:rsid w:val="004E76B4"/>
    <w:rsid w:val="004E7931"/>
    <w:rsid w:val="004F0248"/>
    <w:rsid w:val="004F1156"/>
    <w:rsid w:val="004F1D40"/>
    <w:rsid w:val="004F1F46"/>
    <w:rsid w:val="004F484E"/>
    <w:rsid w:val="004F54D6"/>
    <w:rsid w:val="004F5779"/>
    <w:rsid w:val="004F5DA0"/>
    <w:rsid w:val="004F6AC2"/>
    <w:rsid w:val="004F6E29"/>
    <w:rsid w:val="004F6EC9"/>
    <w:rsid w:val="004F71E4"/>
    <w:rsid w:val="00500E20"/>
    <w:rsid w:val="00500E60"/>
    <w:rsid w:val="00500F14"/>
    <w:rsid w:val="00501751"/>
    <w:rsid w:val="00501C09"/>
    <w:rsid w:val="005026F2"/>
    <w:rsid w:val="0050399F"/>
    <w:rsid w:val="00504161"/>
    <w:rsid w:val="0050446A"/>
    <w:rsid w:val="00504973"/>
    <w:rsid w:val="00504B62"/>
    <w:rsid w:val="00505BDA"/>
    <w:rsid w:val="00512121"/>
    <w:rsid w:val="00513215"/>
    <w:rsid w:val="005146A5"/>
    <w:rsid w:val="0051531B"/>
    <w:rsid w:val="00516B58"/>
    <w:rsid w:val="00517252"/>
    <w:rsid w:val="00517A33"/>
    <w:rsid w:val="00517D34"/>
    <w:rsid w:val="00521B2F"/>
    <w:rsid w:val="005224B0"/>
    <w:rsid w:val="00522689"/>
    <w:rsid w:val="00523097"/>
    <w:rsid w:val="0052367D"/>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6B6"/>
    <w:rsid w:val="00543D28"/>
    <w:rsid w:val="005444EB"/>
    <w:rsid w:val="00544E04"/>
    <w:rsid w:val="00544F4C"/>
    <w:rsid w:val="0054519A"/>
    <w:rsid w:val="005453B7"/>
    <w:rsid w:val="00545568"/>
    <w:rsid w:val="00545776"/>
    <w:rsid w:val="00545A65"/>
    <w:rsid w:val="00545A84"/>
    <w:rsid w:val="00545CE0"/>
    <w:rsid w:val="00545F60"/>
    <w:rsid w:val="00547E9D"/>
    <w:rsid w:val="00547F07"/>
    <w:rsid w:val="005506B7"/>
    <w:rsid w:val="00550EE0"/>
    <w:rsid w:val="005510DC"/>
    <w:rsid w:val="00551240"/>
    <w:rsid w:val="0055363B"/>
    <w:rsid w:val="0055364C"/>
    <w:rsid w:val="00553FE0"/>
    <w:rsid w:val="005541AA"/>
    <w:rsid w:val="00556433"/>
    <w:rsid w:val="00556CEF"/>
    <w:rsid w:val="005574EE"/>
    <w:rsid w:val="00557A29"/>
    <w:rsid w:val="00560A9B"/>
    <w:rsid w:val="00560FAF"/>
    <w:rsid w:val="00561A54"/>
    <w:rsid w:val="005628E2"/>
    <w:rsid w:val="005629A1"/>
    <w:rsid w:val="005662A9"/>
    <w:rsid w:val="005662BA"/>
    <w:rsid w:val="00566CFB"/>
    <w:rsid w:val="00570582"/>
    <w:rsid w:val="00571824"/>
    <w:rsid w:val="00571FAB"/>
    <w:rsid w:val="005722F8"/>
    <w:rsid w:val="00573347"/>
    <w:rsid w:val="00574978"/>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08"/>
    <w:rsid w:val="00587FEF"/>
    <w:rsid w:val="005907CD"/>
    <w:rsid w:val="00591031"/>
    <w:rsid w:val="00594267"/>
    <w:rsid w:val="00594B54"/>
    <w:rsid w:val="00596A1E"/>
    <w:rsid w:val="00596FAE"/>
    <w:rsid w:val="00597609"/>
    <w:rsid w:val="005A05E5"/>
    <w:rsid w:val="005A0888"/>
    <w:rsid w:val="005A15ED"/>
    <w:rsid w:val="005A2333"/>
    <w:rsid w:val="005A2A68"/>
    <w:rsid w:val="005A3EF8"/>
    <w:rsid w:val="005A40E2"/>
    <w:rsid w:val="005A4CCA"/>
    <w:rsid w:val="005A584C"/>
    <w:rsid w:val="005A6117"/>
    <w:rsid w:val="005A611A"/>
    <w:rsid w:val="005A70DD"/>
    <w:rsid w:val="005B040F"/>
    <w:rsid w:val="005B21C2"/>
    <w:rsid w:val="005B2AA5"/>
    <w:rsid w:val="005B3843"/>
    <w:rsid w:val="005B3E2F"/>
    <w:rsid w:val="005B5320"/>
    <w:rsid w:val="005B53E5"/>
    <w:rsid w:val="005C161F"/>
    <w:rsid w:val="005C165E"/>
    <w:rsid w:val="005C1AF0"/>
    <w:rsid w:val="005C1E77"/>
    <w:rsid w:val="005C1F6D"/>
    <w:rsid w:val="005C2064"/>
    <w:rsid w:val="005C23CB"/>
    <w:rsid w:val="005C2B84"/>
    <w:rsid w:val="005C3F73"/>
    <w:rsid w:val="005C4B2F"/>
    <w:rsid w:val="005C4BB1"/>
    <w:rsid w:val="005C5E5E"/>
    <w:rsid w:val="005C5EA3"/>
    <w:rsid w:val="005C6A9D"/>
    <w:rsid w:val="005C7EB5"/>
    <w:rsid w:val="005D185E"/>
    <w:rsid w:val="005D1D93"/>
    <w:rsid w:val="005D2DDE"/>
    <w:rsid w:val="005D33DF"/>
    <w:rsid w:val="005D3527"/>
    <w:rsid w:val="005D35C5"/>
    <w:rsid w:val="005D3C10"/>
    <w:rsid w:val="005D4D65"/>
    <w:rsid w:val="005D5986"/>
    <w:rsid w:val="005D5CD3"/>
    <w:rsid w:val="005D6283"/>
    <w:rsid w:val="005D6837"/>
    <w:rsid w:val="005D748E"/>
    <w:rsid w:val="005D7C5E"/>
    <w:rsid w:val="005E0FC8"/>
    <w:rsid w:val="005E12A7"/>
    <w:rsid w:val="005E35FA"/>
    <w:rsid w:val="005E4052"/>
    <w:rsid w:val="005E4171"/>
    <w:rsid w:val="005E4411"/>
    <w:rsid w:val="005E449B"/>
    <w:rsid w:val="005E4EB3"/>
    <w:rsid w:val="005E6C9E"/>
    <w:rsid w:val="005F0C90"/>
    <w:rsid w:val="005F0D52"/>
    <w:rsid w:val="005F2201"/>
    <w:rsid w:val="005F2AB2"/>
    <w:rsid w:val="005F2C01"/>
    <w:rsid w:val="005F2FB1"/>
    <w:rsid w:val="005F3C6F"/>
    <w:rsid w:val="005F46E8"/>
    <w:rsid w:val="005F4EE9"/>
    <w:rsid w:val="005F5418"/>
    <w:rsid w:val="005F6D82"/>
    <w:rsid w:val="006015CF"/>
    <w:rsid w:val="00602779"/>
    <w:rsid w:val="00602A7F"/>
    <w:rsid w:val="0060475A"/>
    <w:rsid w:val="006054B1"/>
    <w:rsid w:val="00605A11"/>
    <w:rsid w:val="00605CDD"/>
    <w:rsid w:val="00606AAB"/>
    <w:rsid w:val="00606D7A"/>
    <w:rsid w:val="00607840"/>
    <w:rsid w:val="006078F5"/>
    <w:rsid w:val="00610BC3"/>
    <w:rsid w:val="0061197C"/>
    <w:rsid w:val="00611E45"/>
    <w:rsid w:val="0061291A"/>
    <w:rsid w:val="00613782"/>
    <w:rsid w:val="00613A49"/>
    <w:rsid w:val="00614207"/>
    <w:rsid w:val="00614A15"/>
    <w:rsid w:val="00614FB2"/>
    <w:rsid w:val="00616248"/>
    <w:rsid w:val="00620F42"/>
    <w:rsid w:val="0062144B"/>
    <w:rsid w:val="00621A21"/>
    <w:rsid w:val="00621E2D"/>
    <w:rsid w:val="00622AFE"/>
    <w:rsid w:val="006237D0"/>
    <w:rsid w:val="006246F3"/>
    <w:rsid w:val="00624D46"/>
    <w:rsid w:val="00625FEC"/>
    <w:rsid w:val="006279C2"/>
    <w:rsid w:val="00631EEE"/>
    <w:rsid w:val="0063245B"/>
    <w:rsid w:val="00632834"/>
    <w:rsid w:val="00632909"/>
    <w:rsid w:val="00632B33"/>
    <w:rsid w:val="00632EF4"/>
    <w:rsid w:val="00633494"/>
    <w:rsid w:val="006334F1"/>
    <w:rsid w:val="00635DA5"/>
    <w:rsid w:val="00636EA2"/>
    <w:rsid w:val="0064097D"/>
    <w:rsid w:val="006425D7"/>
    <w:rsid w:val="00642D44"/>
    <w:rsid w:val="0064398F"/>
    <w:rsid w:val="00644BAE"/>
    <w:rsid w:val="00645BD2"/>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8D2"/>
    <w:rsid w:val="00662540"/>
    <w:rsid w:val="00662C52"/>
    <w:rsid w:val="00662ED2"/>
    <w:rsid w:val="006630A0"/>
    <w:rsid w:val="00664E3C"/>
    <w:rsid w:val="0066589B"/>
    <w:rsid w:val="00665EF3"/>
    <w:rsid w:val="00666126"/>
    <w:rsid w:val="00666DC2"/>
    <w:rsid w:val="0066706C"/>
    <w:rsid w:val="0066740F"/>
    <w:rsid w:val="0066794B"/>
    <w:rsid w:val="00667D5F"/>
    <w:rsid w:val="006708FB"/>
    <w:rsid w:val="00671F5E"/>
    <w:rsid w:val="0067240C"/>
    <w:rsid w:val="006737CC"/>
    <w:rsid w:val="0067417D"/>
    <w:rsid w:val="0067511A"/>
    <w:rsid w:val="0067658F"/>
    <w:rsid w:val="00676A28"/>
    <w:rsid w:val="00676EF9"/>
    <w:rsid w:val="006775CC"/>
    <w:rsid w:val="006815EE"/>
    <w:rsid w:val="00681BCF"/>
    <w:rsid w:val="00682615"/>
    <w:rsid w:val="00683315"/>
    <w:rsid w:val="00683B8A"/>
    <w:rsid w:val="006849E0"/>
    <w:rsid w:val="00685C9F"/>
    <w:rsid w:val="00685E74"/>
    <w:rsid w:val="006863BD"/>
    <w:rsid w:val="00686933"/>
    <w:rsid w:val="006870E3"/>
    <w:rsid w:val="0068766A"/>
    <w:rsid w:val="0068767D"/>
    <w:rsid w:val="00687AD9"/>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315F"/>
    <w:rsid w:val="006A3319"/>
    <w:rsid w:val="006A43FD"/>
    <w:rsid w:val="006A50B0"/>
    <w:rsid w:val="006A55D5"/>
    <w:rsid w:val="006A7745"/>
    <w:rsid w:val="006A7E89"/>
    <w:rsid w:val="006B0EC7"/>
    <w:rsid w:val="006B2063"/>
    <w:rsid w:val="006B5A62"/>
    <w:rsid w:val="006B5CD8"/>
    <w:rsid w:val="006B6629"/>
    <w:rsid w:val="006B781A"/>
    <w:rsid w:val="006B79B1"/>
    <w:rsid w:val="006C0514"/>
    <w:rsid w:val="006C0945"/>
    <w:rsid w:val="006C1885"/>
    <w:rsid w:val="006C203B"/>
    <w:rsid w:val="006C396A"/>
    <w:rsid w:val="006C4A62"/>
    <w:rsid w:val="006C51E1"/>
    <w:rsid w:val="006C538C"/>
    <w:rsid w:val="006C5658"/>
    <w:rsid w:val="006D046D"/>
    <w:rsid w:val="006D0A49"/>
    <w:rsid w:val="006D0CFD"/>
    <w:rsid w:val="006D1D8C"/>
    <w:rsid w:val="006D20BA"/>
    <w:rsid w:val="006D266E"/>
    <w:rsid w:val="006D276D"/>
    <w:rsid w:val="006D31C7"/>
    <w:rsid w:val="006D3BA1"/>
    <w:rsid w:val="006D4C25"/>
    <w:rsid w:val="006D4C88"/>
    <w:rsid w:val="006D4DBF"/>
    <w:rsid w:val="006D6D3C"/>
    <w:rsid w:val="006D72DF"/>
    <w:rsid w:val="006D78A4"/>
    <w:rsid w:val="006E04CB"/>
    <w:rsid w:val="006E1C57"/>
    <w:rsid w:val="006E2A28"/>
    <w:rsid w:val="006E2C88"/>
    <w:rsid w:val="006E3888"/>
    <w:rsid w:val="006E4133"/>
    <w:rsid w:val="006E4BB0"/>
    <w:rsid w:val="006E5B9E"/>
    <w:rsid w:val="006E7788"/>
    <w:rsid w:val="006E7DA6"/>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1C1A"/>
    <w:rsid w:val="00702038"/>
    <w:rsid w:val="007025A9"/>
    <w:rsid w:val="00702644"/>
    <w:rsid w:val="00702CDC"/>
    <w:rsid w:val="00702EE2"/>
    <w:rsid w:val="0070431C"/>
    <w:rsid w:val="00704997"/>
    <w:rsid w:val="00705E7C"/>
    <w:rsid w:val="00710175"/>
    <w:rsid w:val="007106E0"/>
    <w:rsid w:val="00711190"/>
    <w:rsid w:val="0071213C"/>
    <w:rsid w:val="00712AD1"/>
    <w:rsid w:val="00713C5F"/>
    <w:rsid w:val="00717723"/>
    <w:rsid w:val="0072137A"/>
    <w:rsid w:val="00721457"/>
    <w:rsid w:val="00721706"/>
    <w:rsid w:val="007217C7"/>
    <w:rsid w:val="0072359F"/>
    <w:rsid w:val="00723F92"/>
    <w:rsid w:val="00723FAE"/>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23E2"/>
    <w:rsid w:val="00734F31"/>
    <w:rsid w:val="00735528"/>
    <w:rsid w:val="00737CB1"/>
    <w:rsid w:val="00741A03"/>
    <w:rsid w:val="007424E4"/>
    <w:rsid w:val="007429A0"/>
    <w:rsid w:val="00744113"/>
    <w:rsid w:val="00744196"/>
    <w:rsid w:val="0074426F"/>
    <w:rsid w:val="00745408"/>
    <w:rsid w:val="0074574E"/>
    <w:rsid w:val="00747733"/>
    <w:rsid w:val="007505ED"/>
    <w:rsid w:val="0075174F"/>
    <w:rsid w:val="007517E5"/>
    <w:rsid w:val="00751DBF"/>
    <w:rsid w:val="007521C9"/>
    <w:rsid w:val="00754005"/>
    <w:rsid w:val="00756CBF"/>
    <w:rsid w:val="00757E95"/>
    <w:rsid w:val="007600A4"/>
    <w:rsid w:val="00760578"/>
    <w:rsid w:val="00761ED7"/>
    <w:rsid w:val="00761EFE"/>
    <w:rsid w:val="00762583"/>
    <w:rsid w:val="00762587"/>
    <w:rsid w:val="0076339E"/>
    <w:rsid w:val="00763D06"/>
    <w:rsid w:val="00763D71"/>
    <w:rsid w:val="00765009"/>
    <w:rsid w:val="00765062"/>
    <w:rsid w:val="00765B91"/>
    <w:rsid w:val="007668D6"/>
    <w:rsid w:val="007678DC"/>
    <w:rsid w:val="0077094D"/>
    <w:rsid w:val="00770E65"/>
    <w:rsid w:val="007712B4"/>
    <w:rsid w:val="007716D2"/>
    <w:rsid w:val="0077195E"/>
    <w:rsid w:val="00771AA1"/>
    <w:rsid w:val="0077324D"/>
    <w:rsid w:val="00773552"/>
    <w:rsid w:val="007735FD"/>
    <w:rsid w:val="007738F3"/>
    <w:rsid w:val="00773DBA"/>
    <w:rsid w:val="0077414E"/>
    <w:rsid w:val="0077465B"/>
    <w:rsid w:val="00776A36"/>
    <w:rsid w:val="007771B5"/>
    <w:rsid w:val="0077793E"/>
    <w:rsid w:val="007816B9"/>
    <w:rsid w:val="00782014"/>
    <w:rsid w:val="007836DA"/>
    <w:rsid w:val="0078502D"/>
    <w:rsid w:val="00785EFF"/>
    <w:rsid w:val="00786C8F"/>
    <w:rsid w:val="00786FD2"/>
    <w:rsid w:val="007874CF"/>
    <w:rsid w:val="00790184"/>
    <w:rsid w:val="00790567"/>
    <w:rsid w:val="0079093F"/>
    <w:rsid w:val="00790FD9"/>
    <w:rsid w:val="007918B0"/>
    <w:rsid w:val="00793C0C"/>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6336"/>
    <w:rsid w:val="007A686B"/>
    <w:rsid w:val="007B01CD"/>
    <w:rsid w:val="007B1786"/>
    <w:rsid w:val="007B1A75"/>
    <w:rsid w:val="007B2355"/>
    <w:rsid w:val="007B2484"/>
    <w:rsid w:val="007B2997"/>
    <w:rsid w:val="007B2CA2"/>
    <w:rsid w:val="007B2EBD"/>
    <w:rsid w:val="007B347A"/>
    <w:rsid w:val="007B523F"/>
    <w:rsid w:val="007B5B3A"/>
    <w:rsid w:val="007B5BA4"/>
    <w:rsid w:val="007B625D"/>
    <w:rsid w:val="007B714F"/>
    <w:rsid w:val="007B7759"/>
    <w:rsid w:val="007C2C90"/>
    <w:rsid w:val="007C2E1E"/>
    <w:rsid w:val="007C4EAF"/>
    <w:rsid w:val="007C50D8"/>
    <w:rsid w:val="007C51B5"/>
    <w:rsid w:val="007C5767"/>
    <w:rsid w:val="007C5F8C"/>
    <w:rsid w:val="007C7D3A"/>
    <w:rsid w:val="007D0C94"/>
    <w:rsid w:val="007D0F82"/>
    <w:rsid w:val="007D0FA1"/>
    <w:rsid w:val="007D173F"/>
    <w:rsid w:val="007D251E"/>
    <w:rsid w:val="007D4407"/>
    <w:rsid w:val="007D52DA"/>
    <w:rsid w:val="007E00E7"/>
    <w:rsid w:val="007E10F9"/>
    <w:rsid w:val="007E1147"/>
    <w:rsid w:val="007E14E2"/>
    <w:rsid w:val="007E290E"/>
    <w:rsid w:val="007E317F"/>
    <w:rsid w:val="007E3942"/>
    <w:rsid w:val="007E404A"/>
    <w:rsid w:val="007E506B"/>
    <w:rsid w:val="007E55C8"/>
    <w:rsid w:val="007E725D"/>
    <w:rsid w:val="007E7327"/>
    <w:rsid w:val="007E7AC9"/>
    <w:rsid w:val="007E7E42"/>
    <w:rsid w:val="007E7F43"/>
    <w:rsid w:val="007F0AC2"/>
    <w:rsid w:val="007F0BAE"/>
    <w:rsid w:val="007F1924"/>
    <w:rsid w:val="007F4E6A"/>
    <w:rsid w:val="007F5E64"/>
    <w:rsid w:val="007F66F7"/>
    <w:rsid w:val="007F7961"/>
    <w:rsid w:val="007F7A6A"/>
    <w:rsid w:val="0080034A"/>
    <w:rsid w:val="008009DC"/>
    <w:rsid w:val="00801B0D"/>
    <w:rsid w:val="00801D1A"/>
    <w:rsid w:val="00801F2A"/>
    <w:rsid w:val="008027AC"/>
    <w:rsid w:val="00802F18"/>
    <w:rsid w:val="0080321A"/>
    <w:rsid w:val="008036C9"/>
    <w:rsid w:val="00805049"/>
    <w:rsid w:val="00805DD1"/>
    <w:rsid w:val="008062AE"/>
    <w:rsid w:val="008067FB"/>
    <w:rsid w:val="0081012D"/>
    <w:rsid w:val="00810C94"/>
    <w:rsid w:val="00810D79"/>
    <w:rsid w:val="00811022"/>
    <w:rsid w:val="008115F3"/>
    <w:rsid w:val="008125AC"/>
    <w:rsid w:val="00814616"/>
    <w:rsid w:val="008166F9"/>
    <w:rsid w:val="00816D72"/>
    <w:rsid w:val="00817747"/>
    <w:rsid w:val="008178A1"/>
    <w:rsid w:val="00817C4F"/>
    <w:rsid w:val="008213F8"/>
    <w:rsid w:val="008221FE"/>
    <w:rsid w:val="0082249A"/>
    <w:rsid w:val="00822991"/>
    <w:rsid w:val="00823503"/>
    <w:rsid w:val="00823673"/>
    <w:rsid w:val="00824AA3"/>
    <w:rsid w:val="008266FC"/>
    <w:rsid w:val="0082718A"/>
    <w:rsid w:val="00827F50"/>
    <w:rsid w:val="00830517"/>
    <w:rsid w:val="0083131F"/>
    <w:rsid w:val="00831449"/>
    <w:rsid w:val="00831508"/>
    <w:rsid w:val="008320FC"/>
    <w:rsid w:val="00832191"/>
    <w:rsid w:val="00832E23"/>
    <w:rsid w:val="0083384C"/>
    <w:rsid w:val="0083408F"/>
    <w:rsid w:val="00835251"/>
    <w:rsid w:val="0083618B"/>
    <w:rsid w:val="00837A04"/>
    <w:rsid w:val="0084079B"/>
    <w:rsid w:val="008411EA"/>
    <w:rsid w:val="00841568"/>
    <w:rsid w:val="00841897"/>
    <w:rsid w:val="008425E5"/>
    <w:rsid w:val="00842676"/>
    <w:rsid w:val="00842D1C"/>
    <w:rsid w:val="008431C3"/>
    <w:rsid w:val="00843B07"/>
    <w:rsid w:val="00846530"/>
    <w:rsid w:val="00846E51"/>
    <w:rsid w:val="00847A18"/>
    <w:rsid w:val="00852B17"/>
    <w:rsid w:val="00853384"/>
    <w:rsid w:val="008534D2"/>
    <w:rsid w:val="00853C51"/>
    <w:rsid w:val="00854459"/>
    <w:rsid w:val="0085559F"/>
    <w:rsid w:val="00856156"/>
    <w:rsid w:val="008565DB"/>
    <w:rsid w:val="0085681B"/>
    <w:rsid w:val="008569AA"/>
    <w:rsid w:val="00856CA7"/>
    <w:rsid w:val="00856D32"/>
    <w:rsid w:val="0085739F"/>
    <w:rsid w:val="008605E8"/>
    <w:rsid w:val="008606DF"/>
    <w:rsid w:val="0086097F"/>
    <w:rsid w:val="00861147"/>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42F5"/>
    <w:rsid w:val="00876157"/>
    <w:rsid w:val="0087789E"/>
    <w:rsid w:val="0088213A"/>
    <w:rsid w:val="00882F5C"/>
    <w:rsid w:val="00883178"/>
    <w:rsid w:val="0088346C"/>
    <w:rsid w:val="0088436C"/>
    <w:rsid w:val="008857F1"/>
    <w:rsid w:val="00885A92"/>
    <w:rsid w:val="00886B73"/>
    <w:rsid w:val="0088794D"/>
    <w:rsid w:val="008905C0"/>
    <w:rsid w:val="00891E79"/>
    <w:rsid w:val="008935A6"/>
    <w:rsid w:val="00893850"/>
    <w:rsid w:val="00893F8F"/>
    <w:rsid w:val="008948AA"/>
    <w:rsid w:val="008948C8"/>
    <w:rsid w:val="008949C0"/>
    <w:rsid w:val="00895535"/>
    <w:rsid w:val="00897C14"/>
    <w:rsid w:val="00897D62"/>
    <w:rsid w:val="008A015E"/>
    <w:rsid w:val="008A0336"/>
    <w:rsid w:val="008A0BA2"/>
    <w:rsid w:val="008A0D53"/>
    <w:rsid w:val="008A13D2"/>
    <w:rsid w:val="008A1C0C"/>
    <w:rsid w:val="008A1C29"/>
    <w:rsid w:val="008A26B6"/>
    <w:rsid w:val="008A30D9"/>
    <w:rsid w:val="008A32B2"/>
    <w:rsid w:val="008A4311"/>
    <w:rsid w:val="008A4A8D"/>
    <w:rsid w:val="008A7376"/>
    <w:rsid w:val="008A74B1"/>
    <w:rsid w:val="008A768A"/>
    <w:rsid w:val="008B1C30"/>
    <w:rsid w:val="008B2819"/>
    <w:rsid w:val="008B2C52"/>
    <w:rsid w:val="008B479F"/>
    <w:rsid w:val="008B4B32"/>
    <w:rsid w:val="008B5935"/>
    <w:rsid w:val="008B5D9D"/>
    <w:rsid w:val="008B6518"/>
    <w:rsid w:val="008B6AF6"/>
    <w:rsid w:val="008B6DAB"/>
    <w:rsid w:val="008B73BC"/>
    <w:rsid w:val="008B7619"/>
    <w:rsid w:val="008B7909"/>
    <w:rsid w:val="008C0A5F"/>
    <w:rsid w:val="008C109A"/>
    <w:rsid w:val="008C13DD"/>
    <w:rsid w:val="008C1D9F"/>
    <w:rsid w:val="008C344C"/>
    <w:rsid w:val="008C39C9"/>
    <w:rsid w:val="008C3D4B"/>
    <w:rsid w:val="008C4A19"/>
    <w:rsid w:val="008C532C"/>
    <w:rsid w:val="008C56B1"/>
    <w:rsid w:val="008C745F"/>
    <w:rsid w:val="008C7862"/>
    <w:rsid w:val="008C7D5A"/>
    <w:rsid w:val="008C7DF6"/>
    <w:rsid w:val="008D1795"/>
    <w:rsid w:val="008D18C5"/>
    <w:rsid w:val="008D387F"/>
    <w:rsid w:val="008D3E5A"/>
    <w:rsid w:val="008D3E89"/>
    <w:rsid w:val="008D41EF"/>
    <w:rsid w:val="008D4889"/>
    <w:rsid w:val="008D5210"/>
    <w:rsid w:val="008D7131"/>
    <w:rsid w:val="008D7453"/>
    <w:rsid w:val="008D7B9C"/>
    <w:rsid w:val="008E04B4"/>
    <w:rsid w:val="008E146B"/>
    <w:rsid w:val="008E2328"/>
    <w:rsid w:val="008E2880"/>
    <w:rsid w:val="008E29A8"/>
    <w:rsid w:val="008E2F0B"/>
    <w:rsid w:val="008E3D6B"/>
    <w:rsid w:val="008E3DA6"/>
    <w:rsid w:val="008E4135"/>
    <w:rsid w:val="008E41C3"/>
    <w:rsid w:val="008E4BA2"/>
    <w:rsid w:val="008E50B8"/>
    <w:rsid w:val="008E56C5"/>
    <w:rsid w:val="008E589B"/>
    <w:rsid w:val="008E771F"/>
    <w:rsid w:val="008E7CD2"/>
    <w:rsid w:val="008E7F1D"/>
    <w:rsid w:val="008F1F40"/>
    <w:rsid w:val="008F2873"/>
    <w:rsid w:val="008F3B3E"/>
    <w:rsid w:val="008F7643"/>
    <w:rsid w:val="008F77DC"/>
    <w:rsid w:val="008F7E6B"/>
    <w:rsid w:val="0090050F"/>
    <w:rsid w:val="00902F2B"/>
    <w:rsid w:val="009030E9"/>
    <w:rsid w:val="009032BB"/>
    <w:rsid w:val="009047E2"/>
    <w:rsid w:val="00904919"/>
    <w:rsid w:val="00904DC8"/>
    <w:rsid w:val="00905172"/>
    <w:rsid w:val="009061AE"/>
    <w:rsid w:val="00906587"/>
    <w:rsid w:val="00910B18"/>
    <w:rsid w:val="00910FD6"/>
    <w:rsid w:val="00912125"/>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2A47"/>
    <w:rsid w:val="00953A11"/>
    <w:rsid w:val="00953A85"/>
    <w:rsid w:val="00953E35"/>
    <w:rsid w:val="0095446F"/>
    <w:rsid w:val="0095482B"/>
    <w:rsid w:val="00954E9A"/>
    <w:rsid w:val="00954FB7"/>
    <w:rsid w:val="00955FC8"/>
    <w:rsid w:val="009573F4"/>
    <w:rsid w:val="00957758"/>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BC5"/>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9055C"/>
    <w:rsid w:val="00990982"/>
    <w:rsid w:val="009917E0"/>
    <w:rsid w:val="009933A1"/>
    <w:rsid w:val="009935B1"/>
    <w:rsid w:val="0099464B"/>
    <w:rsid w:val="009967F1"/>
    <w:rsid w:val="00997A72"/>
    <w:rsid w:val="009A07BC"/>
    <w:rsid w:val="009A0922"/>
    <w:rsid w:val="009A0D18"/>
    <w:rsid w:val="009A18EB"/>
    <w:rsid w:val="009A22FB"/>
    <w:rsid w:val="009A4971"/>
    <w:rsid w:val="009A4E40"/>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DE"/>
    <w:rsid w:val="009B281F"/>
    <w:rsid w:val="009B2EEE"/>
    <w:rsid w:val="009B2F69"/>
    <w:rsid w:val="009B33A7"/>
    <w:rsid w:val="009B4863"/>
    <w:rsid w:val="009B5DC5"/>
    <w:rsid w:val="009B65E6"/>
    <w:rsid w:val="009B74C8"/>
    <w:rsid w:val="009B78F5"/>
    <w:rsid w:val="009B7900"/>
    <w:rsid w:val="009B7B2D"/>
    <w:rsid w:val="009B7C0B"/>
    <w:rsid w:val="009C0BF1"/>
    <w:rsid w:val="009C0F1C"/>
    <w:rsid w:val="009C0FDC"/>
    <w:rsid w:val="009C1110"/>
    <w:rsid w:val="009C1A83"/>
    <w:rsid w:val="009C25C8"/>
    <w:rsid w:val="009C2DD8"/>
    <w:rsid w:val="009C4050"/>
    <w:rsid w:val="009C458E"/>
    <w:rsid w:val="009C6353"/>
    <w:rsid w:val="009C749C"/>
    <w:rsid w:val="009C7529"/>
    <w:rsid w:val="009D08AE"/>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4BAD"/>
    <w:rsid w:val="009E5955"/>
    <w:rsid w:val="009E65FF"/>
    <w:rsid w:val="009E6F1C"/>
    <w:rsid w:val="009E6FC1"/>
    <w:rsid w:val="009E715C"/>
    <w:rsid w:val="009E75BB"/>
    <w:rsid w:val="009F1A68"/>
    <w:rsid w:val="009F285D"/>
    <w:rsid w:val="009F405F"/>
    <w:rsid w:val="009F5E23"/>
    <w:rsid w:val="009F64F3"/>
    <w:rsid w:val="00A0158D"/>
    <w:rsid w:val="00A023C7"/>
    <w:rsid w:val="00A02BC2"/>
    <w:rsid w:val="00A033DD"/>
    <w:rsid w:val="00A03F65"/>
    <w:rsid w:val="00A045FD"/>
    <w:rsid w:val="00A050F8"/>
    <w:rsid w:val="00A05613"/>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1EA9"/>
    <w:rsid w:val="00A32393"/>
    <w:rsid w:val="00A32C42"/>
    <w:rsid w:val="00A33CD2"/>
    <w:rsid w:val="00A3411A"/>
    <w:rsid w:val="00A345D6"/>
    <w:rsid w:val="00A346AB"/>
    <w:rsid w:val="00A358F1"/>
    <w:rsid w:val="00A367BF"/>
    <w:rsid w:val="00A36B23"/>
    <w:rsid w:val="00A36C01"/>
    <w:rsid w:val="00A375B6"/>
    <w:rsid w:val="00A3789E"/>
    <w:rsid w:val="00A37C96"/>
    <w:rsid w:val="00A37F61"/>
    <w:rsid w:val="00A4021B"/>
    <w:rsid w:val="00A414EE"/>
    <w:rsid w:val="00A42B1F"/>
    <w:rsid w:val="00A437FC"/>
    <w:rsid w:val="00A45002"/>
    <w:rsid w:val="00A45AC3"/>
    <w:rsid w:val="00A473EF"/>
    <w:rsid w:val="00A4776E"/>
    <w:rsid w:val="00A47ABF"/>
    <w:rsid w:val="00A47B6A"/>
    <w:rsid w:val="00A50799"/>
    <w:rsid w:val="00A51370"/>
    <w:rsid w:val="00A554DB"/>
    <w:rsid w:val="00A56A7F"/>
    <w:rsid w:val="00A6151F"/>
    <w:rsid w:val="00A62158"/>
    <w:rsid w:val="00A62617"/>
    <w:rsid w:val="00A6340C"/>
    <w:rsid w:val="00A6342B"/>
    <w:rsid w:val="00A66D34"/>
    <w:rsid w:val="00A7087B"/>
    <w:rsid w:val="00A73241"/>
    <w:rsid w:val="00A73AF7"/>
    <w:rsid w:val="00A73D7F"/>
    <w:rsid w:val="00A7674D"/>
    <w:rsid w:val="00A801C7"/>
    <w:rsid w:val="00A80653"/>
    <w:rsid w:val="00A8078C"/>
    <w:rsid w:val="00A81486"/>
    <w:rsid w:val="00A83EA5"/>
    <w:rsid w:val="00A8708D"/>
    <w:rsid w:val="00A87907"/>
    <w:rsid w:val="00A87D09"/>
    <w:rsid w:val="00A909C4"/>
    <w:rsid w:val="00A90FE4"/>
    <w:rsid w:val="00A911DD"/>
    <w:rsid w:val="00A918B5"/>
    <w:rsid w:val="00A924CD"/>
    <w:rsid w:val="00A92CB0"/>
    <w:rsid w:val="00A93347"/>
    <w:rsid w:val="00A93E81"/>
    <w:rsid w:val="00A94F89"/>
    <w:rsid w:val="00A955D6"/>
    <w:rsid w:val="00A95F3A"/>
    <w:rsid w:val="00A96292"/>
    <w:rsid w:val="00A96BEE"/>
    <w:rsid w:val="00A97416"/>
    <w:rsid w:val="00A97549"/>
    <w:rsid w:val="00AA0518"/>
    <w:rsid w:val="00AA1427"/>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22E"/>
    <w:rsid w:val="00AB7A54"/>
    <w:rsid w:val="00AC02DA"/>
    <w:rsid w:val="00AC0E68"/>
    <w:rsid w:val="00AC2CB2"/>
    <w:rsid w:val="00AC2E39"/>
    <w:rsid w:val="00AC4662"/>
    <w:rsid w:val="00AC5243"/>
    <w:rsid w:val="00AC5F28"/>
    <w:rsid w:val="00AC64D1"/>
    <w:rsid w:val="00AC72FB"/>
    <w:rsid w:val="00AC7693"/>
    <w:rsid w:val="00AC7833"/>
    <w:rsid w:val="00AC7A80"/>
    <w:rsid w:val="00AC7ADD"/>
    <w:rsid w:val="00AD10AC"/>
    <w:rsid w:val="00AD19D6"/>
    <w:rsid w:val="00AD1A64"/>
    <w:rsid w:val="00AD1EB3"/>
    <w:rsid w:val="00AD2129"/>
    <w:rsid w:val="00AD2B9F"/>
    <w:rsid w:val="00AD45A8"/>
    <w:rsid w:val="00AD4E99"/>
    <w:rsid w:val="00AD5221"/>
    <w:rsid w:val="00AD52E2"/>
    <w:rsid w:val="00AD69B9"/>
    <w:rsid w:val="00AD755F"/>
    <w:rsid w:val="00AD7BA7"/>
    <w:rsid w:val="00AD7D24"/>
    <w:rsid w:val="00AD7F07"/>
    <w:rsid w:val="00AE009D"/>
    <w:rsid w:val="00AE1203"/>
    <w:rsid w:val="00AE1BEF"/>
    <w:rsid w:val="00AE1E78"/>
    <w:rsid w:val="00AE23BF"/>
    <w:rsid w:val="00AE3908"/>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EEA"/>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BC1"/>
    <w:rsid w:val="00B20FF3"/>
    <w:rsid w:val="00B21E1D"/>
    <w:rsid w:val="00B22934"/>
    <w:rsid w:val="00B22B83"/>
    <w:rsid w:val="00B22C36"/>
    <w:rsid w:val="00B22F6E"/>
    <w:rsid w:val="00B23F5D"/>
    <w:rsid w:val="00B252B2"/>
    <w:rsid w:val="00B25AD1"/>
    <w:rsid w:val="00B25E5C"/>
    <w:rsid w:val="00B27554"/>
    <w:rsid w:val="00B27BED"/>
    <w:rsid w:val="00B30378"/>
    <w:rsid w:val="00B30642"/>
    <w:rsid w:val="00B31745"/>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7614"/>
    <w:rsid w:val="00B47A34"/>
    <w:rsid w:val="00B500E6"/>
    <w:rsid w:val="00B50412"/>
    <w:rsid w:val="00B50D7E"/>
    <w:rsid w:val="00B51997"/>
    <w:rsid w:val="00B52058"/>
    <w:rsid w:val="00B5263D"/>
    <w:rsid w:val="00B52DDD"/>
    <w:rsid w:val="00B52DF6"/>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6B3F"/>
    <w:rsid w:val="00B66B65"/>
    <w:rsid w:val="00B7220A"/>
    <w:rsid w:val="00B72CFC"/>
    <w:rsid w:val="00B73A4D"/>
    <w:rsid w:val="00B73CE8"/>
    <w:rsid w:val="00B73D27"/>
    <w:rsid w:val="00B7519E"/>
    <w:rsid w:val="00B75687"/>
    <w:rsid w:val="00B757F4"/>
    <w:rsid w:val="00B767D9"/>
    <w:rsid w:val="00B76B1B"/>
    <w:rsid w:val="00B819B8"/>
    <w:rsid w:val="00B8209E"/>
    <w:rsid w:val="00B82497"/>
    <w:rsid w:val="00B82B76"/>
    <w:rsid w:val="00B83814"/>
    <w:rsid w:val="00B83C1B"/>
    <w:rsid w:val="00B844C0"/>
    <w:rsid w:val="00B84B01"/>
    <w:rsid w:val="00B84B64"/>
    <w:rsid w:val="00B878AC"/>
    <w:rsid w:val="00B90610"/>
    <w:rsid w:val="00B90F95"/>
    <w:rsid w:val="00B91C4C"/>
    <w:rsid w:val="00B92878"/>
    <w:rsid w:val="00B94094"/>
    <w:rsid w:val="00B954AF"/>
    <w:rsid w:val="00B9654A"/>
    <w:rsid w:val="00BA0388"/>
    <w:rsid w:val="00BA12C3"/>
    <w:rsid w:val="00BA135F"/>
    <w:rsid w:val="00BA15FD"/>
    <w:rsid w:val="00BA1B1B"/>
    <w:rsid w:val="00BA2E09"/>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E0652"/>
    <w:rsid w:val="00BE0BCD"/>
    <w:rsid w:val="00BE113E"/>
    <w:rsid w:val="00BE1CD5"/>
    <w:rsid w:val="00BE2FD9"/>
    <w:rsid w:val="00BE34FB"/>
    <w:rsid w:val="00BE37CA"/>
    <w:rsid w:val="00BE3905"/>
    <w:rsid w:val="00BE3951"/>
    <w:rsid w:val="00BE40D9"/>
    <w:rsid w:val="00BE57E1"/>
    <w:rsid w:val="00BE5D96"/>
    <w:rsid w:val="00BE639C"/>
    <w:rsid w:val="00BE6BC7"/>
    <w:rsid w:val="00BF0845"/>
    <w:rsid w:val="00BF1B72"/>
    <w:rsid w:val="00BF1BA8"/>
    <w:rsid w:val="00BF3887"/>
    <w:rsid w:val="00BF4081"/>
    <w:rsid w:val="00BF4219"/>
    <w:rsid w:val="00BF44CF"/>
    <w:rsid w:val="00BF5184"/>
    <w:rsid w:val="00BF5EC9"/>
    <w:rsid w:val="00BF62FE"/>
    <w:rsid w:val="00BF6B49"/>
    <w:rsid w:val="00BF755C"/>
    <w:rsid w:val="00C01039"/>
    <w:rsid w:val="00C01408"/>
    <w:rsid w:val="00C01E37"/>
    <w:rsid w:val="00C020B8"/>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209E5"/>
    <w:rsid w:val="00C21221"/>
    <w:rsid w:val="00C21C73"/>
    <w:rsid w:val="00C22714"/>
    <w:rsid w:val="00C22F4A"/>
    <w:rsid w:val="00C2386D"/>
    <w:rsid w:val="00C23BED"/>
    <w:rsid w:val="00C24E1D"/>
    <w:rsid w:val="00C251E9"/>
    <w:rsid w:val="00C2707B"/>
    <w:rsid w:val="00C2732D"/>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64DA"/>
    <w:rsid w:val="00C36B60"/>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485C"/>
    <w:rsid w:val="00C46B0F"/>
    <w:rsid w:val="00C515F2"/>
    <w:rsid w:val="00C521C8"/>
    <w:rsid w:val="00C525E0"/>
    <w:rsid w:val="00C52B2C"/>
    <w:rsid w:val="00C52D4C"/>
    <w:rsid w:val="00C52D83"/>
    <w:rsid w:val="00C5418D"/>
    <w:rsid w:val="00C55331"/>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4B91"/>
    <w:rsid w:val="00C74DF2"/>
    <w:rsid w:val="00C75627"/>
    <w:rsid w:val="00C757D0"/>
    <w:rsid w:val="00C760DF"/>
    <w:rsid w:val="00C76BF2"/>
    <w:rsid w:val="00C76BFE"/>
    <w:rsid w:val="00C76D54"/>
    <w:rsid w:val="00C76F66"/>
    <w:rsid w:val="00C80D1B"/>
    <w:rsid w:val="00C81047"/>
    <w:rsid w:val="00C81126"/>
    <w:rsid w:val="00C812E4"/>
    <w:rsid w:val="00C81BD5"/>
    <w:rsid w:val="00C81FDF"/>
    <w:rsid w:val="00C82B0B"/>
    <w:rsid w:val="00C83736"/>
    <w:rsid w:val="00C84AE2"/>
    <w:rsid w:val="00C87527"/>
    <w:rsid w:val="00C87702"/>
    <w:rsid w:val="00C87CF8"/>
    <w:rsid w:val="00C92CFB"/>
    <w:rsid w:val="00C93885"/>
    <w:rsid w:val="00C9585B"/>
    <w:rsid w:val="00C96C8E"/>
    <w:rsid w:val="00C96D2A"/>
    <w:rsid w:val="00C97054"/>
    <w:rsid w:val="00C977BB"/>
    <w:rsid w:val="00C97FEA"/>
    <w:rsid w:val="00CA12D1"/>
    <w:rsid w:val="00CA1902"/>
    <w:rsid w:val="00CA1E36"/>
    <w:rsid w:val="00CA30DB"/>
    <w:rsid w:val="00CA348C"/>
    <w:rsid w:val="00CA3563"/>
    <w:rsid w:val="00CA392B"/>
    <w:rsid w:val="00CA3FD1"/>
    <w:rsid w:val="00CA477C"/>
    <w:rsid w:val="00CA48D2"/>
    <w:rsid w:val="00CA4947"/>
    <w:rsid w:val="00CA6AB5"/>
    <w:rsid w:val="00CA6DEB"/>
    <w:rsid w:val="00CB0341"/>
    <w:rsid w:val="00CB042A"/>
    <w:rsid w:val="00CB0623"/>
    <w:rsid w:val="00CB14D1"/>
    <w:rsid w:val="00CB16EA"/>
    <w:rsid w:val="00CB24C9"/>
    <w:rsid w:val="00CB4125"/>
    <w:rsid w:val="00CB41B1"/>
    <w:rsid w:val="00CB4BCD"/>
    <w:rsid w:val="00CB4E3C"/>
    <w:rsid w:val="00CB6892"/>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670"/>
    <w:rsid w:val="00CD2368"/>
    <w:rsid w:val="00CD2C15"/>
    <w:rsid w:val="00CD3436"/>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7113"/>
    <w:rsid w:val="00CE74AA"/>
    <w:rsid w:val="00CF0374"/>
    <w:rsid w:val="00CF0671"/>
    <w:rsid w:val="00CF10E7"/>
    <w:rsid w:val="00CF2609"/>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F97"/>
    <w:rsid w:val="00D10074"/>
    <w:rsid w:val="00D11E07"/>
    <w:rsid w:val="00D120A0"/>
    <w:rsid w:val="00D1305B"/>
    <w:rsid w:val="00D1450A"/>
    <w:rsid w:val="00D1459C"/>
    <w:rsid w:val="00D16077"/>
    <w:rsid w:val="00D17B81"/>
    <w:rsid w:val="00D20F68"/>
    <w:rsid w:val="00D213D6"/>
    <w:rsid w:val="00D21664"/>
    <w:rsid w:val="00D21968"/>
    <w:rsid w:val="00D22145"/>
    <w:rsid w:val="00D22485"/>
    <w:rsid w:val="00D23436"/>
    <w:rsid w:val="00D23606"/>
    <w:rsid w:val="00D24260"/>
    <w:rsid w:val="00D255ED"/>
    <w:rsid w:val="00D258B5"/>
    <w:rsid w:val="00D258D9"/>
    <w:rsid w:val="00D26583"/>
    <w:rsid w:val="00D26885"/>
    <w:rsid w:val="00D308CC"/>
    <w:rsid w:val="00D3107A"/>
    <w:rsid w:val="00D31570"/>
    <w:rsid w:val="00D31BE6"/>
    <w:rsid w:val="00D321C2"/>
    <w:rsid w:val="00D32D04"/>
    <w:rsid w:val="00D33173"/>
    <w:rsid w:val="00D33C0D"/>
    <w:rsid w:val="00D33E0F"/>
    <w:rsid w:val="00D346B9"/>
    <w:rsid w:val="00D35D3D"/>
    <w:rsid w:val="00D36A38"/>
    <w:rsid w:val="00D36DF8"/>
    <w:rsid w:val="00D42C1F"/>
    <w:rsid w:val="00D42D7C"/>
    <w:rsid w:val="00D432F0"/>
    <w:rsid w:val="00D44A14"/>
    <w:rsid w:val="00D457D9"/>
    <w:rsid w:val="00D4776E"/>
    <w:rsid w:val="00D47A8D"/>
    <w:rsid w:val="00D50925"/>
    <w:rsid w:val="00D5170C"/>
    <w:rsid w:val="00D51FFF"/>
    <w:rsid w:val="00D52980"/>
    <w:rsid w:val="00D52D58"/>
    <w:rsid w:val="00D53F39"/>
    <w:rsid w:val="00D54794"/>
    <w:rsid w:val="00D54F89"/>
    <w:rsid w:val="00D5640E"/>
    <w:rsid w:val="00D56D38"/>
    <w:rsid w:val="00D57D25"/>
    <w:rsid w:val="00D57F17"/>
    <w:rsid w:val="00D6064D"/>
    <w:rsid w:val="00D63221"/>
    <w:rsid w:val="00D63989"/>
    <w:rsid w:val="00D64177"/>
    <w:rsid w:val="00D706DE"/>
    <w:rsid w:val="00D70D41"/>
    <w:rsid w:val="00D71E5D"/>
    <w:rsid w:val="00D73851"/>
    <w:rsid w:val="00D74D5C"/>
    <w:rsid w:val="00D751BE"/>
    <w:rsid w:val="00D75FEB"/>
    <w:rsid w:val="00D761E6"/>
    <w:rsid w:val="00D76829"/>
    <w:rsid w:val="00D774D1"/>
    <w:rsid w:val="00D81339"/>
    <w:rsid w:val="00D81AEC"/>
    <w:rsid w:val="00D8273A"/>
    <w:rsid w:val="00D83048"/>
    <w:rsid w:val="00D84124"/>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73B"/>
    <w:rsid w:val="00DA779A"/>
    <w:rsid w:val="00DA7E04"/>
    <w:rsid w:val="00DB0712"/>
    <w:rsid w:val="00DB1013"/>
    <w:rsid w:val="00DB1128"/>
    <w:rsid w:val="00DB1867"/>
    <w:rsid w:val="00DB1B01"/>
    <w:rsid w:val="00DB1B60"/>
    <w:rsid w:val="00DB271B"/>
    <w:rsid w:val="00DB45B5"/>
    <w:rsid w:val="00DB46E7"/>
    <w:rsid w:val="00DB4710"/>
    <w:rsid w:val="00DB518E"/>
    <w:rsid w:val="00DB5B9F"/>
    <w:rsid w:val="00DB735F"/>
    <w:rsid w:val="00DB7D2D"/>
    <w:rsid w:val="00DC20E7"/>
    <w:rsid w:val="00DC417A"/>
    <w:rsid w:val="00DC4182"/>
    <w:rsid w:val="00DC4E35"/>
    <w:rsid w:val="00DC5564"/>
    <w:rsid w:val="00DC60AB"/>
    <w:rsid w:val="00DC6EEE"/>
    <w:rsid w:val="00DC7678"/>
    <w:rsid w:val="00DD0567"/>
    <w:rsid w:val="00DD092A"/>
    <w:rsid w:val="00DD0FAD"/>
    <w:rsid w:val="00DD23B6"/>
    <w:rsid w:val="00DD3615"/>
    <w:rsid w:val="00DD3A8E"/>
    <w:rsid w:val="00DD3D62"/>
    <w:rsid w:val="00DD3DC4"/>
    <w:rsid w:val="00DD4905"/>
    <w:rsid w:val="00DD5FB8"/>
    <w:rsid w:val="00DD6950"/>
    <w:rsid w:val="00DD6D0B"/>
    <w:rsid w:val="00DE0224"/>
    <w:rsid w:val="00DE082B"/>
    <w:rsid w:val="00DE0B17"/>
    <w:rsid w:val="00DE19A1"/>
    <w:rsid w:val="00DE2AF0"/>
    <w:rsid w:val="00DE2FF4"/>
    <w:rsid w:val="00DE4082"/>
    <w:rsid w:val="00DE4E2F"/>
    <w:rsid w:val="00DE613E"/>
    <w:rsid w:val="00DE678D"/>
    <w:rsid w:val="00DF0E6B"/>
    <w:rsid w:val="00DF0F89"/>
    <w:rsid w:val="00DF1BDA"/>
    <w:rsid w:val="00DF1C38"/>
    <w:rsid w:val="00DF399F"/>
    <w:rsid w:val="00DF5004"/>
    <w:rsid w:val="00DF56E6"/>
    <w:rsid w:val="00DF5700"/>
    <w:rsid w:val="00E010E7"/>
    <w:rsid w:val="00E01BB8"/>
    <w:rsid w:val="00E01E63"/>
    <w:rsid w:val="00E029DE"/>
    <w:rsid w:val="00E035C7"/>
    <w:rsid w:val="00E057EB"/>
    <w:rsid w:val="00E06D17"/>
    <w:rsid w:val="00E06E6D"/>
    <w:rsid w:val="00E10D65"/>
    <w:rsid w:val="00E112DC"/>
    <w:rsid w:val="00E11BCD"/>
    <w:rsid w:val="00E14E43"/>
    <w:rsid w:val="00E154B4"/>
    <w:rsid w:val="00E170CD"/>
    <w:rsid w:val="00E176A7"/>
    <w:rsid w:val="00E17BEE"/>
    <w:rsid w:val="00E20B18"/>
    <w:rsid w:val="00E20DAE"/>
    <w:rsid w:val="00E20ED5"/>
    <w:rsid w:val="00E213B5"/>
    <w:rsid w:val="00E21416"/>
    <w:rsid w:val="00E22076"/>
    <w:rsid w:val="00E23CF9"/>
    <w:rsid w:val="00E2512A"/>
    <w:rsid w:val="00E259DD"/>
    <w:rsid w:val="00E25ABF"/>
    <w:rsid w:val="00E26CD5"/>
    <w:rsid w:val="00E27A4C"/>
    <w:rsid w:val="00E304C7"/>
    <w:rsid w:val="00E30E89"/>
    <w:rsid w:val="00E31074"/>
    <w:rsid w:val="00E310D2"/>
    <w:rsid w:val="00E31C2E"/>
    <w:rsid w:val="00E31D3A"/>
    <w:rsid w:val="00E320F3"/>
    <w:rsid w:val="00E33A39"/>
    <w:rsid w:val="00E33C45"/>
    <w:rsid w:val="00E33DCF"/>
    <w:rsid w:val="00E33E33"/>
    <w:rsid w:val="00E34508"/>
    <w:rsid w:val="00E3474B"/>
    <w:rsid w:val="00E34F5A"/>
    <w:rsid w:val="00E36191"/>
    <w:rsid w:val="00E3707D"/>
    <w:rsid w:val="00E37454"/>
    <w:rsid w:val="00E4085D"/>
    <w:rsid w:val="00E40BCF"/>
    <w:rsid w:val="00E40C02"/>
    <w:rsid w:val="00E40C50"/>
    <w:rsid w:val="00E40D80"/>
    <w:rsid w:val="00E419CF"/>
    <w:rsid w:val="00E41F98"/>
    <w:rsid w:val="00E43208"/>
    <w:rsid w:val="00E43772"/>
    <w:rsid w:val="00E4378C"/>
    <w:rsid w:val="00E444E9"/>
    <w:rsid w:val="00E4518B"/>
    <w:rsid w:val="00E46F66"/>
    <w:rsid w:val="00E50266"/>
    <w:rsid w:val="00E51CE3"/>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1498"/>
    <w:rsid w:val="00E63651"/>
    <w:rsid w:val="00E63AE5"/>
    <w:rsid w:val="00E6444F"/>
    <w:rsid w:val="00E64489"/>
    <w:rsid w:val="00E667C1"/>
    <w:rsid w:val="00E66B14"/>
    <w:rsid w:val="00E66FD2"/>
    <w:rsid w:val="00E67530"/>
    <w:rsid w:val="00E675F4"/>
    <w:rsid w:val="00E67619"/>
    <w:rsid w:val="00E710F9"/>
    <w:rsid w:val="00E71ECE"/>
    <w:rsid w:val="00E733C0"/>
    <w:rsid w:val="00E73746"/>
    <w:rsid w:val="00E75142"/>
    <w:rsid w:val="00E75729"/>
    <w:rsid w:val="00E766D2"/>
    <w:rsid w:val="00E80289"/>
    <w:rsid w:val="00E8145C"/>
    <w:rsid w:val="00E81909"/>
    <w:rsid w:val="00E82140"/>
    <w:rsid w:val="00E83024"/>
    <w:rsid w:val="00E83812"/>
    <w:rsid w:val="00E839B7"/>
    <w:rsid w:val="00E83BFB"/>
    <w:rsid w:val="00E848CF"/>
    <w:rsid w:val="00E85894"/>
    <w:rsid w:val="00E86413"/>
    <w:rsid w:val="00E8794D"/>
    <w:rsid w:val="00E87C6E"/>
    <w:rsid w:val="00E904AD"/>
    <w:rsid w:val="00E91E59"/>
    <w:rsid w:val="00E91FE4"/>
    <w:rsid w:val="00E92071"/>
    <w:rsid w:val="00E9242D"/>
    <w:rsid w:val="00E955C8"/>
    <w:rsid w:val="00E95E9C"/>
    <w:rsid w:val="00E964F5"/>
    <w:rsid w:val="00E977A5"/>
    <w:rsid w:val="00E97E46"/>
    <w:rsid w:val="00E97F0E"/>
    <w:rsid w:val="00EA00D3"/>
    <w:rsid w:val="00EA021C"/>
    <w:rsid w:val="00EA0274"/>
    <w:rsid w:val="00EA10E9"/>
    <w:rsid w:val="00EA1922"/>
    <w:rsid w:val="00EA1D5F"/>
    <w:rsid w:val="00EA2855"/>
    <w:rsid w:val="00EA3030"/>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C062C"/>
    <w:rsid w:val="00EC0634"/>
    <w:rsid w:val="00EC0E01"/>
    <w:rsid w:val="00EC1B44"/>
    <w:rsid w:val="00EC329A"/>
    <w:rsid w:val="00EC4BC7"/>
    <w:rsid w:val="00EC4C0C"/>
    <w:rsid w:val="00EC547D"/>
    <w:rsid w:val="00EC5744"/>
    <w:rsid w:val="00EC5B4C"/>
    <w:rsid w:val="00EC6904"/>
    <w:rsid w:val="00EC693C"/>
    <w:rsid w:val="00EC6967"/>
    <w:rsid w:val="00EC79C0"/>
    <w:rsid w:val="00ED0AED"/>
    <w:rsid w:val="00ED11BD"/>
    <w:rsid w:val="00ED197E"/>
    <w:rsid w:val="00ED212A"/>
    <w:rsid w:val="00ED2493"/>
    <w:rsid w:val="00ED3623"/>
    <w:rsid w:val="00ED4368"/>
    <w:rsid w:val="00ED52C7"/>
    <w:rsid w:val="00ED561E"/>
    <w:rsid w:val="00ED5924"/>
    <w:rsid w:val="00ED5B88"/>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34D6"/>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265CB"/>
    <w:rsid w:val="00F3096B"/>
    <w:rsid w:val="00F3139C"/>
    <w:rsid w:val="00F32436"/>
    <w:rsid w:val="00F325A4"/>
    <w:rsid w:val="00F326F0"/>
    <w:rsid w:val="00F3376D"/>
    <w:rsid w:val="00F33A62"/>
    <w:rsid w:val="00F34001"/>
    <w:rsid w:val="00F34A51"/>
    <w:rsid w:val="00F35DD2"/>
    <w:rsid w:val="00F36507"/>
    <w:rsid w:val="00F40420"/>
    <w:rsid w:val="00F407FC"/>
    <w:rsid w:val="00F40A02"/>
    <w:rsid w:val="00F4157C"/>
    <w:rsid w:val="00F417BF"/>
    <w:rsid w:val="00F42F82"/>
    <w:rsid w:val="00F4301C"/>
    <w:rsid w:val="00F43D20"/>
    <w:rsid w:val="00F43DEF"/>
    <w:rsid w:val="00F4497C"/>
    <w:rsid w:val="00F44F5F"/>
    <w:rsid w:val="00F454E0"/>
    <w:rsid w:val="00F45A82"/>
    <w:rsid w:val="00F46025"/>
    <w:rsid w:val="00F466CD"/>
    <w:rsid w:val="00F46B02"/>
    <w:rsid w:val="00F51184"/>
    <w:rsid w:val="00F522D8"/>
    <w:rsid w:val="00F523E3"/>
    <w:rsid w:val="00F52E2D"/>
    <w:rsid w:val="00F53568"/>
    <w:rsid w:val="00F53CA6"/>
    <w:rsid w:val="00F53E69"/>
    <w:rsid w:val="00F5430B"/>
    <w:rsid w:val="00F546AA"/>
    <w:rsid w:val="00F54F7B"/>
    <w:rsid w:val="00F54FEE"/>
    <w:rsid w:val="00F558E3"/>
    <w:rsid w:val="00F56F05"/>
    <w:rsid w:val="00F60357"/>
    <w:rsid w:val="00F61CEC"/>
    <w:rsid w:val="00F62DCD"/>
    <w:rsid w:val="00F62EC0"/>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2B3"/>
    <w:rsid w:val="00F962CA"/>
    <w:rsid w:val="00F9639C"/>
    <w:rsid w:val="00F96D77"/>
    <w:rsid w:val="00F97422"/>
    <w:rsid w:val="00F977D3"/>
    <w:rsid w:val="00F97E37"/>
    <w:rsid w:val="00FA002B"/>
    <w:rsid w:val="00FA00E6"/>
    <w:rsid w:val="00FA0E7C"/>
    <w:rsid w:val="00FA17A9"/>
    <w:rsid w:val="00FA272A"/>
    <w:rsid w:val="00FA4DBB"/>
    <w:rsid w:val="00FA65DD"/>
    <w:rsid w:val="00FA774E"/>
    <w:rsid w:val="00FA7A00"/>
    <w:rsid w:val="00FA7A7B"/>
    <w:rsid w:val="00FB04C4"/>
    <w:rsid w:val="00FB0B4B"/>
    <w:rsid w:val="00FB4172"/>
    <w:rsid w:val="00FB4DF9"/>
    <w:rsid w:val="00FB7A66"/>
    <w:rsid w:val="00FC02C6"/>
    <w:rsid w:val="00FC03B8"/>
    <w:rsid w:val="00FC11ED"/>
    <w:rsid w:val="00FC1931"/>
    <w:rsid w:val="00FC2779"/>
    <w:rsid w:val="00FC3E06"/>
    <w:rsid w:val="00FC4840"/>
    <w:rsid w:val="00FC4D19"/>
    <w:rsid w:val="00FC60FD"/>
    <w:rsid w:val="00FD20EE"/>
    <w:rsid w:val="00FD3C1A"/>
    <w:rsid w:val="00FD468A"/>
    <w:rsid w:val="00FD52F3"/>
    <w:rsid w:val="00FD56C7"/>
    <w:rsid w:val="00FD58EC"/>
    <w:rsid w:val="00FD5B4A"/>
    <w:rsid w:val="00FD625A"/>
    <w:rsid w:val="00FD671F"/>
    <w:rsid w:val="00FD723B"/>
    <w:rsid w:val="00FD7338"/>
    <w:rsid w:val="00FD73D2"/>
    <w:rsid w:val="00FD7E70"/>
    <w:rsid w:val="00FE0DCA"/>
    <w:rsid w:val="00FE0EC7"/>
    <w:rsid w:val="00FE0FAB"/>
    <w:rsid w:val="00FE1C60"/>
    <w:rsid w:val="00FE2A3C"/>
    <w:rsid w:val="00FE304B"/>
    <w:rsid w:val="00FE430D"/>
    <w:rsid w:val="00FE4421"/>
    <w:rsid w:val="00FE496C"/>
    <w:rsid w:val="00FE508B"/>
    <w:rsid w:val="00FE584A"/>
    <w:rsid w:val="00FE595B"/>
    <w:rsid w:val="00FE6797"/>
    <w:rsid w:val="00FE6AF1"/>
    <w:rsid w:val="00FE6D7F"/>
    <w:rsid w:val="00FE735D"/>
    <w:rsid w:val="00FE78B5"/>
    <w:rsid w:val="00FE7D78"/>
    <w:rsid w:val="00FF01E3"/>
    <w:rsid w:val="00FF2862"/>
    <w:rsid w:val="00FF4194"/>
    <w:rsid w:val="00FF473B"/>
    <w:rsid w:val="00FF5B11"/>
    <w:rsid w:val="00FF5E4D"/>
    <w:rsid w:val="00FF6014"/>
    <w:rsid w:val="00FF6C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73775D64"/>
  <w15:docId w15:val="{3C4B9BB7-9462-40D0-8791-98E2581F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en-Z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6AFE"/>
  </w:style>
  <w:style w:type="paragraph" w:styleId="Heading1">
    <w:name w:val="heading 1"/>
    <w:basedOn w:val="Normal"/>
    <w:next w:val="Normal"/>
    <w:link w:val="Heading1Char"/>
    <w:qFormat/>
    <w:rsid w:val="00B00EEA"/>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rsid w:val="00E22076"/>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aliases w:val="Tom 1"/>
    <w:basedOn w:val="Normal"/>
    <w:next w:val="Normal"/>
    <w:link w:val="Heading3Char"/>
    <w:uiPriority w:val="9"/>
    <w:unhideWhenUsed/>
    <w:qFormat/>
    <w:rsid w:val="00F15212"/>
    <w:pPr>
      <w:keepNext/>
      <w:keepLines/>
      <w:spacing w:before="200" w:after="360" w:line="240" w:lineRule="auto"/>
      <w:outlineLvl w:val="2"/>
    </w:pPr>
    <w:rPr>
      <w:rFonts w:ascii="Arial" w:eastAsiaTheme="minorHAnsi" w:hAnsi="Arial" w:cs="Arial"/>
      <w:b/>
      <w:bCs/>
      <w:color w:val="0070C0"/>
      <w:sz w:val="28"/>
      <w:szCs w:val="28"/>
      <w:lang w:eastAsia="en-US"/>
    </w:rPr>
  </w:style>
  <w:style w:type="paragraph" w:styleId="Heading7">
    <w:name w:val="heading 7"/>
    <w:basedOn w:val="Normal"/>
    <w:next w:val="Normal"/>
    <w:link w:val="Heading7Char"/>
    <w:uiPriority w:val="9"/>
    <w:semiHidden/>
    <w:unhideWhenUsed/>
    <w:qFormat/>
    <w:rsid w:val="00C958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EEA"/>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sid w:val="00E22076"/>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aliases w:val="Tom 1 Char"/>
    <w:basedOn w:val="DefaultParagraphFont"/>
    <w:link w:val="Heading3"/>
    <w:uiPriority w:val="9"/>
    <w:rsid w:val="00F15212"/>
    <w:rPr>
      <w:rFonts w:ascii="Arial" w:eastAsiaTheme="minorHAnsi" w:hAnsi="Arial" w:cs="Arial"/>
      <w:b/>
      <w:bCs/>
      <w:color w:val="0070C0"/>
      <w:sz w:val="28"/>
      <w:szCs w:val="28"/>
      <w:lang w:val="pt-BR" w:eastAsia="en-US"/>
    </w:rPr>
  </w:style>
  <w:style w:type="character" w:customStyle="1" w:styleId="Heading7Char">
    <w:name w:val="Heading 7 Char"/>
    <w:basedOn w:val="DefaultParagraphFont"/>
    <w:link w:val="Heading7"/>
    <w:uiPriority w:val="9"/>
    <w:semiHidden/>
    <w:rsid w:val="00C95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801C7"/>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rsid w:val="00140E88"/>
    <w:rPr>
      <w:color w:val="0000FF"/>
      <w:u w:val="single"/>
    </w:rPr>
  </w:style>
  <w:style w:type="character" w:customStyle="1" w:styleId="FootnoteTextChar">
    <w:name w:val="Footnote Text Char"/>
    <w:aliases w:val="Footnote ak Char"/>
    <w:basedOn w:val="DefaultParagraphFont"/>
    <w:link w:val="FootnoteText"/>
    <w:uiPriority w:val="99"/>
    <w:rsid w:val="00140E88"/>
    <w:rPr>
      <w:sz w:val="20"/>
    </w:rPr>
  </w:style>
  <w:style w:type="paragraph" w:styleId="FootnoteText">
    <w:name w:val="footnote text"/>
    <w:aliases w:val="Footnote ak"/>
    <w:basedOn w:val="Normal"/>
    <w:link w:val="FootnoteTextChar"/>
    <w:rsid w:val="00140E88"/>
    <w:pPr>
      <w:spacing w:after="0" w:line="240" w:lineRule="auto"/>
    </w:pPr>
    <w:rPr>
      <w:sz w:val="20"/>
    </w:rPr>
  </w:style>
  <w:style w:type="table" w:styleId="TableGrid">
    <w:name w:val="Table Grid"/>
    <w:basedOn w:val="TableNormal"/>
    <w:uiPriority w:val="59"/>
    <w:rsid w:val="00140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rsid w:val="00140E88"/>
    <w:rPr>
      <w:vertAlign w:val="superscript"/>
    </w:rPr>
  </w:style>
  <w:style w:type="character" w:styleId="FootnoteReference">
    <w:name w:val="footnote reference"/>
    <w:basedOn w:val="DefaultParagraphFont"/>
    <w:rsid w:val="00140E88"/>
    <w:rPr>
      <w:vertAlign w:val="superscript"/>
    </w:rPr>
  </w:style>
  <w:style w:type="paragraph" w:styleId="BalloonText">
    <w:name w:val="Balloon Text"/>
    <w:basedOn w:val="Normal"/>
    <w:link w:val="BalloonTextChar"/>
    <w:uiPriority w:val="99"/>
    <w:semiHidden/>
    <w:unhideWhenUsed/>
    <w:rsid w:val="008A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11"/>
    <w:rPr>
      <w:rFonts w:ascii="Tahoma" w:hAnsi="Tahoma" w:cs="Tahoma"/>
      <w:sz w:val="16"/>
      <w:szCs w:val="16"/>
    </w:rPr>
  </w:style>
  <w:style w:type="paragraph" w:styleId="ListParagraph">
    <w:name w:val="List Paragraph"/>
    <w:basedOn w:val="Normal"/>
    <w:uiPriority w:val="34"/>
    <w:qFormat/>
    <w:rsid w:val="009D513B"/>
    <w:pPr>
      <w:ind w:left="720"/>
      <w:contextualSpacing/>
    </w:pPr>
  </w:style>
  <w:style w:type="character" w:customStyle="1" w:styleId="EmailStyle24">
    <w:name w:val="EmailStyle24"/>
    <w:basedOn w:val="DefaultParagraphFont"/>
    <w:semiHidden/>
    <w:rsid w:val="00EE2AC7"/>
    <w:rPr>
      <w:rFonts w:ascii="Arial" w:hAnsi="Arial" w:cs="Arial"/>
      <w:color w:val="000080"/>
      <w:sz w:val="20"/>
      <w:szCs w:val="20"/>
    </w:rPr>
  </w:style>
  <w:style w:type="paragraph" w:styleId="NormalWeb">
    <w:name w:val="Normal (Web)"/>
    <w:basedOn w:val="Normal"/>
    <w:unhideWhenUsed/>
    <w:rsid w:val="003852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Doc">
    <w:name w:val="Title of Doc"/>
    <w:basedOn w:val="Normal"/>
    <w:next w:val="Normal"/>
    <w:uiPriority w:val="99"/>
    <w:rsid w:val="00C92CFB"/>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rsid w:val="00EB2ECD"/>
    <w:pPr>
      <w:autoSpaceDE w:val="0"/>
      <w:autoSpaceDN w:val="0"/>
      <w:adjustRightInd w:val="0"/>
      <w:spacing w:after="0" w:line="240" w:lineRule="auto"/>
    </w:pPr>
    <w:rPr>
      <w:rFonts w:ascii="Arial" w:hAnsi="Arial" w:cs="Arial"/>
      <w:color w:val="000000"/>
      <w:sz w:val="24"/>
      <w:szCs w:val="24"/>
    </w:rPr>
  </w:style>
  <w:style w:type="paragraph" w:customStyle="1" w:styleId="CM13">
    <w:name w:val="CM13"/>
    <w:basedOn w:val="Default"/>
    <w:next w:val="Default"/>
    <w:uiPriority w:val="99"/>
    <w:rsid w:val="00516B58"/>
    <w:pPr>
      <w:spacing w:line="240" w:lineRule="atLeast"/>
    </w:pPr>
    <w:rPr>
      <w:rFonts w:ascii="ALPFM O+ Times" w:hAnsi="ALPFM O+ Times" w:cstheme="minorBidi"/>
      <w:color w:val="auto"/>
    </w:rPr>
  </w:style>
  <w:style w:type="paragraph" w:customStyle="1" w:styleId="CM20">
    <w:name w:val="CM20"/>
    <w:basedOn w:val="Default"/>
    <w:next w:val="Default"/>
    <w:uiPriority w:val="99"/>
    <w:rsid w:val="00516B58"/>
    <w:pPr>
      <w:spacing w:line="240" w:lineRule="atLeast"/>
    </w:pPr>
    <w:rPr>
      <w:rFonts w:ascii="ALPFM O+ Times" w:hAnsi="ALPFM O+ Times" w:cstheme="minorBidi"/>
      <w:color w:val="auto"/>
    </w:rPr>
  </w:style>
  <w:style w:type="paragraph" w:customStyle="1" w:styleId="CM43">
    <w:name w:val="CM43"/>
    <w:basedOn w:val="Default"/>
    <w:next w:val="Default"/>
    <w:uiPriority w:val="99"/>
    <w:rsid w:val="00B52058"/>
    <w:rPr>
      <w:rFonts w:ascii="Times New Roman" w:hAnsi="Times New Roman" w:cs="Times New Roman"/>
      <w:color w:val="auto"/>
    </w:rPr>
  </w:style>
  <w:style w:type="paragraph" w:customStyle="1" w:styleId="CM4">
    <w:name w:val="CM4"/>
    <w:basedOn w:val="Default"/>
    <w:next w:val="Default"/>
    <w:uiPriority w:val="99"/>
    <w:rsid w:val="00B52058"/>
    <w:pPr>
      <w:spacing w:line="260" w:lineRule="atLeast"/>
    </w:pPr>
    <w:rPr>
      <w:rFonts w:ascii="Times New Roman" w:hAnsi="Times New Roman" w:cs="Times New Roman"/>
      <w:color w:val="auto"/>
    </w:rPr>
  </w:style>
  <w:style w:type="paragraph" w:customStyle="1" w:styleId="CM44">
    <w:name w:val="CM44"/>
    <w:basedOn w:val="Default"/>
    <w:next w:val="Default"/>
    <w:uiPriority w:val="99"/>
    <w:rsid w:val="00B52058"/>
    <w:rPr>
      <w:rFonts w:ascii="Times New Roman" w:hAnsi="Times New Roman" w:cs="Times New Roman"/>
      <w:color w:val="auto"/>
    </w:rPr>
  </w:style>
  <w:style w:type="paragraph" w:customStyle="1" w:styleId="CM35">
    <w:name w:val="CM35"/>
    <w:basedOn w:val="Default"/>
    <w:next w:val="Default"/>
    <w:uiPriority w:val="99"/>
    <w:rsid w:val="00B52058"/>
    <w:pPr>
      <w:spacing w:line="256" w:lineRule="atLeast"/>
    </w:pPr>
    <w:rPr>
      <w:rFonts w:ascii="Times New Roman" w:hAnsi="Times New Roman" w:cs="Times New Roman"/>
      <w:color w:val="auto"/>
    </w:rPr>
  </w:style>
  <w:style w:type="paragraph" w:customStyle="1" w:styleId="CM45">
    <w:name w:val="CM45"/>
    <w:basedOn w:val="Default"/>
    <w:next w:val="Default"/>
    <w:uiPriority w:val="99"/>
    <w:rsid w:val="00B52058"/>
    <w:rPr>
      <w:rFonts w:ascii="Times New Roman" w:hAnsi="Times New Roman" w:cs="Times New Roman"/>
      <w:color w:val="auto"/>
    </w:rPr>
  </w:style>
  <w:style w:type="paragraph" w:customStyle="1" w:styleId="CM36">
    <w:name w:val="CM36"/>
    <w:basedOn w:val="Default"/>
    <w:next w:val="Default"/>
    <w:uiPriority w:val="99"/>
    <w:rsid w:val="00B52058"/>
    <w:pPr>
      <w:spacing w:line="266" w:lineRule="atLeast"/>
    </w:pPr>
    <w:rPr>
      <w:rFonts w:ascii="Times New Roman" w:hAnsi="Times New Roman" w:cs="Times New Roman"/>
      <w:color w:val="auto"/>
    </w:rPr>
  </w:style>
  <w:style w:type="paragraph" w:customStyle="1" w:styleId="CM53">
    <w:name w:val="CM53"/>
    <w:basedOn w:val="Default"/>
    <w:next w:val="Default"/>
    <w:uiPriority w:val="99"/>
    <w:rsid w:val="00D52980"/>
    <w:rPr>
      <w:rFonts w:ascii="Times New Roman" w:hAnsi="Times New Roman" w:cs="Times New Roman"/>
      <w:color w:val="auto"/>
    </w:rPr>
  </w:style>
  <w:style w:type="paragraph" w:customStyle="1" w:styleId="CM68">
    <w:name w:val="CM68"/>
    <w:basedOn w:val="Default"/>
    <w:next w:val="Default"/>
    <w:uiPriority w:val="99"/>
    <w:rsid w:val="00D52980"/>
    <w:rPr>
      <w:rFonts w:ascii="Times New Roman" w:hAnsi="Times New Roman" w:cs="Times New Roman"/>
      <w:color w:val="auto"/>
    </w:rPr>
  </w:style>
  <w:style w:type="paragraph" w:customStyle="1" w:styleId="CM55">
    <w:name w:val="CM55"/>
    <w:basedOn w:val="Default"/>
    <w:next w:val="Default"/>
    <w:uiPriority w:val="99"/>
    <w:rsid w:val="00D52980"/>
    <w:rPr>
      <w:rFonts w:ascii="Times New Roman" w:hAnsi="Times New Roman" w:cs="Times New Roman"/>
      <w:color w:val="auto"/>
    </w:rPr>
  </w:style>
  <w:style w:type="character" w:customStyle="1" w:styleId="notranslate">
    <w:name w:val="notranslate"/>
    <w:basedOn w:val="DefaultParagraphFont"/>
    <w:rsid w:val="00D52980"/>
  </w:style>
  <w:style w:type="paragraph" w:styleId="Header">
    <w:name w:val="header"/>
    <w:basedOn w:val="Normal"/>
    <w:link w:val="HeaderChar"/>
    <w:unhideWhenUsed/>
    <w:rsid w:val="00966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00"/>
  </w:style>
  <w:style w:type="paragraph" w:styleId="Footer">
    <w:name w:val="footer"/>
    <w:basedOn w:val="Normal"/>
    <w:link w:val="FooterChar"/>
    <w:unhideWhenUsed/>
    <w:rsid w:val="00966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00"/>
  </w:style>
  <w:style w:type="paragraph" w:customStyle="1" w:styleId="CM21">
    <w:name w:val="CM21"/>
    <w:basedOn w:val="Default"/>
    <w:next w:val="Default"/>
    <w:uiPriority w:val="99"/>
    <w:rsid w:val="00811022"/>
    <w:pPr>
      <w:spacing w:line="240" w:lineRule="atLeast"/>
    </w:pPr>
    <w:rPr>
      <w:rFonts w:ascii="ALPEM D+ Times" w:hAnsi="ALPEM D+ Times" w:cstheme="minorBidi"/>
      <w:color w:val="auto"/>
    </w:rPr>
  </w:style>
  <w:style w:type="character" w:customStyle="1" w:styleId="FootnoteTe1">
    <w:name w:val="Footnote Te1"/>
    <w:rsid w:val="008C532C"/>
    <w:rPr>
      <w:lang w:val="pt-BR"/>
    </w:rPr>
  </w:style>
  <w:style w:type="character" w:styleId="Emphasis">
    <w:name w:val="Emphasis"/>
    <w:basedOn w:val="DefaultParagraphFont"/>
    <w:uiPriority w:val="20"/>
    <w:qFormat/>
    <w:rsid w:val="008C532C"/>
    <w:rPr>
      <w:b/>
      <w:bCs/>
      <w:i w:val="0"/>
      <w:iCs w:val="0"/>
    </w:rPr>
  </w:style>
  <w:style w:type="character" w:customStyle="1" w:styleId="st">
    <w:name w:val="st"/>
    <w:basedOn w:val="DefaultParagraphFont"/>
    <w:rsid w:val="008C532C"/>
  </w:style>
  <w:style w:type="paragraph" w:styleId="TOC1">
    <w:name w:val="toc 1"/>
    <w:basedOn w:val="Normal"/>
    <w:next w:val="Normal"/>
    <w:autoRedefine/>
    <w:uiPriority w:val="39"/>
    <w:qFormat/>
    <w:rsid w:val="00B00EEA"/>
    <w:pPr>
      <w:tabs>
        <w:tab w:val="right" w:leader="dot" w:pos="9000"/>
      </w:tabs>
      <w:spacing w:before="60" w:after="60" w:line="360" w:lineRule="auto"/>
      <w:ind w:left="709" w:hanging="709"/>
    </w:pPr>
    <w:rPr>
      <w:rFonts w:ascii="Arial" w:eastAsiaTheme="minorHAnsi" w:hAnsi="Arial" w:cs="Arial"/>
      <w:b/>
      <w:noProof/>
      <w:lang w:eastAsia="en-US"/>
    </w:rPr>
  </w:style>
  <w:style w:type="character" w:styleId="PageNumber">
    <w:name w:val="page number"/>
    <w:basedOn w:val="DefaultParagraphFont"/>
    <w:rsid w:val="008A015E"/>
  </w:style>
  <w:style w:type="character" w:styleId="HTMLCite">
    <w:name w:val="HTML Cite"/>
    <w:basedOn w:val="DefaultParagraphFont"/>
    <w:unhideWhenUsed/>
    <w:rsid w:val="00606AAB"/>
    <w:rPr>
      <w:i/>
      <w:iCs/>
    </w:rPr>
  </w:style>
  <w:style w:type="paragraph" w:customStyle="1" w:styleId="subsection">
    <w:name w:val="subsection"/>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000F47"/>
    <w:pPr>
      <w:spacing w:line="256" w:lineRule="atLeast"/>
    </w:pPr>
    <w:rPr>
      <w:rFonts w:ascii="Times New Roman" w:hAnsi="Times New Roman" w:cs="Times New Roman"/>
      <w:color w:val="auto"/>
    </w:rPr>
  </w:style>
  <w:style w:type="character" w:customStyle="1" w:styleId="highlight">
    <w:name w:val="highlight"/>
    <w:basedOn w:val="DefaultParagraphFont"/>
    <w:rsid w:val="00DB0712"/>
  </w:style>
  <w:style w:type="paragraph" w:styleId="TOCHeading">
    <w:name w:val="TOC Heading"/>
    <w:basedOn w:val="Heading1"/>
    <w:next w:val="Normal"/>
    <w:uiPriority w:val="39"/>
    <w:unhideWhenUsed/>
    <w:qFormat/>
    <w:rsid w:val="00C42A8B"/>
    <w:pPr>
      <w:outlineLvl w:val="9"/>
    </w:pPr>
    <w:rPr>
      <w:lang w:eastAsia="ja-JP"/>
    </w:rPr>
  </w:style>
  <w:style w:type="character" w:styleId="CommentReference">
    <w:name w:val="annotation reference"/>
    <w:basedOn w:val="DefaultParagraphFont"/>
    <w:uiPriority w:val="99"/>
    <w:semiHidden/>
    <w:unhideWhenUsed/>
    <w:rsid w:val="009858BC"/>
    <w:rPr>
      <w:sz w:val="16"/>
      <w:szCs w:val="16"/>
    </w:rPr>
  </w:style>
  <w:style w:type="paragraph" w:styleId="CommentText">
    <w:name w:val="annotation text"/>
    <w:basedOn w:val="Normal"/>
    <w:link w:val="CommentTextChar"/>
    <w:uiPriority w:val="99"/>
    <w:unhideWhenUsed/>
    <w:rsid w:val="009858BC"/>
    <w:pPr>
      <w:spacing w:after="120" w:line="240" w:lineRule="auto"/>
    </w:pPr>
    <w:rPr>
      <w:sz w:val="20"/>
      <w:szCs w:val="20"/>
      <w:lang w:eastAsia="en-US"/>
    </w:rPr>
  </w:style>
  <w:style w:type="character" w:customStyle="1" w:styleId="CommentTextChar">
    <w:name w:val="Comment Text Char"/>
    <w:basedOn w:val="DefaultParagraphFont"/>
    <w:link w:val="CommentText"/>
    <w:uiPriority w:val="99"/>
    <w:rsid w:val="009858BC"/>
    <w:rPr>
      <w:sz w:val="20"/>
      <w:szCs w:val="20"/>
      <w:lang w:val="pt-BR" w:eastAsia="en-US"/>
    </w:rPr>
  </w:style>
  <w:style w:type="character" w:styleId="Strong">
    <w:name w:val="Strong"/>
    <w:basedOn w:val="DefaultParagraphFont"/>
    <w:uiPriority w:val="22"/>
    <w:qFormat/>
    <w:rsid w:val="00C74B91"/>
    <w:rPr>
      <w:b/>
      <w:bCs/>
    </w:rPr>
  </w:style>
  <w:style w:type="paragraph" w:styleId="CommentSubject">
    <w:name w:val="annotation subject"/>
    <w:basedOn w:val="CommentText"/>
    <w:next w:val="CommentText"/>
    <w:link w:val="CommentSubjectChar"/>
    <w:uiPriority w:val="99"/>
    <w:semiHidden/>
    <w:unhideWhenUsed/>
    <w:rsid w:val="00CC3462"/>
    <w:pPr>
      <w:spacing w:after="200"/>
    </w:pPr>
    <w:rPr>
      <w:b/>
      <w:bCs/>
      <w:lang w:eastAsia="en-ZA"/>
    </w:rPr>
  </w:style>
  <w:style w:type="character" w:customStyle="1" w:styleId="CommentSubjectChar">
    <w:name w:val="Comment Subject Char"/>
    <w:basedOn w:val="CommentTextChar"/>
    <w:link w:val="CommentSubject"/>
    <w:uiPriority w:val="99"/>
    <w:semiHidden/>
    <w:rsid w:val="00CC3462"/>
    <w:rPr>
      <w:b/>
      <w:bCs/>
      <w:sz w:val="20"/>
      <w:szCs w:val="20"/>
      <w:lang w:val="pt-BR" w:eastAsia="en-US"/>
    </w:rPr>
  </w:style>
  <w:style w:type="paragraph" w:styleId="Revision">
    <w:name w:val="Revision"/>
    <w:hidden/>
    <w:uiPriority w:val="99"/>
    <w:semiHidden/>
    <w:rsid w:val="00613A49"/>
    <w:pPr>
      <w:spacing w:after="0" w:line="240" w:lineRule="auto"/>
    </w:pPr>
  </w:style>
  <w:style w:type="paragraph" w:styleId="EndnoteText">
    <w:name w:val="endnote text"/>
    <w:basedOn w:val="Normal"/>
    <w:link w:val="EndnoteTextChar"/>
    <w:uiPriority w:val="99"/>
    <w:semiHidden/>
    <w:unhideWhenUsed/>
    <w:rsid w:val="009C1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110"/>
    <w:rPr>
      <w:sz w:val="20"/>
      <w:szCs w:val="20"/>
    </w:rPr>
  </w:style>
  <w:style w:type="character" w:customStyle="1" w:styleId="tw4winMark">
    <w:name w:val="tw4winMark"/>
    <w:rsid w:val="00B0557F"/>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rsid w:val="001165FC"/>
    <w:pPr>
      <w:numPr>
        <w:numId w:val="1"/>
      </w:numPr>
      <w:autoSpaceDE w:val="0"/>
      <w:autoSpaceDN w:val="0"/>
      <w:adjustRightInd w:val="0"/>
      <w:spacing w:after="0" w:line="240" w:lineRule="auto"/>
      <w:jc w:val="both"/>
    </w:pPr>
    <w:rPr>
      <w:rFonts w:ascii="Times New Roman" w:eastAsia="Times New Roman" w:hAnsi="Times New Roman" w:cs="Times New Roman"/>
      <w:b/>
      <w:bCs/>
      <w:noProof/>
      <w:sz w:val="24"/>
      <w:szCs w:val="26"/>
      <w:lang w:eastAsia="en-US"/>
    </w:rPr>
  </w:style>
  <w:style w:type="character" w:customStyle="1" w:styleId="MaintitleChar">
    <w:name w:val="Main title Char"/>
    <w:link w:val="Maintitle"/>
    <w:rsid w:val="001165FC"/>
    <w:rPr>
      <w:rFonts w:ascii="Times New Roman" w:eastAsia="Times New Roman" w:hAnsi="Times New Roman" w:cs="Times New Roman"/>
      <w:b/>
      <w:bCs/>
      <w:noProof/>
      <w:sz w:val="24"/>
      <w:szCs w:val="26"/>
      <w:lang w:val="pt-BR" w:eastAsia="en-US"/>
    </w:rPr>
  </w:style>
  <w:style w:type="character" w:styleId="FollowedHyperlink">
    <w:name w:val="FollowedHyperlink"/>
    <w:basedOn w:val="DefaultParagraphFont"/>
    <w:uiPriority w:val="99"/>
    <w:semiHidden/>
    <w:unhideWhenUsed/>
    <w:rsid w:val="00D432F0"/>
    <w:rPr>
      <w:color w:val="800080" w:themeColor="followedHyperlink"/>
      <w:u w:val="single"/>
    </w:rPr>
  </w:style>
  <w:style w:type="paragraph" w:customStyle="1" w:styleId="Pa52">
    <w:name w:val="Pa5+2"/>
    <w:basedOn w:val="Default"/>
    <w:next w:val="Default"/>
    <w:uiPriority w:val="99"/>
    <w:rsid w:val="00E964F5"/>
    <w:pPr>
      <w:spacing w:line="211" w:lineRule="atLeast"/>
    </w:pPr>
    <w:rPr>
      <w:rFonts w:ascii="Adobe Garamond Pro" w:hAnsi="Adobe Garamond Pro" w:cstheme="minorBidi"/>
      <w:color w:val="auto"/>
    </w:rPr>
  </w:style>
  <w:style w:type="paragraph" w:customStyle="1" w:styleId="Pa22">
    <w:name w:val="Pa2+2"/>
    <w:basedOn w:val="Default"/>
    <w:next w:val="Default"/>
    <w:uiPriority w:val="99"/>
    <w:rsid w:val="000A1395"/>
    <w:pPr>
      <w:spacing w:line="181" w:lineRule="atLeast"/>
    </w:pPr>
    <w:rPr>
      <w:rFonts w:ascii="Frutiger 45 Light" w:hAnsi="Frutiger 45 Light" w:cstheme="minorBidi"/>
      <w:color w:val="auto"/>
    </w:rPr>
  </w:style>
  <w:style w:type="paragraph" w:customStyle="1" w:styleId="gmail-m3642427114626180628m-6534600210048553051m-6637656318762905898gmail-msotoc1">
    <w:name w:val="gmail-m_3642427114626180628m_-6534600210048553051m_-6637656318762905898gmail-msotoc1"/>
    <w:basedOn w:val="Normal"/>
    <w:rsid w:val="00494B9E"/>
    <w:pPr>
      <w:spacing w:before="100" w:beforeAutospacing="1" w:after="100" w:afterAutospacing="1" w:line="240" w:lineRule="auto"/>
    </w:pPr>
    <w:rPr>
      <w:rFonts w:ascii="Times New Roman" w:eastAsiaTheme="minorHAnsi" w:hAnsi="Times New Roman" w:cs="Times New Roman"/>
      <w:sz w:val="24"/>
      <w:szCs w:val="24"/>
      <w:lang w:eastAsia="en-US"/>
    </w:rPr>
  </w:style>
  <w:style w:type="paragraph" w:styleId="NoSpacing">
    <w:name w:val="No Spacing"/>
    <w:uiPriority w:val="1"/>
    <w:qFormat/>
    <w:rsid w:val="000C5552"/>
    <w:pPr>
      <w:spacing w:after="0" w:line="240" w:lineRule="auto"/>
    </w:pPr>
    <w:rPr>
      <w:rFonts w:eastAsiaTheme="minorHAnsi"/>
      <w:lang w:eastAsia="en-US"/>
    </w:rPr>
  </w:style>
  <w:style w:type="character" w:customStyle="1" w:styleId="headlinenews1">
    <w:name w:val="headline_news1"/>
    <w:basedOn w:val="DefaultParagraphFont"/>
    <w:rsid w:val="00347704"/>
    <w:rPr>
      <w:b w:val="0"/>
      <w:bCs w:val="0"/>
      <w:color w:val="4D6A9D"/>
      <w:sz w:val="33"/>
      <w:szCs w:val="33"/>
    </w:rPr>
  </w:style>
  <w:style w:type="character" w:customStyle="1" w:styleId="A21">
    <w:name w:val="A2+1"/>
    <w:uiPriority w:val="99"/>
    <w:rsid w:val="008672B4"/>
    <w:rPr>
      <w:rFonts w:cs="Frutiger 45 Light"/>
      <w:color w:val="000000"/>
      <w:sz w:val="20"/>
      <w:szCs w:val="20"/>
    </w:rPr>
  </w:style>
  <w:style w:type="paragraph" w:customStyle="1" w:styleId="StyleJustified">
    <w:name w:val="Style Justified"/>
    <w:basedOn w:val="Normal"/>
    <w:rsid w:val="000E0A05"/>
    <w:pPr>
      <w:widowControl w:val="0"/>
      <w:adjustRightInd w:val="0"/>
      <w:spacing w:after="0" w:line="360" w:lineRule="atLeast"/>
      <w:jc w:val="both"/>
      <w:textAlignment w:val="baseline"/>
    </w:pPr>
    <w:rPr>
      <w:rFonts w:ascii="Times New Roman" w:eastAsia="Times New Roman" w:hAnsi="Times New Roman" w:cs="Times New Roman"/>
      <w:sz w:val="24"/>
      <w:szCs w:val="20"/>
      <w:lang w:eastAsia="en-US"/>
    </w:rPr>
  </w:style>
  <w:style w:type="character" w:customStyle="1" w:styleId="st1">
    <w:name w:val="st1"/>
    <w:basedOn w:val="DefaultParagraphFont"/>
    <w:rsid w:val="005F2FB1"/>
  </w:style>
  <w:style w:type="character" w:customStyle="1" w:styleId="sr-only1">
    <w:name w:val="sr-only1"/>
    <w:basedOn w:val="DefaultParagraphFont"/>
    <w:rsid w:val="0058533B"/>
    <w:rPr>
      <w:bdr w:val="none" w:sz="0" w:space="0" w:color="auto" w:frame="1"/>
    </w:rPr>
  </w:style>
  <w:style w:type="paragraph" w:styleId="TOC2">
    <w:name w:val="toc 2"/>
    <w:basedOn w:val="Normal"/>
    <w:next w:val="Normal"/>
    <w:autoRedefine/>
    <w:uiPriority w:val="39"/>
    <w:unhideWhenUsed/>
    <w:qFormat/>
    <w:rsid w:val="00B50412"/>
    <w:pPr>
      <w:spacing w:after="100"/>
      <w:ind w:left="220"/>
    </w:pPr>
  </w:style>
  <w:style w:type="paragraph" w:styleId="TOC3">
    <w:name w:val="toc 3"/>
    <w:basedOn w:val="Normal"/>
    <w:next w:val="Normal"/>
    <w:autoRedefine/>
    <w:uiPriority w:val="39"/>
    <w:unhideWhenUsed/>
    <w:qFormat/>
    <w:rsid w:val="000017C6"/>
    <w:pPr>
      <w:tabs>
        <w:tab w:val="right" w:leader="dot" w:pos="9356"/>
      </w:tabs>
      <w:spacing w:after="100"/>
    </w:pPr>
  </w:style>
  <w:style w:type="character" w:customStyle="1" w:styleId="patentscopemark">
    <w:name w:val="patentscopemark"/>
    <w:basedOn w:val="DefaultParagraphFont"/>
    <w:rsid w:val="00F43DEF"/>
  </w:style>
  <w:style w:type="paragraph" w:customStyle="1" w:styleId="Pa2">
    <w:name w:val="Pa2"/>
    <w:basedOn w:val="Default"/>
    <w:next w:val="Default"/>
    <w:uiPriority w:val="99"/>
    <w:rsid w:val="005E449B"/>
    <w:pPr>
      <w:spacing w:line="241" w:lineRule="atLeast"/>
    </w:pPr>
    <w:rPr>
      <w:rFonts w:ascii="Weidemann IT Cby BT" w:hAnsi="Weidemann IT Cby BT" w:cstheme="minorBidi"/>
      <w:color w:val="auto"/>
    </w:rPr>
  </w:style>
  <w:style w:type="character" w:customStyle="1" w:styleId="A4">
    <w:name w:val="A4"/>
    <w:uiPriority w:val="99"/>
    <w:rsid w:val="005E449B"/>
    <w:rPr>
      <w:rFonts w:cs="Weidemann IT Cby BT"/>
      <w:color w:val="000000"/>
      <w:sz w:val="21"/>
      <w:szCs w:val="21"/>
    </w:rPr>
  </w:style>
  <w:style w:type="character" w:customStyle="1" w:styleId="tgc">
    <w:name w:val="_tgc"/>
    <w:basedOn w:val="DefaultParagraphFont"/>
    <w:rsid w:val="00165818"/>
  </w:style>
  <w:style w:type="character" w:customStyle="1" w:styleId="Mencinsinresolver1">
    <w:name w:val="Mención sin resolver1"/>
    <w:basedOn w:val="DefaultParagraphFont"/>
    <w:uiPriority w:val="99"/>
    <w:semiHidden/>
    <w:unhideWhenUsed/>
    <w:rsid w:val="002660BE"/>
    <w:rPr>
      <w:color w:val="808080"/>
      <w:shd w:val="clear" w:color="auto" w:fill="E6E6E6"/>
    </w:rPr>
  </w:style>
  <w:style w:type="paragraph" w:customStyle="1" w:styleId="gmail-msolistparagraph">
    <w:name w:val="gmail-msolistparagraph"/>
    <w:basedOn w:val="Normal"/>
    <w:rsid w:val="00961F01"/>
    <w:pPr>
      <w:spacing w:before="100" w:beforeAutospacing="1" w:after="100" w:afterAutospacing="1" w:line="240" w:lineRule="auto"/>
    </w:pPr>
    <w:rPr>
      <w:rFonts w:ascii="Times New Roman" w:eastAsiaTheme="minorHAnsi" w:hAnsi="Times New Roman" w:cs="Times New Roman"/>
      <w:sz w:val="24"/>
      <w:szCs w:val="24"/>
      <w:lang w:eastAsia="en-US"/>
    </w:rPr>
  </w:style>
  <w:style w:type="character" w:customStyle="1" w:styleId="field-content6">
    <w:name w:val="field-content6"/>
    <w:basedOn w:val="DefaultParagraphFont"/>
    <w:rsid w:val="004D1B14"/>
  </w:style>
  <w:style w:type="character" w:customStyle="1" w:styleId="addmd1">
    <w:name w:val="addmd1"/>
    <w:basedOn w:val="DefaultParagraphFont"/>
    <w:rsid w:val="00A45002"/>
    <w:rPr>
      <w:sz w:val="20"/>
      <w:szCs w:val="20"/>
    </w:rPr>
  </w:style>
  <w:style w:type="paragraph" w:customStyle="1" w:styleId="Style2">
    <w:name w:val="Style 2"/>
    <w:uiPriority w:val="99"/>
    <w:rsid w:val="0095482B"/>
    <w:pPr>
      <w:widowControl w:val="0"/>
      <w:autoSpaceDE w:val="0"/>
      <w:autoSpaceDN w:val="0"/>
      <w:spacing w:after="0" w:line="240" w:lineRule="auto"/>
      <w:ind w:left="360"/>
    </w:pPr>
    <w:rPr>
      <w:rFonts w:ascii="Times New Roman" w:eastAsia="Times New Roman" w:hAnsi="Times New Roman" w:cs="Times New Roman"/>
      <w:sz w:val="20"/>
      <w:szCs w:val="20"/>
      <w:lang w:eastAsia="en-US"/>
    </w:rPr>
  </w:style>
  <w:style w:type="character" w:customStyle="1" w:styleId="CharacterStyle1">
    <w:name w:val="Character Style 1"/>
    <w:uiPriority w:val="99"/>
    <w:rsid w:val="0095482B"/>
    <w:rPr>
      <w:sz w:val="20"/>
    </w:rPr>
  </w:style>
  <w:style w:type="character" w:customStyle="1" w:styleId="element-citation">
    <w:name w:val="element-citation"/>
    <w:basedOn w:val="DefaultParagraphFont"/>
    <w:rsid w:val="00334F1B"/>
  </w:style>
  <w:style w:type="character" w:customStyle="1" w:styleId="A13">
    <w:name w:val="A1+3"/>
    <w:uiPriority w:val="99"/>
    <w:rsid w:val="00334F1B"/>
    <w:rPr>
      <w:rFonts w:cs="HelveticaNeueLT Std Cn"/>
      <w:color w:val="000000"/>
      <w:sz w:val="18"/>
      <w:szCs w:val="18"/>
    </w:rPr>
  </w:style>
  <w:style w:type="paragraph" w:customStyle="1" w:styleId="Pa1">
    <w:name w:val="Pa1"/>
    <w:basedOn w:val="Default"/>
    <w:next w:val="Default"/>
    <w:uiPriority w:val="99"/>
    <w:rsid w:val="00B3341B"/>
    <w:pPr>
      <w:spacing w:line="211" w:lineRule="atLeast"/>
    </w:pPr>
    <w:rPr>
      <w:rFonts w:ascii="Adobe Garamond Pro" w:hAnsi="Adobe Garamond Pro" w:cstheme="minorBidi"/>
      <w:color w:val="auto"/>
    </w:rPr>
  </w:style>
  <w:style w:type="table" w:customStyle="1" w:styleId="LightShading-Accent11">
    <w:name w:val="Light Shading - Accent 11"/>
    <w:basedOn w:val="TableNormal"/>
    <w:uiPriority w:val="60"/>
    <w:rsid w:val="004B3FA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D33E0F"/>
    <w:pPr>
      <w:spacing w:line="181" w:lineRule="atLeast"/>
    </w:pPr>
    <w:rPr>
      <w:color w:val="auto"/>
    </w:rPr>
  </w:style>
  <w:style w:type="character" w:customStyle="1" w:styleId="A5">
    <w:name w:val="A5"/>
    <w:uiPriority w:val="99"/>
    <w:rsid w:val="00D33E0F"/>
    <w:rPr>
      <w:color w:val="000000"/>
      <w:sz w:val="18"/>
      <w:szCs w:val="18"/>
    </w:rPr>
  </w:style>
  <w:style w:type="character" w:customStyle="1" w:styleId="element-invisible">
    <w:name w:val="element-invisible"/>
    <w:basedOn w:val="DefaultParagraphFont"/>
    <w:rsid w:val="00E568EC"/>
  </w:style>
  <w:style w:type="character" w:customStyle="1" w:styleId="a">
    <w:name w:val="_"/>
    <w:basedOn w:val="DefaultParagraphFont"/>
    <w:rsid w:val="001B700C"/>
  </w:style>
  <w:style w:type="character" w:customStyle="1" w:styleId="ff9">
    <w:name w:val="ff9"/>
    <w:basedOn w:val="DefaultParagraphFont"/>
    <w:rsid w:val="001B700C"/>
  </w:style>
  <w:style w:type="character" w:customStyle="1" w:styleId="ls48">
    <w:name w:val="ls48"/>
    <w:basedOn w:val="DefaultParagraphFont"/>
    <w:rsid w:val="001B700C"/>
  </w:style>
  <w:style w:type="character" w:customStyle="1" w:styleId="ff3">
    <w:name w:val="ff3"/>
    <w:basedOn w:val="DefaultParagraphFont"/>
    <w:rsid w:val="001B700C"/>
  </w:style>
  <w:style w:type="character" w:customStyle="1" w:styleId="ff8">
    <w:name w:val="ff8"/>
    <w:basedOn w:val="DefaultParagraphFont"/>
    <w:rsid w:val="00425C10"/>
  </w:style>
  <w:style w:type="character" w:customStyle="1" w:styleId="ls8">
    <w:name w:val="ls8"/>
    <w:basedOn w:val="DefaultParagraphFont"/>
    <w:rsid w:val="00425C10"/>
  </w:style>
  <w:style w:type="character" w:customStyle="1" w:styleId="ls4b">
    <w:name w:val="ls4b"/>
    <w:basedOn w:val="DefaultParagraphFont"/>
    <w:rsid w:val="00425C10"/>
  </w:style>
  <w:style w:type="character" w:customStyle="1" w:styleId="ls1c">
    <w:name w:val="ls1c"/>
    <w:basedOn w:val="DefaultParagraphFont"/>
    <w:rsid w:val="00425C10"/>
  </w:style>
  <w:style w:type="character" w:customStyle="1" w:styleId="ls37">
    <w:name w:val="ls37"/>
    <w:basedOn w:val="DefaultParagraphFont"/>
    <w:rsid w:val="00425C10"/>
  </w:style>
  <w:style w:type="character" w:customStyle="1" w:styleId="ls51">
    <w:name w:val="ls51"/>
    <w:basedOn w:val="DefaultParagraphFont"/>
    <w:rsid w:val="00425C10"/>
  </w:style>
  <w:style w:type="character" w:customStyle="1" w:styleId="ls50">
    <w:name w:val="ls50"/>
    <w:basedOn w:val="DefaultParagraphFont"/>
    <w:rsid w:val="00EF5739"/>
  </w:style>
  <w:style w:type="character" w:customStyle="1" w:styleId="lsb">
    <w:name w:val="lsb"/>
    <w:basedOn w:val="DefaultParagraphFont"/>
    <w:rsid w:val="00EF5739"/>
  </w:style>
  <w:style w:type="character" w:customStyle="1" w:styleId="ls55">
    <w:name w:val="ls55"/>
    <w:basedOn w:val="DefaultParagraphFont"/>
    <w:rsid w:val="00EF5739"/>
  </w:style>
  <w:style w:type="paragraph" w:customStyle="1" w:styleId="Pa62">
    <w:name w:val="Pa6+2"/>
    <w:basedOn w:val="Default"/>
    <w:next w:val="Default"/>
    <w:uiPriority w:val="99"/>
    <w:rsid w:val="00BF5184"/>
    <w:pPr>
      <w:spacing w:line="181" w:lineRule="atLeast"/>
    </w:pPr>
    <w:rPr>
      <w:rFonts w:ascii="HelveticaNeueLT Std" w:hAnsi="HelveticaNeueLT Std" w:cstheme="minorBidi"/>
      <w:color w:val="auto"/>
    </w:rPr>
  </w:style>
  <w:style w:type="character" w:customStyle="1" w:styleId="FootnoteTextChar1">
    <w:name w:val="Footnote Text Char1"/>
    <w:locked/>
    <w:rsid w:val="00C2707B"/>
    <w:rPr>
      <w:rFonts w:ascii="Arial" w:hAnsi="Arial"/>
      <w:lang w:val="pt-BR" w:eastAsia="en-US" w:bidi="ar-SA"/>
    </w:rPr>
  </w:style>
  <w:style w:type="character" w:styleId="UnresolvedMention">
    <w:name w:val="Unresolved Mention"/>
    <w:basedOn w:val="DefaultParagraphFont"/>
    <w:uiPriority w:val="99"/>
    <w:semiHidden/>
    <w:unhideWhenUsed/>
    <w:rsid w:val="001B6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451">
      <w:bodyDiv w:val="1"/>
      <w:marLeft w:val="0"/>
      <w:marRight w:val="0"/>
      <w:marTop w:val="0"/>
      <w:marBottom w:val="0"/>
      <w:divBdr>
        <w:top w:val="none" w:sz="0" w:space="0" w:color="auto"/>
        <w:left w:val="none" w:sz="0" w:space="0" w:color="auto"/>
        <w:bottom w:val="none" w:sz="0" w:space="0" w:color="auto"/>
        <w:right w:val="none" w:sz="0" w:space="0" w:color="auto"/>
      </w:divBdr>
    </w:div>
    <w:div w:id="1843829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6">
          <w:marLeft w:val="0"/>
          <w:marRight w:val="0"/>
          <w:marTop w:val="0"/>
          <w:marBottom w:val="0"/>
          <w:divBdr>
            <w:top w:val="none" w:sz="0" w:space="0" w:color="auto"/>
            <w:left w:val="none" w:sz="0" w:space="0" w:color="auto"/>
            <w:bottom w:val="none" w:sz="0" w:space="0" w:color="auto"/>
            <w:right w:val="none" w:sz="0" w:space="0" w:color="auto"/>
          </w:divBdr>
          <w:divsChild>
            <w:div w:id="413742159">
              <w:marLeft w:val="0"/>
              <w:marRight w:val="0"/>
              <w:marTop w:val="0"/>
              <w:marBottom w:val="0"/>
              <w:divBdr>
                <w:top w:val="none" w:sz="0" w:space="0" w:color="auto"/>
                <w:left w:val="none" w:sz="0" w:space="0" w:color="auto"/>
                <w:bottom w:val="none" w:sz="0" w:space="0" w:color="auto"/>
                <w:right w:val="none" w:sz="0" w:space="0" w:color="auto"/>
              </w:divBdr>
              <w:divsChild>
                <w:div w:id="1258054774">
                  <w:marLeft w:val="0"/>
                  <w:marRight w:val="0"/>
                  <w:marTop w:val="0"/>
                  <w:marBottom w:val="0"/>
                  <w:divBdr>
                    <w:top w:val="none" w:sz="0" w:space="0" w:color="auto"/>
                    <w:left w:val="none" w:sz="0" w:space="0" w:color="auto"/>
                    <w:bottom w:val="none" w:sz="0" w:space="0" w:color="auto"/>
                    <w:right w:val="none" w:sz="0" w:space="0" w:color="auto"/>
                  </w:divBdr>
                  <w:divsChild>
                    <w:div w:id="1330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9040">
      <w:bodyDiv w:val="1"/>
      <w:marLeft w:val="0"/>
      <w:marRight w:val="0"/>
      <w:marTop w:val="0"/>
      <w:marBottom w:val="0"/>
      <w:divBdr>
        <w:top w:val="none" w:sz="0" w:space="0" w:color="auto"/>
        <w:left w:val="none" w:sz="0" w:space="0" w:color="auto"/>
        <w:bottom w:val="none" w:sz="0" w:space="0" w:color="auto"/>
        <w:right w:val="none" w:sz="0" w:space="0" w:color="auto"/>
      </w:divBdr>
      <w:divsChild>
        <w:div w:id="1561285384">
          <w:marLeft w:val="0"/>
          <w:marRight w:val="0"/>
          <w:marTop w:val="0"/>
          <w:marBottom w:val="0"/>
          <w:divBdr>
            <w:top w:val="none" w:sz="0" w:space="0" w:color="auto"/>
            <w:left w:val="none" w:sz="0" w:space="0" w:color="auto"/>
            <w:bottom w:val="none" w:sz="0" w:space="0" w:color="auto"/>
            <w:right w:val="none" w:sz="0" w:space="0" w:color="auto"/>
          </w:divBdr>
          <w:divsChild>
            <w:div w:id="142239960">
              <w:marLeft w:val="0"/>
              <w:marRight w:val="0"/>
              <w:marTop w:val="0"/>
              <w:marBottom w:val="0"/>
              <w:divBdr>
                <w:top w:val="none" w:sz="0" w:space="0" w:color="auto"/>
                <w:left w:val="none" w:sz="0" w:space="0" w:color="auto"/>
                <w:bottom w:val="none" w:sz="0" w:space="0" w:color="auto"/>
                <w:right w:val="none" w:sz="0" w:space="0" w:color="auto"/>
              </w:divBdr>
              <w:divsChild>
                <w:div w:id="1396469047">
                  <w:marLeft w:val="2"/>
                  <w:marRight w:val="0"/>
                  <w:marTop w:val="0"/>
                  <w:marBottom w:val="0"/>
                  <w:divBdr>
                    <w:top w:val="none" w:sz="0" w:space="0" w:color="auto"/>
                    <w:left w:val="none" w:sz="0" w:space="0" w:color="auto"/>
                    <w:bottom w:val="none" w:sz="0" w:space="0" w:color="auto"/>
                    <w:right w:val="none" w:sz="0" w:space="0" w:color="auto"/>
                  </w:divBdr>
                  <w:divsChild>
                    <w:div w:id="905534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31181">
      <w:bodyDiv w:val="1"/>
      <w:marLeft w:val="0"/>
      <w:marRight w:val="0"/>
      <w:marTop w:val="0"/>
      <w:marBottom w:val="0"/>
      <w:divBdr>
        <w:top w:val="none" w:sz="0" w:space="0" w:color="auto"/>
        <w:left w:val="none" w:sz="0" w:space="0" w:color="auto"/>
        <w:bottom w:val="none" w:sz="0" w:space="0" w:color="auto"/>
        <w:right w:val="none" w:sz="0" w:space="0" w:color="auto"/>
      </w:divBdr>
      <w:divsChild>
        <w:div w:id="1845431263">
          <w:marLeft w:val="0"/>
          <w:marRight w:val="0"/>
          <w:marTop w:val="0"/>
          <w:marBottom w:val="0"/>
          <w:divBdr>
            <w:top w:val="none" w:sz="0" w:space="0" w:color="auto"/>
            <w:left w:val="none" w:sz="0" w:space="0" w:color="auto"/>
            <w:bottom w:val="none" w:sz="0" w:space="0" w:color="auto"/>
            <w:right w:val="none" w:sz="0" w:space="0" w:color="auto"/>
          </w:divBdr>
          <w:divsChild>
            <w:div w:id="1705132233">
              <w:marLeft w:val="0"/>
              <w:marRight w:val="0"/>
              <w:marTop w:val="0"/>
              <w:marBottom w:val="0"/>
              <w:divBdr>
                <w:top w:val="none" w:sz="0" w:space="0" w:color="auto"/>
                <w:left w:val="none" w:sz="0" w:space="0" w:color="auto"/>
                <w:bottom w:val="none" w:sz="0" w:space="0" w:color="auto"/>
                <w:right w:val="none" w:sz="0" w:space="0" w:color="auto"/>
              </w:divBdr>
              <w:divsChild>
                <w:div w:id="284119969">
                  <w:marLeft w:val="0"/>
                  <w:marRight w:val="0"/>
                  <w:marTop w:val="0"/>
                  <w:marBottom w:val="0"/>
                  <w:divBdr>
                    <w:top w:val="none" w:sz="0" w:space="0" w:color="auto"/>
                    <w:left w:val="none" w:sz="0" w:space="0" w:color="auto"/>
                    <w:bottom w:val="none" w:sz="0" w:space="0" w:color="auto"/>
                    <w:right w:val="none" w:sz="0" w:space="0" w:color="auto"/>
                  </w:divBdr>
                  <w:divsChild>
                    <w:div w:id="1373577702">
                      <w:marLeft w:val="0"/>
                      <w:marRight w:val="0"/>
                      <w:marTop w:val="0"/>
                      <w:marBottom w:val="0"/>
                      <w:divBdr>
                        <w:top w:val="none" w:sz="0" w:space="0" w:color="auto"/>
                        <w:left w:val="none" w:sz="0" w:space="0" w:color="auto"/>
                        <w:bottom w:val="none" w:sz="0" w:space="0" w:color="auto"/>
                        <w:right w:val="none" w:sz="0" w:space="0" w:color="auto"/>
                      </w:divBdr>
                      <w:divsChild>
                        <w:div w:id="1101147565">
                          <w:marLeft w:val="0"/>
                          <w:marRight w:val="0"/>
                          <w:marTop w:val="0"/>
                          <w:marBottom w:val="0"/>
                          <w:divBdr>
                            <w:top w:val="none" w:sz="0" w:space="0" w:color="auto"/>
                            <w:left w:val="none" w:sz="0" w:space="0" w:color="auto"/>
                            <w:bottom w:val="none" w:sz="0" w:space="0" w:color="auto"/>
                            <w:right w:val="none" w:sz="0" w:space="0" w:color="auto"/>
                          </w:divBdr>
                          <w:divsChild>
                            <w:div w:id="1823309444">
                              <w:marLeft w:val="0"/>
                              <w:marRight w:val="0"/>
                              <w:marTop w:val="0"/>
                              <w:marBottom w:val="0"/>
                              <w:divBdr>
                                <w:top w:val="none" w:sz="0" w:space="0" w:color="auto"/>
                                <w:left w:val="none" w:sz="0" w:space="0" w:color="auto"/>
                                <w:bottom w:val="none" w:sz="0" w:space="0" w:color="auto"/>
                                <w:right w:val="none" w:sz="0" w:space="0" w:color="auto"/>
                              </w:divBdr>
                              <w:divsChild>
                                <w:div w:id="951285060">
                                  <w:marLeft w:val="0"/>
                                  <w:marRight w:val="0"/>
                                  <w:marTop w:val="0"/>
                                  <w:marBottom w:val="0"/>
                                  <w:divBdr>
                                    <w:top w:val="none" w:sz="0" w:space="0" w:color="auto"/>
                                    <w:left w:val="none" w:sz="0" w:space="0" w:color="auto"/>
                                    <w:bottom w:val="none" w:sz="0" w:space="0" w:color="auto"/>
                                    <w:right w:val="none" w:sz="0" w:space="0" w:color="auto"/>
                                  </w:divBdr>
                                  <w:divsChild>
                                    <w:div w:id="284582797">
                                      <w:marLeft w:val="0"/>
                                      <w:marRight w:val="0"/>
                                      <w:marTop w:val="0"/>
                                      <w:marBottom w:val="0"/>
                                      <w:divBdr>
                                        <w:top w:val="none" w:sz="0" w:space="0" w:color="auto"/>
                                        <w:left w:val="none" w:sz="0" w:space="0" w:color="auto"/>
                                        <w:bottom w:val="none" w:sz="0" w:space="0" w:color="auto"/>
                                        <w:right w:val="none" w:sz="0" w:space="0" w:color="auto"/>
                                      </w:divBdr>
                                      <w:divsChild>
                                        <w:div w:id="1510873814">
                                          <w:marLeft w:val="0"/>
                                          <w:marRight w:val="0"/>
                                          <w:marTop w:val="150"/>
                                          <w:marBottom w:val="0"/>
                                          <w:divBdr>
                                            <w:top w:val="none" w:sz="0" w:space="0" w:color="auto"/>
                                            <w:left w:val="none" w:sz="0" w:space="0" w:color="auto"/>
                                            <w:bottom w:val="none" w:sz="0" w:space="0" w:color="auto"/>
                                            <w:right w:val="none" w:sz="0" w:space="0" w:color="auto"/>
                                          </w:divBdr>
                                          <w:divsChild>
                                            <w:div w:id="1021130498">
                                              <w:marLeft w:val="0"/>
                                              <w:marRight w:val="0"/>
                                              <w:marTop w:val="0"/>
                                              <w:marBottom w:val="0"/>
                                              <w:divBdr>
                                                <w:top w:val="none" w:sz="0" w:space="0" w:color="auto"/>
                                                <w:left w:val="none" w:sz="0" w:space="0" w:color="auto"/>
                                                <w:bottom w:val="none" w:sz="0" w:space="0" w:color="auto"/>
                                                <w:right w:val="none" w:sz="0" w:space="0" w:color="auto"/>
                                              </w:divBdr>
                                              <w:divsChild>
                                                <w:div w:id="118956042">
                                                  <w:marLeft w:val="0"/>
                                                  <w:marRight w:val="0"/>
                                                  <w:marTop w:val="150"/>
                                                  <w:marBottom w:val="0"/>
                                                  <w:divBdr>
                                                    <w:top w:val="none" w:sz="0" w:space="0" w:color="auto"/>
                                                    <w:left w:val="none" w:sz="0" w:space="0" w:color="auto"/>
                                                    <w:bottom w:val="none" w:sz="0" w:space="0" w:color="auto"/>
                                                    <w:right w:val="none" w:sz="0" w:space="0" w:color="auto"/>
                                                  </w:divBdr>
                                                  <w:divsChild>
                                                    <w:div w:id="687608169">
                                                      <w:marLeft w:val="0"/>
                                                      <w:marRight w:val="0"/>
                                                      <w:marTop w:val="0"/>
                                                      <w:marBottom w:val="0"/>
                                                      <w:divBdr>
                                                        <w:top w:val="none" w:sz="0" w:space="0" w:color="auto"/>
                                                        <w:left w:val="none" w:sz="0" w:space="0" w:color="auto"/>
                                                        <w:bottom w:val="none" w:sz="0" w:space="0" w:color="auto"/>
                                                        <w:right w:val="none" w:sz="0" w:space="0" w:color="auto"/>
                                                      </w:divBdr>
                                                      <w:divsChild>
                                                        <w:div w:id="1193107510">
                                                          <w:marLeft w:val="0"/>
                                                          <w:marRight w:val="0"/>
                                                          <w:marTop w:val="0"/>
                                                          <w:marBottom w:val="0"/>
                                                          <w:divBdr>
                                                            <w:top w:val="none" w:sz="0" w:space="0" w:color="auto"/>
                                                            <w:left w:val="none" w:sz="0" w:space="0" w:color="auto"/>
                                                            <w:bottom w:val="none" w:sz="0" w:space="0" w:color="auto"/>
                                                            <w:right w:val="none" w:sz="0" w:space="0" w:color="auto"/>
                                                          </w:divBdr>
                                                          <w:divsChild>
                                                            <w:div w:id="71439099">
                                                              <w:marLeft w:val="0"/>
                                                              <w:marRight w:val="0"/>
                                                              <w:marTop w:val="0"/>
                                                              <w:marBottom w:val="0"/>
                                                              <w:divBdr>
                                                                <w:top w:val="none" w:sz="0" w:space="0" w:color="auto"/>
                                                                <w:left w:val="none" w:sz="0" w:space="0" w:color="auto"/>
                                                                <w:bottom w:val="none" w:sz="0" w:space="0" w:color="auto"/>
                                                                <w:right w:val="none" w:sz="0" w:space="0" w:color="auto"/>
                                                              </w:divBdr>
                                                              <w:divsChild>
                                                                <w:div w:id="6982447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46002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9618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54713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34065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975">
      <w:bodyDiv w:val="1"/>
      <w:marLeft w:val="0"/>
      <w:marRight w:val="0"/>
      <w:marTop w:val="0"/>
      <w:marBottom w:val="0"/>
      <w:divBdr>
        <w:top w:val="none" w:sz="0" w:space="0" w:color="auto"/>
        <w:left w:val="none" w:sz="0" w:space="0" w:color="auto"/>
        <w:bottom w:val="none" w:sz="0" w:space="0" w:color="auto"/>
        <w:right w:val="none" w:sz="0" w:space="0" w:color="auto"/>
      </w:divBdr>
      <w:divsChild>
        <w:div w:id="283198030">
          <w:marLeft w:val="1440"/>
          <w:marRight w:val="0"/>
          <w:marTop w:val="144"/>
          <w:marBottom w:val="0"/>
          <w:divBdr>
            <w:top w:val="none" w:sz="0" w:space="0" w:color="auto"/>
            <w:left w:val="none" w:sz="0" w:space="0" w:color="auto"/>
            <w:bottom w:val="none" w:sz="0" w:space="0" w:color="auto"/>
            <w:right w:val="none" w:sz="0" w:space="0" w:color="auto"/>
          </w:divBdr>
        </w:div>
        <w:div w:id="1150558107">
          <w:marLeft w:val="1440"/>
          <w:marRight w:val="0"/>
          <w:marTop w:val="144"/>
          <w:marBottom w:val="0"/>
          <w:divBdr>
            <w:top w:val="none" w:sz="0" w:space="0" w:color="auto"/>
            <w:left w:val="none" w:sz="0" w:space="0" w:color="auto"/>
            <w:bottom w:val="none" w:sz="0" w:space="0" w:color="auto"/>
            <w:right w:val="none" w:sz="0" w:space="0" w:color="auto"/>
          </w:divBdr>
        </w:div>
        <w:div w:id="1356080725">
          <w:marLeft w:val="1440"/>
          <w:marRight w:val="0"/>
          <w:marTop w:val="144"/>
          <w:marBottom w:val="0"/>
          <w:divBdr>
            <w:top w:val="none" w:sz="0" w:space="0" w:color="auto"/>
            <w:left w:val="none" w:sz="0" w:space="0" w:color="auto"/>
            <w:bottom w:val="none" w:sz="0" w:space="0" w:color="auto"/>
            <w:right w:val="none" w:sz="0" w:space="0" w:color="auto"/>
          </w:divBdr>
        </w:div>
      </w:divsChild>
    </w:div>
    <w:div w:id="148326665">
      <w:bodyDiv w:val="1"/>
      <w:marLeft w:val="0"/>
      <w:marRight w:val="0"/>
      <w:marTop w:val="0"/>
      <w:marBottom w:val="0"/>
      <w:divBdr>
        <w:top w:val="none" w:sz="0" w:space="0" w:color="auto"/>
        <w:left w:val="none" w:sz="0" w:space="0" w:color="auto"/>
        <w:bottom w:val="none" w:sz="0" w:space="0" w:color="auto"/>
        <w:right w:val="none" w:sz="0" w:space="0" w:color="auto"/>
      </w:divBdr>
      <w:divsChild>
        <w:div w:id="1010451711">
          <w:marLeft w:val="0"/>
          <w:marRight w:val="0"/>
          <w:marTop w:val="0"/>
          <w:marBottom w:val="0"/>
          <w:divBdr>
            <w:top w:val="none" w:sz="0" w:space="0" w:color="auto"/>
            <w:left w:val="none" w:sz="0" w:space="0" w:color="auto"/>
            <w:bottom w:val="none" w:sz="0" w:space="0" w:color="auto"/>
            <w:right w:val="none" w:sz="0" w:space="0" w:color="auto"/>
          </w:divBdr>
          <w:divsChild>
            <w:div w:id="1096830106">
              <w:marLeft w:val="0"/>
              <w:marRight w:val="0"/>
              <w:marTop w:val="0"/>
              <w:marBottom w:val="0"/>
              <w:divBdr>
                <w:top w:val="none" w:sz="0" w:space="0" w:color="auto"/>
                <w:left w:val="none" w:sz="0" w:space="0" w:color="auto"/>
                <w:bottom w:val="none" w:sz="0" w:space="0" w:color="auto"/>
                <w:right w:val="none" w:sz="0" w:space="0" w:color="auto"/>
              </w:divBdr>
              <w:divsChild>
                <w:div w:id="2030524907">
                  <w:marLeft w:val="0"/>
                  <w:marRight w:val="0"/>
                  <w:marTop w:val="0"/>
                  <w:marBottom w:val="0"/>
                  <w:divBdr>
                    <w:top w:val="none" w:sz="0" w:space="0" w:color="auto"/>
                    <w:left w:val="none" w:sz="0" w:space="0" w:color="auto"/>
                    <w:bottom w:val="none" w:sz="0" w:space="0" w:color="auto"/>
                    <w:right w:val="none" w:sz="0" w:space="0" w:color="auto"/>
                  </w:divBdr>
                  <w:divsChild>
                    <w:div w:id="1205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229">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8">
          <w:marLeft w:val="1440"/>
          <w:marRight w:val="0"/>
          <w:marTop w:val="96"/>
          <w:marBottom w:val="0"/>
          <w:divBdr>
            <w:top w:val="none" w:sz="0" w:space="0" w:color="auto"/>
            <w:left w:val="none" w:sz="0" w:space="0" w:color="auto"/>
            <w:bottom w:val="none" w:sz="0" w:space="0" w:color="auto"/>
            <w:right w:val="none" w:sz="0" w:space="0" w:color="auto"/>
          </w:divBdr>
        </w:div>
      </w:divsChild>
    </w:div>
    <w:div w:id="247616880">
      <w:bodyDiv w:val="1"/>
      <w:marLeft w:val="0"/>
      <w:marRight w:val="0"/>
      <w:marTop w:val="0"/>
      <w:marBottom w:val="0"/>
      <w:divBdr>
        <w:top w:val="none" w:sz="0" w:space="0" w:color="auto"/>
        <w:left w:val="none" w:sz="0" w:space="0" w:color="auto"/>
        <w:bottom w:val="none" w:sz="0" w:space="0" w:color="auto"/>
        <w:right w:val="none" w:sz="0" w:space="0" w:color="auto"/>
      </w:divBdr>
      <w:divsChild>
        <w:div w:id="1683702452">
          <w:marLeft w:val="0"/>
          <w:marRight w:val="0"/>
          <w:marTop w:val="0"/>
          <w:marBottom w:val="0"/>
          <w:divBdr>
            <w:top w:val="none" w:sz="0" w:space="0" w:color="auto"/>
            <w:left w:val="none" w:sz="0" w:space="0" w:color="auto"/>
            <w:bottom w:val="none" w:sz="0" w:space="0" w:color="auto"/>
            <w:right w:val="none" w:sz="0" w:space="0" w:color="auto"/>
          </w:divBdr>
          <w:divsChild>
            <w:div w:id="174618448">
              <w:marLeft w:val="0"/>
              <w:marRight w:val="0"/>
              <w:marTop w:val="0"/>
              <w:marBottom w:val="0"/>
              <w:divBdr>
                <w:top w:val="none" w:sz="0" w:space="0" w:color="auto"/>
                <w:left w:val="none" w:sz="0" w:space="0" w:color="auto"/>
                <w:bottom w:val="none" w:sz="0" w:space="0" w:color="auto"/>
                <w:right w:val="none" w:sz="0" w:space="0" w:color="auto"/>
              </w:divBdr>
              <w:divsChild>
                <w:div w:id="831674718">
                  <w:marLeft w:val="0"/>
                  <w:marRight w:val="0"/>
                  <w:marTop w:val="960"/>
                  <w:marBottom w:val="0"/>
                  <w:divBdr>
                    <w:top w:val="none" w:sz="0" w:space="0" w:color="auto"/>
                    <w:left w:val="none" w:sz="0" w:space="0" w:color="auto"/>
                    <w:bottom w:val="none" w:sz="0" w:space="0" w:color="auto"/>
                    <w:right w:val="none" w:sz="0" w:space="0" w:color="auto"/>
                  </w:divBdr>
                  <w:divsChild>
                    <w:div w:id="331957404">
                      <w:marLeft w:val="0"/>
                      <w:marRight w:val="0"/>
                      <w:marTop w:val="0"/>
                      <w:marBottom w:val="0"/>
                      <w:divBdr>
                        <w:top w:val="none" w:sz="0" w:space="0" w:color="auto"/>
                        <w:left w:val="none" w:sz="0" w:space="0" w:color="auto"/>
                        <w:bottom w:val="none" w:sz="0" w:space="0" w:color="auto"/>
                        <w:right w:val="none" w:sz="0" w:space="0" w:color="auto"/>
                      </w:divBdr>
                      <w:divsChild>
                        <w:div w:id="1297182631">
                          <w:marLeft w:val="0"/>
                          <w:marRight w:val="0"/>
                          <w:marTop w:val="0"/>
                          <w:marBottom w:val="0"/>
                          <w:divBdr>
                            <w:top w:val="none" w:sz="0" w:space="0" w:color="auto"/>
                            <w:left w:val="none" w:sz="0" w:space="0" w:color="auto"/>
                            <w:bottom w:val="none" w:sz="0" w:space="0" w:color="auto"/>
                            <w:right w:val="none" w:sz="0" w:space="0" w:color="auto"/>
                          </w:divBdr>
                          <w:divsChild>
                            <w:div w:id="513375543">
                              <w:marLeft w:val="0"/>
                              <w:marRight w:val="0"/>
                              <w:marTop w:val="0"/>
                              <w:marBottom w:val="0"/>
                              <w:divBdr>
                                <w:top w:val="none" w:sz="0" w:space="0" w:color="auto"/>
                                <w:left w:val="none" w:sz="0" w:space="0" w:color="auto"/>
                                <w:bottom w:val="none" w:sz="0" w:space="0" w:color="auto"/>
                                <w:right w:val="none" w:sz="0" w:space="0" w:color="auto"/>
                              </w:divBdr>
                              <w:divsChild>
                                <w:div w:id="1078599906">
                                  <w:marLeft w:val="0"/>
                                  <w:marRight w:val="0"/>
                                  <w:marTop w:val="0"/>
                                  <w:marBottom w:val="0"/>
                                  <w:divBdr>
                                    <w:top w:val="none" w:sz="0" w:space="0" w:color="auto"/>
                                    <w:left w:val="none" w:sz="0" w:space="0" w:color="auto"/>
                                    <w:bottom w:val="none" w:sz="0" w:space="0" w:color="auto"/>
                                    <w:right w:val="none" w:sz="0" w:space="0" w:color="auto"/>
                                  </w:divBdr>
                                  <w:divsChild>
                                    <w:div w:id="1732658663">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
                                        <w:div w:id="1182165716">
                                          <w:marLeft w:val="0"/>
                                          <w:marRight w:val="0"/>
                                          <w:marTop w:val="0"/>
                                          <w:marBottom w:val="0"/>
                                          <w:divBdr>
                                            <w:top w:val="none" w:sz="0" w:space="0" w:color="auto"/>
                                            <w:left w:val="none" w:sz="0" w:space="0" w:color="auto"/>
                                            <w:bottom w:val="none" w:sz="0" w:space="0" w:color="auto"/>
                                            <w:right w:val="none" w:sz="0" w:space="0" w:color="auto"/>
                                          </w:divBdr>
                                        </w:div>
                                        <w:div w:id="1285190601">
                                          <w:marLeft w:val="0"/>
                                          <w:marRight w:val="0"/>
                                          <w:marTop w:val="0"/>
                                          <w:marBottom w:val="0"/>
                                          <w:divBdr>
                                            <w:top w:val="none" w:sz="0" w:space="0" w:color="auto"/>
                                            <w:left w:val="none" w:sz="0" w:space="0" w:color="auto"/>
                                            <w:bottom w:val="none" w:sz="0" w:space="0" w:color="auto"/>
                                            <w:right w:val="none" w:sz="0" w:space="0" w:color="auto"/>
                                          </w:divBdr>
                                        </w:div>
                                        <w:div w:id="1596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93913">
      <w:bodyDiv w:val="1"/>
      <w:marLeft w:val="0"/>
      <w:marRight w:val="0"/>
      <w:marTop w:val="0"/>
      <w:marBottom w:val="0"/>
      <w:divBdr>
        <w:top w:val="none" w:sz="0" w:space="0" w:color="auto"/>
        <w:left w:val="none" w:sz="0" w:space="0" w:color="auto"/>
        <w:bottom w:val="none" w:sz="0" w:space="0" w:color="auto"/>
        <w:right w:val="none" w:sz="0" w:space="0" w:color="auto"/>
      </w:divBdr>
    </w:div>
    <w:div w:id="280455170">
      <w:bodyDiv w:val="1"/>
      <w:marLeft w:val="0"/>
      <w:marRight w:val="0"/>
      <w:marTop w:val="0"/>
      <w:marBottom w:val="0"/>
      <w:divBdr>
        <w:top w:val="none" w:sz="0" w:space="0" w:color="auto"/>
        <w:left w:val="none" w:sz="0" w:space="0" w:color="auto"/>
        <w:bottom w:val="none" w:sz="0" w:space="0" w:color="auto"/>
        <w:right w:val="none" w:sz="0" w:space="0" w:color="auto"/>
      </w:divBdr>
    </w:div>
    <w:div w:id="295068536">
      <w:bodyDiv w:val="1"/>
      <w:marLeft w:val="0"/>
      <w:marRight w:val="0"/>
      <w:marTop w:val="0"/>
      <w:marBottom w:val="0"/>
      <w:divBdr>
        <w:top w:val="none" w:sz="0" w:space="0" w:color="auto"/>
        <w:left w:val="none" w:sz="0" w:space="0" w:color="auto"/>
        <w:bottom w:val="none" w:sz="0" w:space="0" w:color="auto"/>
        <w:right w:val="none" w:sz="0" w:space="0" w:color="auto"/>
      </w:divBdr>
      <w:divsChild>
        <w:div w:id="20011251">
          <w:marLeft w:val="0"/>
          <w:marRight w:val="0"/>
          <w:marTop w:val="0"/>
          <w:marBottom w:val="0"/>
          <w:divBdr>
            <w:top w:val="none" w:sz="0" w:space="0" w:color="auto"/>
            <w:left w:val="none" w:sz="0" w:space="0" w:color="auto"/>
            <w:bottom w:val="none" w:sz="0" w:space="0" w:color="auto"/>
            <w:right w:val="none" w:sz="0" w:space="0" w:color="auto"/>
          </w:divBdr>
          <w:divsChild>
            <w:div w:id="1353412989">
              <w:marLeft w:val="0"/>
              <w:marRight w:val="0"/>
              <w:marTop w:val="0"/>
              <w:marBottom w:val="0"/>
              <w:divBdr>
                <w:top w:val="none" w:sz="0" w:space="0" w:color="auto"/>
                <w:left w:val="none" w:sz="0" w:space="0" w:color="auto"/>
                <w:bottom w:val="none" w:sz="0" w:space="0" w:color="auto"/>
                <w:right w:val="none" w:sz="0" w:space="0" w:color="auto"/>
              </w:divBdr>
              <w:divsChild>
                <w:div w:id="1060401722">
                  <w:marLeft w:val="2"/>
                  <w:marRight w:val="0"/>
                  <w:marTop w:val="0"/>
                  <w:marBottom w:val="0"/>
                  <w:divBdr>
                    <w:top w:val="none" w:sz="0" w:space="0" w:color="auto"/>
                    <w:left w:val="none" w:sz="0" w:space="0" w:color="auto"/>
                    <w:bottom w:val="none" w:sz="0" w:space="0" w:color="auto"/>
                    <w:right w:val="none" w:sz="0" w:space="0" w:color="auto"/>
                  </w:divBdr>
                  <w:divsChild>
                    <w:div w:id="1847402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3393658">
      <w:bodyDiv w:val="1"/>
      <w:marLeft w:val="0"/>
      <w:marRight w:val="0"/>
      <w:marTop w:val="0"/>
      <w:marBottom w:val="0"/>
      <w:divBdr>
        <w:top w:val="none" w:sz="0" w:space="0" w:color="auto"/>
        <w:left w:val="none" w:sz="0" w:space="0" w:color="auto"/>
        <w:bottom w:val="none" w:sz="0" w:space="0" w:color="auto"/>
        <w:right w:val="none" w:sz="0" w:space="0" w:color="auto"/>
      </w:divBdr>
      <w:divsChild>
        <w:div w:id="1749228756">
          <w:marLeft w:val="0"/>
          <w:marRight w:val="0"/>
          <w:marTop w:val="0"/>
          <w:marBottom w:val="0"/>
          <w:divBdr>
            <w:top w:val="none" w:sz="0" w:space="0" w:color="auto"/>
            <w:left w:val="none" w:sz="0" w:space="0" w:color="auto"/>
            <w:bottom w:val="none" w:sz="0" w:space="0" w:color="auto"/>
            <w:right w:val="none" w:sz="0" w:space="0" w:color="auto"/>
          </w:divBdr>
          <w:divsChild>
            <w:div w:id="999389021">
              <w:marLeft w:val="0"/>
              <w:marRight w:val="0"/>
              <w:marTop w:val="0"/>
              <w:marBottom w:val="0"/>
              <w:divBdr>
                <w:top w:val="none" w:sz="0" w:space="0" w:color="auto"/>
                <w:left w:val="none" w:sz="0" w:space="0" w:color="auto"/>
                <w:bottom w:val="none" w:sz="0" w:space="0" w:color="auto"/>
                <w:right w:val="none" w:sz="0" w:space="0" w:color="auto"/>
              </w:divBdr>
              <w:divsChild>
                <w:div w:id="103426880">
                  <w:marLeft w:val="0"/>
                  <w:marRight w:val="0"/>
                  <w:marTop w:val="0"/>
                  <w:marBottom w:val="0"/>
                  <w:divBdr>
                    <w:top w:val="none" w:sz="0" w:space="0" w:color="auto"/>
                    <w:left w:val="none" w:sz="0" w:space="0" w:color="auto"/>
                    <w:bottom w:val="none" w:sz="0" w:space="0" w:color="auto"/>
                    <w:right w:val="none" w:sz="0" w:space="0" w:color="auto"/>
                  </w:divBdr>
                  <w:divsChild>
                    <w:div w:id="1042557952">
                      <w:marLeft w:val="0"/>
                      <w:marRight w:val="0"/>
                      <w:marTop w:val="0"/>
                      <w:marBottom w:val="0"/>
                      <w:divBdr>
                        <w:top w:val="none" w:sz="0" w:space="0" w:color="auto"/>
                        <w:left w:val="none" w:sz="0" w:space="0" w:color="auto"/>
                        <w:bottom w:val="none" w:sz="0" w:space="0" w:color="auto"/>
                        <w:right w:val="none" w:sz="0" w:space="0" w:color="auto"/>
                      </w:divBdr>
                      <w:divsChild>
                        <w:div w:id="177430393">
                          <w:marLeft w:val="0"/>
                          <w:marRight w:val="0"/>
                          <w:marTop w:val="0"/>
                          <w:marBottom w:val="0"/>
                          <w:divBdr>
                            <w:top w:val="none" w:sz="0" w:space="0" w:color="auto"/>
                            <w:left w:val="none" w:sz="0" w:space="0" w:color="auto"/>
                            <w:bottom w:val="none" w:sz="0" w:space="0" w:color="auto"/>
                            <w:right w:val="none" w:sz="0" w:space="0" w:color="auto"/>
                          </w:divBdr>
                          <w:divsChild>
                            <w:div w:id="1243880166">
                              <w:marLeft w:val="0"/>
                              <w:marRight w:val="0"/>
                              <w:marTop w:val="0"/>
                              <w:marBottom w:val="0"/>
                              <w:divBdr>
                                <w:top w:val="none" w:sz="0" w:space="0" w:color="auto"/>
                                <w:left w:val="none" w:sz="0" w:space="0" w:color="auto"/>
                                <w:bottom w:val="none" w:sz="0" w:space="0" w:color="auto"/>
                                <w:right w:val="none" w:sz="0" w:space="0" w:color="auto"/>
                              </w:divBdr>
                              <w:divsChild>
                                <w:div w:id="505095686">
                                  <w:marLeft w:val="0"/>
                                  <w:marRight w:val="0"/>
                                  <w:marTop w:val="0"/>
                                  <w:marBottom w:val="0"/>
                                  <w:divBdr>
                                    <w:top w:val="none" w:sz="0" w:space="0" w:color="auto"/>
                                    <w:left w:val="none" w:sz="0" w:space="0" w:color="auto"/>
                                    <w:bottom w:val="none" w:sz="0" w:space="0" w:color="auto"/>
                                    <w:right w:val="none" w:sz="0" w:space="0" w:color="auto"/>
                                  </w:divBdr>
                                  <w:divsChild>
                                    <w:div w:id="1386373007">
                                      <w:marLeft w:val="0"/>
                                      <w:marRight w:val="0"/>
                                      <w:marTop w:val="0"/>
                                      <w:marBottom w:val="0"/>
                                      <w:divBdr>
                                        <w:top w:val="none" w:sz="0" w:space="0" w:color="auto"/>
                                        <w:left w:val="none" w:sz="0" w:space="0" w:color="auto"/>
                                        <w:bottom w:val="none" w:sz="0" w:space="0" w:color="auto"/>
                                        <w:right w:val="none" w:sz="0" w:space="0" w:color="auto"/>
                                      </w:divBdr>
                                      <w:divsChild>
                                        <w:div w:id="578486591">
                                          <w:marLeft w:val="0"/>
                                          <w:marRight w:val="0"/>
                                          <w:marTop w:val="0"/>
                                          <w:marBottom w:val="0"/>
                                          <w:divBdr>
                                            <w:top w:val="none" w:sz="0" w:space="0" w:color="auto"/>
                                            <w:left w:val="none" w:sz="0" w:space="0" w:color="auto"/>
                                            <w:bottom w:val="none" w:sz="0" w:space="0" w:color="auto"/>
                                            <w:right w:val="none" w:sz="0" w:space="0" w:color="auto"/>
                                          </w:divBdr>
                                          <w:divsChild>
                                            <w:div w:id="843125655">
                                              <w:marLeft w:val="0"/>
                                              <w:marRight w:val="0"/>
                                              <w:marTop w:val="0"/>
                                              <w:marBottom w:val="0"/>
                                              <w:divBdr>
                                                <w:top w:val="none" w:sz="0" w:space="0" w:color="auto"/>
                                                <w:left w:val="none" w:sz="0" w:space="0" w:color="auto"/>
                                                <w:bottom w:val="none" w:sz="0" w:space="0" w:color="auto"/>
                                                <w:right w:val="none" w:sz="0" w:space="0" w:color="auto"/>
                                              </w:divBdr>
                                              <w:divsChild>
                                                <w:div w:id="1274746643">
                                                  <w:marLeft w:val="0"/>
                                                  <w:marRight w:val="0"/>
                                                  <w:marTop w:val="0"/>
                                                  <w:marBottom w:val="0"/>
                                                  <w:divBdr>
                                                    <w:top w:val="none" w:sz="0" w:space="0" w:color="auto"/>
                                                    <w:left w:val="none" w:sz="0" w:space="0" w:color="auto"/>
                                                    <w:bottom w:val="none" w:sz="0" w:space="0" w:color="auto"/>
                                                    <w:right w:val="none" w:sz="0" w:space="0" w:color="auto"/>
                                                  </w:divBdr>
                                                  <w:divsChild>
                                                    <w:div w:id="1318337806">
                                                      <w:marLeft w:val="0"/>
                                                      <w:marRight w:val="0"/>
                                                      <w:marTop w:val="0"/>
                                                      <w:marBottom w:val="0"/>
                                                      <w:divBdr>
                                                        <w:top w:val="none" w:sz="0" w:space="0" w:color="auto"/>
                                                        <w:left w:val="none" w:sz="0" w:space="0" w:color="auto"/>
                                                        <w:bottom w:val="none" w:sz="0" w:space="0" w:color="auto"/>
                                                        <w:right w:val="none" w:sz="0" w:space="0" w:color="auto"/>
                                                      </w:divBdr>
                                                      <w:divsChild>
                                                        <w:div w:id="1809585973">
                                                          <w:marLeft w:val="0"/>
                                                          <w:marRight w:val="0"/>
                                                          <w:marTop w:val="0"/>
                                                          <w:marBottom w:val="0"/>
                                                          <w:divBdr>
                                                            <w:top w:val="none" w:sz="0" w:space="0" w:color="auto"/>
                                                            <w:left w:val="none" w:sz="0" w:space="0" w:color="auto"/>
                                                            <w:bottom w:val="none" w:sz="0" w:space="0" w:color="auto"/>
                                                            <w:right w:val="none" w:sz="0" w:space="0" w:color="auto"/>
                                                          </w:divBdr>
                                                          <w:divsChild>
                                                            <w:div w:id="1594045146">
                                                              <w:marLeft w:val="0"/>
                                                              <w:marRight w:val="0"/>
                                                              <w:marTop w:val="0"/>
                                                              <w:marBottom w:val="0"/>
                                                              <w:divBdr>
                                                                <w:top w:val="none" w:sz="0" w:space="0" w:color="auto"/>
                                                                <w:left w:val="none" w:sz="0" w:space="0" w:color="auto"/>
                                                                <w:bottom w:val="none" w:sz="0" w:space="0" w:color="auto"/>
                                                                <w:right w:val="none" w:sz="0" w:space="0" w:color="auto"/>
                                                              </w:divBdr>
                                                              <w:divsChild>
                                                                <w:div w:id="825126395">
                                                                  <w:marLeft w:val="0"/>
                                                                  <w:marRight w:val="0"/>
                                                                  <w:marTop w:val="0"/>
                                                                  <w:marBottom w:val="240"/>
                                                                  <w:divBdr>
                                                                    <w:top w:val="none" w:sz="0" w:space="0" w:color="auto"/>
                                                                    <w:left w:val="none" w:sz="0" w:space="0" w:color="auto"/>
                                                                    <w:bottom w:val="single" w:sz="6" w:space="0" w:color="D3D7D9"/>
                                                                    <w:right w:val="none" w:sz="0" w:space="0" w:color="auto"/>
                                                                  </w:divBdr>
                                                                  <w:divsChild>
                                                                    <w:div w:id="667055981">
                                                                      <w:marLeft w:val="0"/>
                                                                      <w:marRight w:val="0"/>
                                                                      <w:marTop w:val="0"/>
                                                                      <w:marBottom w:val="0"/>
                                                                      <w:divBdr>
                                                                        <w:top w:val="none" w:sz="0" w:space="0" w:color="auto"/>
                                                                        <w:left w:val="none" w:sz="0" w:space="0" w:color="auto"/>
                                                                        <w:bottom w:val="none" w:sz="0" w:space="0" w:color="auto"/>
                                                                        <w:right w:val="none" w:sz="0" w:space="0" w:color="auto"/>
                                                                      </w:divBdr>
                                                                      <w:divsChild>
                                                                        <w:div w:id="2069912857">
                                                                          <w:marLeft w:val="0"/>
                                                                          <w:marRight w:val="0"/>
                                                                          <w:marTop w:val="0"/>
                                                                          <w:marBottom w:val="0"/>
                                                                          <w:divBdr>
                                                                            <w:top w:val="none" w:sz="0" w:space="0" w:color="auto"/>
                                                                            <w:left w:val="none" w:sz="0" w:space="0" w:color="auto"/>
                                                                            <w:bottom w:val="none" w:sz="0" w:space="0" w:color="auto"/>
                                                                            <w:right w:val="none" w:sz="0" w:space="0" w:color="auto"/>
                                                                          </w:divBdr>
                                                                          <w:divsChild>
                                                                            <w:div w:id="2105222894">
                                                                              <w:marLeft w:val="0"/>
                                                                              <w:marRight w:val="0"/>
                                                                              <w:marTop w:val="0"/>
                                                                              <w:marBottom w:val="0"/>
                                                                              <w:divBdr>
                                                                                <w:top w:val="none" w:sz="0" w:space="0" w:color="auto"/>
                                                                                <w:left w:val="none" w:sz="0" w:space="0" w:color="auto"/>
                                                                                <w:bottom w:val="none" w:sz="0" w:space="0" w:color="auto"/>
                                                                                <w:right w:val="none" w:sz="0" w:space="0" w:color="auto"/>
                                                                              </w:divBdr>
                                                                              <w:divsChild>
                                                                                <w:div w:id="138084398">
                                                                                  <w:marLeft w:val="240"/>
                                                                                  <w:marRight w:val="240"/>
                                                                                  <w:marTop w:val="0"/>
                                                                                  <w:marBottom w:val="0"/>
                                                                                  <w:divBdr>
                                                                                    <w:top w:val="none" w:sz="0" w:space="0" w:color="auto"/>
                                                                                    <w:left w:val="none" w:sz="0" w:space="0" w:color="auto"/>
                                                                                    <w:bottom w:val="dotted" w:sz="6" w:space="4" w:color="D3D7D9"/>
                                                                                    <w:right w:val="none" w:sz="0" w:space="0" w:color="auto"/>
                                                                                  </w:divBdr>
                                                                                  <w:divsChild>
                                                                                    <w:div w:id="1621645532">
                                                                                      <w:marLeft w:val="0"/>
                                                                                      <w:marRight w:val="0"/>
                                                                                      <w:marTop w:val="0"/>
                                                                                      <w:marBottom w:val="0"/>
                                                                                      <w:divBdr>
                                                                                        <w:top w:val="none" w:sz="0" w:space="0" w:color="auto"/>
                                                                                        <w:left w:val="none" w:sz="0" w:space="0" w:color="auto"/>
                                                                                        <w:bottom w:val="none" w:sz="0" w:space="0" w:color="auto"/>
                                                                                        <w:right w:val="none" w:sz="0" w:space="0" w:color="auto"/>
                                                                                      </w:divBdr>
                                                                                      <w:divsChild>
                                                                                        <w:div w:id="1868789380">
                                                                                          <w:marLeft w:val="0"/>
                                                                                          <w:marRight w:val="0"/>
                                                                                          <w:marTop w:val="0"/>
                                                                                          <w:marBottom w:val="0"/>
                                                                                          <w:divBdr>
                                                                                            <w:top w:val="none" w:sz="0" w:space="0" w:color="auto"/>
                                                                                            <w:left w:val="none" w:sz="0" w:space="0" w:color="auto"/>
                                                                                            <w:bottom w:val="none" w:sz="0" w:space="0" w:color="auto"/>
                                                                                            <w:right w:val="none" w:sz="0" w:space="0" w:color="auto"/>
                                                                                          </w:divBdr>
                                                                                          <w:divsChild>
                                                                                            <w:div w:id="497385043">
                                                                                              <w:marLeft w:val="0"/>
                                                                                              <w:marRight w:val="0"/>
                                                                                              <w:marTop w:val="0"/>
                                                                                              <w:marBottom w:val="0"/>
                                                                                              <w:divBdr>
                                                                                                <w:top w:val="none" w:sz="0" w:space="0" w:color="auto"/>
                                                                                                <w:left w:val="none" w:sz="0" w:space="0" w:color="auto"/>
                                                                                                <w:bottom w:val="none" w:sz="0" w:space="0" w:color="auto"/>
                                                                                                <w:right w:val="none" w:sz="0" w:space="0" w:color="auto"/>
                                                                                              </w:divBdr>
                                                                                              <w:divsChild>
                                                                                                <w:div w:id="1203980931">
                                                                                                  <w:marLeft w:val="0"/>
                                                                                                  <w:marRight w:val="0"/>
                                                                                                  <w:marTop w:val="0"/>
                                                                                                  <w:marBottom w:val="0"/>
                                                                                                  <w:divBdr>
                                                                                                    <w:top w:val="none" w:sz="0" w:space="0" w:color="auto"/>
                                                                                                    <w:left w:val="none" w:sz="0" w:space="0" w:color="auto"/>
                                                                                                    <w:bottom w:val="none" w:sz="0" w:space="0" w:color="auto"/>
                                                                                                    <w:right w:val="none" w:sz="0" w:space="0" w:color="auto"/>
                                                                                                  </w:divBdr>
                                                                                                  <w:divsChild>
                                                                                                    <w:div w:id="7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050843">
      <w:bodyDiv w:val="1"/>
      <w:marLeft w:val="0"/>
      <w:marRight w:val="0"/>
      <w:marTop w:val="0"/>
      <w:marBottom w:val="0"/>
      <w:divBdr>
        <w:top w:val="none" w:sz="0" w:space="0" w:color="auto"/>
        <w:left w:val="none" w:sz="0" w:space="0" w:color="auto"/>
        <w:bottom w:val="none" w:sz="0" w:space="0" w:color="auto"/>
        <w:right w:val="none" w:sz="0" w:space="0" w:color="auto"/>
      </w:divBdr>
    </w:div>
    <w:div w:id="395856185">
      <w:bodyDiv w:val="1"/>
      <w:marLeft w:val="0"/>
      <w:marRight w:val="0"/>
      <w:marTop w:val="0"/>
      <w:marBottom w:val="0"/>
      <w:divBdr>
        <w:top w:val="none" w:sz="0" w:space="0" w:color="auto"/>
        <w:left w:val="none" w:sz="0" w:space="0" w:color="auto"/>
        <w:bottom w:val="none" w:sz="0" w:space="0" w:color="auto"/>
        <w:right w:val="none" w:sz="0" w:space="0" w:color="auto"/>
      </w:divBdr>
      <w:divsChild>
        <w:div w:id="643973358">
          <w:marLeft w:val="0"/>
          <w:marRight w:val="0"/>
          <w:marTop w:val="0"/>
          <w:marBottom w:val="0"/>
          <w:divBdr>
            <w:top w:val="none" w:sz="0" w:space="0" w:color="auto"/>
            <w:left w:val="none" w:sz="0" w:space="0" w:color="auto"/>
            <w:bottom w:val="none" w:sz="0" w:space="0" w:color="auto"/>
            <w:right w:val="none" w:sz="0" w:space="0" w:color="auto"/>
          </w:divBdr>
          <w:divsChild>
            <w:div w:id="1545019735">
              <w:marLeft w:val="0"/>
              <w:marRight w:val="0"/>
              <w:marTop w:val="0"/>
              <w:marBottom w:val="0"/>
              <w:divBdr>
                <w:top w:val="none" w:sz="0" w:space="0" w:color="auto"/>
                <w:left w:val="none" w:sz="0" w:space="0" w:color="auto"/>
                <w:bottom w:val="none" w:sz="0" w:space="0" w:color="auto"/>
                <w:right w:val="none" w:sz="0" w:space="0" w:color="auto"/>
              </w:divBdr>
              <w:divsChild>
                <w:div w:id="604507569">
                  <w:marLeft w:val="0"/>
                  <w:marRight w:val="0"/>
                  <w:marTop w:val="0"/>
                  <w:marBottom w:val="0"/>
                  <w:divBdr>
                    <w:top w:val="none" w:sz="0" w:space="0" w:color="auto"/>
                    <w:left w:val="none" w:sz="0" w:space="0" w:color="auto"/>
                    <w:bottom w:val="none" w:sz="0" w:space="0" w:color="auto"/>
                    <w:right w:val="none" w:sz="0" w:space="0" w:color="auto"/>
                  </w:divBdr>
                  <w:divsChild>
                    <w:div w:id="1450977280">
                      <w:marLeft w:val="0"/>
                      <w:marRight w:val="0"/>
                      <w:marTop w:val="0"/>
                      <w:marBottom w:val="0"/>
                      <w:divBdr>
                        <w:top w:val="none" w:sz="0" w:space="0" w:color="auto"/>
                        <w:left w:val="none" w:sz="0" w:space="0" w:color="auto"/>
                        <w:bottom w:val="none" w:sz="0" w:space="0" w:color="auto"/>
                        <w:right w:val="none" w:sz="0" w:space="0" w:color="auto"/>
                      </w:divBdr>
                      <w:divsChild>
                        <w:div w:id="806970147">
                          <w:marLeft w:val="0"/>
                          <w:marRight w:val="0"/>
                          <w:marTop w:val="0"/>
                          <w:marBottom w:val="240"/>
                          <w:divBdr>
                            <w:top w:val="none" w:sz="0" w:space="0" w:color="auto"/>
                            <w:left w:val="none" w:sz="0" w:space="0" w:color="auto"/>
                            <w:bottom w:val="none" w:sz="0" w:space="0" w:color="auto"/>
                            <w:right w:val="none" w:sz="0" w:space="0" w:color="auto"/>
                          </w:divBdr>
                          <w:divsChild>
                            <w:div w:id="815877013">
                              <w:marLeft w:val="0"/>
                              <w:marRight w:val="0"/>
                              <w:marTop w:val="0"/>
                              <w:marBottom w:val="0"/>
                              <w:divBdr>
                                <w:top w:val="none" w:sz="0" w:space="0" w:color="auto"/>
                                <w:left w:val="none" w:sz="0" w:space="0" w:color="auto"/>
                                <w:bottom w:val="none" w:sz="0" w:space="0" w:color="auto"/>
                                <w:right w:val="none" w:sz="0" w:space="0" w:color="auto"/>
                              </w:divBdr>
                              <w:divsChild>
                                <w:div w:id="2124153263">
                                  <w:marLeft w:val="0"/>
                                  <w:marRight w:val="0"/>
                                  <w:marTop w:val="0"/>
                                  <w:marBottom w:val="0"/>
                                  <w:divBdr>
                                    <w:top w:val="none" w:sz="0" w:space="0" w:color="auto"/>
                                    <w:left w:val="none" w:sz="0" w:space="0" w:color="auto"/>
                                    <w:bottom w:val="none" w:sz="0" w:space="0" w:color="auto"/>
                                    <w:right w:val="none" w:sz="0" w:space="0" w:color="auto"/>
                                  </w:divBdr>
                                  <w:divsChild>
                                    <w:div w:id="414206714">
                                      <w:marLeft w:val="0"/>
                                      <w:marRight w:val="0"/>
                                      <w:marTop w:val="0"/>
                                      <w:marBottom w:val="480"/>
                                      <w:divBdr>
                                        <w:top w:val="none" w:sz="0" w:space="0" w:color="auto"/>
                                        <w:left w:val="none" w:sz="0" w:space="0" w:color="auto"/>
                                        <w:bottom w:val="none" w:sz="0" w:space="0" w:color="auto"/>
                                        <w:right w:val="none" w:sz="0" w:space="0" w:color="auto"/>
                                      </w:divBdr>
                                      <w:divsChild>
                                        <w:div w:id="1812673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10123">
      <w:bodyDiv w:val="1"/>
      <w:marLeft w:val="0"/>
      <w:marRight w:val="0"/>
      <w:marTop w:val="0"/>
      <w:marBottom w:val="0"/>
      <w:divBdr>
        <w:top w:val="none" w:sz="0" w:space="0" w:color="auto"/>
        <w:left w:val="none" w:sz="0" w:space="0" w:color="auto"/>
        <w:bottom w:val="none" w:sz="0" w:space="0" w:color="auto"/>
        <w:right w:val="none" w:sz="0" w:space="0" w:color="auto"/>
      </w:divBdr>
      <w:divsChild>
        <w:div w:id="1253199878">
          <w:marLeft w:val="0"/>
          <w:marRight w:val="0"/>
          <w:marTop w:val="0"/>
          <w:marBottom w:val="0"/>
          <w:divBdr>
            <w:top w:val="none" w:sz="0" w:space="0" w:color="auto"/>
            <w:left w:val="none" w:sz="0" w:space="0" w:color="auto"/>
            <w:bottom w:val="none" w:sz="0" w:space="0" w:color="auto"/>
            <w:right w:val="none" w:sz="0" w:space="0" w:color="auto"/>
          </w:divBdr>
          <w:divsChild>
            <w:div w:id="1874422870">
              <w:marLeft w:val="0"/>
              <w:marRight w:val="0"/>
              <w:marTop w:val="0"/>
              <w:marBottom w:val="0"/>
              <w:divBdr>
                <w:top w:val="none" w:sz="0" w:space="0" w:color="auto"/>
                <w:left w:val="none" w:sz="0" w:space="0" w:color="auto"/>
                <w:bottom w:val="none" w:sz="0" w:space="0" w:color="auto"/>
                <w:right w:val="none" w:sz="0" w:space="0" w:color="auto"/>
              </w:divBdr>
              <w:divsChild>
                <w:div w:id="169688011">
                  <w:marLeft w:val="0"/>
                  <w:marRight w:val="0"/>
                  <w:marTop w:val="0"/>
                  <w:marBottom w:val="0"/>
                  <w:divBdr>
                    <w:top w:val="none" w:sz="0" w:space="0" w:color="auto"/>
                    <w:left w:val="none" w:sz="0" w:space="0" w:color="auto"/>
                    <w:bottom w:val="none" w:sz="0" w:space="0" w:color="auto"/>
                    <w:right w:val="none" w:sz="0" w:space="0" w:color="auto"/>
                  </w:divBdr>
                  <w:divsChild>
                    <w:div w:id="1959339815">
                      <w:marLeft w:val="0"/>
                      <w:marRight w:val="0"/>
                      <w:marTop w:val="0"/>
                      <w:marBottom w:val="0"/>
                      <w:divBdr>
                        <w:top w:val="none" w:sz="0" w:space="0" w:color="auto"/>
                        <w:left w:val="none" w:sz="0" w:space="0" w:color="auto"/>
                        <w:bottom w:val="none" w:sz="0" w:space="0" w:color="auto"/>
                        <w:right w:val="none" w:sz="0" w:space="0" w:color="auto"/>
                      </w:divBdr>
                      <w:divsChild>
                        <w:div w:id="2036081593">
                          <w:marLeft w:val="0"/>
                          <w:marRight w:val="0"/>
                          <w:marTop w:val="0"/>
                          <w:marBottom w:val="0"/>
                          <w:divBdr>
                            <w:top w:val="none" w:sz="0" w:space="0" w:color="auto"/>
                            <w:left w:val="none" w:sz="0" w:space="0" w:color="auto"/>
                            <w:bottom w:val="none" w:sz="0" w:space="0" w:color="auto"/>
                            <w:right w:val="none" w:sz="0" w:space="0" w:color="auto"/>
                          </w:divBdr>
                          <w:divsChild>
                            <w:div w:id="519973203">
                              <w:marLeft w:val="0"/>
                              <w:marRight w:val="0"/>
                              <w:marTop w:val="0"/>
                              <w:marBottom w:val="0"/>
                              <w:divBdr>
                                <w:top w:val="none" w:sz="0" w:space="0" w:color="auto"/>
                                <w:left w:val="none" w:sz="0" w:space="0" w:color="auto"/>
                                <w:bottom w:val="none" w:sz="0" w:space="0" w:color="auto"/>
                                <w:right w:val="none" w:sz="0" w:space="0" w:color="auto"/>
                              </w:divBdr>
                              <w:divsChild>
                                <w:div w:id="1099791583">
                                  <w:marLeft w:val="0"/>
                                  <w:marRight w:val="0"/>
                                  <w:marTop w:val="0"/>
                                  <w:marBottom w:val="0"/>
                                  <w:divBdr>
                                    <w:top w:val="none" w:sz="0" w:space="0" w:color="auto"/>
                                    <w:left w:val="none" w:sz="0" w:space="0" w:color="auto"/>
                                    <w:bottom w:val="none" w:sz="0" w:space="0" w:color="auto"/>
                                    <w:right w:val="none" w:sz="0" w:space="0" w:color="auto"/>
                                  </w:divBdr>
                                  <w:divsChild>
                                    <w:div w:id="408617522">
                                      <w:marLeft w:val="60"/>
                                      <w:marRight w:val="0"/>
                                      <w:marTop w:val="0"/>
                                      <w:marBottom w:val="0"/>
                                      <w:divBdr>
                                        <w:top w:val="none" w:sz="0" w:space="0" w:color="auto"/>
                                        <w:left w:val="none" w:sz="0" w:space="0" w:color="auto"/>
                                        <w:bottom w:val="none" w:sz="0" w:space="0" w:color="auto"/>
                                        <w:right w:val="none" w:sz="0" w:space="0" w:color="auto"/>
                                      </w:divBdr>
                                      <w:divsChild>
                                        <w:div w:id="1651858569">
                                          <w:marLeft w:val="0"/>
                                          <w:marRight w:val="0"/>
                                          <w:marTop w:val="0"/>
                                          <w:marBottom w:val="0"/>
                                          <w:divBdr>
                                            <w:top w:val="none" w:sz="0" w:space="0" w:color="auto"/>
                                            <w:left w:val="none" w:sz="0" w:space="0" w:color="auto"/>
                                            <w:bottom w:val="none" w:sz="0" w:space="0" w:color="auto"/>
                                            <w:right w:val="none" w:sz="0" w:space="0" w:color="auto"/>
                                          </w:divBdr>
                                          <w:divsChild>
                                            <w:div w:id="503009678">
                                              <w:marLeft w:val="0"/>
                                              <w:marRight w:val="0"/>
                                              <w:marTop w:val="0"/>
                                              <w:marBottom w:val="120"/>
                                              <w:divBdr>
                                                <w:top w:val="single" w:sz="6" w:space="0" w:color="F5F5F5"/>
                                                <w:left w:val="single" w:sz="6" w:space="0" w:color="F5F5F5"/>
                                                <w:bottom w:val="single" w:sz="6" w:space="0" w:color="F5F5F5"/>
                                                <w:right w:val="single" w:sz="6" w:space="0" w:color="F5F5F5"/>
                                              </w:divBdr>
                                              <w:divsChild>
                                                <w:div w:id="243611793">
                                                  <w:marLeft w:val="0"/>
                                                  <w:marRight w:val="0"/>
                                                  <w:marTop w:val="0"/>
                                                  <w:marBottom w:val="0"/>
                                                  <w:divBdr>
                                                    <w:top w:val="none" w:sz="0" w:space="0" w:color="auto"/>
                                                    <w:left w:val="none" w:sz="0" w:space="0" w:color="auto"/>
                                                    <w:bottom w:val="none" w:sz="0" w:space="0" w:color="auto"/>
                                                    <w:right w:val="none" w:sz="0" w:space="0" w:color="auto"/>
                                                  </w:divBdr>
                                                  <w:divsChild>
                                                    <w:div w:id="894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30280">
      <w:bodyDiv w:val="1"/>
      <w:marLeft w:val="0"/>
      <w:marRight w:val="0"/>
      <w:marTop w:val="0"/>
      <w:marBottom w:val="0"/>
      <w:divBdr>
        <w:top w:val="none" w:sz="0" w:space="0" w:color="auto"/>
        <w:left w:val="none" w:sz="0" w:space="0" w:color="auto"/>
        <w:bottom w:val="none" w:sz="0" w:space="0" w:color="auto"/>
        <w:right w:val="none" w:sz="0" w:space="0" w:color="auto"/>
      </w:divBdr>
      <w:divsChild>
        <w:div w:id="985551013">
          <w:marLeft w:val="1440"/>
          <w:marRight w:val="0"/>
          <w:marTop w:val="106"/>
          <w:marBottom w:val="0"/>
          <w:divBdr>
            <w:top w:val="none" w:sz="0" w:space="0" w:color="auto"/>
            <w:left w:val="none" w:sz="0" w:space="0" w:color="auto"/>
            <w:bottom w:val="none" w:sz="0" w:space="0" w:color="auto"/>
            <w:right w:val="none" w:sz="0" w:space="0" w:color="auto"/>
          </w:divBdr>
        </w:div>
        <w:div w:id="1442994696">
          <w:marLeft w:val="1440"/>
          <w:marRight w:val="0"/>
          <w:marTop w:val="106"/>
          <w:marBottom w:val="0"/>
          <w:divBdr>
            <w:top w:val="none" w:sz="0" w:space="0" w:color="auto"/>
            <w:left w:val="none" w:sz="0" w:space="0" w:color="auto"/>
            <w:bottom w:val="none" w:sz="0" w:space="0" w:color="auto"/>
            <w:right w:val="none" w:sz="0" w:space="0" w:color="auto"/>
          </w:divBdr>
        </w:div>
        <w:div w:id="1574662919">
          <w:marLeft w:val="720"/>
          <w:marRight w:val="0"/>
          <w:marTop w:val="120"/>
          <w:marBottom w:val="0"/>
          <w:divBdr>
            <w:top w:val="none" w:sz="0" w:space="0" w:color="auto"/>
            <w:left w:val="none" w:sz="0" w:space="0" w:color="auto"/>
            <w:bottom w:val="none" w:sz="0" w:space="0" w:color="auto"/>
            <w:right w:val="none" w:sz="0" w:space="0" w:color="auto"/>
          </w:divBdr>
        </w:div>
        <w:div w:id="1713923113">
          <w:marLeft w:val="1440"/>
          <w:marRight w:val="0"/>
          <w:marTop w:val="106"/>
          <w:marBottom w:val="0"/>
          <w:divBdr>
            <w:top w:val="none" w:sz="0" w:space="0" w:color="auto"/>
            <w:left w:val="none" w:sz="0" w:space="0" w:color="auto"/>
            <w:bottom w:val="none" w:sz="0" w:space="0" w:color="auto"/>
            <w:right w:val="none" w:sz="0" w:space="0" w:color="auto"/>
          </w:divBdr>
        </w:div>
      </w:divsChild>
    </w:div>
    <w:div w:id="472917237">
      <w:bodyDiv w:val="1"/>
      <w:marLeft w:val="0"/>
      <w:marRight w:val="0"/>
      <w:marTop w:val="0"/>
      <w:marBottom w:val="0"/>
      <w:divBdr>
        <w:top w:val="none" w:sz="0" w:space="0" w:color="auto"/>
        <w:left w:val="none" w:sz="0" w:space="0" w:color="auto"/>
        <w:bottom w:val="none" w:sz="0" w:space="0" w:color="auto"/>
        <w:right w:val="none" w:sz="0" w:space="0" w:color="auto"/>
      </w:divBdr>
      <w:divsChild>
        <w:div w:id="1578979945">
          <w:marLeft w:val="1440"/>
          <w:marRight w:val="0"/>
          <w:marTop w:val="96"/>
          <w:marBottom w:val="0"/>
          <w:divBdr>
            <w:top w:val="none" w:sz="0" w:space="0" w:color="auto"/>
            <w:left w:val="none" w:sz="0" w:space="0" w:color="auto"/>
            <w:bottom w:val="none" w:sz="0" w:space="0" w:color="auto"/>
            <w:right w:val="none" w:sz="0" w:space="0" w:color="auto"/>
          </w:divBdr>
        </w:div>
      </w:divsChild>
    </w:div>
    <w:div w:id="482695900">
      <w:bodyDiv w:val="1"/>
      <w:marLeft w:val="0"/>
      <w:marRight w:val="0"/>
      <w:marTop w:val="0"/>
      <w:marBottom w:val="0"/>
      <w:divBdr>
        <w:top w:val="none" w:sz="0" w:space="0" w:color="auto"/>
        <w:left w:val="none" w:sz="0" w:space="0" w:color="auto"/>
        <w:bottom w:val="none" w:sz="0" w:space="0" w:color="auto"/>
        <w:right w:val="none" w:sz="0" w:space="0" w:color="auto"/>
      </w:divBdr>
    </w:div>
    <w:div w:id="499783639">
      <w:bodyDiv w:val="1"/>
      <w:marLeft w:val="0"/>
      <w:marRight w:val="0"/>
      <w:marTop w:val="0"/>
      <w:marBottom w:val="0"/>
      <w:divBdr>
        <w:top w:val="none" w:sz="0" w:space="0" w:color="auto"/>
        <w:left w:val="none" w:sz="0" w:space="0" w:color="auto"/>
        <w:bottom w:val="none" w:sz="0" w:space="0" w:color="auto"/>
        <w:right w:val="none" w:sz="0" w:space="0" w:color="auto"/>
      </w:divBdr>
      <w:divsChild>
        <w:div w:id="1983920626">
          <w:marLeft w:val="0"/>
          <w:marRight w:val="0"/>
          <w:marTop w:val="0"/>
          <w:marBottom w:val="0"/>
          <w:divBdr>
            <w:top w:val="none" w:sz="0" w:space="0" w:color="auto"/>
            <w:left w:val="none" w:sz="0" w:space="0" w:color="auto"/>
            <w:bottom w:val="none" w:sz="0" w:space="0" w:color="auto"/>
            <w:right w:val="none" w:sz="0" w:space="0" w:color="auto"/>
          </w:divBdr>
          <w:divsChild>
            <w:div w:id="1837838349">
              <w:marLeft w:val="150"/>
              <w:marRight w:val="0"/>
              <w:marTop w:val="0"/>
              <w:marBottom w:val="0"/>
              <w:divBdr>
                <w:top w:val="none" w:sz="0" w:space="0" w:color="auto"/>
                <w:left w:val="none" w:sz="0" w:space="0" w:color="auto"/>
                <w:bottom w:val="none" w:sz="0" w:space="0" w:color="auto"/>
                <w:right w:val="none" w:sz="0" w:space="0" w:color="auto"/>
              </w:divBdr>
              <w:divsChild>
                <w:div w:id="129853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0436918">
      <w:bodyDiv w:val="1"/>
      <w:marLeft w:val="0"/>
      <w:marRight w:val="0"/>
      <w:marTop w:val="0"/>
      <w:marBottom w:val="0"/>
      <w:divBdr>
        <w:top w:val="none" w:sz="0" w:space="0" w:color="auto"/>
        <w:left w:val="none" w:sz="0" w:space="0" w:color="auto"/>
        <w:bottom w:val="none" w:sz="0" w:space="0" w:color="auto"/>
        <w:right w:val="none" w:sz="0" w:space="0" w:color="auto"/>
      </w:divBdr>
      <w:divsChild>
        <w:div w:id="208153774">
          <w:marLeft w:val="0"/>
          <w:marRight w:val="0"/>
          <w:marTop w:val="0"/>
          <w:marBottom w:val="0"/>
          <w:divBdr>
            <w:top w:val="none" w:sz="0" w:space="0" w:color="auto"/>
            <w:left w:val="none" w:sz="0" w:space="0" w:color="auto"/>
            <w:bottom w:val="none" w:sz="0" w:space="0" w:color="auto"/>
            <w:right w:val="none" w:sz="0" w:space="0" w:color="auto"/>
          </w:divBdr>
          <w:divsChild>
            <w:div w:id="1120344379">
              <w:marLeft w:val="0"/>
              <w:marRight w:val="0"/>
              <w:marTop w:val="0"/>
              <w:marBottom w:val="0"/>
              <w:divBdr>
                <w:top w:val="none" w:sz="0" w:space="0" w:color="auto"/>
                <w:left w:val="none" w:sz="0" w:space="0" w:color="auto"/>
                <w:bottom w:val="none" w:sz="0" w:space="0" w:color="auto"/>
                <w:right w:val="none" w:sz="0" w:space="0" w:color="auto"/>
              </w:divBdr>
              <w:divsChild>
                <w:div w:id="1931160657">
                  <w:marLeft w:val="0"/>
                  <w:marRight w:val="0"/>
                  <w:marTop w:val="960"/>
                  <w:marBottom w:val="0"/>
                  <w:divBdr>
                    <w:top w:val="none" w:sz="0" w:space="0" w:color="auto"/>
                    <w:left w:val="none" w:sz="0" w:space="0" w:color="auto"/>
                    <w:bottom w:val="none" w:sz="0" w:space="0" w:color="auto"/>
                    <w:right w:val="none" w:sz="0" w:space="0" w:color="auto"/>
                  </w:divBdr>
                  <w:divsChild>
                    <w:div w:id="285620798">
                      <w:marLeft w:val="0"/>
                      <w:marRight w:val="0"/>
                      <w:marTop w:val="0"/>
                      <w:marBottom w:val="0"/>
                      <w:divBdr>
                        <w:top w:val="none" w:sz="0" w:space="0" w:color="auto"/>
                        <w:left w:val="none" w:sz="0" w:space="0" w:color="auto"/>
                        <w:bottom w:val="none" w:sz="0" w:space="0" w:color="auto"/>
                        <w:right w:val="none" w:sz="0" w:space="0" w:color="auto"/>
                      </w:divBdr>
                      <w:divsChild>
                        <w:div w:id="473839744">
                          <w:marLeft w:val="0"/>
                          <w:marRight w:val="0"/>
                          <w:marTop w:val="0"/>
                          <w:marBottom w:val="0"/>
                          <w:divBdr>
                            <w:top w:val="none" w:sz="0" w:space="0" w:color="auto"/>
                            <w:left w:val="none" w:sz="0" w:space="0" w:color="auto"/>
                            <w:bottom w:val="none" w:sz="0" w:space="0" w:color="auto"/>
                            <w:right w:val="none" w:sz="0" w:space="0" w:color="auto"/>
                          </w:divBdr>
                          <w:divsChild>
                            <w:div w:id="94058554">
                              <w:marLeft w:val="0"/>
                              <w:marRight w:val="0"/>
                              <w:marTop w:val="0"/>
                              <w:marBottom w:val="0"/>
                              <w:divBdr>
                                <w:top w:val="none" w:sz="0" w:space="0" w:color="auto"/>
                                <w:left w:val="none" w:sz="0" w:space="0" w:color="auto"/>
                                <w:bottom w:val="none" w:sz="0" w:space="0" w:color="auto"/>
                                <w:right w:val="none" w:sz="0" w:space="0" w:color="auto"/>
                              </w:divBdr>
                              <w:divsChild>
                                <w:div w:id="155265114">
                                  <w:marLeft w:val="0"/>
                                  <w:marRight w:val="0"/>
                                  <w:marTop w:val="0"/>
                                  <w:marBottom w:val="0"/>
                                  <w:divBdr>
                                    <w:top w:val="none" w:sz="0" w:space="0" w:color="auto"/>
                                    <w:left w:val="none" w:sz="0" w:space="0" w:color="auto"/>
                                    <w:bottom w:val="none" w:sz="0" w:space="0" w:color="auto"/>
                                    <w:right w:val="none" w:sz="0" w:space="0" w:color="auto"/>
                                  </w:divBdr>
                                  <w:divsChild>
                                    <w:div w:id="755590722">
                                      <w:marLeft w:val="0"/>
                                      <w:marRight w:val="0"/>
                                      <w:marTop w:val="0"/>
                                      <w:marBottom w:val="0"/>
                                      <w:divBdr>
                                        <w:top w:val="none" w:sz="0" w:space="0" w:color="auto"/>
                                        <w:left w:val="none" w:sz="0" w:space="0" w:color="auto"/>
                                        <w:bottom w:val="none" w:sz="0" w:space="0" w:color="auto"/>
                                        <w:right w:val="none" w:sz="0" w:space="0" w:color="auto"/>
                                      </w:divBdr>
                                      <w:divsChild>
                                        <w:div w:id="277446416">
                                          <w:marLeft w:val="0"/>
                                          <w:marRight w:val="0"/>
                                          <w:marTop w:val="0"/>
                                          <w:marBottom w:val="0"/>
                                          <w:divBdr>
                                            <w:top w:val="none" w:sz="0" w:space="0" w:color="auto"/>
                                            <w:left w:val="none" w:sz="0" w:space="0" w:color="auto"/>
                                            <w:bottom w:val="none" w:sz="0" w:space="0" w:color="auto"/>
                                            <w:right w:val="none" w:sz="0" w:space="0" w:color="auto"/>
                                          </w:divBdr>
                                        </w:div>
                                        <w:div w:id="630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8805">
      <w:bodyDiv w:val="1"/>
      <w:marLeft w:val="0"/>
      <w:marRight w:val="0"/>
      <w:marTop w:val="0"/>
      <w:marBottom w:val="0"/>
      <w:divBdr>
        <w:top w:val="none" w:sz="0" w:space="0" w:color="auto"/>
        <w:left w:val="none" w:sz="0" w:space="0" w:color="auto"/>
        <w:bottom w:val="none" w:sz="0" w:space="0" w:color="auto"/>
        <w:right w:val="none" w:sz="0" w:space="0" w:color="auto"/>
      </w:divBdr>
    </w:div>
    <w:div w:id="558175514">
      <w:bodyDiv w:val="1"/>
      <w:marLeft w:val="0"/>
      <w:marRight w:val="0"/>
      <w:marTop w:val="0"/>
      <w:marBottom w:val="0"/>
      <w:divBdr>
        <w:top w:val="none" w:sz="0" w:space="0" w:color="auto"/>
        <w:left w:val="none" w:sz="0" w:space="0" w:color="auto"/>
        <w:bottom w:val="none" w:sz="0" w:space="0" w:color="auto"/>
        <w:right w:val="none" w:sz="0" w:space="0" w:color="auto"/>
      </w:divBdr>
    </w:div>
    <w:div w:id="589851874">
      <w:bodyDiv w:val="1"/>
      <w:marLeft w:val="0"/>
      <w:marRight w:val="0"/>
      <w:marTop w:val="0"/>
      <w:marBottom w:val="0"/>
      <w:divBdr>
        <w:top w:val="none" w:sz="0" w:space="0" w:color="auto"/>
        <w:left w:val="none" w:sz="0" w:space="0" w:color="auto"/>
        <w:bottom w:val="none" w:sz="0" w:space="0" w:color="auto"/>
        <w:right w:val="none" w:sz="0" w:space="0" w:color="auto"/>
      </w:divBdr>
      <w:divsChild>
        <w:div w:id="2140997446">
          <w:marLeft w:val="0"/>
          <w:marRight w:val="0"/>
          <w:marTop w:val="0"/>
          <w:marBottom w:val="0"/>
          <w:divBdr>
            <w:top w:val="none" w:sz="0" w:space="0" w:color="auto"/>
            <w:left w:val="none" w:sz="0" w:space="0" w:color="auto"/>
            <w:bottom w:val="none" w:sz="0" w:space="0" w:color="auto"/>
            <w:right w:val="none" w:sz="0" w:space="0" w:color="auto"/>
          </w:divBdr>
          <w:divsChild>
            <w:div w:id="1846624137">
              <w:marLeft w:val="0"/>
              <w:marRight w:val="0"/>
              <w:marTop w:val="0"/>
              <w:marBottom w:val="0"/>
              <w:divBdr>
                <w:top w:val="none" w:sz="0" w:space="0" w:color="auto"/>
                <w:left w:val="none" w:sz="0" w:space="0" w:color="auto"/>
                <w:bottom w:val="none" w:sz="0" w:space="0" w:color="auto"/>
                <w:right w:val="none" w:sz="0" w:space="0" w:color="auto"/>
              </w:divBdr>
              <w:divsChild>
                <w:div w:id="964891058">
                  <w:marLeft w:val="0"/>
                  <w:marRight w:val="0"/>
                  <w:marTop w:val="0"/>
                  <w:marBottom w:val="0"/>
                  <w:divBdr>
                    <w:top w:val="none" w:sz="0" w:space="0" w:color="auto"/>
                    <w:left w:val="none" w:sz="0" w:space="0" w:color="auto"/>
                    <w:bottom w:val="none" w:sz="0" w:space="0" w:color="auto"/>
                    <w:right w:val="none" w:sz="0" w:space="0" w:color="auto"/>
                  </w:divBdr>
                  <w:divsChild>
                    <w:div w:id="49310922">
                      <w:marLeft w:val="150"/>
                      <w:marRight w:val="150"/>
                      <w:marTop w:val="0"/>
                      <w:marBottom w:val="525"/>
                      <w:divBdr>
                        <w:top w:val="none" w:sz="0" w:space="0" w:color="auto"/>
                        <w:left w:val="none" w:sz="0" w:space="0" w:color="auto"/>
                        <w:bottom w:val="none" w:sz="0" w:space="0" w:color="auto"/>
                        <w:right w:val="none" w:sz="0" w:space="0" w:color="auto"/>
                      </w:divBdr>
                      <w:divsChild>
                        <w:div w:id="832256297">
                          <w:marLeft w:val="0"/>
                          <w:marRight w:val="0"/>
                          <w:marTop w:val="0"/>
                          <w:marBottom w:val="450"/>
                          <w:divBdr>
                            <w:top w:val="none" w:sz="0" w:space="0" w:color="auto"/>
                            <w:left w:val="none" w:sz="0" w:space="0" w:color="auto"/>
                            <w:bottom w:val="none" w:sz="0" w:space="0" w:color="auto"/>
                            <w:right w:val="none" w:sz="0" w:space="0" w:color="auto"/>
                          </w:divBdr>
                          <w:divsChild>
                            <w:div w:id="819267169">
                              <w:marLeft w:val="0"/>
                              <w:marRight w:val="0"/>
                              <w:marTop w:val="0"/>
                              <w:marBottom w:val="0"/>
                              <w:divBdr>
                                <w:top w:val="none" w:sz="0" w:space="0" w:color="auto"/>
                                <w:left w:val="none" w:sz="0" w:space="0" w:color="auto"/>
                                <w:bottom w:val="none" w:sz="0" w:space="0" w:color="auto"/>
                                <w:right w:val="none" w:sz="0" w:space="0" w:color="auto"/>
                              </w:divBdr>
                              <w:divsChild>
                                <w:div w:id="1260874087">
                                  <w:marLeft w:val="0"/>
                                  <w:marRight w:val="0"/>
                                  <w:marTop w:val="0"/>
                                  <w:marBottom w:val="0"/>
                                  <w:divBdr>
                                    <w:top w:val="none" w:sz="0" w:space="0" w:color="auto"/>
                                    <w:left w:val="none" w:sz="0" w:space="0" w:color="auto"/>
                                    <w:bottom w:val="none" w:sz="0" w:space="0" w:color="auto"/>
                                    <w:right w:val="none" w:sz="0" w:space="0" w:color="auto"/>
                                  </w:divBdr>
                                  <w:divsChild>
                                    <w:div w:id="829716941">
                                      <w:marLeft w:val="0"/>
                                      <w:marRight w:val="0"/>
                                      <w:marTop w:val="0"/>
                                      <w:marBottom w:val="0"/>
                                      <w:divBdr>
                                        <w:top w:val="none" w:sz="0" w:space="0" w:color="auto"/>
                                        <w:left w:val="none" w:sz="0" w:space="0" w:color="auto"/>
                                        <w:bottom w:val="none" w:sz="0" w:space="0" w:color="auto"/>
                                        <w:right w:val="none" w:sz="0" w:space="0" w:color="auto"/>
                                      </w:divBdr>
                                      <w:divsChild>
                                        <w:div w:id="2070878951">
                                          <w:marLeft w:val="0"/>
                                          <w:marRight w:val="0"/>
                                          <w:marTop w:val="0"/>
                                          <w:marBottom w:val="0"/>
                                          <w:divBdr>
                                            <w:top w:val="none" w:sz="0" w:space="0" w:color="auto"/>
                                            <w:left w:val="none" w:sz="0" w:space="0" w:color="auto"/>
                                            <w:bottom w:val="none" w:sz="0" w:space="0" w:color="auto"/>
                                            <w:right w:val="none" w:sz="0" w:space="0" w:color="auto"/>
                                          </w:divBdr>
                                          <w:divsChild>
                                            <w:div w:id="921644919">
                                              <w:marLeft w:val="0"/>
                                              <w:marRight w:val="0"/>
                                              <w:marTop w:val="0"/>
                                              <w:marBottom w:val="0"/>
                                              <w:divBdr>
                                                <w:top w:val="none" w:sz="0" w:space="0" w:color="auto"/>
                                                <w:left w:val="none" w:sz="0" w:space="0" w:color="auto"/>
                                                <w:bottom w:val="none" w:sz="0" w:space="0" w:color="auto"/>
                                                <w:right w:val="none" w:sz="0" w:space="0" w:color="auto"/>
                                              </w:divBdr>
                                              <w:divsChild>
                                                <w:div w:id="38867287">
                                                  <w:marLeft w:val="0"/>
                                                  <w:marRight w:val="0"/>
                                                  <w:marTop w:val="0"/>
                                                  <w:marBottom w:val="0"/>
                                                  <w:divBdr>
                                                    <w:top w:val="none" w:sz="0" w:space="0" w:color="auto"/>
                                                    <w:left w:val="none" w:sz="0" w:space="0" w:color="auto"/>
                                                    <w:bottom w:val="none" w:sz="0" w:space="0" w:color="auto"/>
                                                    <w:right w:val="none" w:sz="0" w:space="0" w:color="auto"/>
                                                  </w:divBdr>
                                                  <w:divsChild>
                                                    <w:div w:id="1870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906">
      <w:bodyDiv w:val="1"/>
      <w:marLeft w:val="0"/>
      <w:marRight w:val="0"/>
      <w:marTop w:val="0"/>
      <w:marBottom w:val="0"/>
      <w:divBdr>
        <w:top w:val="none" w:sz="0" w:space="0" w:color="auto"/>
        <w:left w:val="none" w:sz="0" w:space="0" w:color="auto"/>
        <w:bottom w:val="none" w:sz="0" w:space="0" w:color="auto"/>
        <w:right w:val="none" w:sz="0" w:space="0" w:color="auto"/>
      </w:divBdr>
      <w:divsChild>
        <w:div w:id="672952175">
          <w:marLeft w:val="1166"/>
          <w:marRight w:val="0"/>
          <w:marTop w:val="96"/>
          <w:marBottom w:val="0"/>
          <w:divBdr>
            <w:top w:val="none" w:sz="0" w:space="0" w:color="auto"/>
            <w:left w:val="none" w:sz="0" w:space="0" w:color="auto"/>
            <w:bottom w:val="none" w:sz="0" w:space="0" w:color="auto"/>
            <w:right w:val="none" w:sz="0" w:space="0" w:color="auto"/>
          </w:divBdr>
        </w:div>
      </w:divsChild>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558692">
      <w:bodyDiv w:val="1"/>
      <w:marLeft w:val="0"/>
      <w:marRight w:val="0"/>
      <w:marTop w:val="0"/>
      <w:marBottom w:val="0"/>
      <w:divBdr>
        <w:top w:val="none" w:sz="0" w:space="0" w:color="auto"/>
        <w:left w:val="none" w:sz="0" w:space="0" w:color="auto"/>
        <w:bottom w:val="none" w:sz="0" w:space="0" w:color="auto"/>
        <w:right w:val="none" w:sz="0" w:space="0" w:color="auto"/>
      </w:divBdr>
      <w:divsChild>
        <w:div w:id="1636788372">
          <w:marLeft w:val="0"/>
          <w:marRight w:val="0"/>
          <w:marTop w:val="0"/>
          <w:marBottom w:val="0"/>
          <w:divBdr>
            <w:top w:val="none" w:sz="0" w:space="0" w:color="auto"/>
            <w:left w:val="none" w:sz="0" w:space="0" w:color="auto"/>
            <w:bottom w:val="none" w:sz="0" w:space="0" w:color="auto"/>
            <w:right w:val="none" w:sz="0" w:space="0" w:color="auto"/>
          </w:divBdr>
          <w:divsChild>
            <w:div w:id="1083453342">
              <w:marLeft w:val="0"/>
              <w:marRight w:val="0"/>
              <w:marTop w:val="0"/>
              <w:marBottom w:val="0"/>
              <w:divBdr>
                <w:top w:val="none" w:sz="0" w:space="0" w:color="auto"/>
                <w:left w:val="none" w:sz="0" w:space="0" w:color="auto"/>
                <w:bottom w:val="none" w:sz="0" w:space="0" w:color="auto"/>
                <w:right w:val="none" w:sz="0" w:space="0" w:color="auto"/>
              </w:divBdr>
              <w:divsChild>
                <w:div w:id="769856982">
                  <w:marLeft w:val="0"/>
                  <w:marRight w:val="0"/>
                  <w:marTop w:val="960"/>
                  <w:marBottom w:val="0"/>
                  <w:divBdr>
                    <w:top w:val="none" w:sz="0" w:space="0" w:color="auto"/>
                    <w:left w:val="none" w:sz="0" w:space="0" w:color="auto"/>
                    <w:bottom w:val="none" w:sz="0" w:space="0" w:color="auto"/>
                    <w:right w:val="none" w:sz="0" w:space="0" w:color="auto"/>
                  </w:divBdr>
                  <w:divsChild>
                    <w:div w:id="42145705">
                      <w:marLeft w:val="0"/>
                      <w:marRight w:val="0"/>
                      <w:marTop w:val="0"/>
                      <w:marBottom w:val="0"/>
                      <w:divBdr>
                        <w:top w:val="none" w:sz="0" w:space="0" w:color="auto"/>
                        <w:left w:val="none" w:sz="0" w:space="0" w:color="auto"/>
                        <w:bottom w:val="none" w:sz="0" w:space="0" w:color="auto"/>
                        <w:right w:val="none" w:sz="0" w:space="0" w:color="auto"/>
                      </w:divBdr>
                      <w:divsChild>
                        <w:div w:id="86662024">
                          <w:marLeft w:val="0"/>
                          <w:marRight w:val="0"/>
                          <w:marTop w:val="0"/>
                          <w:marBottom w:val="0"/>
                          <w:divBdr>
                            <w:top w:val="none" w:sz="0" w:space="0" w:color="auto"/>
                            <w:left w:val="none" w:sz="0" w:space="0" w:color="auto"/>
                            <w:bottom w:val="none" w:sz="0" w:space="0" w:color="auto"/>
                            <w:right w:val="none" w:sz="0" w:space="0" w:color="auto"/>
                          </w:divBdr>
                          <w:divsChild>
                            <w:div w:id="438379873">
                              <w:marLeft w:val="0"/>
                              <w:marRight w:val="0"/>
                              <w:marTop w:val="0"/>
                              <w:marBottom w:val="0"/>
                              <w:divBdr>
                                <w:top w:val="none" w:sz="0" w:space="0" w:color="auto"/>
                                <w:left w:val="none" w:sz="0" w:space="0" w:color="auto"/>
                                <w:bottom w:val="none" w:sz="0" w:space="0" w:color="auto"/>
                                <w:right w:val="none" w:sz="0" w:space="0" w:color="auto"/>
                              </w:divBdr>
                              <w:divsChild>
                                <w:div w:id="1210917581">
                                  <w:marLeft w:val="0"/>
                                  <w:marRight w:val="0"/>
                                  <w:marTop w:val="0"/>
                                  <w:marBottom w:val="0"/>
                                  <w:divBdr>
                                    <w:top w:val="none" w:sz="0" w:space="0" w:color="auto"/>
                                    <w:left w:val="none" w:sz="0" w:space="0" w:color="auto"/>
                                    <w:bottom w:val="none" w:sz="0" w:space="0" w:color="auto"/>
                                    <w:right w:val="none" w:sz="0" w:space="0" w:color="auto"/>
                                  </w:divBdr>
                                  <w:divsChild>
                                    <w:div w:id="332991978">
                                      <w:marLeft w:val="0"/>
                                      <w:marRight w:val="0"/>
                                      <w:marTop w:val="0"/>
                                      <w:marBottom w:val="0"/>
                                      <w:divBdr>
                                        <w:top w:val="none" w:sz="0" w:space="0" w:color="auto"/>
                                        <w:left w:val="none" w:sz="0" w:space="0" w:color="auto"/>
                                        <w:bottom w:val="none" w:sz="0" w:space="0" w:color="auto"/>
                                        <w:right w:val="none" w:sz="0" w:space="0" w:color="auto"/>
                                      </w:divBdr>
                                      <w:divsChild>
                                        <w:div w:id="1070662406">
                                          <w:marLeft w:val="0"/>
                                          <w:marRight w:val="0"/>
                                          <w:marTop w:val="0"/>
                                          <w:marBottom w:val="0"/>
                                          <w:divBdr>
                                            <w:top w:val="none" w:sz="0" w:space="0" w:color="auto"/>
                                            <w:left w:val="none" w:sz="0" w:space="0" w:color="auto"/>
                                            <w:bottom w:val="none" w:sz="0" w:space="0" w:color="auto"/>
                                            <w:right w:val="none" w:sz="0" w:space="0" w:color="auto"/>
                                          </w:divBdr>
                                        </w:div>
                                        <w:div w:id="1915121172">
                                          <w:marLeft w:val="0"/>
                                          <w:marRight w:val="0"/>
                                          <w:marTop w:val="0"/>
                                          <w:marBottom w:val="0"/>
                                          <w:divBdr>
                                            <w:top w:val="none" w:sz="0" w:space="0" w:color="auto"/>
                                            <w:left w:val="none" w:sz="0" w:space="0" w:color="auto"/>
                                            <w:bottom w:val="none" w:sz="0" w:space="0" w:color="auto"/>
                                            <w:right w:val="none" w:sz="0" w:space="0" w:color="auto"/>
                                          </w:divBdr>
                                        </w:div>
                                        <w:div w:id="2055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1820">
      <w:bodyDiv w:val="1"/>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sChild>
            <w:div w:id="2113276359">
              <w:marLeft w:val="0"/>
              <w:marRight w:val="0"/>
              <w:marTop w:val="0"/>
              <w:marBottom w:val="0"/>
              <w:divBdr>
                <w:top w:val="none" w:sz="0" w:space="0" w:color="auto"/>
                <w:left w:val="none" w:sz="0" w:space="0" w:color="auto"/>
                <w:bottom w:val="none" w:sz="0" w:space="0" w:color="auto"/>
                <w:right w:val="none" w:sz="0" w:space="0" w:color="auto"/>
              </w:divBdr>
              <w:divsChild>
                <w:div w:id="526263111">
                  <w:marLeft w:val="0"/>
                  <w:marRight w:val="0"/>
                  <w:marTop w:val="0"/>
                  <w:marBottom w:val="0"/>
                  <w:divBdr>
                    <w:top w:val="none" w:sz="0" w:space="0" w:color="auto"/>
                    <w:left w:val="none" w:sz="0" w:space="0" w:color="auto"/>
                    <w:bottom w:val="none" w:sz="0" w:space="0" w:color="auto"/>
                    <w:right w:val="none" w:sz="0" w:space="0" w:color="auto"/>
                  </w:divBdr>
                  <w:divsChild>
                    <w:div w:id="1500194005">
                      <w:marLeft w:val="-225"/>
                      <w:marRight w:val="-225"/>
                      <w:marTop w:val="0"/>
                      <w:marBottom w:val="0"/>
                      <w:divBdr>
                        <w:top w:val="none" w:sz="0" w:space="0" w:color="auto"/>
                        <w:left w:val="none" w:sz="0" w:space="0" w:color="auto"/>
                        <w:bottom w:val="none" w:sz="0" w:space="0" w:color="auto"/>
                        <w:right w:val="none" w:sz="0" w:space="0" w:color="auto"/>
                      </w:divBdr>
                      <w:divsChild>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sChild>
                                <w:div w:id="781732859">
                                  <w:marLeft w:val="-225"/>
                                  <w:marRight w:val="-225"/>
                                  <w:marTop w:val="0"/>
                                  <w:marBottom w:val="0"/>
                                  <w:divBdr>
                                    <w:top w:val="none" w:sz="0" w:space="0" w:color="auto"/>
                                    <w:left w:val="none" w:sz="0" w:space="0" w:color="auto"/>
                                    <w:bottom w:val="none" w:sz="0" w:space="0" w:color="auto"/>
                                    <w:right w:val="none" w:sz="0" w:space="0" w:color="auto"/>
                                  </w:divBdr>
                                  <w:divsChild>
                                    <w:div w:id="130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828767">
      <w:marLeft w:val="0"/>
      <w:marRight w:val="0"/>
      <w:marTop w:val="0"/>
      <w:marBottom w:val="0"/>
      <w:divBdr>
        <w:top w:val="none" w:sz="0" w:space="0" w:color="auto"/>
        <w:left w:val="none" w:sz="0" w:space="0" w:color="auto"/>
        <w:bottom w:val="none" w:sz="0" w:space="0" w:color="auto"/>
        <w:right w:val="none" w:sz="0" w:space="0" w:color="auto"/>
      </w:divBdr>
    </w:div>
    <w:div w:id="721828915">
      <w:bodyDiv w:val="1"/>
      <w:marLeft w:val="0"/>
      <w:marRight w:val="0"/>
      <w:marTop w:val="0"/>
      <w:marBottom w:val="0"/>
      <w:divBdr>
        <w:top w:val="none" w:sz="0" w:space="0" w:color="auto"/>
        <w:left w:val="none" w:sz="0" w:space="0" w:color="auto"/>
        <w:bottom w:val="none" w:sz="0" w:space="0" w:color="auto"/>
        <w:right w:val="none" w:sz="0" w:space="0" w:color="auto"/>
      </w:divBdr>
      <w:divsChild>
        <w:div w:id="2006591272">
          <w:marLeft w:val="0"/>
          <w:marRight w:val="0"/>
          <w:marTop w:val="0"/>
          <w:marBottom w:val="225"/>
          <w:divBdr>
            <w:top w:val="none" w:sz="0" w:space="0" w:color="auto"/>
            <w:left w:val="none" w:sz="0" w:space="0" w:color="auto"/>
            <w:bottom w:val="none" w:sz="0" w:space="0" w:color="auto"/>
            <w:right w:val="none" w:sz="0" w:space="0" w:color="auto"/>
          </w:divBdr>
          <w:divsChild>
            <w:div w:id="879321738">
              <w:marLeft w:val="0"/>
              <w:marRight w:val="0"/>
              <w:marTop w:val="0"/>
              <w:marBottom w:val="0"/>
              <w:divBdr>
                <w:top w:val="none" w:sz="0" w:space="0" w:color="auto"/>
                <w:left w:val="none" w:sz="0" w:space="0" w:color="auto"/>
                <w:bottom w:val="none" w:sz="0" w:space="0" w:color="auto"/>
                <w:right w:val="none" w:sz="0" w:space="0" w:color="auto"/>
              </w:divBdr>
              <w:divsChild>
                <w:div w:id="837620178">
                  <w:marLeft w:val="0"/>
                  <w:marRight w:val="0"/>
                  <w:marTop w:val="0"/>
                  <w:marBottom w:val="0"/>
                  <w:divBdr>
                    <w:top w:val="none" w:sz="0" w:space="0" w:color="auto"/>
                    <w:left w:val="none" w:sz="0" w:space="0" w:color="auto"/>
                    <w:bottom w:val="none" w:sz="0" w:space="0" w:color="auto"/>
                    <w:right w:val="none" w:sz="0" w:space="0" w:color="auto"/>
                  </w:divBdr>
                  <w:divsChild>
                    <w:div w:id="1405227497">
                      <w:marLeft w:val="0"/>
                      <w:marRight w:val="4"/>
                      <w:marTop w:val="0"/>
                      <w:marBottom w:val="0"/>
                      <w:divBdr>
                        <w:top w:val="none" w:sz="0" w:space="0" w:color="auto"/>
                        <w:left w:val="none" w:sz="0" w:space="0" w:color="auto"/>
                        <w:bottom w:val="none" w:sz="0" w:space="0" w:color="auto"/>
                        <w:right w:val="none" w:sz="0" w:space="0" w:color="auto"/>
                      </w:divBdr>
                      <w:divsChild>
                        <w:div w:id="12164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607">
      <w:bodyDiv w:val="1"/>
      <w:marLeft w:val="0"/>
      <w:marRight w:val="0"/>
      <w:marTop w:val="0"/>
      <w:marBottom w:val="0"/>
      <w:divBdr>
        <w:top w:val="none" w:sz="0" w:space="0" w:color="auto"/>
        <w:left w:val="none" w:sz="0" w:space="0" w:color="auto"/>
        <w:bottom w:val="none" w:sz="0" w:space="0" w:color="auto"/>
        <w:right w:val="none" w:sz="0" w:space="0" w:color="auto"/>
      </w:divBdr>
      <w:divsChild>
        <w:div w:id="894924556">
          <w:marLeft w:val="0"/>
          <w:marRight w:val="0"/>
          <w:marTop w:val="0"/>
          <w:marBottom w:val="0"/>
          <w:divBdr>
            <w:top w:val="none" w:sz="0" w:space="0" w:color="auto"/>
            <w:left w:val="none" w:sz="0" w:space="0" w:color="auto"/>
            <w:bottom w:val="none" w:sz="0" w:space="0" w:color="auto"/>
            <w:right w:val="none" w:sz="0" w:space="0" w:color="auto"/>
          </w:divBdr>
          <w:divsChild>
            <w:div w:id="1365211760">
              <w:marLeft w:val="0"/>
              <w:marRight w:val="0"/>
              <w:marTop w:val="0"/>
              <w:marBottom w:val="0"/>
              <w:divBdr>
                <w:top w:val="none" w:sz="0" w:space="0" w:color="auto"/>
                <w:left w:val="none" w:sz="0" w:space="0" w:color="auto"/>
                <w:bottom w:val="none" w:sz="0" w:space="0" w:color="auto"/>
                <w:right w:val="none" w:sz="0" w:space="0" w:color="auto"/>
              </w:divBdr>
              <w:divsChild>
                <w:div w:id="662464621">
                  <w:marLeft w:val="0"/>
                  <w:marRight w:val="0"/>
                  <w:marTop w:val="0"/>
                  <w:marBottom w:val="0"/>
                  <w:divBdr>
                    <w:top w:val="none" w:sz="0" w:space="0" w:color="auto"/>
                    <w:left w:val="none" w:sz="0" w:space="0" w:color="auto"/>
                    <w:bottom w:val="none" w:sz="0" w:space="0" w:color="auto"/>
                    <w:right w:val="none" w:sz="0" w:space="0" w:color="auto"/>
                  </w:divBdr>
                  <w:divsChild>
                    <w:div w:id="994800369">
                      <w:marLeft w:val="0"/>
                      <w:marRight w:val="0"/>
                      <w:marTop w:val="0"/>
                      <w:marBottom w:val="0"/>
                      <w:divBdr>
                        <w:top w:val="none" w:sz="0" w:space="0" w:color="auto"/>
                        <w:left w:val="none" w:sz="0" w:space="0" w:color="auto"/>
                        <w:bottom w:val="none" w:sz="0" w:space="0" w:color="auto"/>
                        <w:right w:val="none" w:sz="0" w:space="0" w:color="auto"/>
                      </w:divBdr>
                      <w:divsChild>
                        <w:div w:id="1464421299">
                          <w:marLeft w:val="0"/>
                          <w:marRight w:val="0"/>
                          <w:marTop w:val="0"/>
                          <w:marBottom w:val="240"/>
                          <w:divBdr>
                            <w:top w:val="none" w:sz="0" w:space="0" w:color="auto"/>
                            <w:left w:val="none" w:sz="0" w:space="0" w:color="auto"/>
                            <w:bottom w:val="none" w:sz="0" w:space="0" w:color="auto"/>
                            <w:right w:val="none" w:sz="0" w:space="0" w:color="auto"/>
                          </w:divBdr>
                          <w:divsChild>
                            <w:div w:id="620914204">
                              <w:marLeft w:val="0"/>
                              <w:marRight w:val="0"/>
                              <w:marTop w:val="0"/>
                              <w:marBottom w:val="0"/>
                              <w:divBdr>
                                <w:top w:val="none" w:sz="0" w:space="0" w:color="auto"/>
                                <w:left w:val="none" w:sz="0" w:space="0" w:color="auto"/>
                                <w:bottom w:val="none" w:sz="0" w:space="0" w:color="auto"/>
                                <w:right w:val="none" w:sz="0" w:space="0" w:color="auto"/>
                              </w:divBdr>
                              <w:divsChild>
                                <w:div w:id="409351696">
                                  <w:marLeft w:val="0"/>
                                  <w:marRight w:val="0"/>
                                  <w:marTop w:val="0"/>
                                  <w:marBottom w:val="0"/>
                                  <w:divBdr>
                                    <w:top w:val="none" w:sz="0" w:space="0" w:color="auto"/>
                                    <w:left w:val="none" w:sz="0" w:space="0" w:color="auto"/>
                                    <w:bottom w:val="none" w:sz="0" w:space="0" w:color="auto"/>
                                    <w:right w:val="none" w:sz="0" w:space="0" w:color="auto"/>
                                  </w:divBdr>
                                  <w:divsChild>
                                    <w:div w:id="13194627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1522">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sChild>
        <w:div w:id="2122797550">
          <w:marLeft w:val="0"/>
          <w:marRight w:val="0"/>
          <w:marTop w:val="0"/>
          <w:marBottom w:val="0"/>
          <w:divBdr>
            <w:top w:val="none" w:sz="0" w:space="0" w:color="auto"/>
            <w:left w:val="none" w:sz="0" w:space="0" w:color="auto"/>
            <w:bottom w:val="none" w:sz="0" w:space="0" w:color="auto"/>
            <w:right w:val="none" w:sz="0" w:space="0" w:color="auto"/>
          </w:divBdr>
          <w:divsChild>
            <w:div w:id="687174437">
              <w:marLeft w:val="0"/>
              <w:marRight w:val="0"/>
              <w:marTop w:val="0"/>
              <w:marBottom w:val="0"/>
              <w:divBdr>
                <w:top w:val="none" w:sz="0" w:space="0" w:color="auto"/>
                <w:left w:val="none" w:sz="0" w:space="0" w:color="auto"/>
                <w:bottom w:val="none" w:sz="0" w:space="0" w:color="auto"/>
                <w:right w:val="none" w:sz="0" w:space="0" w:color="auto"/>
              </w:divBdr>
              <w:divsChild>
                <w:div w:id="970746048">
                  <w:marLeft w:val="0"/>
                  <w:marRight w:val="300"/>
                  <w:marTop w:val="0"/>
                  <w:marBottom w:val="0"/>
                  <w:divBdr>
                    <w:top w:val="none" w:sz="0" w:space="0" w:color="auto"/>
                    <w:left w:val="none" w:sz="0" w:space="0" w:color="auto"/>
                    <w:bottom w:val="none" w:sz="0" w:space="0" w:color="auto"/>
                    <w:right w:val="none" w:sz="0" w:space="0" w:color="auto"/>
                  </w:divBdr>
                  <w:divsChild>
                    <w:div w:id="444471693">
                      <w:marLeft w:val="0"/>
                      <w:marRight w:val="0"/>
                      <w:marTop w:val="0"/>
                      <w:marBottom w:val="0"/>
                      <w:divBdr>
                        <w:top w:val="none" w:sz="0" w:space="0" w:color="auto"/>
                        <w:left w:val="none" w:sz="0" w:space="0" w:color="auto"/>
                        <w:bottom w:val="none" w:sz="0" w:space="0" w:color="auto"/>
                        <w:right w:val="none" w:sz="0" w:space="0" w:color="auto"/>
                      </w:divBdr>
                      <w:divsChild>
                        <w:div w:id="678778186">
                          <w:marLeft w:val="0"/>
                          <w:marRight w:val="0"/>
                          <w:marTop w:val="0"/>
                          <w:marBottom w:val="0"/>
                          <w:divBdr>
                            <w:top w:val="none" w:sz="0" w:space="0" w:color="auto"/>
                            <w:left w:val="none" w:sz="0" w:space="0" w:color="auto"/>
                            <w:bottom w:val="none" w:sz="0" w:space="0" w:color="auto"/>
                            <w:right w:val="none" w:sz="0" w:space="0" w:color="auto"/>
                          </w:divBdr>
                          <w:divsChild>
                            <w:div w:id="885795577">
                              <w:marLeft w:val="0"/>
                              <w:marRight w:val="0"/>
                              <w:marTop w:val="0"/>
                              <w:marBottom w:val="0"/>
                              <w:divBdr>
                                <w:top w:val="none" w:sz="0" w:space="0" w:color="auto"/>
                                <w:left w:val="none" w:sz="0" w:space="0" w:color="auto"/>
                                <w:bottom w:val="none" w:sz="0" w:space="0" w:color="auto"/>
                                <w:right w:val="none" w:sz="0" w:space="0" w:color="auto"/>
                              </w:divBdr>
                              <w:divsChild>
                                <w:div w:id="1872568343">
                                  <w:marLeft w:val="0"/>
                                  <w:marRight w:val="0"/>
                                  <w:marTop w:val="0"/>
                                  <w:marBottom w:val="0"/>
                                  <w:divBdr>
                                    <w:top w:val="none" w:sz="0" w:space="0" w:color="auto"/>
                                    <w:left w:val="none" w:sz="0" w:space="0" w:color="auto"/>
                                    <w:bottom w:val="none" w:sz="0" w:space="0" w:color="auto"/>
                                    <w:right w:val="none" w:sz="0" w:space="0" w:color="auto"/>
                                  </w:divBdr>
                                  <w:divsChild>
                                    <w:div w:id="2729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8218">
      <w:bodyDiv w:val="1"/>
      <w:marLeft w:val="0"/>
      <w:marRight w:val="0"/>
      <w:marTop w:val="0"/>
      <w:marBottom w:val="0"/>
      <w:divBdr>
        <w:top w:val="none" w:sz="0" w:space="0" w:color="auto"/>
        <w:left w:val="none" w:sz="0" w:space="0" w:color="auto"/>
        <w:bottom w:val="none" w:sz="0" w:space="0" w:color="auto"/>
        <w:right w:val="none" w:sz="0" w:space="0" w:color="auto"/>
      </w:divBdr>
    </w:div>
    <w:div w:id="891307656">
      <w:bodyDiv w:val="1"/>
      <w:marLeft w:val="0"/>
      <w:marRight w:val="0"/>
      <w:marTop w:val="0"/>
      <w:marBottom w:val="0"/>
      <w:divBdr>
        <w:top w:val="none" w:sz="0" w:space="0" w:color="auto"/>
        <w:left w:val="none" w:sz="0" w:space="0" w:color="auto"/>
        <w:bottom w:val="none" w:sz="0" w:space="0" w:color="auto"/>
        <w:right w:val="none" w:sz="0" w:space="0" w:color="auto"/>
      </w:divBdr>
      <w:divsChild>
        <w:div w:id="396828985">
          <w:marLeft w:val="0"/>
          <w:marRight w:val="0"/>
          <w:marTop w:val="0"/>
          <w:marBottom w:val="0"/>
          <w:divBdr>
            <w:top w:val="none" w:sz="0" w:space="0" w:color="auto"/>
            <w:left w:val="none" w:sz="0" w:space="0" w:color="auto"/>
            <w:bottom w:val="none" w:sz="0" w:space="0" w:color="auto"/>
            <w:right w:val="none" w:sz="0" w:space="0" w:color="auto"/>
          </w:divBdr>
        </w:div>
      </w:divsChild>
    </w:div>
    <w:div w:id="897741128">
      <w:bodyDiv w:val="1"/>
      <w:marLeft w:val="0"/>
      <w:marRight w:val="0"/>
      <w:marTop w:val="0"/>
      <w:marBottom w:val="0"/>
      <w:divBdr>
        <w:top w:val="none" w:sz="0" w:space="0" w:color="auto"/>
        <w:left w:val="none" w:sz="0" w:space="0" w:color="auto"/>
        <w:bottom w:val="none" w:sz="0" w:space="0" w:color="auto"/>
        <w:right w:val="none" w:sz="0" w:space="0" w:color="auto"/>
      </w:divBdr>
      <w:divsChild>
        <w:div w:id="111218193">
          <w:marLeft w:val="0"/>
          <w:marRight w:val="0"/>
          <w:marTop w:val="0"/>
          <w:marBottom w:val="0"/>
          <w:divBdr>
            <w:top w:val="none" w:sz="0" w:space="0" w:color="auto"/>
            <w:left w:val="none" w:sz="0" w:space="0" w:color="auto"/>
            <w:bottom w:val="none" w:sz="0" w:space="0" w:color="auto"/>
            <w:right w:val="none" w:sz="0" w:space="0" w:color="auto"/>
          </w:divBdr>
          <w:divsChild>
            <w:div w:id="463350193">
              <w:marLeft w:val="0"/>
              <w:marRight w:val="0"/>
              <w:marTop w:val="0"/>
              <w:marBottom w:val="0"/>
              <w:divBdr>
                <w:top w:val="none" w:sz="0" w:space="0" w:color="auto"/>
                <w:left w:val="none" w:sz="0" w:space="0" w:color="auto"/>
                <w:bottom w:val="none" w:sz="0" w:space="0" w:color="auto"/>
                <w:right w:val="none" w:sz="0" w:space="0" w:color="auto"/>
              </w:divBdr>
              <w:divsChild>
                <w:div w:id="208297798">
                  <w:marLeft w:val="0"/>
                  <w:marRight w:val="0"/>
                  <w:marTop w:val="0"/>
                  <w:marBottom w:val="0"/>
                  <w:divBdr>
                    <w:top w:val="none" w:sz="0" w:space="0" w:color="auto"/>
                    <w:left w:val="none" w:sz="0" w:space="0" w:color="auto"/>
                    <w:bottom w:val="none" w:sz="0" w:space="0" w:color="auto"/>
                    <w:right w:val="none" w:sz="0" w:space="0" w:color="auto"/>
                  </w:divBdr>
                  <w:divsChild>
                    <w:div w:id="1835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6187">
      <w:bodyDiv w:val="1"/>
      <w:marLeft w:val="0"/>
      <w:marRight w:val="0"/>
      <w:marTop w:val="0"/>
      <w:marBottom w:val="0"/>
      <w:divBdr>
        <w:top w:val="none" w:sz="0" w:space="0" w:color="auto"/>
        <w:left w:val="none" w:sz="0" w:space="0" w:color="auto"/>
        <w:bottom w:val="none" w:sz="0" w:space="0" w:color="auto"/>
        <w:right w:val="none" w:sz="0" w:space="0" w:color="auto"/>
      </w:divBdr>
      <w:divsChild>
        <w:div w:id="355810696">
          <w:marLeft w:val="720"/>
          <w:marRight w:val="0"/>
          <w:marTop w:val="125"/>
          <w:marBottom w:val="0"/>
          <w:divBdr>
            <w:top w:val="none" w:sz="0" w:space="0" w:color="auto"/>
            <w:left w:val="none" w:sz="0" w:space="0" w:color="auto"/>
            <w:bottom w:val="none" w:sz="0" w:space="0" w:color="auto"/>
            <w:right w:val="none" w:sz="0" w:space="0" w:color="auto"/>
          </w:divBdr>
        </w:div>
        <w:div w:id="459569430">
          <w:marLeft w:val="720"/>
          <w:marRight w:val="0"/>
          <w:marTop w:val="125"/>
          <w:marBottom w:val="0"/>
          <w:divBdr>
            <w:top w:val="none" w:sz="0" w:space="0" w:color="auto"/>
            <w:left w:val="none" w:sz="0" w:space="0" w:color="auto"/>
            <w:bottom w:val="none" w:sz="0" w:space="0" w:color="auto"/>
            <w:right w:val="none" w:sz="0" w:space="0" w:color="auto"/>
          </w:divBdr>
        </w:div>
        <w:div w:id="479541628">
          <w:marLeft w:val="720"/>
          <w:marRight w:val="0"/>
          <w:marTop w:val="125"/>
          <w:marBottom w:val="0"/>
          <w:divBdr>
            <w:top w:val="none" w:sz="0" w:space="0" w:color="auto"/>
            <w:left w:val="none" w:sz="0" w:space="0" w:color="auto"/>
            <w:bottom w:val="none" w:sz="0" w:space="0" w:color="auto"/>
            <w:right w:val="none" w:sz="0" w:space="0" w:color="auto"/>
          </w:divBdr>
        </w:div>
        <w:div w:id="1216238986">
          <w:marLeft w:val="720"/>
          <w:marRight w:val="0"/>
          <w:marTop w:val="125"/>
          <w:marBottom w:val="0"/>
          <w:divBdr>
            <w:top w:val="none" w:sz="0" w:space="0" w:color="auto"/>
            <w:left w:val="none" w:sz="0" w:space="0" w:color="auto"/>
            <w:bottom w:val="none" w:sz="0" w:space="0" w:color="auto"/>
            <w:right w:val="none" w:sz="0" w:space="0" w:color="auto"/>
          </w:divBdr>
        </w:div>
        <w:div w:id="1857452238">
          <w:marLeft w:val="720"/>
          <w:marRight w:val="0"/>
          <w:marTop w:val="125"/>
          <w:marBottom w:val="0"/>
          <w:divBdr>
            <w:top w:val="none" w:sz="0" w:space="0" w:color="auto"/>
            <w:left w:val="none" w:sz="0" w:space="0" w:color="auto"/>
            <w:bottom w:val="none" w:sz="0" w:space="0" w:color="auto"/>
            <w:right w:val="none" w:sz="0" w:space="0" w:color="auto"/>
          </w:divBdr>
        </w:div>
        <w:div w:id="2017727792">
          <w:marLeft w:val="720"/>
          <w:marRight w:val="0"/>
          <w:marTop w:val="125"/>
          <w:marBottom w:val="0"/>
          <w:divBdr>
            <w:top w:val="none" w:sz="0" w:space="0" w:color="auto"/>
            <w:left w:val="none" w:sz="0" w:space="0" w:color="auto"/>
            <w:bottom w:val="none" w:sz="0" w:space="0" w:color="auto"/>
            <w:right w:val="none" w:sz="0" w:space="0" w:color="auto"/>
          </w:divBdr>
        </w:div>
      </w:divsChild>
    </w:div>
    <w:div w:id="1058289277">
      <w:bodyDiv w:val="1"/>
      <w:marLeft w:val="0"/>
      <w:marRight w:val="0"/>
      <w:marTop w:val="0"/>
      <w:marBottom w:val="0"/>
      <w:divBdr>
        <w:top w:val="none" w:sz="0" w:space="0" w:color="auto"/>
        <w:left w:val="none" w:sz="0" w:space="0" w:color="auto"/>
        <w:bottom w:val="none" w:sz="0" w:space="0" w:color="auto"/>
        <w:right w:val="none" w:sz="0" w:space="0" w:color="auto"/>
      </w:divBdr>
      <w:divsChild>
        <w:div w:id="1054550237">
          <w:marLeft w:val="0"/>
          <w:marRight w:val="0"/>
          <w:marTop w:val="0"/>
          <w:marBottom w:val="0"/>
          <w:divBdr>
            <w:top w:val="none" w:sz="0" w:space="0" w:color="auto"/>
            <w:left w:val="none" w:sz="0" w:space="0" w:color="auto"/>
            <w:bottom w:val="none" w:sz="0" w:space="0" w:color="auto"/>
            <w:right w:val="none" w:sz="0" w:space="0" w:color="auto"/>
          </w:divBdr>
          <w:divsChild>
            <w:div w:id="2039816149">
              <w:marLeft w:val="0"/>
              <w:marRight w:val="0"/>
              <w:marTop w:val="0"/>
              <w:marBottom w:val="0"/>
              <w:divBdr>
                <w:top w:val="none" w:sz="0" w:space="0" w:color="auto"/>
                <w:left w:val="none" w:sz="0" w:space="0" w:color="auto"/>
                <w:bottom w:val="none" w:sz="0" w:space="0" w:color="auto"/>
                <w:right w:val="none" w:sz="0" w:space="0" w:color="auto"/>
              </w:divBdr>
              <w:divsChild>
                <w:div w:id="548998842">
                  <w:marLeft w:val="0"/>
                  <w:marRight w:val="0"/>
                  <w:marTop w:val="960"/>
                  <w:marBottom w:val="0"/>
                  <w:divBdr>
                    <w:top w:val="none" w:sz="0" w:space="0" w:color="auto"/>
                    <w:left w:val="none" w:sz="0" w:space="0" w:color="auto"/>
                    <w:bottom w:val="none" w:sz="0" w:space="0" w:color="auto"/>
                    <w:right w:val="none" w:sz="0" w:space="0" w:color="auto"/>
                  </w:divBdr>
                  <w:divsChild>
                    <w:div w:id="854612879">
                      <w:marLeft w:val="0"/>
                      <w:marRight w:val="0"/>
                      <w:marTop w:val="0"/>
                      <w:marBottom w:val="0"/>
                      <w:divBdr>
                        <w:top w:val="none" w:sz="0" w:space="0" w:color="auto"/>
                        <w:left w:val="none" w:sz="0" w:space="0" w:color="auto"/>
                        <w:bottom w:val="none" w:sz="0" w:space="0" w:color="auto"/>
                        <w:right w:val="none" w:sz="0" w:space="0" w:color="auto"/>
                      </w:divBdr>
                      <w:divsChild>
                        <w:div w:id="1468936380">
                          <w:marLeft w:val="0"/>
                          <w:marRight w:val="0"/>
                          <w:marTop w:val="0"/>
                          <w:marBottom w:val="0"/>
                          <w:divBdr>
                            <w:top w:val="none" w:sz="0" w:space="0" w:color="auto"/>
                            <w:left w:val="none" w:sz="0" w:space="0" w:color="auto"/>
                            <w:bottom w:val="none" w:sz="0" w:space="0" w:color="auto"/>
                            <w:right w:val="none" w:sz="0" w:space="0" w:color="auto"/>
                          </w:divBdr>
                          <w:divsChild>
                            <w:div w:id="117384517">
                              <w:marLeft w:val="0"/>
                              <w:marRight w:val="0"/>
                              <w:marTop w:val="0"/>
                              <w:marBottom w:val="0"/>
                              <w:divBdr>
                                <w:top w:val="none" w:sz="0" w:space="0" w:color="auto"/>
                                <w:left w:val="none" w:sz="0" w:space="0" w:color="auto"/>
                                <w:bottom w:val="none" w:sz="0" w:space="0" w:color="auto"/>
                                <w:right w:val="none" w:sz="0" w:space="0" w:color="auto"/>
                              </w:divBdr>
                              <w:divsChild>
                                <w:div w:id="1465393728">
                                  <w:marLeft w:val="0"/>
                                  <w:marRight w:val="0"/>
                                  <w:marTop w:val="0"/>
                                  <w:marBottom w:val="0"/>
                                  <w:divBdr>
                                    <w:top w:val="none" w:sz="0" w:space="0" w:color="auto"/>
                                    <w:left w:val="none" w:sz="0" w:space="0" w:color="auto"/>
                                    <w:bottom w:val="none" w:sz="0" w:space="0" w:color="auto"/>
                                    <w:right w:val="none" w:sz="0" w:space="0" w:color="auto"/>
                                  </w:divBdr>
                                  <w:divsChild>
                                    <w:div w:id="1523282761">
                                      <w:marLeft w:val="0"/>
                                      <w:marRight w:val="0"/>
                                      <w:marTop w:val="0"/>
                                      <w:marBottom w:val="0"/>
                                      <w:divBdr>
                                        <w:top w:val="none" w:sz="0" w:space="0" w:color="auto"/>
                                        <w:left w:val="none" w:sz="0" w:space="0" w:color="auto"/>
                                        <w:bottom w:val="none" w:sz="0" w:space="0" w:color="auto"/>
                                        <w:right w:val="none" w:sz="0" w:space="0" w:color="auto"/>
                                      </w:divBdr>
                                      <w:divsChild>
                                        <w:div w:id="674648993">
                                          <w:marLeft w:val="0"/>
                                          <w:marRight w:val="0"/>
                                          <w:marTop w:val="0"/>
                                          <w:marBottom w:val="0"/>
                                          <w:divBdr>
                                            <w:top w:val="none" w:sz="0" w:space="0" w:color="auto"/>
                                            <w:left w:val="none" w:sz="0" w:space="0" w:color="auto"/>
                                            <w:bottom w:val="none" w:sz="0" w:space="0" w:color="auto"/>
                                            <w:right w:val="none" w:sz="0" w:space="0" w:color="auto"/>
                                          </w:divBdr>
                                        </w:div>
                                        <w:div w:id="939484620">
                                          <w:marLeft w:val="0"/>
                                          <w:marRight w:val="0"/>
                                          <w:marTop w:val="0"/>
                                          <w:marBottom w:val="0"/>
                                          <w:divBdr>
                                            <w:top w:val="none" w:sz="0" w:space="0" w:color="auto"/>
                                            <w:left w:val="none" w:sz="0" w:space="0" w:color="auto"/>
                                            <w:bottom w:val="none" w:sz="0" w:space="0" w:color="auto"/>
                                            <w:right w:val="none" w:sz="0" w:space="0" w:color="auto"/>
                                          </w:divBdr>
                                        </w:div>
                                        <w:div w:id="1387027110">
                                          <w:marLeft w:val="0"/>
                                          <w:marRight w:val="0"/>
                                          <w:marTop w:val="0"/>
                                          <w:marBottom w:val="0"/>
                                          <w:divBdr>
                                            <w:top w:val="none" w:sz="0" w:space="0" w:color="auto"/>
                                            <w:left w:val="none" w:sz="0" w:space="0" w:color="auto"/>
                                            <w:bottom w:val="none" w:sz="0" w:space="0" w:color="auto"/>
                                            <w:right w:val="none" w:sz="0" w:space="0" w:color="auto"/>
                                          </w:divBdr>
                                        </w:div>
                                        <w:div w:id="1633903007">
                                          <w:marLeft w:val="0"/>
                                          <w:marRight w:val="0"/>
                                          <w:marTop w:val="0"/>
                                          <w:marBottom w:val="0"/>
                                          <w:divBdr>
                                            <w:top w:val="none" w:sz="0" w:space="0" w:color="auto"/>
                                            <w:left w:val="none" w:sz="0" w:space="0" w:color="auto"/>
                                            <w:bottom w:val="none" w:sz="0" w:space="0" w:color="auto"/>
                                            <w:right w:val="none" w:sz="0" w:space="0" w:color="auto"/>
                                          </w:divBdr>
                                        </w:div>
                                        <w:div w:id="1738624121">
                                          <w:marLeft w:val="0"/>
                                          <w:marRight w:val="0"/>
                                          <w:marTop w:val="0"/>
                                          <w:marBottom w:val="0"/>
                                          <w:divBdr>
                                            <w:top w:val="none" w:sz="0" w:space="0" w:color="auto"/>
                                            <w:left w:val="none" w:sz="0" w:space="0" w:color="auto"/>
                                            <w:bottom w:val="none" w:sz="0" w:space="0" w:color="auto"/>
                                            <w:right w:val="none" w:sz="0" w:space="0" w:color="auto"/>
                                          </w:divBdr>
                                        </w:div>
                                        <w:div w:id="1963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363786">
      <w:bodyDiv w:val="1"/>
      <w:marLeft w:val="0"/>
      <w:marRight w:val="0"/>
      <w:marTop w:val="0"/>
      <w:marBottom w:val="0"/>
      <w:divBdr>
        <w:top w:val="none" w:sz="0" w:space="0" w:color="auto"/>
        <w:left w:val="none" w:sz="0" w:space="0" w:color="auto"/>
        <w:bottom w:val="none" w:sz="0" w:space="0" w:color="auto"/>
        <w:right w:val="none" w:sz="0" w:space="0" w:color="auto"/>
      </w:divBdr>
      <w:divsChild>
        <w:div w:id="1266109290">
          <w:marLeft w:val="0"/>
          <w:marRight w:val="0"/>
          <w:marTop w:val="0"/>
          <w:marBottom w:val="0"/>
          <w:divBdr>
            <w:top w:val="none" w:sz="0" w:space="0" w:color="auto"/>
            <w:left w:val="none" w:sz="0" w:space="0" w:color="auto"/>
            <w:bottom w:val="none" w:sz="0" w:space="0" w:color="auto"/>
            <w:right w:val="none" w:sz="0" w:space="0" w:color="auto"/>
          </w:divBdr>
          <w:divsChild>
            <w:div w:id="1510826666">
              <w:marLeft w:val="0"/>
              <w:marRight w:val="0"/>
              <w:marTop w:val="0"/>
              <w:marBottom w:val="0"/>
              <w:divBdr>
                <w:top w:val="none" w:sz="0" w:space="0" w:color="auto"/>
                <w:left w:val="none" w:sz="0" w:space="0" w:color="auto"/>
                <w:bottom w:val="none" w:sz="0" w:space="0" w:color="auto"/>
                <w:right w:val="none" w:sz="0" w:space="0" w:color="auto"/>
              </w:divBdr>
              <w:divsChild>
                <w:div w:id="1241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6142">
      <w:bodyDiv w:val="1"/>
      <w:marLeft w:val="0"/>
      <w:marRight w:val="0"/>
      <w:marTop w:val="0"/>
      <w:marBottom w:val="0"/>
      <w:divBdr>
        <w:top w:val="none" w:sz="0" w:space="0" w:color="auto"/>
        <w:left w:val="none" w:sz="0" w:space="0" w:color="auto"/>
        <w:bottom w:val="none" w:sz="0" w:space="0" w:color="auto"/>
        <w:right w:val="none" w:sz="0" w:space="0" w:color="auto"/>
      </w:divBdr>
    </w:div>
    <w:div w:id="1088580464">
      <w:bodyDiv w:val="1"/>
      <w:marLeft w:val="0"/>
      <w:marRight w:val="0"/>
      <w:marTop w:val="0"/>
      <w:marBottom w:val="0"/>
      <w:divBdr>
        <w:top w:val="none" w:sz="0" w:space="0" w:color="auto"/>
        <w:left w:val="none" w:sz="0" w:space="0" w:color="auto"/>
        <w:bottom w:val="none" w:sz="0" w:space="0" w:color="auto"/>
        <w:right w:val="none" w:sz="0" w:space="0" w:color="auto"/>
      </w:divBdr>
      <w:divsChild>
        <w:div w:id="588925285">
          <w:marLeft w:val="547"/>
          <w:marRight w:val="0"/>
          <w:marTop w:val="77"/>
          <w:marBottom w:val="0"/>
          <w:divBdr>
            <w:top w:val="none" w:sz="0" w:space="0" w:color="auto"/>
            <w:left w:val="none" w:sz="0" w:space="0" w:color="auto"/>
            <w:bottom w:val="none" w:sz="0" w:space="0" w:color="auto"/>
            <w:right w:val="none" w:sz="0" w:space="0" w:color="auto"/>
          </w:divBdr>
        </w:div>
        <w:div w:id="1358895025">
          <w:marLeft w:val="547"/>
          <w:marRight w:val="0"/>
          <w:marTop w:val="77"/>
          <w:marBottom w:val="0"/>
          <w:divBdr>
            <w:top w:val="none" w:sz="0" w:space="0" w:color="auto"/>
            <w:left w:val="none" w:sz="0" w:space="0" w:color="auto"/>
            <w:bottom w:val="none" w:sz="0" w:space="0" w:color="auto"/>
            <w:right w:val="none" w:sz="0" w:space="0" w:color="auto"/>
          </w:divBdr>
        </w:div>
        <w:div w:id="1454515473">
          <w:marLeft w:val="547"/>
          <w:marRight w:val="0"/>
          <w:marTop w:val="77"/>
          <w:marBottom w:val="0"/>
          <w:divBdr>
            <w:top w:val="none" w:sz="0" w:space="0" w:color="auto"/>
            <w:left w:val="none" w:sz="0" w:space="0" w:color="auto"/>
            <w:bottom w:val="none" w:sz="0" w:space="0" w:color="auto"/>
            <w:right w:val="none" w:sz="0" w:space="0" w:color="auto"/>
          </w:divBdr>
        </w:div>
        <w:div w:id="1695304405">
          <w:marLeft w:val="547"/>
          <w:marRight w:val="0"/>
          <w:marTop w:val="77"/>
          <w:marBottom w:val="0"/>
          <w:divBdr>
            <w:top w:val="none" w:sz="0" w:space="0" w:color="auto"/>
            <w:left w:val="none" w:sz="0" w:space="0" w:color="auto"/>
            <w:bottom w:val="none" w:sz="0" w:space="0" w:color="auto"/>
            <w:right w:val="none" w:sz="0" w:space="0" w:color="auto"/>
          </w:divBdr>
        </w:div>
        <w:div w:id="1988825024">
          <w:marLeft w:val="547"/>
          <w:marRight w:val="0"/>
          <w:marTop w:val="77"/>
          <w:marBottom w:val="0"/>
          <w:divBdr>
            <w:top w:val="none" w:sz="0" w:space="0" w:color="auto"/>
            <w:left w:val="none" w:sz="0" w:space="0" w:color="auto"/>
            <w:bottom w:val="none" w:sz="0" w:space="0" w:color="auto"/>
            <w:right w:val="none" w:sz="0" w:space="0" w:color="auto"/>
          </w:divBdr>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383992294">
          <w:marLeft w:val="0"/>
          <w:marRight w:val="0"/>
          <w:marTop w:val="0"/>
          <w:marBottom w:val="0"/>
          <w:divBdr>
            <w:top w:val="none" w:sz="0" w:space="0" w:color="auto"/>
            <w:left w:val="none" w:sz="0" w:space="0" w:color="auto"/>
            <w:bottom w:val="none" w:sz="0" w:space="0" w:color="auto"/>
            <w:right w:val="none" w:sz="0" w:space="0" w:color="auto"/>
          </w:divBdr>
          <w:divsChild>
            <w:div w:id="1787263779">
              <w:marLeft w:val="0"/>
              <w:marRight w:val="0"/>
              <w:marTop w:val="0"/>
              <w:marBottom w:val="0"/>
              <w:divBdr>
                <w:top w:val="none" w:sz="0" w:space="0" w:color="auto"/>
                <w:left w:val="none" w:sz="0" w:space="0" w:color="auto"/>
                <w:bottom w:val="none" w:sz="0" w:space="0" w:color="auto"/>
                <w:right w:val="none" w:sz="0" w:space="0" w:color="auto"/>
              </w:divBdr>
              <w:divsChild>
                <w:div w:id="355733321">
                  <w:marLeft w:val="0"/>
                  <w:marRight w:val="0"/>
                  <w:marTop w:val="960"/>
                  <w:marBottom w:val="0"/>
                  <w:divBdr>
                    <w:top w:val="none" w:sz="0" w:space="0" w:color="auto"/>
                    <w:left w:val="none" w:sz="0" w:space="0" w:color="auto"/>
                    <w:bottom w:val="none" w:sz="0" w:space="0" w:color="auto"/>
                    <w:right w:val="none" w:sz="0" w:space="0" w:color="auto"/>
                  </w:divBdr>
                  <w:divsChild>
                    <w:div w:id="1395347582">
                      <w:marLeft w:val="0"/>
                      <w:marRight w:val="0"/>
                      <w:marTop w:val="0"/>
                      <w:marBottom w:val="0"/>
                      <w:divBdr>
                        <w:top w:val="none" w:sz="0" w:space="0" w:color="auto"/>
                        <w:left w:val="none" w:sz="0" w:space="0" w:color="auto"/>
                        <w:bottom w:val="none" w:sz="0" w:space="0" w:color="auto"/>
                        <w:right w:val="none" w:sz="0" w:space="0" w:color="auto"/>
                      </w:divBdr>
                      <w:divsChild>
                        <w:div w:id="1794790865">
                          <w:marLeft w:val="0"/>
                          <w:marRight w:val="0"/>
                          <w:marTop w:val="0"/>
                          <w:marBottom w:val="0"/>
                          <w:divBdr>
                            <w:top w:val="none" w:sz="0" w:space="0" w:color="auto"/>
                            <w:left w:val="none" w:sz="0" w:space="0" w:color="auto"/>
                            <w:bottom w:val="none" w:sz="0" w:space="0" w:color="auto"/>
                            <w:right w:val="none" w:sz="0" w:space="0" w:color="auto"/>
                          </w:divBdr>
                          <w:divsChild>
                            <w:div w:id="329525884">
                              <w:marLeft w:val="0"/>
                              <w:marRight w:val="0"/>
                              <w:marTop w:val="0"/>
                              <w:marBottom w:val="0"/>
                              <w:divBdr>
                                <w:top w:val="none" w:sz="0" w:space="0" w:color="auto"/>
                                <w:left w:val="none" w:sz="0" w:space="0" w:color="auto"/>
                                <w:bottom w:val="none" w:sz="0" w:space="0" w:color="auto"/>
                                <w:right w:val="none" w:sz="0" w:space="0" w:color="auto"/>
                              </w:divBdr>
                              <w:divsChild>
                                <w:div w:id="1861553463">
                                  <w:marLeft w:val="0"/>
                                  <w:marRight w:val="0"/>
                                  <w:marTop w:val="0"/>
                                  <w:marBottom w:val="0"/>
                                  <w:divBdr>
                                    <w:top w:val="none" w:sz="0" w:space="0" w:color="auto"/>
                                    <w:left w:val="none" w:sz="0" w:space="0" w:color="auto"/>
                                    <w:bottom w:val="none" w:sz="0" w:space="0" w:color="auto"/>
                                    <w:right w:val="none" w:sz="0" w:space="0" w:color="auto"/>
                                  </w:divBdr>
                                  <w:divsChild>
                                    <w:div w:id="1243248881">
                                      <w:marLeft w:val="0"/>
                                      <w:marRight w:val="0"/>
                                      <w:marTop w:val="0"/>
                                      <w:marBottom w:val="0"/>
                                      <w:divBdr>
                                        <w:top w:val="none" w:sz="0" w:space="0" w:color="auto"/>
                                        <w:left w:val="none" w:sz="0" w:space="0" w:color="auto"/>
                                        <w:bottom w:val="none" w:sz="0" w:space="0" w:color="auto"/>
                                        <w:right w:val="none" w:sz="0" w:space="0" w:color="auto"/>
                                      </w:divBdr>
                                      <w:divsChild>
                                        <w:div w:id="228460910">
                                          <w:marLeft w:val="0"/>
                                          <w:marRight w:val="0"/>
                                          <w:marTop w:val="0"/>
                                          <w:marBottom w:val="0"/>
                                          <w:divBdr>
                                            <w:top w:val="none" w:sz="0" w:space="0" w:color="auto"/>
                                            <w:left w:val="none" w:sz="0" w:space="0" w:color="auto"/>
                                            <w:bottom w:val="none" w:sz="0" w:space="0" w:color="auto"/>
                                            <w:right w:val="none" w:sz="0" w:space="0" w:color="auto"/>
                                          </w:divBdr>
                                        </w:div>
                                        <w:div w:id="408505957">
                                          <w:marLeft w:val="0"/>
                                          <w:marRight w:val="0"/>
                                          <w:marTop w:val="0"/>
                                          <w:marBottom w:val="0"/>
                                          <w:divBdr>
                                            <w:top w:val="none" w:sz="0" w:space="0" w:color="auto"/>
                                            <w:left w:val="none" w:sz="0" w:space="0" w:color="auto"/>
                                            <w:bottom w:val="none" w:sz="0" w:space="0" w:color="auto"/>
                                            <w:right w:val="none" w:sz="0" w:space="0" w:color="auto"/>
                                          </w:divBdr>
                                        </w:div>
                                        <w:div w:id="505485326">
                                          <w:marLeft w:val="0"/>
                                          <w:marRight w:val="0"/>
                                          <w:marTop w:val="0"/>
                                          <w:marBottom w:val="0"/>
                                          <w:divBdr>
                                            <w:top w:val="none" w:sz="0" w:space="0" w:color="auto"/>
                                            <w:left w:val="none" w:sz="0" w:space="0" w:color="auto"/>
                                            <w:bottom w:val="none" w:sz="0" w:space="0" w:color="auto"/>
                                            <w:right w:val="none" w:sz="0" w:space="0" w:color="auto"/>
                                          </w:divBdr>
                                        </w:div>
                                        <w:div w:id="1006790496">
                                          <w:marLeft w:val="0"/>
                                          <w:marRight w:val="0"/>
                                          <w:marTop w:val="0"/>
                                          <w:marBottom w:val="0"/>
                                          <w:divBdr>
                                            <w:top w:val="none" w:sz="0" w:space="0" w:color="auto"/>
                                            <w:left w:val="none" w:sz="0" w:space="0" w:color="auto"/>
                                            <w:bottom w:val="none" w:sz="0" w:space="0" w:color="auto"/>
                                            <w:right w:val="none" w:sz="0" w:space="0" w:color="auto"/>
                                          </w:divBdr>
                                        </w:div>
                                        <w:div w:id="1348285929">
                                          <w:marLeft w:val="0"/>
                                          <w:marRight w:val="0"/>
                                          <w:marTop w:val="0"/>
                                          <w:marBottom w:val="0"/>
                                          <w:divBdr>
                                            <w:top w:val="none" w:sz="0" w:space="0" w:color="auto"/>
                                            <w:left w:val="none" w:sz="0" w:space="0" w:color="auto"/>
                                            <w:bottom w:val="none" w:sz="0" w:space="0" w:color="auto"/>
                                            <w:right w:val="none" w:sz="0" w:space="0" w:color="auto"/>
                                          </w:divBdr>
                                        </w:div>
                                        <w:div w:id="1673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79503">
      <w:bodyDiv w:val="1"/>
      <w:marLeft w:val="0"/>
      <w:marRight w:val="0"/>
      <w:marTop w:val="0"/>
      <w:marBottom w:val="0"/>
      <w:divBdr>
        <w:top w:val="none" w:sz="0" w:space="0" w:color="auto"/>
        <w:left w:val="none" w:sz="0" w:space="0" w:color="auto"/>
        <w:bottom w:val="none" w:sz="0" w:space="0" w:color="auto"/>
        <w:right w:val="none" w:sz="0" w:space="0" w:color="auto"/>
      </w:divBdr>
      <w:divsChild>
        <w:div w:id="186843641">
          <w:marLeft w:val="0"/>
          <w:marRight w:val="0"/>
          <w:marTop w:val="0"/>
          <w:marBottom w:val="0"/>
          <w:divBdr>
            <w:top w:val="none" w:sz="0" w:space="0" w:color="auto"/>
            <w:left w:val="none" w:sz="0" w:space="0" w:color="auto"/>
            <w:bottom w:val="none" w:sz="0" w:space="0" w:color="auto"/>
            <w:right w:val="none" w:sz="0" w:space="0" w:color="auto"/>
          </w:divBdr>
          <w:divsChild>
            <w:div w:id="1924876337">
              <w:marLeft w:val="0"/>
              <w:marRight w:val="0"/>
              <w:marTop w:val="0"/>
              <w:marBottom w:val="0"/>
              <w:divBdr>
                <w:top w:val="none" w:sz="0" w:space="0" w:color="auto"/>
                <w:left w:val="none" w:sz="0" w:space="0" w:color="auto"/>
                <w:bottom w:val="none" w:sz="0" w:space="0" w:color="auto"/>
                <w:right w:val="none" w:sz="0" w:space="0" w:color="auto"/>
              </w:divBdr>
              <w:divsChild>
                <w:div w:id="1336032967">
                  <w:marLeft w:val="0"/>
                  <w:marRight w:val="0"/>
                  <w:marTop w:val="960"/>
                  <w:marBottom w:val="0"/>
                  <w:divBdr>
                    <w:top w:val="none" w:sz="0" w:space="0" w:color="auto"/>
                    <w:left w:val="none" w:sz="0" w:space="0" w:color="auto"/>
                    <w:bottom w:val="none" w:sz="0" w:space="0" w:color="auto"/>
                    <w:right w:val="none" w:sz="0" w:space="0" w:color="auto"/>
                  </w:divBdr>
                  <w:divsChild>
                    <w:div w:id="1092049882">
                      <w:marLeft w:val="0"/>
                      <w:marRight w:val="0"/>
                      <w:marTop w:val="0"/>
                      <w:marBottom w:val="0"/>
                      <w:divBdr>
                        <w:top w:val="none" w:sz="0" w:space="0" w:color="auto"/>
                        <w:left w:val="none" w:sz="0" w:space="0" w:color="auto"/>
                        <w:bottom w:val="none" w:sz="0" w:space="0" w:color="auto"/>
                        <w:right w:val="none" w:sz="0" w:space="0" w:color="auto"/>
                      </w:divBdr>
                      <w:divsChild>
                        <w:div w:id="27417421">
                          <w:marLeft w:val="0"/>
                          <w:marRight w:val="0"/>
                          <w:marTop w:val="0"/>
                          <w:marBottom w:val="0"/>
                          <w:divBdr>
                            <w:top w:val="none" w:sz="0" w:space="0" w:color="auto"/>
                            <w:left w:val="none" w:sz="0" w:space="0" w:color="auto"/>
                            <w:bottom w:val="none" w:sz="0" w:space="0" w:color="auto"/>
                            <w:right w:val="none" w:sz="0" w:space="0" w:color="auto"/>
                          </w:divBdr>
                          <w:divsChild>
                            <w:div w:id="1977254">
                              <w:marLeft w:val="0"/>
                              <w:marRight w:val="0"/>
                              <w:marTop w:val="0"/>
                              <w:marBottom w:val="0"/>
                              <w:divBdr>
                                <w:top w:val="none" w:sz="0" w:space="0" w:color="auto"/>
                                <w:left w:val="none" w:sz="0" w:space="0" w:color="auto"/>
                                <w:bottom w:val="none" w:sz="0" w:space="0" w:color="auto"/>
                                <w:right w:val="none" w:sz="0" w:space="0" w:color="auto"/>
                              </w:divBdr>
                              <w:divsChild>
                                <w:div w:id="1191840171">
                                  <w:marLeft w:val="0"/>
                                  <w:marRight w:val="0"/>
                                  <w:marTop w:val="0"/>
                                  <w:marBottom w:val="0"/>
                                  <w:divBdr>
                                    <w:top w:val="none" w:sz="0" w:space="0" w:color="auto"/>
                                    <w:left w:val="none" w:sz="0" w:space="0" w:color="auto"/>
                                    <w:bottom w:val="none" w:sz="0" w:space="0" w:color="auto"/>
                                    <w:right w:val="none" w:sz="0" w:space="0" w:color="auto"/>
                                  </w:divBdr>
                                  <w:divsChild>
                                    <w:div w:id="1642660522">
                                      <w:marLeft w:val="0"/>
                                      <w:marRight w:val="0"/>
                                      <w:marTop w:val="0"/>
                                      <w:marBottom w:val="0"/>
                                      <w:divBdr>
                                        <w:top w:val="none" w:sz="0" w:space="0" w:color="auto"/>
                                        <w:left w:val="none" w:sz="0" w:space="0" w:color="auto"/>
                                        <w:bottom w:val="none" w:sz="0" w:space="0" w:color="auto"/>
                                        <w:right w:val="none" w:sz="0" w:space="0" w:color="auto"/>
                                      </w:divBdr>
                                      <w:divsChild>
                                        <w:div w:id="181013337">
                                          <w:marLeft w:val="0"/>
                                          <w:marRight w:val="0"/>
                                          <w:marTop w:val="0"/>
                                          <w:marBottom w:val="0"/>
                                          <w:divBdr>
                                            <w:top w:val="none" w:sz="0" w:space="0" w:color="auto"/>
                                            <w:left w:val="none" w:sz="0" w:space="0" w:color="auto"/>
                                            <w:bottom w:val="none" w:sz="0" w:space="0" w:color="auto"/>
                                            <w:right w:val="none" w:sz="0" w:space="0" w:color="auto"/>
                                          </w:divBdr>
                                        </w:div>
                                        <w:div w:id="445660427">
                                          <w:marLeft w:val="0"/>
                                          <w:marRight w:val="0"/>
                                          <w:marTop w:val="0"/>
                                          <w:marBottom w:val="0"/>
                                          <w:divBdr>
                                            <w:top w:val="none" w:sz="0" w:space="0" w:color="auto"/>
                                            <w:left w:val="none" w:sz="0" w:space="0" w:color="auto"/>
                                            <w:bottom w:val="none" w:sz="0" w:space="0" w:color="auto"/>
                                            <w:right w:val="none" w:sz="0" w:space="0" w:color="auto"/>
                                          </w:divBdr>
                                        </w:div>
                                        <w:div w:id="687295020">
                                          <w:marLeft w:val="0"/>
                                          <w:marRight w:val="0"/>
                                          <w:marTop w:val="0"/>
                                          <w:marBottom w:val="0"/>
                                          <w:divBdr>
                                            <w:top w:val="none" w:sz="0" w:space="0" w:color="auto"/>
                                            <w:left w:val="none" w:sz="0" w:space="0" w:color="auto"/>
                                            <w:bottom w:val="none" w:sz="0" w:space="0" w:color="auto"/>
                                            <w:right w:val="none" w:sz="0" w:space="0" w:color="auto"/>
                                          </w:divBdr>
                                        </w:div>
                                        <w:div w:id="1833257969">
                                          <w:marLeft w:val="0"/>
                                          <w:marRight w:val="0"/>
                                          <w:marTop w:val="0"/>
                                          <w:marBottom w:val="0"/>
                                          <w:divBdr>
                                            <w:top w:val="none" w:sz="0" w:space="0" w:color="auto"/>
                                            <w:left w:val="none" w:sz="0" w:space="0" w:color="auto"/>
                                            <w:bottom w:val="none" w:sz="0" w:space="0" w:color="auto"/>
                                            <w:right w:val="none" w:sz="0" w:space="0" w:color="auto"/>
                                          </w:divBdr>
                                        </w:div>
                                        <w:div w:id="1948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0"/>
          <w:divBdr>
            <w:top w:val="none" w:sz="0" w:space="0" w:color="auto"/>
            <w:left w:val="none" w:sz="0" w:space="0" w:color="auto"/>
            <w:bottom w:val="none" w:sz="0" w:space="0" w:color="auto"/>
            <w:right w:val="none" w:sz="0" w:space="0" w:color="auto"/>
          </w:divBdr>
          <w:divsChild>
            <w:div w:id="869760592">
              <w:marLeft w:val="0"/>
              <w:marRight w:val="0"/>
              <w:marTop w:val="0"/>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0"/>
                  <w:divBdr>
                    <w:top w:val="none" w:sz="0" w:space="0" w:color="auto"/>
                    <w:left w:val="none" w:sz="0" w:space="0" w:color="auto"/>
                    <w:bottom w:val="none" w:sz="0" w:space="0" w:color="auto"/>
                    <w:right w:val="none" w:sz="0" w:space="0" w:color="auto"/>
                  </w:divBdr>
                  <w:divsChild>
                    <w:div w:id="1634094780">
                      <w:marLeft w:val="-225"/>
                      <w:marRight w:val="-225"/>
                      <w:marTop w:val="0"/>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0"/>
                          <w:divBdr>
                            <w:top w:val="none" w:sz="0" w:space="0" w:color="auto"/>
                            <w:left w:val="none" w:sz="0" w:space="0" w:color="auto"/>
                            <w:bottom w:val="none" w:sz="0" w:space="0" w:color="auto"/>
                            <w:right w:val="none" w:sz="0" w:space="0" w:color="auto"/>
                          </w:divBdr>
                          <w:divsChild>
                            <w:div w:id="223222795">
                              <w:marLeft w:val="0"/>
                              <w:marRight w:val="0"/>
                              <w:marTop w:val="0"/>
                              <w:marBottom w:val="0"/>
                              <w:divBdr>
                                <w:top w:val="none" w:sz="0" w:space="0" w:color="auto"/>
                                <w:left w:val="none" w:sz="0" w:space="0" w:color="auto"/>
                                <w:bottom w:val="none" w:sz="0" w:space="0" w:color="auto"/>
                                <w:right w:val="none" w:sz="0" w:space="0" w:color="auto"/>
                              </w:divBdr>
                              <w:divsChild>
                                <w:div w:id="235241418">
                                  <w:marLeft w:val="-225"/>
                                  <w:marRight w:val="-225"/>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9990">
      <w:bodyDiv w:val="1"/>
      <w:marLeft w:val="0"/>
      <w:marRight w:val="0"/>
      <w:marTop w:val="0"/>
      <w:marBottom w:val="0"/>
      <w:divBdr>
        <w:top w:val="none" w:sz="0" w:space="0" w:color="auto"/>
        <w:left w:val="none" w:sz="0" w:space="0" w:color="auto"/>
        <w:bottom w:val="none" w:sz="0" w:space="0" w:color="auto"/>
        <w:right w:val="none" w:sz="0" w:space="0" w:color="auto"/>
      </w:divBdr>
      <w:divsChild>
        <w:div w:id="212083306">
          <w:marLeft w:val="0"/>
          <w:marRight w:val="0"/>
          <w:marTop w:val="0"/>
          <w:marBottom w:val="0"/>
          <w:divBdr>
            <w:top w:val="none" w:sz="0" w:space="0" w:color="auto"/>
            <w:left w:val="none" w:sz="0" w:space="0" w:color="auto"/>
            <w:bottom w:val="none" w:sz="0" w:space="0" w:color="auto"/>
            <w:right w:val="none" w:sz="0" w:space="0" w:color="auto"/>
          </w:divBdr>
          <w:divsChild>
            <w:div w:id="1093552514">
              <w:marLeft w:val="0"/>
              <w:marRight w:val="0"/>
              <w:marTop w:val="0"/>
              <w:marBottom w:val="0"/>
              <w:divBdr>
                <w:top w:val="none" w:sz="0" w:space="0" w:color="auto"/>
                <w:left w:val="none" w:sz="0" w:space="0" w:color="auto"/>
                <w:bottom w:val="none" w:sz="0" w:space="0" w:color="auto"/>
                <w:right w:val="none" w:sz="0" w:space="0" w:color="auto"/>
              </w:divBdr>
              <w:divsChild>
                <w:div w:id="999698127">
                  <w:marLeft w:val="0"/>
                  <w:marRight w:val="0"/>
                  <w:marTop w:val="0"/>
                  <w:marBottom w:val="0"/>
                  <w:divBdr>
                    <w:top w:val="none" w:sz="0" w:space="0" w:color="auto"/>
                    <w:left w:val="none" w:sz="0" w:space="0" w:color="auto"/>
                    <w:bottom w:val="none" w:sz="0" w:space="0" w:color="auto"/>
                    <w:right w:val="none" w:sz="0" w:space="0" w:color="auto"/>
                  </w:divBdr>
                  <w:divsChild>
                    <w:div w:id="55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58906">
      <w:bodyDiv w:val="1"/>
      <w:marLeft w:val="0"/>
      <w:marRight w:val="0"/>
      <w:marTop w:val="0"/>
      <w:marBottom w:val="0"/>
      <w:divBdr>
        <w:top w:val="none" w:sz="0" w:space="0" w:color="auto"/>
        <w:left w:val="none" w:sz="0" w:space="0" w:color="auto"/>
        <w:bottom w:val="none" w:sz="0" w:space="0" w:color="auto"/>
        <w:right w:val="none" w:sz="0" w:space="0" w:color="auto"/>
      </w:divBdr>
      <w:divsChild>
        <w:div w:id="1244685134">
          <w:marLeft w:val="0"/>
          <w:marRight w:val="0"/>
          <w:marTop w:val="0"/>
          <w:marBottom w:val="0"/>
          <w:divBdr>
            <w:top w:val="single" w:sz="6" w:space="0" w:color="EBEBEB"/>
            <w:left w:val="none" w:sz="0" w:space="0" w:color="auto"/>
            <w:bottom w:val="none" w:sz="0" w:space="0" w:color="auto"/>
            <w:right w:val="none" w:sz="0" w:space="0" w:color="auto"/>
          </w:divBdr>
          <w:divsChild>
            <w:div w:id="1351494164">
              <w:marLeft w:val="0"/>
              <w:marRight w:val="0"/>
              <w:marTop w:val="0"/>
              <w:marBottom w:val="0"/>
              <w:divBdr>
                <w:top w:val="none" w:sz="0" w:space="0" w:color="auto"/>
                <w:left w:val="none" w:sz="0" w:space="0" w:color="auto"/>
                <w:bottom w:val="none" w:sz="0" w:space="0" w:color="auto"/>
                <w:right w:val="none" w:sz="0" w:space="0" w:color="auto"/>
              </w:divBdr>
              <w:divsChild>
                <w:div w:id="1999074191">
                  <w:marLeft w:val="0"/>
                  <w:marRight w:val="0"/>
                  <w:marTop w:val="0"/>
                  <w:marBottom w:val="0"/>
                  <w:divBdr>
                    <w:top w:val="none" w:sz="0" w:space="0" w:color="auto"/>
                    <w:left w:val="none" w:sz="0" w:space="0" w:color="auto"/>
                    <w:bottom w:val="none" w:sz="0" w:space="0" w:color="auto"/>
                    <w:right w:val="none" w:sz="0" w:space="0" w:color="auto"/>
                  </w:divBdr>
                  <w:divsChild>
                    <w:div w:id="1125387558">
                      <w:marLeft w:val="0"/>
                      <w:marRight w:val="0"/>
                      <w:marTop w:val="630"/>
                      <w:marBottom w:val="0"/>
                      <w:divBdr>
                        <w:top w:val="none" w:sz="0" w:space="0" w:color="auto"/>
                        <w:left w:val="none" w:sz="0" w:space="0" w:color="auto"/>
                        <w:bottom w:val="none" w:sz="0" w:space="0" w:color="auto"/>
                        <w:right w:val="none" w:sz="0" w:space="0" w:color="auto"/>
                      </w:divBdr>
                      <w:divsChild>
                        <w:div w:id="1131441722">
                          <w:marLeft w:val="0"/>
                          <w:marRight w:val="0"/>
                          <w:marTop w:val="0"/>
                          <w:marBottom w:val="0"/>
                          <w:divBdr>
                            <w:top w:val="none" w:sz="0" w:space="0" w:color="auto"/>
                            <w:left w:val="none" w:sz="0" w:space="0" w:color="auto"/>
                            <w:bottom w:val="none" w:sz="0" w:space="0" w:color="auto"/>
                            <w:right w:val="none" w:sz="0" w:space="0" w:color="auto"/>
                          </w:divBdr>
                          <w:divsChild>
                            <w:div w:id="1847623360">
                              <w:marLeft w:val="0"/>
                              <w:marRight w:val="150"/>
                              <w:marTop w:val="0"/>
                              <w:marBottom w:val="90"/>
                              <w:divBdr>
                                <w:top w:val="none" w:sz="0" w:space="0" w:color="auto"/>
                                <w:left w:val="none" w:sz="0" w:space="0" w:color="auto"/>
                                <w:bottom w:val="none" w:sz="0" w:space="0" w:color="auto"/>
                                <w:right w:val="none" w:sz="0" w:space="0" w:color="auto"/>
                              </w:divBdr>
                              <w:divsChild>
                                <w:div w:id="1828671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00204">
      <w:bodyDiv w:val="1"/>
      <w:marLeft w:val="0"/>
      <w:marRight w:val="0"/>
      <w:marTop w:val="0"/>
      <w:marBottom w:val="0"/>
      <w:divBdr>
        <w:top w:val="none" w:sz="0" w:space="0" w:color="auto"/>
        <w:left w:val="none" w:sz="0" w:space="0" w:color="auto"/>
        <w:bottom w:val="none" w:sz="0" w:space="0" w:color="auto"/>
        <w:right w:val="none" w:sz="0" w:space="0" w:color="auto"/>
      </w:divBdr>
    </w:div>
    <w:div w:id="1430275285">
      <w:bodyDiv w:val="1"/>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sChild>
            <w:div w:id="1849977598">
              <w:marLeft w:val="0"/>
              <w:marRight w:val="0"/>
              <w:marTop w:val="0"/>
              <w:marBottom w:val="0"/>
              <w:divBdr>
                <w:top w:val="none" w:sz="0" w:space="0" w:color="auto"/>
                <w:left w:val="none" w:sz="0" w:space="0" w:color="auto"/>
                <w:bottom w:val="none" w:sz="0" w:space="0" w:color="auto"/>
                <w:right w:val="none" w:sz="0" w:space="0" w:color="auto"/>
              </w:divBdr>
              <w:divsChild>
                <w:div w:id="274363616">
                  <w:marLeft w:val="0"/>
                  <w:marRight w:val="0"/>
                  <w:marTop w:val="0"/>
                  <w:marBottom w:val="0"/>
                  <w:divBdr>
                    <w:top w:val="none" w:sz="0" w:space="0" w:color="auto"/>
                    <w:left w:val="none" w:sz="0" w:space="0" w:color="auto"/>
                    <w:bottom w:val="none" w:sz="0" w:space="0" w:color="auto"/>
                    <w:right w:val="none" w:sz="0" w:space="0" w:color="auto"/>
                  </w:divBdr>
                  <w:divsChild>
                    <w:div w:id="1033963034">
                      <w:marLeft w:val="0"/>
                      <w:marRight w:val="0"/>
                      <w:marTop w:val="0"/>
                      <w:marBottom w:val="0"/>
                      <w:divBdr>
                        <w:top w:val="none" w:sz="0" w:space="0" w:color="auto"/>
                        <w:left w:val="none" w:sz="0" w:space="0" w:color="auto"/>
                        <w:bottom w:val="none" w:sz="0" w:space="0" w:color="auto"/>
                        <w:right w:val="none" w:sz="0" w:space="0" w:color="auto"/>
                      </w:divBdr>
                      <w:divsChild>
                        <w:div w:id="628317135">
                          <w:marLeft w:val="0"/>
                          <w:marRight w:val="0"/>
                          <w:marTop w:val="0"/>
                          <w:marBottom w:val="0"/>
                          <w:divBdr>
                            <w:top w:val="none" w:sz="0" w:space="0" w:color="auto"/>
                            <w:left w:val="none" w:sz="0" w:space="0" w:color="auto"/>
                            <w:bottom w:val="none" w:sz="0" w:space="0" w:color="auto"/>
                            <w:right w:val="none" w:sz="0" w:space="0" w:color="auto"/>
                          </w:divBdr>
                          <w:divsChild>
                            <w:div w:id="175970523">
                              <w:marLeft w:val="0"/>
                              <w:marRight w:val="0"/>
                              <w:marTop w:val="0"/>
                              <w:marBottom w:val="0"/>
                              <w:divBdr>
                                <w:top w:val="none" w:sz="0" w:space="0" w:color="auto"/>
                                <w:left w:val="none" w:sz="0" w:space="0" w:color="auto"/>
                                <w:bottom w:val="none" w:sz="0" w:space="0" w:color="auto"/>
                                <w:right w:val="none" w:sz="0" w:space="0" w:color="auto"/>
                              </w:divBdr>
                              <w:divsChild>
                                <w:div w:id="1269971212">
                                  <w:marLeft w:val="0"/>
                                  <w:marRight w:val="0"/>
                                  <w:marTop w:val="0"/>
                                  <w:marBottom w:val="0"/>
                                  <w:divBdr>
                                    <w:top w:val="none" w:sz="0" w:space="0" w:color="auto"/>
                                    <w:left w:val="none" w:sz="0" w:space="0" w:color="auto"/>
                                    <w:bottom w:val="none" w:sz="0" w:space="0" w:color="auto"/>
                                    <w:right w:val="none" w:sz="0" w:space="0" w:color="auto"/>
                                  </w:divBdr>
                                  <w:divsChild>
                                    <w:div w:id="855003257">
                                      <w:marLeft w:val="0"/>
                                      <w:marRight w:val="0"/>
                                      <w:marTop w:val="0"/>
                                      <w:marBottom w:val="0"/>
                                      <w:divBdr>
                                        <w:top w:val="none" w:sz="0" w:space="0" w:color="auto"/>
                                        <w:left w:val="none" w:sz="0" w:space="0" w:color="auto"/>
                                        <w:bottom w:val="none" w:sz="0" w:space="0" w:color="auto"/>
                                        <w:right w:val="none" w:sz="0" w:space="0" w:color="auto"/>
                                      </w:divBdr>
                                      <w:divsChild>
                                        <w:div w:id="914241047">
                                          <w:marLeft w:val="0"/>
                                          <w:marRight w:val="0"/>
                                          <w:marTop w:val="0"/>
                                          <w:marBottom w:val="0"/>
                                          <w:divBdr>
                                            <w:top w:val="none" w:sz="0" w:space="0" w:color="auto"/>
                                            <w:left w:val="none" w:sz="0" w:space="0" w:color="auto"/>
                                            <w:bottom w:val="none" w:sz="0" w:space="0" w:color="auto"/>
                                            <w:right w:val="none" w:sz="0" w:space="0" w:color="auto"/>
                                          </w:divBdr>
                                          <w:divsChild>
                                            <w:div w:id="1724131986">
                                              <w:marLeft w:val="0"/>
                                              <w:marRight w:val="0"/>
                                              <w:marTop w:val="0"/>
                                              <w:marBottom w:val="0"/>
                                              <w:divBdr>
                                                <w:top w:val="none" w:sz="0" w:space="0" w:color="auto"/>
                                                <w:left w:val="none" w:sz="0" w:space="0" w:color="auto"/>
                                                <w:bottom w:val="none" w:sz="0" w:space="0" w:color="auto"/>
                                                <w:right w:val="none" w:sz="0" w:space="0" w:color="auto"/>
                                              </w:divBdr>
                                              <w:divsChild>
                                                <w:div w:id="1930962472">
                                                  <w:marLeft w:val="0"/>
                                                  <w:marRight w:val="0"/>
                                                  <w:marTop w:val="0"/>
                                                  <w:marBottom w:val="0"/>
                                                  <w:divBdr>
                                                    <w:top w:val="none" w:sz="0" w:space="0" w:color="auto"/>
                                                    <w:left w:val="none" w:sz="0" w:space="0" w:color="auto"/>
                                                    <w:bottom w:val="none" w:sz="0" w:space="0" w:color="auto"/>
                                                    <w:right w:val="none" w:sz="0" w:space="0" w:color="auto"/>
                                                  </w:divBdr>
                                                  <w:divsChild>
                                                    <w:div w:id="465514556">
                                                      <w:marLeft w:val="0"/>
                                                      <w:marRight w:val="0"/>
                                                      <w:marTop w:val="0"/>
                                                      <w:marBottom w:val="0"/>
                                                      <w:divBdr>
                                                        <w:top w:val="none" w:sz="0" w:space="0" w:color="auto"/>
                                                        <w:left w:val="none" w:sz="0" w:space="0" w:color="auto"/>
                                                        <w:bottom w:val="none" w:sz="0" w:space="0" w:color="auto"/>
                                                        <w:right w:val="none" w:sz="0" w:space="0" w:color="auto"/>
                                                      </w:divBdr>
                                                      <w:divsChild>
                                                        <w:div w:id="60641460">
                                                          <w:marLeft w:val="0"/>
                                                          <w:marRight w:val="0"/>
                                                          <w:marTop w:val="0"/>
                                                          <w:marBottom w:val="0"/>
                                                          <w:divBdr>
                                                            <w:top w:val="none" w:sz="0" w:space="0" w:color="auto"/>
                                                            <w:left w:val="none" w:sz="0" w:space="0" w:color="auto"/>
                                                            <w:bottom w:val="none" w:sz="0" w:space="0" w:color="auto"/>
                                                            <w:right w:val="none" w:sz="0" w:space="0" w:color="auto"/>
                                                          </w:divBdr>
                                                          <w:divsChild>
                                                            <w:div w:id="125198369">
                                                              <w:marLeft w:val="0"/>
                                                              <w:marRight w:val="0"/>
                                                              <w:marTop w:val="0"/>
                                                              <w:marBottom w:val="0"/>
                                                              <w:divBdr>
                                                                <w:top w:val="none" w:sz="0" w:space="0" w:color="auto"/>
                                                                <w:left w:val="none" w:sz="0" w:space="0" w:color="auto"/>
                                                                <w:bottom w:val="none" w:sz="0" w:space="0" w:color="auto"/>
                                                                <w:right w:val="none" w:sz="0" w:space="0" w:color="auto"/>
                                                              </w:divBdr>
                                                              <w:divsChild>
                                                                <w:div w:id="80219737">
                                                                  <w:marLeft w:val="0"/>
                                                                  <w:marRight w:val="0"/>
                                                                  <w:marTop w:val="0"/>
                                                                  <w:marBottom w:val="240"/>
                                                                  <w:divBdr>
                                                                    <w:top w:val="none" w:sz="0" w:space="0" w:color="auto"/>
                                                                    <w:left w:val="none" w:sz="0" w:space="0" w:color="auto"/>
                                                                    <w:bottom w:val="single" w:sz="6" w:space="0" w:color="D3D7D9"/>
                                                                    <w:right w:val="none" w:sz="0" w:space="0" w:color="auto"/>
                                                                  </w:divBdr>
                                                                  <w:divsChild>
                                                                    <w:div w:id="1385905523">
                                                                      <w:marLeft w:val="0"/>
                                                                      <w:marRight w:val="0"/>
                                                                      <w:marTop w:val="0"/>
                                                                      <w:marBottom w:val="0"/>
                                                                      <w:divBdr>
                                                                        <w:top w:val="none" w:sz="0" w:space="0" w:color="auto"/>
                                                                        <w:left w:val="none" w:sz="0" w:space="0" w:color="auto"/>
                                                                        <w:bottom w:val="none" w:sz="0" w:space="0" w:color="auto"/>
                                                                        <w:right w:val="none" w:sz="0" w:space="0" w:color="auto"/>
                                                                      </w:divBdr>
                                                                      <w:divsChild>
                                                                        <w:div w:id="2089420529">
                                                                          <w:marLeft w:val="0"/>
                                                                          <w:marRight w:val="0"/>
                                                                          <w:marTop w:val="0"/>
                                                                          <w:marBottom w:val="0"/>
                                                                          <w:divBdr>
                                                                            <w:top w:val="none" w:sz="0" w:space="0" w:color="auto"/>
                                                                            <w:left w:val="none" w:sz="0" w:space="0" w:color="auto"/>
                                                                            <w:bottom w:val="none" w:sz="0" w:space="0" w:color="auto"/>
                                                                            <w:right w:val="none" w:sz="0" w:space="0" w:color="auto"/>
                                                                          </w:divBdr>
                                                                          <w:divsChild>
                                                                            <w:div w:id="1533153945">
                                                                              <w:marLeft w:val="0"/>
                                                                              <w:marRight w:val="0"/>
                                                                              <w:marTop w:val="0"/>
                                                                              <w:marBottom w:val="0"/>
                                                                              <w:divBdr>
                                                                                <w:top w:val="none" w:sz="0" w:space="0" w:color="auto"/>
                                                                                <w:left w:val="none" w:sz="0" w:space="0" w:color="auto"/>
                                                                                <w:bottom w:val="none" w:sz="0" w:space="0" w:color="auto"/>
                                                                                <w:right w:val="none" w:sz="0" w:space="0" w:color="auto"/>
                                                                              </w:divBdr>
                                                                              <w:divsChild>
                                                                                <w:div w:id="760375222">
                                                                                  <w:marLeft w:val="240"/>
                                                                                  <w:marRight w:val="240"/>
                                                                                  <w:marTop w:val="0"/>
                                                                                  <w:marBottom w:val="0"/>
                                                                                  <w:divBdr>
                                                                                    <w:top w:val="none" w:sz="0" w:space="0" w:color="auto"/>
                                                                                    <w:left w:val="none" w:sz="0" w:space="0" w:color="auto"/>
                                                                                    <w:bottom w:val="dotted" w:sz="6" w:space="4" w:color="D3D7D9"/>
                                                                                    <w:right w:val="none" w:sz="0" w:space="0" w:color="auto"/>
                                                                                  </w:divBdr>
                                                                                  <w:divsChild>
                                                                                    <w:div w:id="21906281">
                                                                                      <w:marLeft w:val="0"/>
                                                                                      <w:marRight w:val="0"/>
                                                                                      <w:marTop w:val="0"/>
                                                                                      <w:marBottom w:val="0"/>
                                                                                      <w:divBdr>
                                                                                        <w:top w:val="none" w:sz="0" w:space="0" w:color="auto"/>
                                                                                        <w:left w:val="none" w:sz="0" w:space="0" w:color="auto"/>
                                                                                        <w:bottom w:val="none" w:sz="0" w:space="0" w:color="auto"/>
                                                                                        <w:right w:val="none" w:sz="0" w:space="0" w:color="auto"/>
                                                                                      </w:divBdr>
                                                                                      <w:divsChild>
                                                                                        <w:div w:id="931863577">
                                                                                          <w:marLeft w:val="0"/>
                                                                                          <w:marRight w:val="0"/>
                                                                                          <w:marTop w:val="0"/>
                                                                                          <w:marBottom w:val="0"/>
                                                                                          <w:divBdr>
                                                                                            <w:top w:val="none" w:sz="0" w:space="0" w:color="auto"/>
                                                                                            <w:left w:val="none" w:sz="0" w:space="0" w:color="auto"/>
                                                                                            <w:bottom w:val="none" w:sz="0" w:space="0" w:color="auto"/>
                                                                                            <w:right w:val="none" w:sz="0" w:space="0" w:color="auto"/>
                                                                                          </w:divBdr>
                                                                                          <w:divsChild>
                                                                                            <w:div w:id="240455445">
                                                                                              <w:marLeft w:val="0"/>
                                                                                              <w:marRight w:val="0"/>
                                                                                              <w:marTop w:val="0"/>
                                                                                              <w:marBottom w:val="0"/>
                                                                                              <w:divBdr>
                                                                                                <w:top w:val="none" w:sz="0" w:space="0" w:color="auto"/>
                                                                                                <w:left w:val="none" w:sz="0" w:space="0" w:color="auto"/>
                                                                                                <w:bottom w:val="none" w:sz="0" w:space="0" w:color="auto"/>
                                                                                                <w:right w:val="none" w:sz="0" w:space="0" w:color="auto"/>
                                                                                              </w:divBdr>
                                                                                              <w:divsChild>
                                                                                                <w:div w:id="829296775">
                                                                                                  <w:marLeft w:val="0"/>
                                                                                                  <w:marRight w:val="0"/>
                                                                                                  <w:marTop w:val="0"/>
                                                                                                  <w:marBottom w:val="0"/>
                                                                                                  <w:divBdr>
                                                                                                    <w:top w:val="none" w:sz="0" w:space="0" w:color="auto"/>
                                                                                                    <w:left w:val="none" w:sz="0" w:space="0" w:color="auto"/>
                                                                                                    <w:bottom w:val="none" w:sz="0" w:space="0" w:color="auto"/>
                                                                                                    <w:right w:val="none" w:sz="0" w:space="0" w:color="auto"/>
                                                                                                  </w:divBdr>
                                                                                                  <w:divsChild>
                                                                                                    <w:div w:id="196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6410">
      <w:bodyDiv w:val="1"/>
      <w:marLeft w:val="0"/>
      <w:marRight w:val="0"/>
      <w:marTop w:val="0"/>
      <w:marBottom w:val="0"/>
      <w:divBdr>
        <w:top w:val="none" w:sz="0" w:space="0" w:color="auto"/>
        <w:left w:val="none" w:sz="0" w:space="0" w:color="auto"/>
        <w:bottom w:val="none" w:sz="0" w:space="0" w:color="auto"/>
        <w:right w:val="none" w:sz="0" w:space="0" w:color="auto"/>
      </w:divBdr>
      <w:divsChild>
        <w:div w:id="1327972709">
          <w:marLeft w:val="0"/>
          <w:marRight w:val="0"/>
          <w:marTop w:val="0"/>
          <w:marBottom w:val="0"/>
          <w:divBdr>
            <w:top w:val="none" w:sz="0" w:space="0" w:color="auto"/>
            <w:left w:val="none" w:sz="0" w:space="0" w:color="auto"/>
            <w:bottom w:val="none" w:sz="0" w:space="0" w:color="auto"/>
            <w:right w:val="none" w:sz="0" w:space="0" w:color="auto"/>
          </w:divBdr>
          <w:divsChild>
            <w:div w:id="1811244375">
              <w:marLeft w:val="0"/>
              <w:marRight w:val="0"/>
              <w:marTop w:val="0"/>
              <w:marBottom w:val="0"/>
              <w:divBdr>
                <w:top w:val="none" w:sz="0" w:space="0" w:color="auto"/>
                <w:left w:val="none" w:sz="0" w:space="0" w:color="auto"/>
                <w:bottom w:val="none" w:sz="0" w:space="0" w:color="auto"/>
                <w:right w:val="none" w:sz="0" w:space="0" w:color="auto"/>
              </w:divBdr>
              <w:divsChild>
                <w:div w:id="550272328">
                  <w:marLeft w:val="0"/>
                  <w:marRight w:val="0"/>
                  <w:marTop w:val="960"/>
                  <w:marBottom w:val="0"/>
                  <w:divBdr>
                    <w:top w:val="none" w:sz="0" w:space="0" w:color="auto"/>
                    <w:left w:val="none" w:sz="0" w:space="0" w:color="auto"/>
                    <w:bottom w:val="none" w:sz="0" w:space="0" w:color="auto"/>
                    <w:right w:val="none" w:sz="0" w:space="0" w:color="auto"/>
                  </w:divBdr>
                  <w:divsChild>
                    <w:div w:id="2115317544">
                      <w:marLeft w:val="0"/>
                      <w:marRight w:val="0"/>
                      <w:marTop w:val="0"/>
                      <w:marBottom w:val="0"/>
                      <w:divBdr>
                        <w:top w:val="none" w:sz="0" w:space="0" w:color="auto"/>
                        <w:left w:val="none" w:sz="0" w:space="0" w:color="auto"/>
                        <w:bottom w:val="none" w:sz="0" w:space="0" w:color="auto"/>
                        <w:right w:val="none" w:sz="0" w:space="0" w:color="auto"/>
                      </w:divBdr>
                      <w:divsChild>
                        <w:div w:id="43607013">
                          <w:marLeft w:val="0"/>
                          <w:marRight w:val="0"/>
                          <w:marTop w:val="0"/>
                          <w:marBottom w:val="0"/>
                          <w:divBdr>
                            <w:top w:val="none" w:sz="0" w:space="0" w:color="auto"/>
                            <w:left w:val="none" w:sz="0" w:space="0" w:color="auto"/>
                            <w:bottom w:val="none" w:sz="0" w:space="0" w:color="auto"/>
                            <w:right w:val="none" w:sz="0" w:space="0" w:color="auto"/>
                          </w:divBdr>
                          <w:divsChild>
                            <w:div w:id="724139737">
                              <w:marLeft w:val="0"/>
                              <w:marRight w:val="0"/>
                              <w:marTop w:val="0"/>
                              <w:marBottom w:val="0"/>
                              <w:divBdr>
                                <w:top w:val="none" w:sz="0" w:space="0" w:color="auto"/>
                                <w:left w:val="none" w:sz="0" w:space="0" w:color="auto"/>
                                <w:bottom w:val="none" w:sz="0" w:space="0" w:color="auto"/>
                                <w:right w:val="none" w:sz="0" w:space="0" w:color="auto"/>
                              </w:divBdr>
                              <w:divsChild>
                                <w:div w:id="1241789651">
                                  <w:marLeft w:val="0"/>
                                  <w:marRight w:val="0"/>
                                  <w:marTop w:val="0"/>
                                  <w:marBottom w:val="0"/>
                                  <w:divBdr>
                                    <w:top w:val="none" w:sz="0" w:space="0" w:color="auto"/>
                                    <w:left w:val="none" w:sz="0" w:space="0" w:color="auto"/>
                                    <w:bottom w:val="none" w:sz="0" w:space="0" w:color="auto"/>
                                    <w:right w:val="none" w:sz="0" w:space="0" w:color="auto"/>
                                  </w:divBdr>
                                  <w:divsChild>
                                    <w:div w:id="1352217555">
                                      <w:marLeft w:val="0"/>
                                      <w:marRight w:val="0"/>
                                      <w:marTop w:val="0"/>
                                      <w:marBottom w:val="0"/>
                                      <w:divBdr>
                                        <w:top w:val="none" w:sz="0" w:space="0" w:color="auto"/>
                                        <w:left w:val="none" w:sz="0" w:space="0" w:color="auto"/>
                                        <w:bottom w:val="none" w:sz="0" w:space="0" w:color="auto"/>
                                        <w:right w:val="none" w:sz="0" w:space="0" w:color="auto"/>
                                      </w:divBdr>
                                      <w:divsChild>
                                        <w:div w:id="258493337">
                                          <w:marLeft w:val="0"/>
                                          <w:marRight w:val="0"/>
                                          <w:marTop w:val="0"/>
                                          <w:marBottom w:val="0"/>
                                          <w:divBdr>
                                            <w:top w:val="none" w:sz="0" w:space="0" w:color="auto"/>
                                            <w:left w:val="none" w:sz="0" w:space="0" w:color="auto"/>
                                            <w:bottom w:val="none" w:sz="0" w:space="0" w:color="auto"/>
                                            <w:right w:val="none" w:sz="0" w:space="0" w:color="auto"/>
                                          </w:divBdr>
                                        </w:div>
                                        <w:div w:id="439959238">
                                          <w:marLeft w:val="0"/>
                                          <w:marRight w:val="0"/>
                                          <w:marTop w:val="0"/>
                                          <w:marBottom w:val="0"/>
                                          <w:divBdr>
                                            <w:top w:val="none" w:sz="0" w:space="0" w:color="auto"/>
                                            <w:left w:val="none" w:sz="0" w:space="0" w:color="auto"/>
                                            <w:bottom w:val="none" w:sz="0" w:space="0" w:color="auto"/>
                                            <w:right w:val="none" w:sz="0" w:space="0" w:color="auto"/>
                                          </w:divBdr>
                                        </w:div>
                                        <w:div w:id="1280334653">
                                          <w:marLeft w:val="0"/>
                                          <w:marRight w:val="0"/>
                                          <w:marTop w:val="0"/>
                                          <w:marBottom w:val="0"/>
                                          <w:divBdr>
                                            <w:top w:val="none" w:sz="0" w:space="0" w:color="auto"/>
                                            <w:left w:val="none" w:sz="0" w:space="0" w:color="auto"/>
                                            <w:bottom w:val="none" w:sz="0" w:space="0" w:color="auto"/>
                                            <w:right w:val="none" w:sz="0" w:space="0" w:color="auto"/>
                                          </w:divBdr>
                                        </w:div>
                                        <w:div w:id="1302614182">
                                          <w:marLeft w:val="0"/>
                                          <w:marRight w:val="0"/>
                                          <w:marTop w:val="0"/>
                                          <w:marBottom w:val="0"/>
                                          <w:divBdr>
                                            <w:top w:val="none" w:sz="0" w:space="0" w:color="auto"/>
                                            <w:left w:val="none" w:sz="0" w:space="0" w:color="auto"/>
                                            <w:bottom w:val="none" w:sz="0" w:space="0" w:color="auto"/>
                                            <w:right w:val="none" w:sz="0" w:space="0" w:color="auto"/>
                                          </w:divBdr>
                                        </w:div>
                                        <w:div w:id="141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333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714">
          <w:marLeft w:val="0"/>
          <w:marRight w:val="0"/>
          <w:marTop w:val="0"/>
          <w:marBottom w:val="0"/>
          <w:divBdr>
            <w:top w:val="none" w:sz="0" w:space="0" w:color="auto"/>
            <w:left w:val="none" w:sz="0" w:space="0" w:color="auto"/>
            <w:bottom w:val="none" w:sz="0" w:space="0" w:color="auto"/>
            <w:right w:val="none" w:sz="0" w:space="0" w:color="auto"/>
          </w:divBdr>
          <w:divsChild>
            <w:div w:id="1075006080">
              <w:marLeft w:val="0"/>
              <w:marRight w:val="0"/>
              <w:marTop w:val="0"/>
              <w:marBottom w:val="0"/>
              <w:divBdr>
                <w:top w:val="none" w:sz="0" w:space="0" w:color="auto"/>
                <w:left w:val="none" w:sz="0" w:space="0" w:color="auto"/>
                <w:bottom w:val="none" w:sz="0" w:space="0" w:color="auto"/>
                <w:right w:val="none" w:sz="0" w:space="0" w:color="auto"/>
              </w:divBdr>
              <w:divsChild>
                <w:div w:id="511147836">
                  <w:marLeft w:val="-225"/>
                  <w:marRight w:val="-225"/>
                  <w:marTop w:val="0"/>
                  <w:marBottom w:val="0"/>
                  <w:divBdr>
                    <w:top w:val="none" w:sz="0" w:space="0" w:color="auto"/>
                    <w:left w:val="none" w:sz="0" w:space="0" w:color="auto"/>
                    <w:bottom w:val="none" w:sz="0" w:space="0" w:color="auto"/>
                    <w:right w:val="none" w:sz="0" w:space="0" w:color="auto"/>
                  </w:divBdr>
                  <w:divsChild>
                    <w:div w:id="1218319138">
                      <w:marLeft w:val="0"/>
                      <w:marRight w:val="0"/>
                      <w:marTop w:val="0"/>
                      <w:marBottom w:val="0"/>
                      <w:divBdr>
                        <w:top w:val="none" w:sz="0" w:space="0" w:color="auto"/>
                        <w:left w:val="none" w:sz="0" w:space="0" w:color="auto"/>
                        <w:bottom w:val="none" w:sz="0" w:space="0" w:color="auto"/>
                        <w:right w:val="none" w:sz="0" w:space="0" w:color="auto"/>
                      </w:divBdr>
                      <w:divsChild>
                        <w:div w:id="1124226429">
                          <w:marLeft w:val="0"/>
                          <w:marRight w:val="0"/>
                          <w:marTop w:val="0"/>
                          <w:marBottom w:val="0"/>
                          <w:divBdr>
                            <w:top w:val="none" w:sz="0" w:space="0" w:color="auto"/>
                            <w:left w:val="none" w:sz="0" w:space="0" w:color="auto"/>
                            <w:bottom w:val="none" w:sz="0" w:space="0" w:color="auto"/>
                            <w:right w:val="none" w:sz="0" w:space="0" w:color="auto"/>
                          </w:divBdr>
                          <w:divsChild>
                            <w:div w:id="1298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02724">
      <w:bodyDiv w:val="1"/>
      <w:marLeft w:val="0"/>
      <w:marRight w:val="0"/>
      <w:marTop w:val="0"/>
      <w:marBottom w:val="0"/>
      <w:divBdr>
        <w:top w:val="none" w:sz="0" w:space="0" w:color="auto"/>
        <w:left w:val="none" w:sz="0" w:space="0" w:color="auto"/>
        <w:bottom w:val="none" w:sz="0" w:space="0" w:color="auto"/>
        <w:right w:val="none" w:sz="0" w:space="0" w:color="auto"/>
      </w:divBdr>
      <w:divsChild>
        <w:div w:id="1322008806">
          <w:marLeft w:val="0"/>
          <w:marRight w:val="0"/>
          <w:marTop w:val="0"/>
          <w:marBottom w:val="0"/>
          <w:divBdr>
            <w:top w:val="none" w:sz="0" w:space="0" w:color="auto"/>
            <w:left w:val="none" w:sz="0" w:space="0" w:color="auto"/>
            <w:bottom w:val="none" w:sz="0" w:space="0" w:color="auto"/>
            <w:right w:val="none" w:sz="0" w:space="0" w:color="auto"/>
          </w:divBdr>
          <w:divsChild>
            <w:div w:id="596136711">
              <w:marLeft w:val="0"/>
              <w:marRight w:val="0"/>
              <w:marTop w:val="0"/>
              <w:marBottom w:val="0"/>
              <w:divBdr>
                <w:top w:val="none" w:sz="0" w:space="0" w:color="auto"/>
                <w:left w:val="none" w:sz="0" w:space="0" w:color="auto"/>
                <w:bottom w:val="none" w:sz="0" w:space="0" w:color="auto"/>
                <w:right w:val="none" w:sz="0" w:space="0" w:color="auto"/>
              </w:divBdr>
              <w:divsChild>
                <w:div w:id="827403772">
                  <w:marLeft w:val="0"/>
                  <w:marRight w:val="0"/>
                  <w:marTop w:val="0"/>
                  <w:marBottom w:val="0"/>
                  <w:divBdr>
                    <w:top w:val="none" w:sz="0" w:space="0" w:color="auto"/>
                    <w:left w:val="none" w:sz="0" w:space="0" w:color="auto"/>
                    <w:bottom w:val="none" w:sz="0" w:space="0" w:color="auto"/>
                    <w:right w:val="none" w:sz="0" w:space="0" w:color="auto"/>
                  </w:divBdr>
                  <w:divsChild>
                    <w:div w:id="859005683">
                      <w:marLeft w:val="0"/>
                      <w:marRight w:val="0"/>
                      <w:marTop w:val="0"/>
                      <w:marBottom w:val="0"/>
                      <w:divBdr>
                        <w:top w:val="none" w:sz="0" w:space="0" w:color="auto"/>
                        <w:left w:val="none" w:sz="0" w:space="0" w:color="auto"/>
                        <w:bottom w:val="none" w:sz="0" w:space="0" w:color="auto"/>
                        <w:right w:val="none" w:sz="0" w:space="0" w:color="auto"/>
                      </w:divBdr>
                      <w:divsChild>
                        <w:div w:id="708919145">
                          <w:marLeft w:val="0"/>
                          <w:marRight w:val="0"/>
                          <w:marTop w:val="45"/>
                          <w:marBottom w:val="0"/>
                          <w:divBdr>
                            <w:top w:val="none" w:sz="0" w:space="0" w:color="auto"/>
                            <w:left w:val="none" w:sz="0" w:space="0" w:color="auto"/>
                            <w:bottom w:val="none" w:sz="0" w:space="0" w:color="auto"/>
                            <w:right w:val="none" w:sz="0" w:space="0" w:color="auto"/>
                          </w:divBdr>
                          <w:divsChild>
                            <w:div w:id="1594164325">
                              <w:marLeft w:val="0"/>
                              <w:marRight w:val="0"/>
                              <w:marTop w:val="0"/>
                              <w:marBottom w:val="0"/>
                              <w:divBdr>
                                <w:top w:val="none" w:sz="0" w:space="0" w:color="auto"/>
                                <w:left w:val="none" w:sz="0" w:space="0" w:color="auto"/>
                                <w:bottom w:val="none" w:sz="0" w:space="0" w:color="auto"/>
                                <w:right w:val="none" w:sz="0" w:space="0" w:color="auto"/>
                              </w:divBdr>
                              <w:divsChild>
                                <w:div w:id="565342475">
                                  <w:marLeft w:val="2070"/>
                                  <w:marRight w:val="3810"/>
                                  <w:marTop w:val="0"/>
                                  <w:marBottom w:val="0"/>
                                  <w:divBdr>
                                    <w:top w:val="none" w:sz="0" w:space="0" w:color="auto"/>
                                    <w:left w:val="none" w:sz="0" w:space="0" w:color="auto"/>
                                    <w:bottom w:val="none" w:sz="0" w:space="0" w:color="auto"/>
                                    <w:right w:val="none" w:sz="0" w:space="0" w:color="auto"/>
                                  </w:divBdr>
                                  <w:divsChild>
                                    <w:div w:id="611786254">
                                      <w:marLeft w:val="0"/>
                                      <w:marRight w:val="0"/>
                                      <w:marTop w:val="0"/>
                                      <w:marBottom w:val="0"/>
                                      <w:divBdr>
                                        <w:top w:val="none" w:sz="0" w:space="0" w:color="auto"/>
                                        <w:left w:val="none" w:sz="0" w:space="0" w:color="auto"/>
                                        <w:bottom w:val="none" w:sz="0" w:space="0" w:color="auto"/>
                                        <w:right w:val="none" w:sz="0" w:space="0" w:color="auto"/>
                                      </w:divBdr>
                                      <w:divsChild>
                                        <w:div w:id="1640259385">
                                          <w:marLeft w:val="0"/>
                                          <w:marRight w:val="0"/>
                                          <w:marTop w:val="0"/>
                                          <w:marBottom w:val="0"/>
                                          <w:divBdr>
                                            <w:top w:val="none" w:sz="0" w:space="0" w:color="auto"/>
                                            <w:left w:val="none" w:sz="0" w:space="0" w:color="auto"/>
                                            <w:bottom w:val="none" w:sz="0" w:space="0" w:color="auto"/>
                                            <w:right w:val="none" w:sz="0" w:space="0" w:color="auto"/>
                                          </w:divBdr>
                                          <w:divsChild>
                                            <w:div w:id="1008676196">
                                              <w:marLeft w:val="0"/>
                                              <w:marRight w:val="0"/>
                                              <w:marTop w:val="0"/>
                                              <w:marBottom w:val="0"/>
                                              <w:divBdr>
                                                <w:top w:val="none" w:sz="0" w:space="0" w:color="auto"/>
                                                <w:left w:val="none" w:sz="0" w:space="0" w:color="auto"/>
                                                <w:bottom w:val="none" w:sz="0" w:space="0" w:color="auto"/>
                                                <w:right w:val="none" w:sz="0" w:space="0" w:color="auto"/>
                                              </w:divBdr>
                                              <w:divsChild>
                                                <w:div w:id="1507330300">
                                                  <w:marLeft w:val="0"/>
                                                  <w:marRight w:val="0"/>
                                                  <w:marTop w:val="0"/>
                                                  <w:marBottom w:val="0"/>
                                                  <w:divBdr>
                                                    <w:top w:val="none" w:sz="0" w:space="0" w:color="auto"/>
                                                    <w:left w:val="none" w:sz="0" w:space="0" w:color="auto"/>
                                                    <w:bottom w:val="none" w:sz="0" w:space="0" w:color="auto"/>
                                                    <w:right w:val="none" w:sz="0" w:space="0" w:color="auto"/>
                                                  </w:divBdr>
                                                  <w:divsChild>
                                                    <w:div w:id="1437141268">
                                                      <w:marLeft w:val="0"/>
                                                      <w:marRight w:val="0"/>
                                                      <w:marTop w:val="0"/>
                                                      <w:marBottom w:val="0"/>
                                                      <w:divBdr>
                                                        <w:top w:val="none" w:sz="0" w:space="0" w:color="auto"/>
                                                        <w:left w:val="none" w:sz="0" w:space="0" w:color="auto"/>
                                                        <w:bottom w:val="none" w:sz="0" w:space="0" w:color="auto"/>
                                                        <w:right w:val="none" w:sz="0" w:space="0" w:color="auto"/>
                                                      </w:divBdr>
                                                      <w:divsChild>
                                                        <w:div w:id="1289966920">
                                                          <w:marLeft w:val="0"/>
                                                          <w:marRight w:val="0"/>
                                                          <w:marTop w:val="0"/>
                                                          <w:marBottom w:val="0"/>
                                                          <w:divBdr>
                                                            <w:top w:val="none" w:sz="0" w:space="0" w:color="auto"/>
                                                            <w:left w:val="none" w:sz="0" w:space="0" w:color="auto"/>
                                                            <w:bottom w:val="none" w:sz="0" w:space="0" w:color="auto"/>
                                                            <w:right w:val="none" w:sz="0" w:space="0" w:color="auto"/>
                                                          </w:divBdr>
                                                          <w:divsChild>
                                                            <w:div w:id="218056778">
                                                              <w:marLeft w:val="0"/>
                                                              <w:marRight w:val="0"/>
                                                              <w:marTop w:val="0"/>
                                                              <w:marBottom w:val="345"/>
                                                              <w:divBdr>
                                                                <w:top w:val="none" w:sz="0" w:space="0" w:color="auto"/>
                                                                <w:left w:val="none" w:sz="0" w:space="0" w:color="auto"/>
                                                                <w:bottom w:val="none" w:sz="0" w:space="0" w:color="auto"/>
                                                                <w:right w:val="none" w:sz="0" w:space="0" w:color="auto"/>
                                                              </w:divBdr>
                                                              <w:divsChild>
                                                                <w:div w:id="128666576">
                                                                  <w:marLeft w:val="0"/>
                                                                  <w:marRight w:val="0"/>
                                                                  <w:marTop w:val="0"/>
                                                                  <w:marBottom w:val="0"/>
                                                                  <w:divBdr>
                                                                    <w:top w:val="none" w:sz="0" w:space="0" w:color="auto"/>
                                                                    <w:left w:val="none" w:sz="0" w:space="0" w:color="auto"/>
                                                                    <w:bottom w:val="none" w:sz="0" w:space="0" w:color="auto"/>
                                                                    <w:right w:val="none" w:sz="0" w:space="0" w:color="auto"/>
                                                                  </w:divBdr>
                                                                  <w:divsChild>
                                                                    <w:div w:id="1703482666">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0"/>
                                                                          <w:divBdr>
                                                                            <w:top w:val="none" w:sz="0" w:space="0" w:color="auto"/>
                                                                            <w:left w:val="none" w:sz="0" w:space="0" w:color="auto"/>
                                                                            <w:bottom w:val="none" w:sz="0" w:space="0" w:color="auto"/>
                                                                            <w:right w:val="none" w:sz="0" w:space="0" w:color="auto"/>
                                                                          </w:divBdr>
                                                                          <w:divsChild>
                                                                            <w:div w:id="17226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56952">
      <w:bodyDiv w:val="1"/>
      <w:marLeft w:val="0"/>
      <w:marRight w:val="0"/>
      <w:marTop w:val="0"/>
      <w:marBottom w:val="0"/>
      <w:divBdr>
        <w:top w:val="none" w:sz="0" w:space="0" w:color="auto"/>
        <w:left w:val="none" w:sz="0" w:space="0" w:color="auto"/>
        <w:bottom w:val="none" w:sz="0" w:space="0" w:color="auto"/>
        <w:right w:val="none" w:sz="0" w:space="0" w:color="auto"/>
      </w:divBdr>
    </w:div>
    <w:div w:id="1557663157">
      <w:bodyDiv w:val="1"/>
      <w:marLeft w:val="0"/>
      <w:marRight w:val="0"/>
      <w:marTop w:val="0"/>
      <w:marBottom w:val="0"/>
      <w:divBdr>
        <w:top w:val="none" w:sz="0" w:space="0" w:color="auto"/>
        <w:left w:val="none" w:sz="0" w:space="0" w:color="auto"/>
        <w:bottom w:val="none" w:sz="0" w:space="0" w:color="auto"/>
        <w:right w:val="none" w:sz="0" w:space="0" w:color="auto"/>
      </w:divBdr>
    </w:div>
    <w:div w:id="1566179901">
      <w:bodyDiv w:val="1"/>
      <w:marLeft w:val="0"/>
      <w:marRight w:val="0"/>
      <w:marTop w:val="0"/>
      <w:marBottom w:val="0"/>
      <w:divBdr>
        <w:top w:val="none" w:sz="0" w:space="0" w:color="auto"/>
        <w:left w:val="none" w:sz="0" w:space="0" w:color="auto"/>
        <w:bottom w:val="none" w:sz="0" w:space="0" w:color="auto"/>
        <w:right w:val="none" w:sz="0" w:space="0" w:color="auto"/>
      </w:divBdr>
      <w:divsChild>
        <w:div w:id="1853377527">
          <w:marLeft w:val="0"/>
          <w:marRight w:val="0"/>
          <w:marTop w:val="0"/>
          <w:marBottom w:val="0"/>
          <w:divBdr>
            <w:top w:val="none" w:sz="0" w:space="0" w:color="auto"/>
            <w:left w:val="none" w:sz="0" w:space="0" w:color="auto"/>
            <w:bottom w:val="none" w:sz="0" w:space="0" w:color="auto"/>
            <w:right w:val="none" w:sz="0" w:space="0" w:color="auto"/>
          </w:divBdr>
          <w:divsChild>
            <w:div w:id="849216949">
              <w:marLeft w:val="150"/>
              <w:marRight w:val="0"/>
              <w:marTop w:val="0"/>
              <w:marBottom w:val="0"/>
              <w:divBdr>
                <w:top w:val="none" w:sz="0" w:space="0" w:color="auto"/>
                <w:left w:val="none" w:sz="0" w:space="0" w:color="auto"/>
                <w:bottom w:val="none" w:sz="0" w:space="0" w:color="auto"/>
                <w:right w:val="none" w:sz="0" w:space="0" w:color="auto"/>
              </w:divBdr>
              <w:divsChild>
                <w:div w:id="93710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7448283">
      <w:bodyDiv w:val="1"/>
      <w:marLeft w:val="0"/>
      <w:marRight w:val="0"/>
      <w:marTop w:val="0"/>
      <w:marBottom w:val="0"/>
      <w:divBdr>
        <w:top w:val="none" w:sz="0" w:space="0" w:color="auto"/>
        <w:left w:val="none" w:sz="0" w:space="0" w:color="auto"/>
        <w:bottom w:val="none" w:sz="0" w:space="0" w:color="auto"/>
        <w:right w:val="none" w:sz="0" w:space="0" w:color="auto"/>
      </w:divBdr>
      <w:divsChild>
        <w:div w:id="23756262">
          <w:marLeft w:val="0"/>
          <w:marRight w:val="0"/>
          <w:marTop w:val="0"/>
          <w:marBottom w:val="0"/>
          <w:divBdr>
            <w:top w:val="none" w:sz="0" w:space="0" w:color="auto"/>
            <w:left w:val="none" w:sz="0" w:space="0" w:color="auto"/>
            <w:bottom w:val="none" w:sz="0" w:space="0" w:color="auto"/>
            <w:right w:val="none" w:sz="0" w:space="0" w:color="auto"/>
          </w:divBdr>
        </w:div>
        <w:div w:id="23799482">
          <w:marLeft w:val="0"/>
          <w:marRight w:val="0"/>
          <w:marTop w:val="0"/>
          <w:marBottom w:val="0"/>
          <w:divBdr>
            <w:top w:val="none" w:sz="0" w:space="0" w:color="auto"/>
            <w:left w:val="none" w:sz="0" w:space="0" w:color="auto"/>
            <w:bottom w:val="none" w:sz="0" w:space="0" w:color="auto"/>
            <w:right w:val="none" w:sz="0" w:space="0" w:color="auto"/>
          </w:divBdr>
        </w:div>
        <w:div w:id="24141924">
          <w:marLeft w:val="0"/>
          <w:marRight w:val="0"/>
          <w:marTop w:val="0"/>
          <w:marBottom w:val="0"/>
          <w:divBdr>
            <w:top w:val="none" w:sz="0" w:space="0" w:color="auto"/>
            <w:left w:val="none" w:sz="0" w:space="0" w:color="auto"/>
            <w:bottom w:val="none" w:sz="0" w:space="0" w:color="auto"/>
            <w:right w:val="none" w:sz="0" w:space="0" w:color="auto"/>
          </w:divBdr>
        </w:div>
        <w:div w:id="965702007">
          <w:marLeft w:val="0"/>
          <w:marRight w:val="0"/>
          <w:marTop w:val="0"/>
          <w:marBottom w:val="0"/>
          <w:divBdr>
            <w:top w:val="none" w:sz="0" w:space="0" w:color="auto"/>
            <w:left w:val="none" w:sz="0" w:space="0" w:color="auto"/>
            <w:bottom w:val="none" w:sz="0" w:space="0" w:color="auto"/>
            <w:right w:val="none" w:sz="0" w:space="0" w:color="auto"/>
          </w:divBdr>
        </w:div>
        <w:div w:id="1011419085">
          <w:marLeft w:val="0"/>
          <w:marRight w:val="0"/>
          <w:marTop w:val="0"/>
          <w:marBottom w:val="0"/>
          <w:divBdr>
            <w:top w:val="none" w:sz="0" w:space="0" w:color="auto"/>
            <w:left w:val="none" w:sz="0" w:space="0" w:color="auto"/>
            <w:bottom w:val="none" w:sz="0" w:space="0" w:color="auto"/>
            <w:right w:val="none" w:sz="0" w:space="0" w:color="auto"/>
          </w:divBdr>
        </w:div>
        <w:div w:id="1151212084">
          <w:marLeft w:val="0"/>
          <w:marRight w:val="0"/>
          <w:marTop w:val="0"/>
          <w:marBottom w:val="0"/>
          <w:divBdr>
            <w:top w:val="none" w:sz="0" w:space="0" w:color="auto"/>
            <w:left w:val="none" w:sz="0" w:space="0" w:color="auto"/>
            <w:bottom w:val="none" w:sz="0" w:space="0" w:color="auto"/>
            <w:right w:val="none" w:sz="0" w:space="0" w:color="auto"/>
          </w:divBdr>
        </w:div>
        <w:div w:id="1171021617">
          <w:marLeft w:val="0"/>
          <w:marRight w:val="0"/>
          <w:marTop w:val="0"/>
          <w:marBottom w:val="0"/>
          <w:divBdr>
            <w:top w:val="none" w:sz="0" w:space="0" w:color="auto"/>
            <w:left w:val="none" w:sz="0" w:space="0" w:color="auto"/>
            <w:bottom w:val="none" w:sz="0" w:space="0" w:color="auto"/>
            <w:right w:val="none" w:sz="0" w:space="0" w:color="auto"/>
          </w:divBdr>
        </w:div>
        <w:div w:id="1370643434">
          <w:marLeft w:val="0"/>
          <w:marRight w:val="0"/>
          <w:marTop w:val="0"/>
          <w:marBottom w:val="0"/>
          <w:divBdr>
            <w:top w:val="none" w:sz="0" w:space="0" w:color="auto"/>
            <w:left w:val="none" w:sz="0" w:space="0" w:color="auto"/>
            <w:bottom w:val="none" w:sz="0" w:space="0" w:color="auto"/>
            <w:right w:val="none" w:sz="0" w:space="0" w:color="auto"/>
          </w:divBdr>
        </w:div>
        <w:div w:id="1565721289">
          <w:marLeft w:val="0"/>
          <w:marRight w:val="0"/>
          <w:marTop w:val="0"/>
          <w:marBottom w:val="0"/>
          <w:divBdr>
            <w:top w:val="none" w:sz="0" w:space="0" w:color="auto"/>
            <w:left w:val="none" w:sz="0" w:space="0" w:color="auto"/>
            <w:bottom w:val="none" w:sz="0" w:space="0" w:color="auto"/>
            <w:right w:val="none" w:sz="0" w:space="0" w:color="auto"/>
          </w:divBdr>
        </w:div>
        <w:div w:id="1606576976">
          <w:marLeft w:val="0"/>
          <w:marRight w:val="0"/>
          <w:marTop w:val="0"/>
          <w:marBottom w:val="0"/>
          <w:divBdr>
            <w:top w:val="none" w:sz="0" w:space="0" w:color="auto"/>
            <w:left w:val="none" w:sz="0" w:space="0" w:color="auto"/>
            <w:bottom w:val="none" w:sz="0" w:space="0" w:color="auto"/>
            <w:right w:val="none" w:sz="0" w:space="0" w:color="auto"/>
          </w:divBdr>
        </w:div>
        <w:div w:id="2141216580">
          <w:marLeft w:val="0"/>
          <w:marRight w:val="0"/>
          <w:marTop w:val="0"/>
          <w:marBottom w:val="0"/>
          <w:divBdr>
            <w:top w:val="none" w:sz="0" w:space="0" w:color="auto"/>
            <w:left w:val="none" w:sz="0" w:space="0" w:color="auto"/>
            <w:bottom w:val="none" w:sz="0" w:space="0" w:color="auto"/>
            <w:right w:val="none" w:sz="0" w:space="0" w:color="auto"/>
          </w:divBdr>
        </w:div>
        <w:div w:id="2144959274">
          <w:marLeft w:val="0"/>
          <w:marRight w:val="0"/>
          <w:marTop w:val="0"/>
          <w:marBottom w:val="0"/>
          <w:divBdr>
            <w:top w:val="none" w:sz="0" w:space="0" w:color="auto"/>
            <w:left w:val="none" w:sz="0" w:space="0" w:color="auto"/>
            <w:bottom w:val="none" w:sz="0" w:space="0" w:color="auto"/>
            <w:right w:val="none" w:sz="0" w:space="0" w:color="auto"/>
          </w:divBdr>
        </w:div>
      </w:divsChild>
    </w:div>
    <w:div w:id="1574123140">
      <w:bodyDiv w:val="1"/>
      <w:marLeft w:val="0"/>
      <w:marRight w:val="0"/>
      <w:marTop w:val="0"/>
      <w:marBottom w:val="0"/>
      <w:divBdr>
        <w:top w:val="none" w:sz="0" w:space="0" w:color="auto"/>
        <w:left w:val="none" w:sz="0" w:space="0" w:color="auto"/>
        <w:bottom w:val="none" w:sz="0" w:space="0" w:color="auto"/>
        <w:right w:val="none" w:sz="0" w:space="0" w:color="auto"/>
      </w:divBdr>
    </w:div>
    <w:div w:id="1650556232">
      <w:bodyDiv w:val="1"/>
      <w:marLeft w:val="0"/>
      <w:marRight w:val="0"/>
      <w:marTop w:val="0"/>
      <w:marBottom w:val="0"/>
      <w:divBdr>
        <w:top w:val="none" w:sz="0" w:space="0" w:color="auto"/>
        <w:left w:val="none" w:sz="0" w:space="0" w:color="auto"/>
        <w:bottom w:val="none" w:sz="0" w:space="0" w:color="auto"/>
        <w:right w:val="none" w:sz="0" w:space="0" w:color="auto"/>
      </w:divBdr>
      <w:divsChild>
        <w:div w:id="1520074153">
          <w:marLeft w:val="0"/>
          <w:marRight w:val="0"/>
          <w:marTop w:val="0"/>
          <w:marBottom w:val="0"/>
          <w:divBdr>
            <w:top w:val="none" w:sz="0" w:space="0" w:color="auto"/>
            <w:left w:val="none" w:sz="0" w:space="0" w:color="auto"/>
            <w:bottom w:val="none" w:sz="0" w:space="0" w:color="auto"/>
            <w:right w:val="none" w:sz="0" w:space="0" w:color="auto"/>
          </w:divBdr>
          <w:divsChild>
            <w:div w:id="2120948066">
              <w:marLeft w:val="0"/>
              <w:marRight w:val="0"/>
              <w:marTop w:val="0"/>
              <w:marBottom w:val="0"/>
              <w:divBdr>
                <w:top w:val="none" w:sz="0" w:space="0" w:color="auto"/>
                <w:left w:val="none" w:sz="0" w:space="0" w:color="auto"/>
                <w:bottom w:val="none" w:sz="0" w:space="0" w:color="auto"/>
                <w:right w:val="none" w:sz="0" w:space="0" w:color="auto"/>
              </w:divBdr>
              <w:divsChild>
                <w:div w:id="68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419">
      <w:bodyDiv w:val="1"/>
      <w:marLeft w:val="0"/>
      <w:marRight w:val="0"/>
      <w:marTop w:val="0"/>
      <w:marBottom w:val="0"/>
      <w:divBdr>
        <w:top w:val="none" w:sz="0" w:space="0" w:color="auto"/>
        <w:left w:val="none" w:sz="0" w:space="0" w:color="auto"/>
        <w:bottom w:val="none" w:sz="0" w:space="0" w:color="auto"/>
        <w:right w:val="none" w:sz="0" w:space="0" w:color="auto"/>
      </w:divBdr>
      <w:divsChild>
        <w:div w:id="299267707">
          <w:marLeft w:val="0"/>
          <w:marRight w:val="0"/>
          <w:marTop w:val="0"/>
          <w:marBottom w:val="0"/>
          <w:divBdr>
            <w:top w:val="none" w:sz="0" w:space="0" w:color="auto"/>
            <w:left w:val="none" w:sz="0" w:space="0" w:color="auto"/>
            <w:bottom w:val="none" w:sz="0" w:space="0" w:color="auto"/>
            <w:right w:val="none" w:sz="0" w:space="0" w:color="auto"/>
          </w:divBdr>
          <w:divsChild>
            <w:div w:id="1552767149">
              <w:marLeft w:val="0"/>
              <w:marRight w:val="0"/>
              <w:marTop w:val="1275"/>
              <w:marBottom w:val="0"/>
              <w:divBdr>
                <w:top w:val="none" w:sz="0" w:space="0" w:color="auto"/>
                <w:left w:val="none" w:sz="0" w:space="0" w:color="auto"/>
                <w:bottom w:val="none" w:sz="0" w:space="0" w:color="auto"/>
                <w:right w:val="none" w:sz="0" w:space="0" w:color="auto"/>
              </w:divBdr>
              <w:divsChild>
                <w:div w:id="62200486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9889">
      <w:bodyDiv w:val="1"/>
      <w:marLeft w:val="0"/>
      <w:marRight w:val="0"/>
      <w:marTop w:val="0"/>
      <w:marBottom w:val="0"/>
      <w:divBdr>
        <w:top w:val="none" w:sz="0" w:space="0" w:color="auto"/>
        <w:left w:val="none" w:sz="0" w:space="0" w:color="auto"/>
        <w:bottom w:val="none" w:sz="0" w:space="0" w:color="auto"/>
        <w:right w:val="none" w:sz="0" w:space="0" w:color="auto"/>
      </w:divBdr>
      <w:divsChild>
        <w:div w:id="237180882">
          <w:marLeft w:val="0"/>
          <w:marRight w:val="0"/>
          <w:marTop w:val="0"/>
          <w:marBottom w:val="0"/>
          <w:divBdr>
            <w:top w:val="none" w:sz="0" w:space="0" w:color="auto"/>
            <w:left w:val="none" w:sz="0" w:space="0" w:color="auto"/>
            <w:bottom w:val="none" w:sz="0" w:space="0" w:color="auto"/>
            <w:right w:val="none" w:sz="0" w:space="0" w:color="auto"/>
          </w:divBdr>
        </w:div>
        <w:div w:id="1787313880">
          <w:marLeft w:val="0"/>
          <w:marRight w:val="0"/>
          <w:marTop w:val="0"/>
          <w:marBottom w:val="0"/>
          <w:divBdr>
            <w:top w:val="none" w:sz="0" w:space="0" w:color="auto"/>
            <w:left w:val="none" w:sz="0" w:space="0" w:color="auto"/>
            <w:bottom w:val="none" w:sz="0" w:space="0" w:color="auto"/>
            <w:right w:val="none" w:sz="0" w:space="0" w:color="auto"/>
          </w:divBdr>
        </w:div>
        <w:div w:id="2000420983">
          <w:marLeft w:val="0"/>
          <w:marRight w:val="0"/>
          <w:marTop w:val="0"/>
          <w:marBottom w:val="0"/>
          <w:divBdr>
            <w:top w:val="none" w:sz="0" w:space="0" w:color="auto"/>
            <w:left w:val="none" w:sz="0" w:space="0" w:color="auto"/>
            <w:bottom w:val="none" w:sz="0" w:space="0" w:color="auto"/>
            <w:right w:val="none" w:sz="0" w:space="0" w:color="auto"/>
          </w:divBdr>
        </w:div>
      </w:divsChild>
    </w:div>
    <w:div w:id="1710371676">
      <w:bodyDiv w:val="1"/>
      <w:marLeft w:val="0"/>
      <w:marRight w:val="0"/>
      <w:marTop w:val="0"/>
      <w:marBottom w:val="0"/>
      <w:divBdr>
        <w:top w:val="none" w:sz="0" w:space="0" w:color="auto"/>
        <w:left w:val="none" w:sz="0" w:space="0" w:color="auto"/>
        <w:bottom w:val="none" w:sz="0" w:space="0" w:color="auto"/>
        <w:right w:val="none" w:sz="0" w:space="0" w:color="auto"/>
      </w:divBdr>
      <w:divsChild>
        <w:div w:id="1750156235">
          <w:marLeft w:val="0"/>
          <w:marRight w:val="0"/>
          <w:marTop w:val="0"/>
          <w:marBottom w:val="0"/>
          <w:divBdr>
            <w:top w:val="none" w:sz="0" w:space="0" w:color="auto"/>
            <w:left w:val="none" w:sz="0" w:space="0" w:color="auto"/>
            <w:bottom w:val="none" w:sz="0" w:space="0" w:color="auto"/>
            <w:right w:val="none" w:sz="0" w:space="0" w:color="auto"/>
          </w:divBdr>
          <w:divsChild>
            <w:div w:id="131601542">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sChild>
                    <w:div w:id="2051803364">
                      <w:marLeft w:val="150"/>
                      <w:marRight w:val="150"/>
                      <w:marTop w:val="0"/>
                      <w:marBottom w:val="0"/>
                      <w:divBdr>
                        <w:top w:val="none" w:sz="0" w:space="0" w:color="auto"/>
                        <w:left w:val="none" w:sz="0" w:space="0" w:color="auto"/>
                        <w:bottom w:val="none" w:sz="0" w:space="0" w:color="auto"/>
                        <w:right w:val="none" w:sz="0" w:space="0" w:color="auto"/>
                      </w:divBdr>
                      <w:divsChild>
                        <w:div w:id="766192826">
                          <w:marLeft w:val="0"/>
                          <w:marRight w:val="0"/>
                          <w:marTop w:val="0"/>
                          <w:marBottom w:val="0"/>
                          <w:divBdr>
                            <w:top w:val="none" w:sz="0" w:space="0" w:color="auto"/>
                            <w:left w:val="none" w:sz="0" w:space="0" w:color="auto"/>
                            <w:bottom w:val="none" w:sz="0" w:space="0" w:color="auto"/>
                            <w:right w:val="none" w:sz="0" w:space="0" w:color="auto"/>
                          </w:divBdr>
                          <w:divsChild>
                            <w:div w:id="1707411504">
                              <w:marLeft w:val="0"/>
                              <w:marRight w:val="0"/>
                              <w:marTop w:val="0"/>
                              <w:marBottom w:val="0"/>
                              <w:divBdr>
                                <w:top w:val="none" w:sz="0" w:space="0" w:color="auto"/>
                                <w:left w:val="none" w:sz="0" w:space="0" w:color="auto"/>
                                <w:bottom w:val="none" w:sz="0" w:space="0" w:color="auto"/>
                                <w:right w:val="none" w:sz="0" w:space="0" w:color="auto"/>
                              </w:divBdr>
                              <w:divsChild>
                                <w:div w:id="40248715">
                                  <w:marLeft w:val="0"/>
                                  <w:marRight w:val="0"/>
                                  <w:marTop w:val="0"/>
                                  <w:marBottom w:val="0"/>
                                  <w:divBdr>
                                    <w:top w:val="none" w:sz="0" w:space="0" w:color="auto"/>
                                    <w:left w:val="none" w:sz="0" w:space="0" w:color="auto"/>
                                    <w:bottom w:val="none" w:sz="0" w:space="0" w:color="auto"/>
                                    <w:right w:val="none" w:sz="0" w:space="0" w:color="auto"/>
                                  </w:divBdr>
                                  <w:divsChild>
                                    <w:div w:id="1187906277">
                                      <w:marLeft w:val="0"/>
                                      <w:marRight w:val="0"/>
                                      <w:marTop w:val="0"/>
                                      <w:marBottom w:val="0"/>
                                      <w:divBdr>
                                        <w:top w:val="none" w:sz="0" w:space="0" w:color="auto"/>
                                        <w:left w:val="none" w:sz="0" w:space="0" w:color="auto"/>
                                        <w:bottom w:val="none" w:sz="0" w:space="0" w:color="auto"/>
                                        <w:right w:val="none" w:sz="0" w:space="0" w:color="auto"/>
                                      </w:divBdr>
                                      <w:divsChild>
                                        <w:div w:id="2090039336">
                                          <w:marLeft w:val="0"/>
                                          <w:marRight w:val="0"/>
                                          <w:marTop w:val="0"/>
                                          <w:marBottom w:val="0"/>
                                          <w:divBdr>
                                            <w:top w:val="none" w:sz="0" w:space="0" w:color="auto"/>
                                            <w:left w:val="none" w:sz="0" w:space="0" w:color="auto"/>
                                            <w:bottom w:val="none" w:sz="0" w:space="0" w:color="auto"/>
                                            <w:right w:val="none" w:sz="0" w:space="0" w:color="auto"/>
                                          </w:divBdr>
                                          <w:divsChild>
                                            <w:div w:id="1822111070">
                                              <w:marLeft w:val="0"/>
                                              <w:marRight w:val="0"/>
                                              <w:marTop w:val="0"/>
                                              <w:marBottom w:val="0"/>
                                              <w:divBdr>
                                                <w:top w:val="none" w:sz="0" w:space="0" w:color="auto"/>
                                                <w:left w:val="none" w:sz="0" w:space="0" w:color="auto"/>
                                                <w:bottom w:val="none" w:sz="0" w:space="0" w:color="auto"/>
                                                <w:right w:val="none" w:sz="0" w:space="0" w:color="auto"/>
                                              </w:divBdr>
                                              <w:divsChild>
                                                <w:div w:id="1011840521">
                                                  <w:marLeft w:val="0"/>
                                                  <w:marRight w:val="0"/>
                                                  <w:marTop w:val="0"/>
                                                  <w:marBottom w:val="0"/>
                                                  <w:divBdr>
                                                    <w:top w:val="none" w:sz="0" w:space="0" w:color="auto"/>
                                                    <w:left w:val="none" w:sz="0" w:space="0" w:color="auto"/>
                                                    <w:bottom w:val="none" w:sz="0" w:space="0" w:color="auto"/>
                                                    <w:right w:val="none" w:sz="0" w:space="0" w:color="auto"/>
                                                  </w:divBdr>
                                                  <w:divsChild>
                                                    <w:div w:id="1841652878">
                                                      <w:marLeft w:val="0"/>
                                                      <w:marRight w:val="0"/>
                                                      <w:marTop w:val="0"/>
                                                      <w:marBottom w:val="0"/>
                                                      <w:divBdr>
                                                        <w:top w:val="none" w:sz="0" w:space="0" w:color="auto"/>
                                                        <w:left w:val="none" w:sz="0" w:space="0" w:color="auto"/>
                                                        <w:bottom w:val="none" w:sz="0" w:space="0" w:color="auto"/>
                                                        <w:right w:val="none" w:sz="0" w:space="0" w:color="auto"/>
                                                      </w:divBdr>
                                                      <w:divsChild>
                                                        <w:div w:id="317152048">
                                                          <w:marLeft w:val="0"/>
                                                          <w:marRight w:val="0"/>
                                                          <w:marTop w:val="0"/>
                                                          <w:marBottom w:val="0"/>
                                                          <w:divBdr>
                                                            <w:top w:val="none" w:sz="0" w:space="0" w:color="auto"/>
                                                            <w:left w:val="none" w:sz="0" w:space="0" w:color="auto"/>
                                                            <w:bottom w:val="none" w:sz="0" w:space="0" w:color="auto"/>
                                                            <w:right w:val="none" w:sz="0" w:space="0" w:color="auto"/>
                                                          </w:divBdr>
                                                          <w:divsChild>
                                                            <w:div w:id="1800368380">
                                                              <w:marLeft w:val="0"/>
                                                              <w:marRight w:val="0"/>
                                                              <w:marTop w:val="0"/>
                                                              <w:marBottom w:val="0"/>
                                                              <w:divBdr>
                                                                <w:top w:val="none" w:sz="0" w:space="0" w:color="auto"/>
                                                                <w:left w:val="none" w:sz="0" w:space="0" w:color="auto"/>
                                                                <w:bottom w:val="none" w:sz="0" w:space="0" w:color="auto"/>
                                                                <w:right w:val="none" w:sz="0" w:space="0" w:color="auto"/>
                                                              </w:divBdr>
                                                              <w:divsChild>
                                                                <w:div w:id="885802192">
                                                                  <w:marLeft w:val="0"/>
                                                                  <w:marRight w:val="0"/>
                                                                  <w:marTop w:val="0"/>
                                                                  <w:marBottom w:val="0"/>
                                                                  <w:divBdr>
                                                                    <w:top w:val="none" w:sz="0" w:space="0" w:color="auto"/>
                                                                    <w:left w:val="none" w:sz="0" w:space="0" w:color="auto"/>
                                                                    <w:bottom w:val="none" w:sz="0" w:space="0" w:color="auto"/>
                                                                    <w:right w:val="none" w:sz="0" w:space="0" w:color="auto"/>
                                                                  </w:divBdr>
                                                                  <w:divsChild>
                                                                    <w:div w:id="1252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03456">
      <w:bodyDiv w:val="1"/>
      <w:marLeft w:val="0"/>
      <w:marRight w:val="0"/>
      <w:marTop w:val="0"/>
      <w:marBottom w:val="0"/>
      <w:divBdr>
        <w:top w:val="none" w:sz="0" w:space="0" w:color="auto"/>
        <w:left w:val="none" w:sz="0" w:space="0" w:color="auto"/>
        <w:bottom w:val="none" w:sz="0" w:space="0" w:color="auto"/>
        <w:right w:val="none" w:sz="0" w:space="0" w:color="auto"/>
      </w:divBdr>
    </w:div>
    <w:div w:id="1763447395">
      <w:bodyDiv w:val="1"/>
      <w:marLeft w:val="0"/>
      <w:marRight w:val="0"/>
      <w:marTop w:val="0"/>
      <w:marBottom w:val="0"/>
      <w:divBdr>
        <w:top w:val="none" w:sz="0" w:space="0" w:color="auto"/>
        <w:left w:val="none" w:sz="0" w:space="0" w:color="auto"/>
        <w:bottom w:val="none" w:sz="0" w:space="0" w:color="auto"/>
        <w:right w:val="none" w:sz="0" w:space="0" w:color="auto"/>
      </w:divBdr>
      <w:divsChild>
        <w:div w:id="201868342">
          <w:marLeft w:val="0"/>
          <w:marRight w:val="0"/>
          <w:marTop w:val="0"/>
          <w:marBottom w:val="450"/>
          <w:divBdr>
            <w:top w:val="none" w:sz="0" w:space="0" w:color="auto"/>
            <w:left w:val="none" w:sz="0" w:space="0" w:color="auto"/>
            <w:bottom w:val="none" w:sz="0" w:space="0" w:color="auto"/>
            <w:right w:val="none" w:sz="0" w:space="0" w:color="auto"/>
          </w:divBdr>
          <w:divsChild>
            <w:div w:id="512454304">
              <w:marLeft w:val="3472"/>
              <w:marRight w:val="0"/>
              <w:marTop w:val="0"/>
              <w:marBottom w:val="0"/>
              <w:divBdr>
                <w:top w:val="none" w:sz="0" w:space="0" w:color="auto"/>
                <w:left w:val="none" w:sz="0" w:space="0" w:color="auto"/>
                <w:bottom w:val="none" w:sz="0" w:space="0" w:color="auto"/>
                <w:right w:val="none" w:sz="0" w:space="0" w:color="auto"/>
              </w:divBdr>
              <w:divsChild>
                <w:div w:id="855732166">
                  <w:marLeft w:val="0"/>
                  <w:marRight w:val="0"/>
                  <w:marTop w:val="0"/>
                  <w:marBottom w:val="0"/>
                  <w:divBdr>
                    <w:top w:val="none" w:sz="0" w:space="0" w:color="auto"/>
                    <w:left w:val="none" w:sz="0" w:space="0" w:color="auto"/>
                    <w:bottom w:val="none" w:sz="0" w:space="0" w:color="auto"/>
                    <w:right w:val="none" w:sz="0" w:space="0" w:color="auto"/>
                  </w:divBdr>
                  <w:divsChild>
                    <w:div w:id="353575653">
                      <w:marLeft w:val="0"/>
                      <w:marRight w:val="0"/>
                      <w:marTop w:val="0"/>
                      <w:marBottom w:val="0"/>
                      <w:divBdr>
                        <w:top w:val="none" w:sz="0" w:space="0" w:color="auto"/>
                        <w:left w:val="none" w:sz="0" w:space="0" w:color="auto"/>
                        <w:bottom w:val="none" w:sz="0" w:space="0" w:color="auto"/>
                        <w:right w:val="none" w:sz="0" w:space="0" w:color="auto"/>
                      </w:divBdr>
                      <w:divsChild>
                        <w:div w:id="1444494891">
                          <w:marLeft w:val="0"/>
                          <w:marRight w:val="0"/>
                          <w:marTop w:val="0"/>
                          <w:marBottom w:val="0"/>
                          <w:divBdr>
                            <w:top w:val="none" w:sz="0" w:space="0" w:color="auto"/>
                            <w:left w:val="none" w:sz="0" w:space="0" w:color="auto"/>
                            <w:bottom w:val="none" w:sz="0" w:space="0" w:color="auto"/>
                            <w:right w:val="none" w:sz="0" w:space="0" w:color="auto"/>
                          </w:divBdr>
                          <w:divsChild>
                            <w:div w:id="942692837">
                              <w:marLeft w:val="0"/>
                              <w:marRight w:val="0"/>
                              <w:marTop w:val="0"/>
                              <w:marBottom w:val="0"/>
                              <w:divBdr>
                                <w:top w:val="none" w:sz="0" w:space="0" w:color="auto"/>
                                <w:left w:val="none" w:sz="0" w:space="0" w:color="auto"/>
                                <w:bottom w:val="none" w:sz="0" w:space="0" w:color="auto"/>
                                <w:right w:val="none" w:sz="0" w:space="0" w:color="auto"/>
                              </w:divBdr>
                              <w:divsChild>
                                <w:div w:id="936789639">
                                  <w:marLeft w:val="0"/>
                                  <w:marRight w:val="0"/>
                                  <w:marTop w:val="0"/>
                                  <w:marBottom w:val="0"/>
                                  <w:divBdr>
                                    <w:top w:val="none" w:sz="0" w:space="0" w:color="auto"/>
                                    <w:left w:val="none" w:sz="0" w:space="0" w:color="auto"/>
                                    <w:bottom w:val="none" w:sz="0" w:space="0" w:color="auto"/>
                                    <w:right w:val="none" w:sz="0" w:space="0" w:color="auto"/>
                                  </w:divBdr>
                                  <w:divsChild>
                                    <w:div w:id="1043210834">
                                      <w:marLeft w:val="0"/>
                                      <w:marRight w:val="0"/>
                                      <w:marTop w:val="0"/>
                                      <w:marBottom w:val="0"/>
                                      <w:divBdr>
                                        <w:top w:val="none" w:sz="0" w:space="0" w:color="auto"/>
                                        <w:left w:val="none" w:sz="0" w:space="0" w:color="auto"/>
                                        <w:bottom w:val="none" w:sz="0" w:space="0" w:color="auto"/>
                                        <w:right w:val="none" w:sz="0" w:space="0" w:color="auto"/>
                                      </w:divBdr>
                                      <w:divsChild>
                                        <w:div w:id="66459901">
                                          <w:marLeft w:val="0"/>
                                          <w:marRight w:val="0"/>
                                          <w:marTop w:val="0"/>
                                          <w:marBottom w:val="0"/>
                                          <w:divBdr>
                                            <w:top w:val="none" w:sz="0" w:space="0" w:color="auto"/>
                                            <w:left w:val="none" w:sz="0" w:space="0" w:color="auto"/>
                                            <w:bottom w:val="none" w:sz="0" w:space="0" w:color="auto"/>
                                            <w:right w:val="none" w:sz="0" w:space="0" w:color="auto"/>
                                          </w:divBdr>
                                        </w:div>
                                        <w:div w:id="1033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161">
                                  <w:marLeft w:val="0"/>
                                  <w:marRight w:val="0"/>
                                  <w:marTop w:val="0"/>
                                  <w:marBottom w:val="0"/>
                                  <w:divBdr>
                                    <w:top w:val="none" w:sz="0" w:space="0" w:color="auto"/>
                                    <w:left w:val="none" w:sz="0" w:space="0" w:color="auto"/>
                                    <w:bottom w:val="none" w:sz="0" w:space="0" w:color="auto"/>
                                    <w:right w:val="none" w:sz="0" w:space="0" w:color="auto"/>
                                  </w:divBdr>
                                  <w:divsChild>
                                    <w:div w:id="1040663625">
                                      <w:marLeft w:val="0"/>
                                      <w:marRight w:val="0"/>
                                      <w:marTop w:val="0"/>
                                      <w:marBottom w:val="0"/>
                                      <w:divBdr>
                                        <w:top w:val="none" w:sz="0" w:space="0" w:color="auto"/>
                                        <w:left w:val="none" w:sz="0" w:space="0" w:color="auto"/>
                                        <w:bottom w:val="none" w:sz="0" w:space="0" w:color="auto"/>
                                        <w:right w:val="none" w:sz="0" w:space="0" w:color="auto"/>
                                      </w:divBdr>
                                      <w:divsChild>
                                        <w:div w:id="1355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02">
                                  <w:marLeft w:val="0"/>
                                  <w:marRight w:val="0"/>
                                  <w:marTop w:val="0"/>
                                  <w:marBottom w:val="0"/>
                                  <w:divBdr>
                                    <w:top w:val="none" w:sz="0" w:space="0" w:color="auto"/>
                                    <w:left w:val="none" w:sz="0" w:space="0" w:color="auto"/>
                                    <w:bottom w:val="none" w:sz="0" w:space="0" w:color="auto"/>
                                    <w:right w:val="none" w:sz="0" w:space="0" w:color="auto"/>
                                  </w:divBdr>
                                  <w:divsChild>
                                    <w:div w:id="1993098797">
                                      <w:marLeft w:val="0"/>
                                      <w:marRight w:val="0"/>
                                      <w:marTop w:val="0"/>
                                      <w:marBottom w:val="0"/>
                                      <w:divBdr>
                                        <w:top w:val="none" w:sz="0" w:space="0" w:color="auto"/>
                                        <w:left w:val="none" w:sz="0" w:space="0" w:color="auto"/>
                                        <w:bottom w:val="none" w:sz="0" w:space="0" w:color="auto"/>
                                        <w:right w:val="none" w:sz="0" w:space="0" w:color="auto"/>
                                      </w:divBdr>
                                      <w:divsChild>
                                        <w:div w:id="172764612">
                                          <w:marLeft w:val="0"/>
                                          <w:marRight w:val="0"/>
                                          <w:marTop w:val="0"/>
                                          <w:marBottom w:val="0"/>
                                          <w:divBdr>
                                            <w:top w:val="none" w:sz="0" w:space="0" w:color="auto"/>
                                            <w:left w:val="none" w:sz="0" w:space="0" w:color="auto"/>
                                            <w:bottom w:val="none" w:sz="0" w:space="0" w:color="auto"/>
                                            <w:right w:val="none" w:sz="0" w:space="0" w:color="auto"/>
                                          </w:divBdr>
                                        </w:div>
                                        <w:div w:id="1356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970">
                                  <w:marLeft w:val="0"/>
                                  <w:marRight w:val="0"/>
                                  <w:marTop w:val="0"/>
                                  <w:marBottom w:val="0"/>
                                  <w:divBdr>
                                    <w:top w:val="none" w:sz="0" w:space="0" w:color="auto"/>
                                    <w:left w:val="none" w:sz="0" w:space="0" w:color="auto"/>
                                    <w:bottom w:val="none" w:sz="0" w:space="0" w:color="auto"/>
                                    <w:right w:val="none" w:sz="0" w:space="0" w:color="auto"/>
                                  </w:divBdr>
                                  <w:divsChild>
                                    <w:div w:id="1358507187">
                                      <w:marLeft w:val="0"/>
                                      <w:marRight w:val="0"/>
                                      <w:marTop w:val="0"/>
                                      <w:marBottom w:val="0"/>
                                      <w:divBdr>
                                        <w:top w:val="none" w:sz="0" w:space="0" w:color="auto"/>
                                        <w:left w:val="none" w:sz="0" w:space="0" w:color="auto"/>
                                        <w:bottom w:val="none" w:sz="0" w:space="0" w:color="auto"/>
                                        <w:right w:val="none" w:sz="0" w:space="0" w:color="auto"/>
                                      </w:divBdr>
                                      <w:divsChild>
                                        <w:div w:id="24261026">
                                          <w:marLeft w:val="0"/>
                                          <w:marRight w:val="0"/>
                                          <w:marTop w:val="0"/>
                                          <w:marBottom w:val="0"/>
                                          <w:divBdr>
                                            <w:top w:val="none" w:sz="0" w:space="0" w:color="auto"/>
                                            <w:left w:val="none" w:sz="0" w:space="0" w:color="auto"/>
                                            <w:bottom w:val="none" w:sz="0" w:space="0" w:color="auto"/>
                                            <w:right w:val="none" w:sz="0" w:space="0" w:color="auto"/>
                                          </w:divBdr>
                                        </w:div>
                                        <w:div w:id="8405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942901">
      <w:bodyDiv w:val="1"/>
      <w:marLeft w:val="0"/>
      <w:marRight w:val="0"/>
      <w:marTop w:val="0"/>
      <w:marBottom w:val="0"/>
      <w:divBdr>
        <w:top w:val="none" w:sz="0" w:space="0" w:color="auto"/>
        <w:left w:val="none" w:sz="0" w:space="0" w:color="auto"/>
        <w:bottom w:val="none" w:sz="0" w:space="0" w:color="auto"/>
        <w:right w:val="none" w:sz="0" w:space="0" w:color="auto"/>
      </w:divBdr>
    </w:div>
    <w:div w:id="1797722234">
      <w:bodyDiv w:val="1"/>
      <w:marLeft w:val="0"/>
      <w:marRight w:val="0"/>
      <w:marTop w:val="0"/>
      <w:marBottom w:val="0"/>
      <w:divBdr>
        <w:top w:val="none" w:sz="0" w:space="0" w:color="auto"/>
        <w:left w:val="none" w:sz="0" w:space="0" w:color="auto"/>
        <w:bottom w:val="none" w:sz="0" w:space="0" w:color="auto"/>
        <w:right w:val="none" w:sz="0" w:space="0" w:color="auto"/>
      </w:divBdr>
      <w:divsChild>
        <w:div w:id="1595935207">
          <w:marLeft w:val="0"/>
          <w:marRight w:val="0"/>
          <w:marTop w:val="0"/>
          <w:marBottom w:val="0"/>
          <w:divBdr>
            <w:top w:val="none" w:sz="0" w:space="0" w:color="auto"/>
            <w:left w:val="none" w:sz="0" w:space="0" w:color="auto"/>
            <w:bottom w:val="none" w:sz="0" w:space="0" w:color="auto"/>
            <w:right w:val="none" w:sz="0" w:space="0" w:color="auto"/>
          </w:divBdr>
          <w:divsChild>
            <w:div w:id="2091852808">
              <w:marLeft w:val="0"/>
              <w:marRight w:val="0"/>
              <w:marTop w:val="0"/>
              <w:marBottom w:val="0"/>
              <w:divBdr>
                <w:top w:val="none" w:sz="0" w:space="0" w:color="auto"/>
                <w:left w:val="none" w:sz="0" w:space="0" w:color="auto"/>
                <w:bottom w:val="none" w:sz="0" w:space="0" w:color="auto"/>
                <w:right w:val="none" w:sz="0" w:space="0" w:color="auto"/>
              </w:divBdr>
              <w:divsChild>
                <w:div w:id="1460297047">
                  <w:marLeft w:val="0"/>
                  <w:marRight w:val="0"/>
                  <w:marTop w:val="960"/>
                  <w:marBottom w:val="0"/>
                  <w:divBdr>
                    <w:top w:val="none" w:sz="0" w:space="0" w:color="auto"/>
                    <w:left w:val="none" w:sz="0" w:space="0" w:color="auto"/>
                    <w:bottom w:val="none" w:sz="0" w:space="0" w:color="auto"/>
                    <w:right w:val="none" w:sz="0" w:space="0" w:color="auto"/>
                  </w:divBdr>
                  <w:divsChild>
                    <w:div w:id="1953054797">
                      <w:marLeft w:val="0"/>
                      <w:marRight w:val="0"/>
                      <w:marTop w:val="0"/>
                      <w:marBottom w:val="0"/>
                      <w:divBdr>
                        <w:top w:val="none" w:sz="0" w:space="0" w:color="auto"/>
                        <w:left w:val="none" w:sz="0" w:space="0" w:color="auto"/>
                        <w:bottom w:val="none" w:sz="0" w:space="0" w:color="auto"/>
                        <w:right w:val="none" w:sz="0" w:space="0" w:color="auto"/>
                      </w:divBdr>
                      <w:divsChild>
                        <w:div w:id="694421791">
                          <w:marLeft w:val="0"/>
                          <w:marRight w:val="0"/>
                          <w:marTop w:val="0"/>
                          <w:marBottom w:val="0"/>
                          <w:divBdr>
                            <w:top w:val="none" w:sz="0" w:space="0" w:color="auto"/>
                            <w:left w:val="none" w:sz="0" w:space="0" w:color="auto"/>
                            <w:bottom w:val="none" w:sz="0" w:space="0" w:color="auto"/>
                            <w:right w:val="none" w:sz="0" w:space="0" w:color="auto"/>
                          </w:divBdr>
                          <w:divsChild>
                            <w:div w:id="1984310119">
                              <w:marLeft w:val="0"/>
                              <w:marRight w:val="0"/>
                              <w:marTop w:val="0"/>
                              <w:marBottom w:val="0"/>
                              <w:divBdr>
                                <w:top w:val="none" w:sz="0" w:space="0" w:color="auto"/>
                                <w:left w:val="none" w:sz="0" w:space="0" w:color="auto"/>
                                <w:bottom w:val="none" w:sz="0" w:space="0" w:color="auto"/>
                                <w:right w:val="none" w:sz="0" w:space="0" w:color="auto"/>
                              </w:divBdr>
                              <w:divsChild>
                                <w:div w:id="738288650">
                                  <w:marLeft w:val="0"/>
                                  <w:marRight w:val="0"/>
                                  <w:marTop w:val="0"/>
                                  <w:marBottom w:val="0"/>
                                  <w:divBdr>
                                    <w:top w:val="none" w:sz="0" w:space="0" w:color="auto"/>
                                    <w:left w:val="none" w:sz="0" w:space="0" w:color="auto"/>
                                    <w:bottom w:val="none" w:sz="0" w:space="0" w:color="auto"/>
                                    <w:right w:val="none" w:sz="0" w:space="0" w:color="auto"/>
                                  </w:divBdr>
                                  <w:divsChild>
                                    <w:div w:id="379748055">
                                      <w:marLeft w:val="0"/>
                                      <w:marRight w:val="0"/>
                                      <w:marTop w:val="0"/>
                                      <w:marBottom w:val="0"/>
                                      <w:divBdr>
                                        <w:top w:val="none" w:sz="0" w:space="0" w:color="auto"/>
                                        <w:left w:val="none" w:sz="0" w:space="0" w:color="auto"/>
                                        <w:bottom w:val="none" w:sz="0" w:space="0" w:color="auto"/>
                                        <w:right w:val="none" w:sz="0" w:space="0" w:color="auto"/>
                                      </w:divBdr>
                                      <w:divsChild>
                                        <w:div w:id="1130871">
                                          <w:marLeft w:val="0"/>
                                          <w:marRight w:val="0"/>
                                          <w:marTop w:val="0"/>
                                          <w:marBottom w:val="0"/>
                                          <w:divBdr>
                                            <w:top w:val="none" w:sz="0" w:space="0" w:color="auto"/>
                                            <w:left w:val="none" w:sz="0" w:space="0" w:color="auto"/>
                                            <w:bottom w:val="none" w:sz="0" w:space="0" w:color="auto"/>
                                            <w:right w:val="none" w:sz="0" w:space="0" w:color="auto"/>
                                          </w:divBdr>
                                        </w:div>
                                        <w:div w:id="472867099">
                                          <w:marLeft w:val="0"/>
                                          <w:marRight w:val="0"/>
                                          <w:marTop w:val="0"/>
                                          <w:marBottom w:val="0"/>
                                          <w:divBdr>
                                            <w:top w:val="none" w:sz="0" w:space="0" w:color="auto"/>
                                            <w:left w:val="none" w:sz="0" w:space="0" w:color="auto"/>
                                            <w:bottom w:val="none" w:sz="0" w:space="0" w:color="auto"/>
                                            <w:right w:val="none" w:sz="0" w:space="0" w:color="auto"/>
                                          </w:divBdr>
                                        </w:div>
                                        <w:div w:id="538202653">
                                          <w:marLeft w:val="0"/>
                                          <w:marRight w:val="0"/>
                                          <w:marTop w:val="0"/>
                                          <w:marBottom w:val="0"/>
                                          <w:divBdr>
                                            <w:top w:val="none" w:sz="0" w:space="0" w:color="auto"/>
                                            <w:left w:val="none" w:sz="0" w:space="0" w:color="auto"/>
                                            <w:bottom w:val="none" w:sz="0" w:space="0" w:color="auto"/>
                                            <w:right w:val="none" w:sz="0" w:space="0" w:color="auto"/>
                                          </w:divBdr>
                                        </w:div>
                                        <w:div w:id="1191140970">
                                          <w:marLeft w:val="0"/>
                                          <w:marRight w:val="0"/>
                                          <w:marTop w:val="0"/>
                                          <w:marBottom w:val="0"/>
                                          <w:divBdr>
                                            <w:top w:val="none" w:sz="0" w:space="0" w:color="auto"/>
                                            <w:left w:val="none" w:sz="0" w:space="0" w:color="auto"/>
                                            <w:bottom w:val="none" w:sz="0" w:space="0" w:color="auto"/>
                                            <w:right w:val="none" w:sz="0" w:space="0" w:color="auto"/>
                                          </w:divBdr>
                                        </w:div>
                                        <w:div w:id="1590388542">
                                          <w:marLeft w:val="0"/>
                                          <w:marRight w:val="0"/>
                                          <w:marTop w:val="0"/>
                                          <w:marBottom w:val="0"/>
                                          <w:divBdr>
                                            <w:top w:val="none" w:sz="0" w:space="0" w:color="auto"/>
                                            <w:left w:val="none" w:sz="0" w:space="0" w:color="auto"/>
                                            <w:bottom w:val="none" w:sz="0" w:space="0" w:color="auto"/>
                                            <w:right w:val="none" w:sz="0" w:space="0" w:color="auto"/>
                                          </w:divBdr>
                                        </w:div>
                                        <w:div w:id="17374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1702">
      <w:bodyDiv w:val="1"/>
      <w:marLeft w:val="0"/>
      <w:marRight w:val="0"/>
      <w:marTop w:val="0"/>
      <w:marBottom w:val="0"/>
      <w:divBdr>
        <w:top w:val="none" w:sz="0" w:space="0" w:color="auto"/>
        <w:left w:val="none" w:sz="0" w:space="0" w:color="auto"/>
        <w:bottom w:val="none" w:sz="0" w:space="0" w:color="auto"/>
        <w:right w:val="none" w:sz="0" w:space="0" w:color="auto"/>
      </w:divBdr>
      <w:divsChild>
        <w:div w:id="305282712">
          <w:marLeft w:val="0"/>
          <w:marRight w:val="0"/>
          <w:marTop w:val="0"/>
          <w:marBottom w:val="0"/>
          <w:divBdr>
            <w:top w:val="none" w:sz="0" w:space="0" w:color="auto"/>
            <w:left w:val="none" w:sz="0" w:space="0" w:color="auto"/>
            <w:bottom w:val="none" w:sz="0" w:space="0" w:color="auto"/>
            <w:right w:val="none" w:sz="0" w:space="0" w:color="auto"/>
          </w:divBdr>
          <w:divsChild>
            <w:div w:id="112406765">
              <w:marLeft w:val="0"/>
              <w:marRight w:val="0"/>
              <w:marTop w:val="1275"/>
              <w:marBottom w:val="0"/>
              <w:divBdr>
                <w:top w:val="none" w:sz="0" w:space="0" w:color="auto"/>
                <w:left w:val="none" w:sz="0" w:space="0" w:color="auto"/>
                <w:bottom w:val="none" w:sz="0" w:space="0" w:color="auto"/>
                <w:right w:val="none" w:sz="0" w:space="0" w:color="auto"/>
              </w:divBdr>
              <w:divsChild>
                <w:div w:id="11661167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0592">
      <w:bodyDiv w:val="1"/>
      <w:marLeft w:val="0"/>
      <w:marRight w:val="0"/>
      <w:marTop w:val="0"/>
      <w:marBottom w:val="0"/>
      <w:divBdr>
        <w:top w:val="none" w:sz="0" w:space="0" w:color="auto"/>
        <w:left w:val="none" w:sz="0" w:space="0" w:color="auto"/>
        <w:bottom w:val="none" w:sz="0" w:space="0" w:color="auto"/>
        <w:right w:val="none" w:sz="0" w:space="0" w:color="auto"/>
      </w:divBdr>
      <w:divsChild>
        <w:div w:id="1034572601">
          <w:marLeft w:val="1800"/>
          <w:marRight w:val="0"/>
          <w:marTop w:val="115"/>
          <w:marBottom w:val="0"/>
          <w:divBdr>
            <w:top w:val="none" w:sz="0" w:space="0" w:color="auto"/>
            <w:left w:val="none" w:sz="0" w:space="0" w:color="auto"/>
            <w:bottom w:val="none" w:sz="0" w:space="0" w:color="auto"/>
            <w:right w:val="none" w:sz="0" w:space="0" w:color="auto"/>
          </w:divBdr>
        </w:div>
        <w:div w:id="1339313814">
          <w:marLeft w:val="1800"/>
          <w:marRight w:val="0"/>
          <w:marTop w:val="115"/>
          <w:marBottom w:val="0"/>
          <w:divBdr>
            <w:top w:val="none" w:sz="0" w:space="0" w:color="auto"/>
            <w:left w:val="none" w:sz="0" w:space="0" w:color="auto"/>
            <w:bottom w:val="none" w:sz="0" w:space="0" w:color="auto"/>
            <w:right w:val="none" w:sz="0" w:space="0" w:color="auto"/>
          </w:divBdr>
        </w:div>
        <w:div w:id="1666127039">
          <w:marLeft w:val="1800"/>
          <w:marRight w:val="0"/>
          <w:marTop w:val="115"/>
          <w:marBottom w:val="0"/>
          <w:divBdr>
            <w:top w:val="none" w:sz="0" w:space="0" w:color="auto"/>
            <w:left w:val="none" w:sz="0" w:space="0" w:color="auto"/>
            <w:bottom w:val="none" w:sz="0" w:space="0" w:color="auto"/>
            <w:right w:val="none" w:sz="0" w:space="0" w:color="auto"/>
          </w:divBdr>
        </w:div>
      </w:divsChild>
    </w:div>
    <w:div w:id="1831142576">
      <w:bodyDiv w:val="1"/>
      <w:marLeft w:val="0"/>
      <w:marRight w:val="0"/>
      <w:marTop w:val="0"/>
      <w:marBottom w:val="0"/>
      <w:divBdr>
        <w:top w:val="none" w:sz="0" w:space="0" w:color="auto"/>
        <w:left w:val="none" w:sz="0" w:space="0" w:color="auto"/>
        <w:bottom w:val="none" w:sz="0" w:space="0" w:color="auto"/>
        <w:right w:val="none" w:sz="0" w:space="0" w:color="auto"/>
      </w:divBdr>
      <w:divsChild>
        <w:div w:id="1525437678">
          <w:marLeft w:val="547"/>
          <w:marRight w:val="0"/>
          <w:marTop w:val="115"/>
          <w:marBottom w:val="0"/>
          <w:divBdr>
            <w:top w:val="none" w:sz="0" w:space="0" w:color="auto"/>
            <w:left w:val="none" w:sz="0" w:space="0" w:color="auto"/>
            <w:bottom w:val="none" w:sz="0" w:space="0" w:color="auto"/>
            <w:right w:val="none" w:sz="0" w:space="0" w:color="auto"/>
          </w:divBdr>
        </w:div>
        <w:div w:id="1684476035">
          <w:marLeft w:val="547"/>
          <w:marRight w:val="0"/>
          <w:marTop w:val="115"/>
          <w:marBottom w:val="0"/>
          <w:divBdr>
            <w:top w:val="none" w:sz="0" w:space="0" w:color="auto"/>
            <w:left w:val="none" w:sz="0" w:space="0" w:color="auto"/>
            <w:bottom w:val="none" w:sz="0" w:space="0" w:color="auto"/>
            <w:right w:val="none" w:sz="0" w:space="0" w:color="auto"/>
          </w:divBdr>
        </w:div>
        <w:div w:id="1939093771">
          <w:marLeft w:val="547"/>
          <w:marRight w:val="0"/>
          <w:marTop w:val="115"/>
          <w:marBottom w:val="0"/>
          <w:divBdr>
            <w:top w:val="none" w:sz="0" w:space="0" w:color="auto"/>
            <w:left w:val="none" w:sz="0" w:space="0" w:color="auto"/>
            <w:bottom w:val="none" w:sz="0" w:space="0" w:color="auto"/>
            <w:right w:val="none" w:sz="0" w:space="0" w:color="auto"/>
          </w:divBdr>
        </w:div>
      </w:divsChild>
    </w:div>
    <w:div w:id="1882546073">
      <w:bodyDiv w:val="1"/>
      <w:marLeft w:val="0"/>
      <w:marRight w:val="0"/>
      <w:marTop w:val="0"/>
      <w:marBottom w:val="0"/>
      <w:divBdr>
        <w:top w:val="none" w:sz="0" w:space="0" w:color="auto"/>
        <w:left w:val="none" w:sz="0" w:space="0" w:color="auto"/>
        <w:bottom w:val="none" w:sz="0" w:space="0" w:color="auto"/>
        <w:right w:val="none" w:sz="0" w:space="0" w:color="auto"/>
      </w:divBdr>
      <w:divsChild>
        <w:div w:id="1655374838">
          <w:marLeft w:val="0"/>
          <w:marRight w:val="0"/>
          <w:marTop w:val="0"/>
          <w:marBottom w:val="0"/>
          <w:divBdr>
            <w:top w:val="none" w:sz="0" w:space="0" w:color="auto"/>
            <w:left w:val="none" w:sz="0" w:space="0" w:color="auto"/>
            <w:bottom w:val="none" w:sz="0" w:space="0" w:color="auto"/>
            <w:right w:val="none" w:sz="0" w:space="0" w:color="auto"/>
          </w:divBdr>
          <w:divsChild>
            <w:div w:id="998390310">
              <w:marLeft w:val="-75"/>
              <w:marRight w:val="-75"/>
              <w:marTop w:val="0"/>
              <w:marBottom w:val="0"/>
              <w:divBdr>
                <w:top w:val="none" w:sz="0" w:space="0" w:color="auto"/>
                <w:left w:val="none" w:sz="0" w:space="0" w:color="auto"/>
                <w:bottom w:val="none" w:sz="0" w:space="0" w:color="auto"/>
                <w:right w:val="none" w:sz="0" w:space="0" w:color="auto"/>
              </w:divBdr>
              <w:divsChild>
                <w:div w:id="1273900934">
                  <w:marLeft w:val="0"/>
                  <w:marRight w:val="0"/>
                  <w:marTop w:val="0"/>
                  <w:marBottom w:val="0"/>
                  <w:divBdr>
                    <w:top w:val="none" w:sz="0" w:space="0" w:color="auto"/>
                    <w:left w:val="none" w:sz="0" w:space="0" w:color="auto"/>
                    <w:bottom w:val="none" w:sz="0" w:space="0" w:color="auto"/>
                    <w:right w:val="none" w:sz="0" w:space="0" w:color="auto"/>
                  </w:divBdr>
                  <w:divsChild>
                    <w:div w:id="1708216714">
                      <w:marLeft w:val="-75"/>
                      <w:marRight w:val="-75"/>
                      <w:marTop w:val="0"/>
                      <w:marBottom w:val="0"/>
                      <w:divBdr>
                        <w:top w:val="none" w:sz="0" w:space="0" w:color="auto"/>
                        <w:left w:val="none" w:sz="0" w:space="0" w:color="auto"/>
                        <w:bottom w:val="none" w:sz="0" w:space="0" w:color="auto"/>
                        <w:right w:val="none" w:sz="0" w:space="0" w:color="auto"/>
                      </w:divBdr>
                      <w:divsChild>
                        <w:div w:id="109595996">
                          <w:marLeft w:val="0"/>
                          <w:marRight w:val="0"/>
                          <w:marTop w:val="0"/>
                          <w:marBottom w:val="0"/>
                          <w:divBdr>
                            <w:top w:val="none" w:sz="0" w:space="0" w:color="auto"/>
                            <w:left w:val="none" w:sz="0" w:space="0" w:color="auto"/>
                            <w:bottom w:val="none" w:sz="0" w:space="0" w:color="auto"/>
                            <w:right w:val="none" w:sz="0" w:space="0" w:color="auto"/>
                          </w:divBdr>
                          <w:divsChild>
                            <w:div w:id="1588151795">
                              <w:marLeft w:val="0"/>
                              <w:marRight w:val="0"/>
                              <w:marTop w:val="0"/>
                              <w:marBottom w:val="0"/>
                              <w:divBdr>
                                <w:top w:val="none" w:sz="0" w:space="0" w:color="auto"/>
                                <w:left w:val="none" w:sz="0" w:space="0" w:color="auto"/>
                                <w:bottom w:val="none" w:sz="0" w:space="0" w:color="auto"/>
                                <w:right w:val="none" w:sz="0" w:space="0" w:color="auto"/>
                              </w:divBdr>
                              <w:divsChild>
                                <w:div w:id="805314498">
                                  <w:marLeft w:val="0"/>
                                  <w:marRight w:val="0"/>
                                  <w:marTop w:val="0"/>
                                  <w:marBottom w:val="150"/>
                                  <w:divBdr>
                                    <w:top w:val="none" w:sz="0" w:space="0" w:color="auto"/>
                                    <w:left w:val="none" w:sz="0" w:space="0" w:color="auto"/>
                                    <w:bottom w:val="dotted" w:sz="6" w:space="4" w:color="D8DBDB"/>
                                    <w:right w:val="none" w:sz="0" w:space="0" w:color="auto"/>
                                  </w:divBdr>
                                  <w:divsChild>
                                    <w:div w:id="102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0977">
      <w:bodyDiv w:val="1"/>
      <w:marLeft w:val="0"/>
      <w:marRight w:val="0"/>
      <w:marTop w:val="0"/>
      <w:marBottom w:val="0"/>
      <w:divBdr>
        <w:top w:val="none" w:sz="0" w:space="0" w:color="auto"/>
        <w:left w:val="none" w:sz="0" w:space="0" w:color="auto"/>
        <w:bottom w:val="none" w:sz="0" w:space="0" w:color="auto"/>
        <w:right w:val="none" w:sz="0" w:space="0" w:color="auto"/>
      </w:divBdr>
      <w:divsChild>
        <w:div w:id="134839517">
          <w:marLeft w:val="0"/>
          <w:marRight w:val="0"/>
          <w:marTop w:val="0"/>
          <w:marBottom w:val="0"/>
          <w:divBdr>
            <w:top w:val="none" w:sz="0" w:space="0" w:color="auto"/>
            <w:left w:val="none" w:sz="0" w:space="0" w:color="auto"/>
            <w:bottom w:val="none" w:sz="0" w:space="0" w:color="auto"/>
            <w:right w:val="none" w:sz="0" w:space="0" w:color="auto"/>
          </w:divBdr>
          <w:divsChild>
            <w:div w:id="280501350">
              <w:marLeft w:val="0"/>
              <w:marRight w:val="0"/>
              <w:marTop w:val="0"/>
              <w:marBottom w:val="0"/>
              <w:divBdr>
                <w:top w:val="none" w:sz="0" w:space="0" w:color="auto"/>
                <w:left w:val="none" w:sz="0" w:space="0" w:color="auto"/>
                <w:bottom w:val="none" w:sz="0" w:space="0" w:color="auto"/>
                <w:right w:val="none" w:sz="0" w:space="0" w:color="auto"/>
              </w:divBdr>
              <w:divsChild>
                <w:div w:id="1478230340">
                  <w:marLeft w:val="0"/>
                  <w:marRight w:val="0"/>
                  <w:marTop w:val="0"/>
                  <w:marBottom w:val="0"/>
                  <w:divBdr>
                    <w:top w:val="none" w:sz="0" w:space="0" w:color="auto"/>
                    <w:left w:val="none" w:sz="0" w:space="0" w:color="auto"/>
                    <w:bottom w:val="none" w:sz="0" w:space="0" w:color="auto"/>
                    <w:right w:val="none" w:sz="0" w:space="0" w:color="auto"/>
                  </w:divBdr>
                  <w:divsChild>
                    <w:div w:id="67248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2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82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8215761">
      <w:bodyDiv w:val="1"/>
      <w:marLeft w:val="0"/>
      <w:marRight w:val="0"/>
      <w:marTop w:val="0"/>
      <w:marBottom w:val="0"/>
      <w:divBdr>
        <w:top w:val="none" w:sz="0" w:space="0" w:color="auto"/>
        <w:left w:val="none" w:sz="0" w:space="0" w:color="auto"/>
        <w:bottom w:val="none" w:sz="0" w:space="0" w:color="auto"/>
        <w:right w:val="none" w:sz="0" w:space="0" w:color="auto"/>
      </w:divBdr>
    </w:div>
    <w:div w:id="1973242101">
      <w:bodyDiv w:val="1"/>
      <w:marLeft w:val="0"/>
      <w:marRight w:val="0"/>
      <w:marTop w:val="0"/>
      <w:marBottom w:val="0"/>
      <w:divBdr>
        <w:top w:val="none" w:sz="0" w:space="0" w:color="auto"/>
        <w:left w:val="none" w:sz="0" w:space="0" w:color="auto"/>
        <w:bottom w:val="none" w:sz="0" w:space="0" w:color="auto"/>
        <w:right w:val="none" w:sz="0" w:space="0" w:color="auto"/>
      </w:divBdr>
      <w:divsChild>
        <w:div w:id="840317555">
          <w:marLeft w:val="0"/>
          <w:marRight w:val="0"/>
          <w:marTop w:val="0"/>
          <w:marBottom w:val="0"/>
          <w:divBdr>
            <w:top w:val="none" w:sz="0" w:space="0" w:color="auto"/>
            <w:left w:val="none" w:sz="0" w:space="0" w:color="auto"/>
            <w:bottom w:val="none" w:sz="0" w:space="0" w:color="auto"/>
            <w:right w:val="none" w:sz="0" w:space="0" w:color="auto"/>
          </w:divBdr>
          <w:divsChild>
            <w:div w:id="1989048857">
              <w:marLeft w:val="0"/>
              <w:marRight w:val="0"/>
              <w:marTop w:val="0"/>
              <w:marBottom w:val="0"/>
              <w:divBdr>
                <w:top w:val="none" w:sz="0" w:space="0" w:color="auto"/>
                <w:left w:val="none" w:sz="0" w:space="0" w:color="auto"/>
                <w:bottom w:val="none" w:sz="0" w:space="0" w:color="auto"/>
                <w:right w:val="none" w:sz="0" w:space="0" w:color="auto"/>
              </w:divBdr>
              <w:divsChild>
                <w:div w:id="212930587">
                  <w:marLeft w:val="0"/>
                  <w:marRight w:val="0"/>
                  <w:marTop w:val="0"/>
                  <w:marBottom w:val="0"/>
                  <w:divBdr>
                    <w:top w:val="none" w:sz="0" w:space="0" w:color="auto"/>
                    <w:left w:val="none" w:sz="0" w:space="0" w:color="auto"/>
                    <w:bottom w:val="none" w:sz="0" w:space="0" w:color="auto"/>
                    <w:right w:val="none" w:sz="0" w:space="0" w:color="auto"/>
                  </w:divBdr>
                  <w:divsChild>
                    <w:div w:id="434908497">
                      <w:marLeft w:val="0"/>
                      <w:marRight w:val="0"/>
                      <w:marTop w:val="0"/>
                      <w:marBottom w:val="0"/>
                      <w:divBdr>
                        <w:top w:val="none" w:sz="0" w:space="0" w:color="auto"/>
                        <w:left w:val="none" w:sz="0" w:space="0" w:color="auto"/>
                        <w:bottom w:val="none" w:sz="0" w:space="0" w:color="auto"/>
                        <w:right w:val="none" w:sz="0" w:space="0" w:color="auto"/>
                      </w:divBdr>
                      <w:divsChild>
                        <w:div w:id="2018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5469">
      <w:bodyDiv w:val="1"/>
      <w:marLeft w:val="0"/>
      <w:marRight w:val="0"/>
      <w:marTop w:val="0"/>
      <w:marBottom w:val="0"/>
      <w:divBdr>
        <w:top w:val="none" w:sz="0" w:space="0" w:color="auto"/>
        <w:left w:val="none" w:sz="0" w:space="0" w:color="auto"/>
        <w:bottom w:val="none" w:sz="0" w:space="0" w:color="auto"/>
        <w:right w:val="none" w:sz="0" w:space="0" w:color="auto"/>
      </w:divBdr>
    </w:div>
    <w:div w:id="2120291275">
      <w:bodyDiv w:val="1"/>
      <w:marLeft w:val="0"/>
      <w:marRight w:val="0"/>
      <w:marTop w:val="0"/>
      <w:marBottom w:val="0"/>
      <w:divBdr>
        <w:top w:val="none" w:sz="0" w:space="0" w:color="auto"/>
        <w:left w:val="none" w:sz="0" w:space="0" w:color="auto"/>
        <w:bottom w:val="none" w:sz="0" w:space="0" w:color="auto"/>
        <w:right w:val="none" w:sz="0" w:space="0" w:color="auto"/>
      </w:divBdr>
      <w:divsChild>
        <w:div w:id="822963578">
          <w:marLeft w:val="0"/>
          <w:marRight w:val="0"/>
          <w:marTop w:val="0"/>
          <w:marBottom w:val="0"/>
          <w:divBdr>
            <w:top w:val="none" w:sz="0" w:space="0" w:color="auto"/>
            <w:left w:val="none" w:sz="0" w:space="0" w:color="auto"/>
            <w:bottom w:val="none" w:sz="0" w:space="0" w:color="auto"/>
            <w:right w:val="none" w:sz="0" w:space="0" w:color="auto"/>
          </w:divBdr>
          <w:divsChild>
            <w:div w:id="1092895827">
              <w:marLeft w:val="0"/>
              <w:marRight w:val="0"/>
              <w:marTop w:val="0"/>
              <w:marBottom w:val="0"/>
              <w:divBdr>
                <w:top w:val="none" w:sz="0" w:space="0" w:color="auto"/>
                <w:left w:val="none" w:sz="0" w:space="0" w:color="auto"/>
                <w:bottom w:val="none" w:sz="0" w:space="0" w:color="auto"/>
                <w:right w:val="none" w:sz="0" w:space="0" w:color="auto"/>
              </w:divBdr>
              <w:divsChild>
                <w:div w:id="1688360651">
                  <w:marLeft w:val="0"/>
                  <w:marRight w:val="0"/>
                  <w:marTop w:val="0"/>
                  <w:marBottom w:val="0"/>
                  <w:divBdr>
                    <w:top w:val="none" w:sz="0" w:space="0" w:color="auto"/>
                    <w:left w:val="none" w:sz="0" w:space="0" w:color="auto"/>
                    <w:bottom w:val="none" w:sz="0" w:space="0" w:color="auto"/>
                    <w:right w:val="none" w:sz="0" w:space="0" w:color="auto"/>
                  </w:divBdr>
                  <w:divsChild>
                    <w:div w:id="1754860084">
                      <w:marLeft w:val="0"/>
                      <w:marRight w:val="0"/>
                      <w:marTop w:val="0"/>
                      <w:marBottom w:val="0"/>
                      <w:divBdr>
                        <w:top w:val="none" w:sz="0" w:space="0" w:color="auto"/>
                        <w:left w:val="none" w:sz="0" w:space="0" w:color="auto"/>
                        <w:bottom w:val="none" w:sz="0" w:space="0" w:color="auto"/>
                        <w:right w:val="none" w:sz="0" w:space="0" w:color="auto"/>
                      </w:divBdr>
                      <w:divsChild>
                        <w:div w:id="16896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293">
      <w:bodyDiv w:val="1"/>
      <w:marLeft w:val="0"/>
      <w:marRight w:val="0"/>
      <w:marTop w:val="0"/>
      <w:marBottom w:val="0"/>
      <w:divBdr>
        <w:top w:val="none" w:sz="0" w:space="0" w:color="auto"/>
        <w:left w:val="none" w:sz="0" w:space="0" w:color="auto"/>
        <w:bottom w:val="none" w:sz="0" w:space="0" w:color="auto"/>
        <w:right w:val="none" w:sz="0" w:space="0" w:color="auto"/>
      </w:divBdr>
      <w:divsChild>
        <w:div w:id="1203979973">
          <w:marLeft w:val="0"/>
          <w:marRight w:val="0"/>
          <w:marTop w:val="0"/>
          <w:marBottom w:val="0"/>
          <w:divBdr>
            <w:top w:val="none" w:sz="0" w:space="0" w:color="auto"/>
            <w:left w:val="none" w:sz="0" w:space="0" w:color="auto"/>
            <w:bottom w:val="none" w:sz="0" w:space="0" w:color="auto"/>
            <w:right w:val="none" w:sz="0" w:space="0" w:color="auto"/>
          </w:divBdr>
          <w:divsChild>
            <w:div w:id="1584728717">
              <w:marLeft w:val="0"/>
              <w:marRight w:val="0"/>
              <w:marTop w:val="0"/>
              <w:marBottom w:val="0"/>
              <w:divBdr>
                <w:top w:val="none" w:sz="0" w:space="0" w:color="auto"/>
                <w:left w:val="none" w:sz="0" w:space="0" w:color="auto"/>
                <w:bottom w:val="none" w:sz="0" w:space="0" w:color="auto"/>
                <w:right w:val="none" w:sz="0" w:space="0" w:color="auto"/>
              </w:divBdr>
              <w:divsChild>
                <w:div w:id="1373731958">
                  <w:marLeft w:val="0"/>
                  <w:marRight w:val="0"/>
                  <w:marTop w:val="0"/>
                  <w:marBottom w:val="0"/>
                  <w:divBdr>
                    <w:top w:val="none" w:sz="0" w:space="0" w:color="auto"/>
                    <w:left w:val="none" w:sz="0" w:space="0" w:color="auto"/>
                    <w:bottom w:val="none" w:sz="0" w:space="0" w:color="auto"/>
                    <w:right w:val="none" w:sz="0" w:space="0" w:color="auto"/>
                  </w:divBdr>
                  <w:divsChild>
                    <w:div w:id="2114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po.int/about-ip/en/universities_research/" TargetMode="External"/><Relationship Id="rId21" Type="http://schemas.openxmlformats.org/officeDocument/2006/relationships/hyperlink" Target="http://www.sciencecouncil.ie/Publications/2005/National-Code-of-Practice-for-Managing-Intellectual-Property-from-Publicly-Funded-Research.pdf" TargetMode="External"/><Relationship Id="rId42" Type="http://schemas.openxmlformats.org/officeDocument/2006/relationships/hyperlink" Target="https://www.oecd.org/sti/inno/Frascati-2015-Glossary.pdf" TargetMode="External"/><Relationship Id="rId63" Type="http://schemas.openxmlformats.org/officeDocument/2006/relationships/image" Target="media/image4.png"/><Relationship Id="rId84" Type="http://schemas.openxmlformats.org/officeDocument/2006/relationships/hyperlink" Target="http://www.wipo.int/wipolex/en/" TargetMode="External"/><Relationship Id="rId138" Type="http://schemas.openxmlformats.org/officeDocument/2006/relationships/hyperlink" Target="https://london.ac.uk/sites/default/files/governance/Records_Management_policy_2017.pdf" TargetMode="External"/><Relationship Id="rId159" Type="http://schemas.openxmlformats.org/officeDocument/2006/relationships/hyperlink" Target="http://www.cu.edu/sites/default/files/pages/44192-startup-companies-cu/docs/bulletin-startupprocess.pdf" TargetMode="External"/><Relationship Id="rId170" Type="http://schemas.openxmlformats.org/officeDocument/2006/relationships/hyperlink" Target="https://www.innovationpolicyplatform.org/sites/default/files/rdf_imported_documents/TheAdoptionOfBayhDoleTypePoliciesInDevelopingCountries.pdf" TargetMode="External"/><Relationship Id="rId191" Type="http://schemas.openxmlformats.org/officeDocument/2006/relationships/hyperlink" Target="http://www.wipo.int/publications/en/details.jsp?id=4195" TargetMode="External"/><Relationship Id="rId205" Type="http://schemas.openxmlformats.org/officeDocument/2006/relationships/hyperlink" Target="https://www.aau.edu/issues/conflicts-interest" TargetMode="External"/><Relationship Id="rId107" Type="http://schemas.openxmlformats.org/officeDocument/2006/relationships/hyperlink" Target="https://www.gla.ac.uk/media/media_195589_en.pdf" TargetMode="External"/><Relationship Id="rId11" Type="http://schemas.openxmlformats.org/officeDocument/2006/relationships/hyperlink" Target="http://www.iso.org/iso/home/standards/iso26000.htm" TargetMode="External"/><Relationship Id="rId32" Type="http://schemas.openxmlformats.org/officeDocument/2006/relationships/hyperlink" Target="http://www.ip-unilink.net/public_documents/Good%20Practice%20Guide%20web%20(FINAL%2020.06).pdf" TargetMode="External"/><Relationship Id="rId53" Type="http://schemas.openxmlformats.org/officeDocument/2006/relationships/hyperlink" Target="http://www.wipo.int/about-ip/en/universities_research/ip_policies/index.html" TargetMode="External"/><Relationship Id="rId74" Type="http://schemas.openxmlformats.org/officeDocument/2006/relationships/hyperlink" Target="https://pipra.org/publications-files/ipHandbook_Volume_1.pdf" TargetMode="External"/><Relationship Id="rId128" Type="http://schemas.openxmlformats.org/officeDocument/2006/relationships/image" Target="media/image10.tiff"/><Relationship Id="rId149" Type="http://schemas.openxmlformats.org/officeDocument/2006/relationships/hyperlink" Target="http://4.interreg-sudoe.eu/contenido-dinamico/libreria-ficheros/3D0ED325-A000-2BDC-F737-7534920D685C.pdf" TargetMode="External"/><Relationship Id="rId5" Type="http://schemas.openxmlformats.org/officeDocument/2006/relationships/webSettings" Target="webSettings.xml"/><Relationship Id="rId95" Type="http://schemas.openxmlformats.org/officeDocument/2006/relationships/hyperlink" Target="https://www.iprhelpdesk.eu/sites/default/files/newsdocuments/IP_joint_ownership_updated.pdf" TargetMode="External"/><Relationship Id="rId160" Type="http://schemas.openxmlformats.org/officeDocument/2006/relationships/hyperlink" Target="https://www.iprhelpdesk.eu/sites/default/files/newsdocuments/Fact-Sheet-Commercialising-IP-Joint-Ventures.pdf" TargetMode="External"/><Relationship Id="rId181" Type="http://schemas.openxmlformats.org/officeDocument/2006/relationships/hyperlink" Target="https://www.gla.ac.uk/media/media_555894_en.pdf" TargetMode="External"/><Relationship Id="rId216" Type="http://schemas.openxmlformats.org/officeDocument/2006/relationships/hyperlink" Target="https://innovation.ox.ac.uk/university-members/commercialising-technology/starting-company/conflict-interest-policy" TargetMode="External"/><Relationship Id="rId22" Type="http://schemas.openxmlformats.org/officeDocument/2006/relationships/hyperlink" Target="http://www.knowledgetransferireland.com/ManagingIP/KTI-Protocol-2016.pdf" TargetMode="External"/><Relationship Id="rId43" Type="http://schemas.openxmlformats.org/officeDocument/2006/relationships/hyperlink" Target="https://www.praxisunico.org.uk/sites/praxisunico.org.uk/files/5%20-%20Students%20and%20IP.pdf" TargetMode="External"/><Relationship Id="rId64" Type="http://schemas.openxmlformats.org/officeDocument/2006/relationships/image" Target="media/image5.png"/><Relationship Id="rId118" Type="http://schemas.openxmlformats.org/officeDocument/2006/relationships/hyperlink" Target="https://www.gov.uk/guidance/university-and-business-collaboration-agreements-lambert-toolkit" TargetMode="External"/><Relationship Id="rId139" Type="http://schemas.openxmlformats.org/officeDocument/2006/relationships/hyperlink" Target="http://www.massey.ac.nz/massey/fms/PolicyGuide/Documents/University%20Management/Records%20Management%20Policy%20pdf.pdf?AC6B8302798B57416759E77F9212FA53" TargetMode="External"/><Relationship Id="rId85" Type="http://schemas.openxmlformats.org/officeDocument/2006/relationships/hyperlink" Target="http://www.heip-link.net/content/toolbox" TargetMode="External"/><Relationship Id="rId150" Type="http://schemas.openxmlformats.org/officeDocument/2006/relationships/hyperlink" Target="https://www.iprhelpdesk.eu/node/3439" TargetMode="External"/><Relationship Id="rId171" Type="http://schemas.openxmlformats.org/officeDocument/2006/relationships/hyperlink" Target="https://www.vabio.org/?page=incentives" TargetMode="External"/><Relationship Id="rId192" Type="http://schemas.openxmlformats.org/officeDocument/2006/relationships/hyperlink" Target="http://www.wipo.int/publications/en/details.jsp?id=4235" TargetMode="External"/><Relationship Id="rId206" Type="http://schemas.openxmlformats.org/officeDocument/2006/relationships/hyperlink" Target="https://www.aaup.org/sites/default/files/files/Principles-summary.pdf" TargetMode="External"/><Relationship Id="rId12" Type="http://schemas.openxmlformats.org/officeDocument/2006/relationships/hyperlink" Target="http://www.wipo.int/about-ip/en/universities_research/documents/ip_toolkit/checklist.docx" TargetMode="External"/><Relationship Id="rId33" Type="http://schemas.openxmlformats.org/officeDocument/2006/relationships/hyperlink" Target="http://www.iphandbook.org/handbook/ch06/p07/" TargetMode="External"/><Relationship Id="rId108" Type="http://schemas.openxmlformats.org/officeDocument/2006/relationships/hyperlink" Target="http://www.wipo.int/about-ip/en/universities_research/" TargetMode="External"/><Relationship Id="rId129" Type="http://schemas.openxmlformats.org/officeDocument/2006/relationships/hyperlink" Target="http://techtransfercentral.com/2014/05/20/the-three-pillars-of-invention-analysis/" TargetMode="External"/><Relationship Id="rId54" Type="http://schemas.openxmlformats.org/officeDocument/2006/relationships/hyperlink" Target="http://www.autm.net/AUTMMain/media/ThirdEditionPDFs/V2/TTP_Manual_3rd_Edition_Volume2_StudentIP.pdf" TargetMode="External"/><Relationship Id="rId75" Type="http://schemas.openxmlformats.org/officeDocument/2006/relationships/hyperlink" Target="http://www.iphandbook.org/handbook/ch06/p01/" TargetMode="External"/><Relationship Id="rId96" Type="http://schemas.openxmlformats.org/officeDocument/2006/relationships/hyperlink" Target="https://www.iprhelpdesk.eu/sites/default/files/newsdocuments/IP_joint_ownership_updated.pdf" TargetMode="External"/><Relationship Id="rId140" Type="http://schemas.openxmlformats.org/officeDocument/2006/relationships/hyperlink" Target="https://policies.syr.edu/policies/university-governance-ethics-integrity-and-legal-compliance/university-records-policy/" TargetMode="External"/><Relationship Id="rId161" Type="http://schemas.openxmlformats.org/officeDocument/2006/relationships/hyperlink" Target="https://www.iprhelpdesk.eu/sites/default/files/newsdocuments/Fact-Sheet-Commercialising-IP-Joint-Ventures.pdf" TargetMode="External"/><Relationship Id="rId182" Type="http://schemas.openxmlformats.org/officeDocument/2006/relationships/hyperlink" Target="https://www.helsinki.fi/en/research/research-environment/research-data/data-policy" TargetMode="External"/><Relationship Id="rId217" Type="http://schemas.openxmlformats.org/officeDocument/2006/relationships/hyperlink" Target="https://polylex.epfl.ch/files/content/sites/polylex/files/recueil_pdf/ENG/4.1.1.1_dir_gestion_conflits_interet_en.pdf" TargetMode="Externa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308072/ipasset-management.pdf" TargetMode="External"/><Relationship Id="rId119" Type="http://schemas.openxmlformats.org/officeDocument/2006/relationships/hyperlink" Target="https://www.ipag.at/en/" TargetMode="External"/><Relationship Id="rId44" Type="http://schemas.openxmlformats.org/officeDocument/2006/relationships/hyperlink" Target="https://papers.ssrn.com/sol3/papers.cfm?abstract_id=2822343" TargetMode="External"/><Relationship Id="rId65" Type="http://schemas.openxmlformats.org/officeDocument/2006/relationships/image" Target="media/image6.png"/><Relationship Id="rId86" Type="http://schemas.openxmlformats.org/officeDocument/2006/relationships/hyperlink" Target="https://www.autm.net/" TargetMode="External"/><Relationship Id="rId130" Type="http://schemas.openxmlformats.org/officeDocument/2006/relationships/hyperlink" Target="https://www.sciencedirect.com/science/article/pii/S2452302X17300037" TargetMode="External"/><Relationship Id="rId151" Type="http://schemas.openxmlformats.org/officeDocument/2006/relationships/hyperlink" Target="http://www.wipo.int/edocs/pubdocs/en/licensing/903/wipo_pub_903.pdf" TargetMode="External"/><Relationship Id="rId172" Type="http://schemas.openxmlformats.org/officeDocument/2006/relationships/hyperlink" Target="http://www.dst.gov.za/nipm" TargetMode="External"/><Relationship Id="rId193" Type="http://schemas.openxmlformats.org/officeDocument/2006/relationships/hyperlink" Target="http://www.wipo.int/export/sites/www/tk/en/resources/pdf/redrafted_guidelines.pdf" TargetMode="External"/><Relationship Id="rId207" Type="http://schemas.openxmlformats.org/officeDocument/2006/relationships/hyperlink" Target="https://www.gla.ac.uk/media/media_176371_en.pdf" TargetMode="External"/><Relationship Id="rId13" Type="http://schemas.openxmlformats.org/officeDocument/2006/relationships/hyperlink" Target="http://www.wipo.int/about-ip/en/universities_research/documents/ip_toolkit/policy_template.docx" TargetMode="External"/><Relationship Id="rId109" Type="http://schemas.openxmlformats.org/officeDocument/2006/relationships/hyperlink" Target="http://www.uab.edu/policies/content/Pages/UAB-AD-POL-0000090.aspx" TargetMode="External"/><Relationship Id="rId34" Type="http://schemas.openxmlformats.org/officeDocument/2006/relationships/hyperlink" Target="http://www.wipo.int/tk/en/genetic" TargetMode="External"/><Relationship Id="rId55" Type="http://schemas.openxmlformats.org/officeDocument/2006/relationships/hyperlink" Target="http://www.autm.net/AUTMMain/media/ThirdEditionPDFs/V2/TTP_Manual_3rd_Edition_Volume2_StudentIP.pdf" TargetMode="External"/><Relationship Id="rId76" Type="http://schemas.openxmlformats.org/officeDocument/2006/relationships/hyperlink" Target="https://innovation.ox.ac.uk/wp-content/uploads/2015/01/Best-Structure-for-a-University-Technology-Transfer-Office.pdf" TargetMode="External"/><Relationship Id="rId97" Type="http://schemas.openxmlformats.org/officeDocument/2006/relationships/hyperlink" Target="http://www.wipo.int/about-ip/en/universities_research/resources/" TargetMode="External"/><Relationship Id="rId120" Type="http://schemas.openxmlformats.org/officeDocument/2006/relationships/hyperlink" Target="http://www.wipo.int/amc/en/center/specific-sectors/rd/ipag" TargetMode="External"/><Relationship Id="rId141" Type="http://schemas.openxmlformats.org/officeDocument/2006/relationships/hyperlink" Target="http://www.utas.edu.au/it/records/policies" TargetMode="External"/><Relationship Id="rId7" Type="http://schemas.openxmlformats.org/officeDocument/2006/relationships/endnotes" Target="endnotes.xml"/><Relationship Id="rId162" Type="http://schemas.openxmlformats.org/officeDocument/2006/relationships/image" Target="media/image12.png"/><Relationship Id="rId183" Type="http://schemas.openxmlformats.org/officeDocument/2006/relationships/hyperlink" Target="https://www.ncbi.nlm.nih.gov/pmc/articles/PMC3943904/pdf/nihms561459.pdf" TargetMode="External"/><Relationship Id="rId218" Type="http://schemas.openxmlformats.org/officeDocument/2006/relationships/hyperlink" Target="http://www.wipo.int/amc/en/" TargetMode="External"/><Relationship Id="rId24" Type="http://schemas.openxmlformats.org/officeDocument/2006/relationships/hyperlink" Target="https://www.autm.net/AUTMMain/media/Advocacy/Documents/Points_to_Consider.pdf" TargetMode="External"/><Relationship Id="rId45" Type="http://schemas.openxmlformats.org/officeDocument/2006/relationships/hyperlink" Target="https://papers.ssrn.com/sol3/papers.cfm?abstract_id=2822343" TargetMode="External"/><Relationship Id="rId66" Type="http://schemas.openxmlformats.org/officeDocument/2006/relationships/hyperlink" Target="http://www.ntem.com.cn/english1/" TargetMode="External"/><Relationship Id="rId87" Type="http://schemas.openxmlformats.org/officeDocument/2006/relationships/hyperlink" Target="http://www.icett.or.jp/english/gaiyou/objective.html" TargetMode="External"/><Relationship Id="rId110" Type="http://schemas.openxmlformats.org/officeDocument/2006/relationships/hyperlink" Target="http://humanresources.uchicago.edu/fpg/policies/600/p601.shtml" TargetMode="External"/><Relationship Id="rId131" Type="http://schemas.openxmlformats.org/officeDocument/2006/relationships/hyperlink" Target="https://www.sciencedirect.com/science/article/pii/S2452302X17300037" TargetMode="External"/><Relationship Id="rId152" Type="http://schemas.openxmlformats.org/officeDocument/2006/relationships/hyperlink" Target="http://news.stanford.edu/news/2007/march7/gifs/whitepaper.pdf" TargetMode="External"/><Relationship Id="rId173" Type="http://schemas.openxmlformats.org/officeDocument/2006/relationships/hyperlink" Target="https://www.ed.ac.uk/files/atoms/files/eri_spin-out_support_guide.pdf" TargetMode="External"/><Relationship Id="rId194" Type="http://schemas.openxmlformats.org/officeDocument/2006/relationships/hyperlink" Target="http://www.wipo.int/publications/en/series/index.jsp?id=144" TargetMode="External"/><Relationship Id="rId208" Type="http://schemas.openxmlformats.org/officeDocument/2006/relationships/hyperlink" Target="http://www.northwestern.edu/coi/policy/" TargetMode="External"/><Relationship Id="rId14" Type="http://schemas.openxmlformats.org/officeDocument/2006/relationships/hyperlink" Target="http://www.wipo.int/about-ip/en/universities_research/documents/ip_toolkit/checklist.docx" TargetMode="External"/><Relationship Id="rId35" Type="http://schemas.openxmlformats.org/officeDocument/2006/relationships/hyperlink" Target="http://www.upov.int/upovlex/en/upov_convention.html" TargetMode="External"/><Relationship Id="rId56" Type="http://schemas.openxmlformats.org/officeDocument/2006/relationships/hyperlink" Target="https://www.gov.uk/government/uploads/system/uploads/attachment_data/file/415732/Undergraduate_students_-_your_rights_under_consumer_law.pdf" TargetMode="External"/><Relationship Id="rId77" Type="http://schemas.openxmlformats.org/officeDocument/2006/relationships/hyperlink" Target="https://welc.wipo.int/index_fr.php" TargetMode="External"/><Relationship Id="rId100" Type="http://schemas.openxmlformats.org/officeDocument/2006/relationships/hyperlink" Target="https://www.umsystem.edu/ums/red/oipa/studentip-faqs"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hyperlink" Target="https://papers.ssrn.com/sol3/papers.cfm?abstract_id=2896185" TargetMode="External"/><Relationship Id="rId72" Type="http://schemas.openxmlformats.org/officeDocument/2006/relationships/hyperlink" Target="http://www.iphandbook.org/handbook/execguide_files/ipHandbook%20Guide-Section%2006.pdf" TargetMode="External"/><Relationship Id="rId93" Type="http://schemas.openxmlformats.org/officeDocument/2006/relationships/hyperlink" Target="https://www.iprhelpdesk.eu/sites/default/files/newsdocuments/Fact-Sheet-Inventorship-Authorship-Ownership.pdf" TargetMode="External"/><Relationship Id="rId98" Type="http://schemas.openxmlformats.org/officeDocument/2006/relationships/hyperlink" Target="http://www.wipo.int/about-ip/en/universities_research/ip_policies/index.html" TargetMode="External"/><Relationship Id="rId121" Type="http://schemas.openxmlformats.org/officeDocument/2006/relationships/hyperlink" Target="https://www.autm.net/autm-info/about-tech-transfer/about-technology-transfer/technology-transfer-resources/sample-agreements/" TargetMode="External"/><Relationship Id="rId142" Type="http://schemas.openxmlformats.org/officeDocument/2006/relationships/hyperlink" Target="file:///\\adi.wipo.int\wipodata\DAT2\ORGDCEA\SHARED%20ORGSME\IP%20Policies%20for%20Universities\IP%20TOOLKIT%20AC%20INST\IP%20Policy%20Template\Step%2017%20-%2012th%20Draft%20-%20Website%20version\English\www.ipHandbook.org" TargetMode="External"/><Relationship Id="rId163" Type="http://schemas.openxmlformats.org/officeDocument/2006/relationships/image" Target="media/image13.png"/><Relationship Id="rId184" Type="http://schemas.openxmlformats.org/officeDocument/2006/relationships/hyperlink" Target="https://www.ncbi.nlm.nih.gov/pmc/articles/PMC3943904/pdf/nihms561459.pdf" TargetMode="External"/><Relationship Id="rId189" Type="http://schemas.openxmlformats.org/officeDocument/2006/relationships/hyperlink" Target="https://www.autm.net/resources-surveys/research-reports-databases/licensing-surveys/"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www.uct.ac.za/downloads/uct.ac.za/about/policies/conflictsofinterest.pdf" TargetMode="External"/><Relationship Id="rId25" Type="http://schemas.openxmlformats.org/officeDocument/2006/relationships/hyperlink" Target="https://www.nap.edu/catalog/13001/managing-university-intellectual-property-in-the-public-interest" TargetMode="External"/><Relationship Id="rId46" Type="http://schemas.openxmlformats.org/officeDocument/2006/relationships/hyperlink" Target="https://papers.ssrn.com/sol3/papers.cfm?abstract_id=2822343" TargetMode="External"/><Relationship Id="rId67" Type="http://schemas.openxmlformats.org/officeDocument/2006/relationships/image" Target="media/image7.jpeg"/><Relationship Id="rId116" Type="http://schemas.openxmlformats.org/officeDocument/2006/relationships/hyperlink" Target="http://www.wipo.int/about-ip/en/universities_research/ip_policies/search.jsp?institution_id=&amp;focus_id=&amp;type_id=12&amp;territory_id=&amp;language_code=" TargetMode="External"/><Relationship Id="rId137" Type="http://schemas.openxmlformats.org/officeDocument/2006/relationships/hyperlink" Target="https://sites.tufts.edu/dca/records-management/records-policies/guidelines-for-managing-university-records/" TargetMode="External"/><Relationship Id="rId158" Type="http://schemas.openxmlformats.org/officeDocument/2006/relationships/hyperlink" Target="http://www.cu.edu/sites/default/files/pages/44192-startup-companies-cu/docs/bulletin-startupprocess.pdf" TargetMode="External"/><Relationship Id="rId20" Type="http://schemas.openxmlformats.org/officeDocument/2006/relationships/hyperlink" Target="https://ec.europa.eu/research/innovation-union/pdf/international_cooperation_guidelines_erac_kt_group.pdf" TargetMode="External"/><Relationship Id="rId41" Type="http://schemas.openxmlformats.org/officeDocument/2006/relationships/hyperlink" Target="http://www.wipo.int/ipstats/en/statistics/glossary.html" TargetMode="External"/><Relationship Id="rId62" Type="http://schemas.openxmlformats.org/officeDocument/2006/relationships/image" Target="media/image3.png"/><Relationship Id="rId83" Type="http://schemas.openxmlformats.org/officeDocument/2006/relationships/hyperlink" Target="http://www.wipo.int/about-ip/en/universities_research/documents/ip_toolkit/checklist.docx" TargetMode="External"/><Relationship Id="rId88" Type="http://schemas.openxmlformats.org/officeDocument/2006/relationships/hyperlink" Target="https://www.kca.asn.au/" TargetMode="External"/><Relationship Id="rId111" Type="http://schemas.openxmlformats.org/officeDocument/2006/relationships/hyperlink" Target="https://www.vanderbilt.edu/faculty-manual/part-iii-university-principles-and-policies/ch5-policy-guidelines-for-sponsored-research/" TargetMode="External"/><Relationship Id="rId132" Type="http://schemas.openxmlformats.org/officeDocument/2006/relationships/hyperlink" Target="http://www.iphandbook.org/handbook/ch08/p04/eo/" TargetMode="External"/><Relationship Id="rId153" Type="http://schemas.openxmlformats.org/officeDocument/2006/relationships/hyperlink" Target="http://news.stanford.edu/news/2007/march7/gifs/whitepaper.pdf" TargetMode="External"/><Relationship Id="rId174" Type="http://schemas.openxmlformats.org/officeDocument/2006/relationships/hyperlink" Target="https://www.wit.ie/research/for_researchers/commercialising_your_research" TargetMode="External"/><Relationship Id="rId179" Type="http://schemas.openxmlformats.org/officeDocument/2006/relationships/hyperlink" Target="http://research.oregonstate.edu/incentive-programs/research-equipment-reserve-fund" TargetMode="External"/><Relationship Id="rId195" Type="http://schemas.openxmlformats.org/officeDocument/2006/relationships/hyperlink" Target="http://www.wipo.int/meetings/en/doc_details.jsp?doc_id=396139" TargetMode="External"/><Relationship Id="rId209" Type="http://schemas.openxmlformats.org/officeDocument/2006/relationships/hyperlink" Target="https://www.auckland.ac.nz/en/about/the-university/how-university-works/policy-and-administration/university-organisation-and-governance/legal/conflict-of-interest-policy.html" TargetMode="External"/><Relationship Id="rId190" Type="http://schemas.openxmlformats.org/officeDocument/2006/relationships/hyperlink" Target="http://ec.europa.eu/invest-in-research/pdf/download_en/library_house_2008_unico.pdf" TargetMode="External"/><Relationship Id="rId204" Type="http://schemas.openxmlformats.org/officeDocument/2006/relationships/hyperlink" Target="http://www.fao.org/plant-treaty/en/" TargetMode="External"/><Relationship Id="rId220" Type="http://schemas.openxmlformats.org/officeDocument/2006/relationships/footer" Target="footer2.xml"/><Relationship Id="rId15" Type="http://schemas.openxmlformats.org/officeDocument/2006/relationships/hyperlink" Target="http://www.eu-usr.eu/wp-content/uploads/2015/04/D1.4-Final-Report-Public-Part-EN.pdf" TargetMode="External"/><Relationship Id="rId36" Type="http://schemas.openxmlformats.org/officeDocument/2006/relationships/hyperlink" Target="https://www.epo.org/law-practice/legal-texts/html/epc/2016/e/r26.html" TargetMode="External"/><Relationship Id="rId57" Type="http://schemas.openxmlformats.org/officeDocument/2006/relationships/hyperlink" Target="https://www.praxisunico.org.uk/sites/praxisunico.org.uk/files/5%20-%20Students%20and%20IP.pdf" TargetMode="External"/><Relationship Id="rId106" Type="http://schemas.openxmlformats.org/officeDocument/2006/relationships/hyperlink" Target="http://www.wipo.int/edocs/pubdocs/en/wipo_pub_944_2011-chapter4.pdf" TargetMode="External"/><Relationship Id="rId127" Type="http://schemas.openxmlformats.org/officeDocument/2006/relationships/image" Target="media/image9.emf"/><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s://www.oecd-ilibrary.org/docserver/9789264044104-en.pdf?expires=1526636575&amp;id=id&amp;accname=ocid54015566&amp;checksum=F0C787E456C41D3EB8979421B34EFB9C" TargetMode="External"/><Relationship Id="rId52" Type="http://schemas.openxmlformats.org/officeDocument/2006/relationships/hyperlink" Target="https://papers.ssrn.com/sol3/papers.cfm?abstract_id=2896185" TargetMode="External"/><Relationship Id="rId73" Type="http://schemas.openxmlformats.org/officeDocument/2006/relationships/hyperlink" Target="http://www.wipo.int/ebookshop" TargetMode="External"/><Relationship Id="rId78" Type="http://schemas.openxmlformats.org/officeDocument/2006/relationships/hyperlink" Target="https://assets.publishing.service.gov.uk/government/uploads/system/uploads/attachment_data/file/308072/ipasset-management.pdf" TargetMode="External"/><Relationship Id="rId94" Type="http://schemas.openxmlformats.org/officeDocument/2006/relationships/hyperlink" Target="https://www.iprhelpdesk.eu/sites/default/files/newsdocuments/Fact-Sheet-Inventorship-Authorship-Ownership.pdf" TargetMode="External"/><Relationship Id="rId99" Type="http://schemas.openxmlformats.org/officeDocument/2006/relationships/hyperlink" Target="https://www.praxisauril.org.uk/resource/practical-guide-students-and-ip" TargetMode="External"/><Relationship Id="rId101" Type="http://schemas.openxmlformats.org/officeDocument/2006/relationships/hyperlink" Target="http://www.oecd.org/sti/sci-tech/turningscienceintobusinesspatentingandlicensingatpublicresearchorganisations.htm" TargetMode="External"/><Relationship Id="rId122" Type="http://schemas.openxmlformats.org/officeDocument/2006/relationships/hyperlink" Target="http://www.knowledgetransferireland.com/Model-Agreements/Catalogue-of-Model-Agreements/" TargetMode="External"/><Relationship Id="rId143" Type="http://schemas.openxmlformats.org/officeDocument/2006/relationships/image" Target="media/image11.tiff"/><Relationship Id="rId148" Type="http://schemas.openxmlformats.org/officeDocument/2006/relationships/hyperlink" Target="http://4.interreg-sudoe.eu/contenido-dinamico/libreria-ficheros/3D0ED325-A000-2BDC-F737-7534920D685C.pdf" TargetMode="External"/><Relationship Id="rId164" Type="http://schemas.openxmlformats.org/officeDocument/2006/relationships/hyperlink" Target="https://www.innovationpolicyplatform.org/sites/default/files/rdf_imported_documents/TechnologyTransferFromPublicResearchOrganizations.pdf" TargetMode="External"/><Relationship Id="rId169" Type="http://schemas.openxmlformats.org/officeDocument/2006/relationships/hyperlink" Target="http://www.wipo.int/edocs/pubdocs/en/wipo_pub_944_2011-chapter4.pdf" TargetMode="External"/><Relationship Id="rId185" Type="http://schemas.openxmlformats.org/officeDocument/2006/relationships/hyperlink" Target="https://fr.scribd.com/document/320063128/Strategic-Guide"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checklist.docx" TargetMode="External"/><Relationship Id="rId180" Type="http://schemas.openxmlformats.org/officeDocument/2006/relationships/hyperlink" Target="http://research.oregonstate.edu/incentive/undergraduate-research-innovation-scholarship-creativity-urisc" TargetMode="External"/><Relationship Id="rId210" Type="http://schemas.openxmlformats.org/officeDocument/2006/relationships/hyperlink" Target="http://policy.nd.edu/assets/185215/conflictofinterestpolicy.pdf" TargetMode="External"/><Relationship Id="rId215" Type="http://schemas.openxmlformats.org/officeDocument/2006/relationships/hyperlink" Target="https://policies-procedures.mit.edu/faculty-rights-and-responsibilities/conflict-interest" TargetMode="External"/><Relationship Id="rId26" Type="http://schemas.openxmlformats.org/officeDocument/2006/relationships/hyperlink" Target="https://www2.tulane.edu/ott/upload/AAU-Statement-of-Principles.pdf" TargetMode="External"/><Relationship Id="rId47" Type="http://schemas.openxmlformats.org/officeDocument/2006/relationships/hyperlink" Target="https://papers.ssrn.com/sol3/papers.cfm?abstract_id=2855159" TargetMode="External"/><Relationship Id="rId68" Type="http://schemas.openxmlformats.org/officeDocument/2006/relationships/hyperlink" Target="http://www.nitrio.org.br/" TargetMode="External"/><Relationship Id="rId89" Type="http://schemas.openxmlformats.org/officeDocument/2006/relationships/hyperlink" Target="https://www.acctcanada.ca/" TargetMode="External"/><Relationship Id="rId112" Type="http://schemas.openxmlformats.org/officeDocument/2006/relationships/hyperlink" Target="http://wmich.edu/registrar/ferpa-faculty-staff-confidentiality" TargetMode="External"/><Relationship Id="rId133" Type="http://schemas.openxmlformats.org/officeDocument/2006/relationships/hyperlink" Target="http://www.sciencecouncil.ie/Publications/2005/National-Code-of-Practice-for-Managing-Intellectual-Property-from-Publicly-Funded-Research.pdf" TargetMode="External"/><Relationship Id="rId154" Type="http://schemas.openxmlformats.org/officeDocument/2006/relationships/hyperlink" Target="https://www.praxisauril.org.uk/sites/praxisunico.org.uk/files/7%20-%20Spinout%20Transactions_1.pdf" TargetMode="External"/><Relationship Id="rId175" Type="http://schemas.openxmlformats.org/officeDocument/2006/relationships/hyperlink" Target="https://www.uj.ac.za/research/Documents/Patent_Incentive_Fund_Policy-ApplGuidelines.pdf" TargetMode="External"/><Relationship Id="rId196" Type="http://schemas.openxmlformats.org/officeDocument/2006/relationships/hyperlink" Target="http://www.wipo.int/tk/en/databases/contracts/" TargetMode="External"/><Relationship Id="rId200" Type="http://schemas.openxmlformats.org/officeDocument/2006/relationships/hyperlink" Target="http://www.wipo.int/tk/en/legal_texts/" TargetMode="External"/><Relationship Id="rId16" Type="http://schemas.openxmlformats.org/officeDocument/2006/relationships/hyperlink" Target="http://ipadvocatefoundation.org/mission/pdfs/SociallyResponsibleLicensing_Berkeley.pdf" TargetMode="External"/><Relationship Id="rId221" Type="http://schemas.openxmlformats.org/officeDocument/2006/relationships/footer" Target="footer3.xml"/><Relationship Id="rId37" Type="http://schemas.openxmlformats.org/officeDocument/2006/relationships/hyperlink" Target="http://www.wipo.int/patents/en/faq_patents.html" TargetMode="External"/><Relationship Id="rId58" Type="http://schemas.openxmlformats.org/officeDocument/2006/relationships/image" Target="media/image1.tiff"/><Relationship Id="rId79" Type="http://schemas.openxmlformats.org/officeDocument/2006/relationships/hyperlink" Target="http://www.autm.net" TargetMode="External"/><Relationship Id="rId102" Type="http://schemas.openxmlformats.org/officeDocument/2006/relationships/hyperlink" Target="http://www.oecd.org/sti/sci-tech/turningscienceintobusinesspatentingandlicensingatpublicresearchorganisations.htm" TargetMode="External"/><Relationship Id="rId123" Type="http://schemas.openxmlformats.org/officeDocument/2006/relationships/hyperlink" Target="https://www.ipaustralia.gov.au/understanding-ip/commercialise-your-ip/ip-toolkit-collaboration" TargetMode="External"/><Relationship Id="rId144" Type="http://schemas.openxmlformats.org/officeDocument/2006/relationships/hyperlink" Target="http://news.stanford.edu/news/2007/march7/gifs/whitepaper.pdf" TargetMode="External"/><Relationship Id="rId90" Type="http://schemas.openxmlformats.org/officeDocument/2006/relationships/hyperlink" Target="http://www.auril.org.uk" TargetMode="External"/><Relationship Id="rId165" Type="http://schemas.openxmlformats.org/officeDocument/2006/relationships/hyperlink" Target="http://www.auril.org.uk/Portals/26/documents/strategic_guide.pdf" TargetMode="External"/><Relationship Id="rId186" Type="http://schemas.openxmlformats.org/officeDocument/2006/relationships/hyperlink" Target="http://www.wipo.int/publications/zh/details.jsp?id=3954&amp;plang=EN" TargetMode="External"/><Relationship Id="rId211" Type="http://schemas.openxmlformats.org/officeDocument/2006/relationships/hyperlink" Target="http://chuka.ac.ke/Code%20of%20Conduct%20and%20Ethics%20Policy%2013.9.2013.pdf" TargetMode="External"/><Relationship Id="rId27" Type="http://schemas.openxmlformats.org/officeDocument/2006/relationships/hyperlink" Target="https://www.nature.com/articles/nbt.3911" TargetMode="External"/><Relationship Id="rId48" Type="http://schemas.openxmlformats.org/officeDocument/2006/relationships/hyperlink" Target="https://papers.ssrn.com/sol3/papers.cfm?abstract_id=2855159" TargetMode="External"/><Relationship Id="rId69" Type="http://schemas.openxmlformats.org/officeDocument/2006/relationships/hyperlink" Target="http://www.nitmantiqueira.org.br/portal/" TargetMode="External"/><Relationship Id="rId113" Type="http://schemas.openxmlformats.org/officeDocument/2006/relationships/hyperlink" Target="http://ec.europa.eu/invest-in-research/pdf/ip_recommendation_en.pdf" TargetMode="External"/><Relationship Id="rId134" Type="http://schemas.openxmlformats.org/officeDocument/2006/relationships/hyperlink" Target="https://www.ncbi.nlm.nih.gov/pmc/articles/PMC3943904/" TargetMode="External"/><Relationship Id="rId80" Type="http://schemas.openxmlformats.org/officeDocument/2006/relationships/hyperlink" Target="http://www.iphandbook.org/" TargetMode="External"/><Relationship Id="rId155" Type="http://schemas.openxmlformats.org/officeDocument/2006/relationships/hyperlink" Target="https://brage.bibsys.no/xmlui/bitstream/id/420743/Rasmussen.pdf" TargetMode="External"/><Relationship Id="rId176" Type="http://schemas.openxmlformats.org/officeDocument/2006/relationships/hyperlink" Target="http://research.oregonstate.edu/incentive/" TargetMode="External"/><Relationship Id="rId197" Type="http://schemas.openxmlformats.org/officeDocument/2006/relationships/hyperlink" Target="http://www.wipo.int/tk/en/resources/tk_experiences.html" TargetMode="External"/><Relationship Id="rId201" Type="http://schemas.openxmlformats.org/officeDocument/2006/relationships/hyperlink" Target="http://www.wipo.int/tk/en/igc/" TargetMode="External"/><Relationship Id="rId222" Type="http://schemas.openxmlformats.org/officeDocument/2006/relationships/fontTable" Target="fontTable.xml"/><Relationship Id="rId17" Type="http://schemas.openxmlformats.org/officeDocument/2006/relationships/hyperlink" Target="http://www.iphandbook.org/handbook/ch06/p07/" TargetMode="External"/><Relationship Id="rId38" Type="http://schemas.openxmlformats.org/officeDocument/2006/relationships/hyperlink" Target="https://www.wipo.int/pct/pt/texts/glossary.html" TargetMode="External"/><Relationship Id="rId59" Type="http://schemas.openxmlformats.org/officeDocument/2006/relationships/hyperlink" Target="http://siteresources.worldbank.org/INTARD/Resources/335807-1330620492317/8478371-1330712171692/Module5-TN5.pdf" TargetMode="External"/><Relationship Id="rId103" Type="http://schemas.openxmlformats.org/officeDocument/2006/relationships/hyperlink" Target="http://www.heip-link.net/content/toolbox" TargetMode="External"/><Relationship Id="rId124" Type="http://schemas.openxmlformats.org/officeDocument/2006/relationships/hyperlink" Target="http://ec.europa.eu/invest-in-research/policy/crest_cross_en.htm" TargetMode="External"/><Relationship Id="rId70" Type="http://schemas.openxmlformats.org/officeDocument/2006/relationships/image" Target="media/image8.png"/><Relationship Id="rId91" Type="http://schemas.openxmlformats.org/officeDocument/2006/relationships/hyperlink" Target="http://www.wipo.int/about-ip/ar/universities_research/ip_policies/faqs/index.html" TargetMode="External"/><Relationship Id="rId145" Type="http://schemas.openxmlformats.org/officeDocument/2006/relationships/hyperlink" Target="http://techtransfercentral.com/online-resources/" TargetMode="External"/><Relationship Id="rId166" Type="http://schemas.openxmlformats.org/officeDocument/2006/relationships/hyperlink" Target="http://www.auril.org.uk/Portals/26/documents/strategic_guide.pdf" TargetMode="External"/><Relationship Id="rId187" Type="http://schemas.openxmlformats.org/officeDocument/2006/relationships/hyperlink" Target="http://www.wipo.int/publications/zh/details.jsp?id=3954&amp;plang=EN" TargetMode="External"/><Relationship Id="rId1" Type="http://schemas.openxmlformats.org/officeDocument/2006/relationships/customXml" Target="../customXml/item1.xml"/><Relationship Id="rId212" Type="http://schemas.openxmlformats.org/officeDocument/2006/relationships/hyperlink" Target="http://www.autm.net" TargetMode="External"/><Relationship Id="rId28" Type="http://schemas.openxmlformats.org/officeDocument/2006/relationships/hyperlink" Target="http://ipadvocatefoundation.org/mission/promote.cfm" TargetMode="External"/><Relationship Id="rId49" Type="http://schemas.openxmlformats.org/officeDocument/2006/relationships/hyperlink" Target="https://papers.ssrn.com/sol3/papers.cfm?abstract_id=2855159" TargetMode="External"/><Relationship Id="rId114" Type="http://schemas.openxmlformats.org/officeDocument/2006/relationships/hyperlink" Target="http://www.knowledgetransferireland.ie/Model-Agreements/Catalogue-of-Model-Agreements/" TargetMode="External"/><Relationship Id="rId60" Type="http://schemas.openxmlformats.org/officeDocument/2006/relationships/hyperlink" Target="http://siteresources.worldbank.org/INTARD/Resources/335807-1330620492317/8478371-1330712171692/Module5-TN5.pdf" TargetMode="External"/><Relationship Id="rId81" Type="http://schemas.openxmlformats.org/officeDocument/2006/relationships/hyperlink" Target="http://www.wipo.int/about-ip/en/universities_research/resources/" TargetMode="External"/><Relationship Id="rId135" Type="http://schemas.openxmlformats.org/officeDocument/2006/relationships/hyperlink" Target="https://www.ncbi.nlm.nih.gov/pmc/articles/PMC3943904/" TargetMode="External"/><Relationship Id="rId156" Type="http://schemas.openxmlformats.org/officeDocument/2006/relationships/hyperlink" Target="https://brage.bibsys.no/xmlui/bitstream/id/420743/Rasmussen.pdf" TargetMode="External"/><Relationship Id="rId177" Type="http://schemas.openxmlformats.org/officeDocument/2006/relationships/hyperlink" Target="http://research.oregonstate.edu/incentive/generalresearchfund" TargetMode="External"/><Relationship Id="rId198" Type="http://schemas.openxmlformats.org/officeDocument/2006/relationships/hyperlink" Target="https://welc.wipo.int/acc/index.jsf?page=courseCatalog.xhtml&amp;lang=en&amp;cc=DL203E%23plus_DL203E" TargetMode="External"/><Relationship Id="rId202" Type="http://schemas.openxmlformats.org/officeDocument/2006/relationships/hyperlink" Target="http://www.wipo.int/publications/en/details.jsp?id=3861&amp;plang=EN" TargetMode="External"/><Relationship Id="rId223" Type="http://schemas.openxmlformats.org/officeDocument/2006/relationships/theme" Target="theme/theme1.xml"/><Relationship Id="rId18" Type="http://schemas.openxmlformats.org/officeDocument/2006/relationships/hyperlink" Target="http://www.arc.gov.au/national-principles-intellectual-property-management-publicly-funded-research" TargetMode="External"/><Relationship Id="rId39" Type="http://schemas.openxmlformats.org/officeDocument/2006/relationships/hyperlink" Target="http://www.wipo.int/tk/en/resources/glossary.html" TargetMode="External"/><Relationship Id="rId50" Type="http://schemas.openxmlformats.org/officeDocument/2006/relationships/hyperlink" Target="https://papers.ssrn.com/sol3/papers.cfm?abstract_id=2896185" TargetMode="External"/><Relationship Id="rId104" Type="http://schemas.openxmlformats.org/officeDocument/2006/relationships/hyperlink" Target="http://nopr.niscair.res.in/bitstream/123456789/28924/1/JIPR%2019%283%29%20177-188.pdf" TargetMode="External"/><Relationship Id="rId125" Type="http://schemas.openxmlformats.org/officeDocument/2006/relationships/hyperlink" Target="https://www.nihr.ac.uk/about-us/CCF/policy-and-standards/standard-research-agreements.htm" TargetMode="External"/><Relationship Id="rId146" Type="http://schemas.openxmlformats.org/officeDocument/2006/relationships/hyperlink" Target="http://www.biocat.cat/en/about-biocat" TargetMode="External"/><Relationship Id="rId167" Type="http://schemas.openxmlformats.org/officeDocument/2006/relationships/hyperlink" Target="http://www.ip-unilink.net/public_documents/Micro-Level_Analysis.pdf" TargetMode="External"/><Relationship Id="rId188" Type="http://schemas.openxmlformats.org/officeDocument/2006/relationships/hyperlink" Target="http://www.sciencecouncil.ie/Publications/2005/National-Code-of-Practice-for-Managing-Intellectual-Property-from-Publicly-Funded-Research.pdf" TargetMode="External"/><Relationship Id="rId71" Type="http://schemas.openxmlformats.org/officeDocument/2006/relationships/hyperlink" Target="http://www.oecd.org/innovation/policyplatform/48136121.pdf" TargetMode="External"/><Relationship Id="rId92" Type="http://schemas.openxmlformats.org/officeDocument/2006/relationships/hyperlink" Target="https://policy.ucop.edu/doc/2100004/CourseMaterials" TargetMode="External"/><Relationship Id="rId213" Type="http://schemas.openxmlformats.org/officeDocument/2006/relationships/hyperlink" Target="http://www.sineiitb.org/downloads/bi_policy_coi_and_confidentiality.pdf" TargetMode="External"/><Relationship Id="rId2" Type="http://schemas.openxmlformats.org/officeDocument/2006/relationships/numbering" Target="numbering.xml"/><Relationship Id="rId29" Type="http://schemas.openxmlformats.org/officeDocument/2006/relationships/hyperlink" Target="http://news.stanford.edu/news/2007/march7/gifs/whitepaper.pdf" TargetMode="External"/><Relationship Id="rId40" Type="http://schemas.openxmlformats.org/officeDocument/2006/relationships/hyperlink" Target="http://www.wipo.int/wipolex/en/glossary/" TargetMode="External"/><Relationship Id="rId115" Type="http://schemas.openxmlformats.org/officeDocument/2006/relationships/hyperlink" Target="http://ec.europa.eu/research/innovation-union/pdf/international_cooperation_guidelines_erac_kt_group.pdf" TargetMode="External"/><Relationship Id="rId136" Type="http://schemas.openxmlformats.org/officeDocument/2006/relationships/hyperlink" Target="http://sydney.edu.au/arms/records_mgmt/uni_rec_manual.shtml" TargetMode="External"/><Relationship Id="rId157" Type="http://schemas.openxmlformats.org/officeDocument/2006/relationships/hyperlink" Target="http://www.cordis.lu/innovation-policy/studies/im_study4.htm" TargetMode="External"/><Relationship Id="rId178" Type="http://schemas.openxmlformats.org/officeDocument/2006/relationships/hyperlink" Target="http://research.oregonstate.edu/incentive/faculty-release-time" TargetMode="External"/><Relationship Id="rId61" Type="http://schemas.openxmlformats.org/officeDocument/2006/relationships/image" Target="media/image2.png"/><Relationship Id="rId82" Type="http://schemas.openxmlformats.org/officeDocument/2006/relationships/hyperlink" Target="http://www.wipo.int/export/sites/www/policy/pdf/en/ui_checklist.pdf" TargetMode="External"/><Relationship Id="rId199" Type="http://schemas.openxmlformats.org/officeDocument/2006/relationships/hyperlink" Target="http://is" TargetMode="External"/><Relationship Id="rId203" Type="http://schemas.openxmlformats.org/officeDocument/2006/relationships/hyperlink" Target="file:///\\adi.wipo.int\wipodata\DAT2\ORGDCEA\SHARED%20ORGSME\IP%20Policies%20for%20Universities\IP%20TOOLKIT%20AC%20INST\IP%20Policy%20Template\Step%2017%20-%2012th%20Draft%20-%20Website%20version\English\www.cbd.int\intro\" TargetMode="External"/><Relationship Id="rId19" Type="http://schemas.openxmlformats.org/officeDocument/2006/relationships/hyperlink" Target="http://ec.europa.eu/invest-in-research/pdf/ip_recommendation_en.pdf" TargetMode="External"/><Relationship Id="rId30" Type="http://schemas.openxmlformats.org/officeDocument/2006/relationships/hyperlink" Target="http://news.stanford.edu/news/2007/march7/gifs/whitepaper.pdf" TargetMode="External"/><Relationship Id="rId105" Type="http://schemas.openxmlformats.org/officeDocument/2006/relationships/hyperlink" Target="http://nopr.niscair.res.in/bitstream/123456789/28924/1/JIPR%2019%283%29%20177-188.pdf" TargetMode="External"/><Relationship Id="rId126" Type="http://schemas.openxmlformats.org/officeDocument/2006/relationships/hyperlink" Target="https://www.biocompare.com/Editorial-Articles/347276-Electronic-Lab-Notebooks-Are-the-Future/" TargetMode="External"/><Relationship Id="rId147" Type="http://schemas.openxmlformats.org/officeDocument/2006/relationships/hyperlink" Target="http://www.interbio-sudoe.eu/" TargetMode="External"/><Relationship Id="rId168" Type="http://schemas.openxmlformats.org/officeDocument/2006/relationships/hyperlink" Target="http://www.ip-unilink.net/public_documents/Micro-Level_Analysis.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southcentre.int/wp-content/uploads/2016/07/RP69_IP-and-Access-to-Science_EN.pdf" TargetMode="External"/><Relationship Id="rId21" Type="http://schemas.openxmlformats.org/officeDocument/2006/relationships/hyperlink" Target="https://www.uio.no/english/about/strategy/Strategy2020-English.pdf" TargetMode="External"/><Relationship Id="rId42" Type="http://schemas.openxmlformats.org/officeDocument/2006/relationships/hyperlink" Target="https://www.oecd.org/sti/inno/Frascati-2015-Glossary.pdf" TargetMode="External"/><Relationship Id="rId47" Type="http://schemas.openxmlformats.org/officeDocument/2006/relationships/hyperlink" Target="http://www.iphandbook.org/handbook/chPDFs/ch06/ipHandbook-Ch%2006%2002%20Young%20Establishing%20TTOs.pdf" TargetMode="External"/><Relationship Id="rId63" Type="http://schemas.openxmlformats.org/officeDocument/2006/relationships/hyperlink" Target="https://www.claytonutz.com/knowledge/2010/december/the-importance-of-being-specific-ip-ownership-in-employee-contracts" TargetMode="External"/><Relationship Id="rId68" Type="http://schemas.openxmlformats.org/officeDocument/2006/relationships/hyperlink" Target="http://documents.manchester.ac.uk/display.aspx?DocID=24420" TargetMode="External"/><Relationship Id="rId84" Type="http://schemas.openxmlformats.org/officeDocument/2006/relationships/hyperlink" Target="http://ec.europa.eu/research/era/pdf/iprmanagementguidelines-report.pdf" TargetMode="External"/><Relationship Id="rId89" Type="http://schemas.openxmlformats.org/officeDocument/2006/relationships/hyperlink" Target="http://www.wipo.int/publications/en/details.jsp?id=4011&amp;plang=EN" TargetMode="External"/><Relationship Id="rId16" Type="http://schemas.openxmlformats.org/officeDocument/2006/relationships/hyperlink" Target="https://www.researchgate.net/publication/274608438_Social_Responsibility_in_Higher_Education_Institutions_Application_case_from_the_Middle_East" TargetMode="External"/><Relationship Id="rId107" Type="http://schemas.openxmlformats.org/officeDocument/2006/relationships/hyperlink" Target="http://www.wipo.int/about-ip/en/universities_research/ip_policies/details.jsp?id=5896" TargetMode="External"/><Relationship Id="rId11" Type="http://schemas.openxmlformats.org/officeDocument/2006/relationships/hyperlink" Target="http://www.revistaie.ase.ro/content/64/06%20-%20Dan.pdf" TargetMode="External"/><Relationship Id="rId32" Type="http://schemas.openxmlformats.org/officeDocument/2006/relationships/hyperlink" Target="http://www.fao.org/plant-treaty/en/" TargetMode="External"/><Relationship Id="rId37" Type="http://schemas.openxmlformats.org/officeDocument/2006/relationships/hyperlink" Target="http://www.cam.ac.uk/research/news/what-is-knowledge-transfer" TargetMode="External"/><Relationship Id="rId53" Type="http://schemas.openxmlformats.org/officeDocument/2006/relationships/hyperlink" Target="http://www.iperative.com/" TargetMode="External"/><Relationship Id="rId58" Type="http://schemas.openxmlformats.org/officeDocument/2006/relationships/hyperlink" Target="http://www.icett.or.jp/english/index.html" TargetMode="External"/><Relationship Id="rId74" Type="http://schemas.openxmlformats.org/officeDocument/2006/relationships/hyperlink" Target="https://fi.ku.dk/tech-trans/guides/pdf/Guide_vedr_samarbejdsaftaler_GB.pdf" TargetMode="External"/><Relationship Id="rId79" Type="http://schemas.openxmlformats.org/officeDocument/2006/relationships/hyperlink" Target="https://fi.ku.dk/tech-trans/guides/pdf/Guide_vedr_samarbejdsaftaler_GB.pdf" TargetMode="External"/><Relationship Id="rId102" Type="http://schemas.openxmlformats.org/officeDocument/2006/relationships/hyperlink" Target="http://www.wipo.int/tk/en/igc/" TargetMode="External"/><Relationship Id="rId5" Type="http://schemas.openxmlformats.org/officeDocument/2006/relationships/hyperlink" Target="http://www.wipo.int/about-ip/en/universities_research/documents/ip_toolkit/checklist.docx" TargetMode="External"/><Relationship Id="rId90" Type="http://schemas.openxmlformats.org/officeDocument/2006/relationships/hyperlink" Target="http://eur-lex.europa.eu/legal-content/EN/TXT/HTML/?uri=CELEX:32014R0511&amp;from=EN" TargetMode="External"/><Relationship Id="rId95" Type="http://schemas.openxmlformats.org/officeDocument/2006/relationships/hyperlink" Target="http://www.wipo.int/sme/en/documents/academic_patenting.html" TargetMode="External"/><Relationship Id="rId22" Type="http://schemas.openxmlformats.org/officeDocument/2006/relationships/hyperlink" Target="http://news.cornell.edu/stories/2008/04/cornell-can-do-well-doing-good-tech-transfer-leader-says" TargetMode="External"/><Relationship Id="rId27" Type="http://schemas.openxmlformats.org/officeDocument/2006/relationships/hyperlink" Target="http://ec.europa.eu/research/era/pdf/iprmanagementguidelines-report.pdf" TargetMode="External"/><Relationship Id="rId43" Type="http://schemas.openxmlformats.org/officeDocument/2006/relationships/hyperlink" Target="http://www.wipo.int/tk/en/tk" TargetMode="External"/><Relationship Id="rId48" Type="http://schemas.openxmlformats.org/officeDocument/2006/relationships/hyperlink" Target="https://otd.harvard.edu/" TargetMode="External"/><Relationship Id="rId64" Type="http://schemas.openxmlformats.org/officeDocument/2006/relationships/hyperlink" Target="https://www.claytonutz.com/knowledge/2010/march/employers-employees-and-intellectual-property-the-saga-of-university-of-western-australia-v-gray" TargetMode="External"/><Relationship Id="rId69" Type="http://schemas.openxmlformats.org/officeDocument/2006/relationships/hyperlink" Target="http://ec.europa.eu/invest-in-research/pdf/download_en/crestreport.pdf" TargetMode="External"/><Relationship Id="rId80" Type="http://schemas.openxmlformats.org/officeDocument/2006/relationships/hyperlink" Target="https://fi.ku.dk/tech-trans/guides/pdf/Guide_vedr_samarbejdsaftaler_GB.pdf" TargetMode="External"/><Relationship Id="rId85" Type="http://schemas.openxmlformats.org/officeDocument/2006/relationships/hyperlink" Target="http://ec.europa.eu/research/era/pdf/iprmanagementguidelines-report.pdf" TargetMode="External"/><Relationship Id="rId12" Type="http://schemas.openxmlformats.org/officeDocument/2006/relationships/hyperlink" Target="http://news.stanford.edu/news/2007/march7/gifs/whitepaper.pdf" TargetMode="External"/><Relationship Id="rId17" Type="http://schemas.openxmlformats.org/officeDocument/2006/relationships/hyperlink" Target="https://waset.org/publications/10002007/a-framework-for-university-social-responsibility-and-sustainability-the-case-of-south-valley-university-egypt" TargetMode="External"/><Relationship Id="rId33" Type="http://schemas.openxmlformats.org/officeDocument/2006/relationships/hyperlink" Target="http://www.wipo.int/publications/en/details.jsp?id=4011" TargetMode="External"/><Relationship Id="rId38" Type="http://schemas.openxmlformats.org/officeDocument/2006/relationships/hyperlink" Target="http://www.upov.int/edocs/expndocs/en/upov_exn_var.pdf" TargetMode="External"/><Relationship Id="rId59" Type="http://schemas.openxmlformats.org/officeDocument/2006/relationships/hyperlink" Target="https://www.kca.asn.au/" TargetMode="External"/><Relationship Id="rId103" Type="http://schemas.openxmlformats.org/officeDocument/2006/relationships/hyperlink" Target="http://www.wipo.int/tk/en/databases/tklaws/" TargetMode="External"/><Relationship Id="rId108" Type="http://schemas.openxmlformats.org/officeDocument/2006/relationships/hyperlink" Target="http://www.wipo.int/about-ip/en/universities_research/ip_policies/details.jsp?id=10067" TargetMode="External"/><Relationship Id="rId20" Type="http://schemas.openxmlformats.org/officeDocument/2006/relationships/hyperlink" Target="https://www.uws.ac.uk/about-uws/uws-commitments/sustainability/" TargetMode="External"/><Relationship Id="rId41" Type="http://schemas.openxmlformats.org/officeDocument/2006/relationships/hyperlink" Target="http://www.wipo.int/meetings/en/doc_details.jsp?doc_id=130183" TargetMode="External"/><Relationship Id="rId54" Type="http://schemas.openxmlformats.org/officeDocument/2006/relationships/hyperlink" Target="http://www.wipo.int/edocs/pubdocs/en/wipo_pub_944_2011-chapter4.pdf" TargetMode="External"/><Relationship Id="rId62" Type="http://schemas.openxmlformats.org/officeDocument/2006/relationships/hyperlink" Target="http://smart-biggar-web-com.sitepreview.ca/en/newsletters/Intellectual_Property_Magazine_Dec2010.pdf" TargetMode="External"/><Relationship Id="rId70" Type="http://schemas.openxmlformats.org/officeDocument/2006/relationships/hyperlink" Target="http://www.rochester.edu/ventures/for-ur-innovators/for-inventors-university-policy-on-intellectual-property-and-technology-transfer/" TargetMode="External"/><Relationship Id="rId75" Type="http://schemas.openxmlformats.org/officeDocument/2006/relationships/hyperlink" Target="https://fi.ku.dk/tech-trans/guides/pdf/Guide_vedr_samarbejdsaftaler_GB.pdf" TargetMode="External"/><Relationship Id="rId83" Type="http://schemas.openxmlformats.org/officeDocument/2006/relationships/hyperlink" Target="https://assets.publishing.service.gov.uk/government/uploads/system/uploads/attachment_data/file/308072/ipasset-management.pdf" TargetMode="External"/><Relationship Id="rId88" Type="http://schemas.openxmlformats.org/officeDocument/2006/relationships/hyperlink" Target="http://www.wipo.int/edocs/pubdocs/en/wipo_pub_1047.pdf" TargetMode="External"/><Relationship Id="rId91" Type="http://schemas.openxmlformats.org/officeDocument/2006/relationships/hyperlink" Target="https://innovation.unh.edu/resources/all" TargetMode="External"/><Relationship Id="rId96" Type="http://schemas.openxmlformats.org/officeDocument/2006/relationships/hyperlink" Target="http://www.wipo.int/sme/en/documents/academic_patenting.html" TargetMode="External"/><Relationship Id="rId1" Type="http://schemas.openxmlformats.org/officeDocument/2006/relationships/hyperlink" Target="http://www.wipo.int/policy/en/university_ip_policies" TargetMode="External"/><Relationship Id="rId6" Type="http://schemas.openxmlformats.org/officeDocument/2006/relationships/hyperlink" Target="http://www.wipo.int/about-ip/en/universities_research/documents/ip_toolkit/checklist.docx" TargetMode="External"/><Relationship Id="rId15" Type="http://schemas.openxmlformats.org/officeDocument/2006/relationships/hyperlink" Target="https://www.researchgate.net/publication/274608438_Social_Responsibility_in_Higher_Education_Institutions_Application_case_from_the_Middle_East" TargetMode="External"/><Relationship Id="rId23" Type="http://schemas.openxmlformats.org/officeDocument/2006/relationships/hyperlink" Target="http://www6.cityu.edu.hk/puo/newscentre/usr/uni-charter.htm" TargetMode="External"/><Relationship Id="rId28" Type="http://schemas.openxmlformats.org/officeDocument/2006/relationships/hyperlink" Target="http://ec.europa.eu/research/era/pdf/iprmanagementguidelines-report.pdf" TargetMode="External"/><Relationship Id="rId36" Type="http://schemas.openxmlformats.org/officeDocument/2006/relationships/hyperlink" Target="http://4.interreg-sudoe.eu/contenido-dinamico/libreria-ficheros/3D0ED325-A000-2BDC-F737-7534920D685C.pdf" TargetMode="External"/><Relationship Id="rId49" Type="http://schemas.openxmlformats.org/officeDocument/2006/relationships/hyperlink" Target="http://www.rci.uct.ac.za/" TargetMode="External"/><Relationship Id="rId57" Type="http://schemas.openxmlformats.org/officeDocument/2006/relationships/hyperlink" Target="https://www.autm.net/" TargetMode="External"/><Relationship Id="rId106" Type="http://schemas.openxmlformats.org/officeDocument/2006/relationships/hyperlink" Target="http://www.wipo.int/publications/en/details.jsp?id=4195"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s://www.cbd.int/abs" TargetMode="External"/><Relationship Id="rId44" Type="http://schemas.openxmlformats.org/officeDocument/2006/relationships/hyperlink" Target="https://papers.ssrn.com/sol3/papers.cfm?abstract_id=2855159" TargetMode="External"/><Relationship Id="rId52" Type="http://schemas.openxmlformats.org/officeDocument/2006/relationships/hyperlink" Target="http://www.innovus.co.za/" TargetMode="External"/><Relationship Id="rId60" Type="http://schemas.openxmlformats.org/officeDocument/2006/relationships/hyperlink" Target="https://www.acctcanada.ca/" TargetMode="External"/><Relationship Id="rId65" Type="http://schemas.openxmlformats.org/officeDocument/2006/relationships/hyperlink" Target="https://www.bowdoin.edu/studentaffairs/student-handbook/college-policies/intellectual-property.shtml" TargetMode="External"/><Relationship Id="rId73" Type="http://schemas.openxmlformats.org/officeDocument/2006/relationships/hyperlink" Target="https://fi.ku.dk/tech-trans/guides/pdf/Guide_vedr_samarbejdsaftaler_GB.pdf" TargetMode="External"/><Relationship Id="rId78" Type="http://schemas.openxmlformats.org/officeDocument/2006/relationships/hyperlink" Target="https://fi.ku.dk/tech-trans/guides/pdf/Guide_vedr_samarbejdsaftaler_GB.pdf" TargetMode="External"/><Relationship Id="rId81" Type="http://schemas.openxmlformats.org/officeDocument/2006/relationships/hyperlink" Target="https://fi.ku.dk/tech-trans/guides/pdf/Guide_vedr_samarbejdsaftaler_GB.pdf" TargetMode="External"/><Relationship Id="rId86" Type="http://schemas.openxmlformats.org/officeDocument/2006/relationships/hyperlink" Target="https://fr.scribd.com/document/181330059/ipHandbook-Invention-Disclosures-pdf" TargetMode="External"/><Relationship Id="rId94" Type="http://schemas.openxmlformats.org/officeDocument/2006/relationships/hyperlink" Target="http://research.ump.edu.my/images/docman/Intelectual_Property/UMP-IP-Policy.pdf" TargetMode="External"/><Relationship Id="rId99" Type="http://schemas.openxmlformats.org/officeDocument/2006/relationships/hyperlink" Target="http://www.admin.cam.ac.uk/univ/so/pdfs/ordinance13.pdf" TargetMode="External"/><Relationship Id="rId101" Type="http://schemas.openxmlformats.org/officeDocument/2006/relationships/hyperlink" Target="http://research.southwales.ac.uk/our-culture/researcher-development/research-toolkit/career-progression/innovation-and-engagement-route/" TargetMode="External"/><Relationship Id="rId4" Type="http://schemas.openxmlformats.org/officeDocument/2006/relationships/hyperlink" Target="http://www.heip-link.net/content/toolbox" TargetMode="External"/><Relationship Id="rId9" Type="http://schemas.openxmlformats.org/officeDocument/2006/relationships/hyperlink" Target="http://www.auril.org.uk/Publications/tabid/1152/Default.aspx" TargetMode="External"/><Relationship Id="rId13" Type="http://schemas.openxmlformats.org/officeDocument/2006/relationships/hyperlink" Target="http://www.eua.be/Libraries/euima-collaborative-research/eua_euima_publication_web.pdf?sfvrsn=0" TargetMode="External"/><Relationship Id="rId18" Type="http://schemas.openxmlformats.org/officeDocument/2006/relationships/hyperlink" Target="https://waset.org/publications/10002007/a-framework-for-university-social-responsibility-and-sustainability-the-case-of-south-valley-university-egypt" TargetMode="External"/><Relationship Id="rId39" Type="http://schemas.openxmlformats.org/officeDocument/2006/relationships/hyperlink" Target="http://www.upov.int/overview/en/variety.html" TargetMode="External"/><Relationship Id="rId34" Type="http://schemas.openxmlformats.org/officeDocument/2006/relationships/hyperlink" Target="https://www.cbd.int/doc/publications/cbd-bonn-gdls-en.pdf" TargetMode="External"/><Relationship Id="rId50" Type="http://schemas.openxmlformats.org/officeDocument/2006/relationships/hyperlink" Target="http://www.inova.unicamp.br" TargetMode="External"/><Relationship Id="rId55" Type="http://schemas.openxmlformats.org/officeDocument/2006/relationships/hyperlink" Target="http://www.npc.gov.cn/englishnpc/Law/2009-02/20/content_1471617.htm" TargetMode="External"/><Relationship Id="rId76" Type="http://schemas.openxmlformats.org/officeDocument/2006/relationships/hyperlink" Target="http://www.provost.pitt.edu/documents/GUIDELINES%20FOR%20ETHICAL%20PRACTICES%20IN%20RESEARCH-FINALrevised2-March%202011.pdf" TargetMode="External"/><Relationship Id="rId97" Type="http://schemas.openxmlformats.org/officeDocument/2006/relationships/hyperlink" Target="http://www.wipo.int/edocs/pubdocs/en/wipo_pub_944_2011-chapter4.pdf" TargetMode="External"/><Relationship Id="rId104" Type="http://schemas.openxmlformats.org/officeDocument/2006/relationships/hyperlink" Target="http://www.wipo.int/export/sites/www/tk/en/resources/pdf/redrafted_guidelines.pdf" TargetMode="External"/><Relationship Id="rId7" Type="http://schemas.openxmlformats.org/officeDocument/2006/relationships/hyperlink" Target="http://www.wipo.int/policy/en/university_ip_policies/" TargetMode="External"/><Relationship Id="rId71" Type="http://schemas.openxmlformats.org/officeDocument/2006/relationships/hyperlink" Target="https://www.city.ac.uk/__data/assets/pdf_file/0005/77063/City-University-London-IP-Policy-v0.86-1410101.pdf" TargetMode="External"/><Relationship Id="rId92" Type="http://schemas.openxmlformats.org/officeDocument/2006/relationships/hyperlink" Target="https://www.autm.net/autm-info/" TargetMode="External"/><Relationship Id="rId2" Type="http://schemas.openxmlformats.org/officeDocument/2006/relationships/hyperlink" Target="http://www.wipo.int/about-ip/en/universities_research/documents/ip_toolkit/checklist.docx" TargetMode="External"/><Relationship Id="rId29" Type="http://schemas.openxmlformats.org/officeDocument/2006/relationships/hyperlink" Target="http://www.wipo.int/publications/en/details.jsp?id=4011" TargetMode="External"/><Relationship Id="rId24" Type="http://schemas.openxmlformats.org/officeDocument/2006/relationships/hyperlink" Target="http://www.aunsec.org/aunusrs.php" TargetMode="External"/><Relationship Id="rId40" Type="http://schemas.openxmlformats.org/officeDocument/2006/relationships/hyperlink" Target="http://world-intellectual-property-organization.com/publications/en/details.jsp?id=361&amp;plang=EN" TargetMode="External"/><Relationship Id="rId45" Type="http://schemas.openxmlformats.org/officeDocument/2006/relationships/hyperlink" Target="https://papers.ssrn.com/sol3/papers.cfm?abstract_id=2855159" TargetMode="External"/><Relationship Id="rId66" Type="http://schemas.openxmlformats.org/officeDocument/2006/relationships/hyperlink" Target="http://www.uct.ac.za/sites/default/files/image_tool/images/328/about/policies/Policy_Intellectual_Property_2011.pdf" TargetMode="External"/><Relationship Id="rId87" Type="http://schemas.openxmlformats.org/officeDocument/2006/relationships/hyperlink" Target="http://www.wipo.int/publications/en/details.jsp?id=4194&amp;plang=EN" TargetMode="External"/><Relationship Id="rId61" Type="http://schemas.openxmlformats.org/officeDocument/2006/relationships/hyperlink" Target="http://www.auril.org.uk" TargetMode="External"/><Relationship Id="rId82" Type="http://schemas.openxmlformats.org/officeDocument/2006/relationships/hyperlink" Target="https://www.ecu.edu/prr/01/10/01" TargetMode="External"/><Relationship Id="rId19" Type="http://schemas.openxmlformats.org/officeDocument/2006/relationships/hyperlink" Target="http://www.manchester.ac.uk/discover/social-responsibility/" TargetMode="External"/><Relationship Id="rId14" Type="http://schemas.openxmlformats.org/officeDocument/2006/relationships/hyperlink" Target="http://www.eua.be/Libraries/euima-collaborative-research/eua_euima_publication_web.pdf?sfvrsn=0" TargetMode="External"/><Relationship Id="rId30" Type="http://schemas.openxmlformats.org/officeDocument/2006/relationships/hyperlink" Target="https://www.cbd.int/" TargetMode="External"/><Relationship Id="rId35" Type="http://schemas.openxmlformats.org/officeDocument/2006/relationships/hyperlink" Target="http://4.interreg-sudoe.eu/contenido-dinamico/libreria-ficheros/3D0ED325-A000-2BDC-F737-7534920D685C.pdf" TargetMode="External"/><Relationship Id="rId56" Type="http://schemas.openxmlformats.org/officeDocument/2006/relationships/hyperlink" Target="https://uwaterloo.ca/secretariat/policies-procedures-guidelines/policy-73-intellectual-property-rights" TargetMode="External"/><Relationship Id="rId77" Type="http://schemas.openxmlformats.org/officeDocument/2006/relationships/hyperlink" Target="https://sites.stanford.edu/ico/sites/default/files/researchersguidetoworkingwithindustry.pdf" TargetMode="External"/><Relationship Id="rId100" Type="http://schemas.openxmlformats.org/officeDocument/2006/relationships/hyperlink" Target="https://ocr.yale.edu/faculty/policies/yale-university-patent-policy" TargetMode="External"/><Relationship Id="rId105" Type="http://schemas.openxmlformats.org/officeDocument/2006/relationships/hyperlink" Target="https://www.ipaustralia.gov.au/sites/g/files/net856/f/uts_-_recognising_and_protecting_aboriginal_knowledge.pdf" TargetMode="External"/><Relationship Id="rId8" Type="http://schemas.openxmlformats.org/officeDocument/2006/relationships/hyperlink" Target="https://www.ipaustralia.gov.au/tools-resources/ip-toolkit" TargetMode="External"/><Relationship Id="rId51" Type="http://schemas.openxmlformats.org/officeDocument/2006/relationships/hyperlink" Target="https://wits-enterprise.co.za/" TargetMode="External"/><Relationship Id="rId72" Type="http://schemas.openxmlformats.org/officeDocument/2006/relationships/hyperlink" Target="https://fi.ku.dk/tech-trans/guides/pdf/Guide_vedr_samarbejdsaftaler_GB.pdf" TargetMode="External"/><Relationship Id="rId93" Type="http://schemas.openxmlformats.org/officeDocument/2006/relationships/hyperlink" Target="http://www.hsrc.ac.za/en/research-data/view/8578" TargetMode="External"/><Relationship Id="rId98" Type="http://schemas.openxmlformats.org/officeDocument/2006/relationships/hyperlink" Target="https://www.hsl.virginia.edu/services/howdoi/hdi-jcr.cfm" TargetMode="External"/><Relationship Id="rId3" Type="http://schemas.openxmlformats.org/officeDocument/2006/relationships/hyperlink" Target="http://www.wipo.int/wipolex/en/" TargetMode="External"/><Relationship Id="rId25" Type="http://schemas.openxmlformats.org/officeDocument/2006/relationships/hyperlink" Target="https://www.emeraldinsight.com/doi/abs/10.1108/S2043-905920140000008013" TargetMode="External"/><Relationship Id="rId46" Type="http://schemas.openxmlformats.org/officeDocument/2006/relationships/hyperlink" Target="https://papers.ssrn.com/sol3/papers.cfm?abstract_id=2855159" TargetMode="External"/><Relationship Id="rId67" Type="http://schemas.openxmlformats.org/officeDocument/2006/relationships/hyperlink" Target="https://openeducationalresources.pbworks.com/w/page/25308415/Legal%20Aspects%20of%20O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C393-0000-4513-A9D6-6E84657F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98</Pages>
  <Words>46360</Words>
  <Characters>266113</Characters>
  <Application>Microsoft Office Word</Application>
  <DocSecurity>0</DocSecurity>
  <Lines>4510</Lines>
  <Paragraphs>2765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309708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BERNARD Nadège</cp:lastModifiedBy>
  <cp:revision>41</cp:revision>
  <cp:lastPrinted>2018-07-26T06:52:00Z</cp:lastPrinted>
  <dcterms:created xsi:type="dcterms:W3CDTF">2019-01-31T14:38:00Z</dcterms:created>
  <dcterms:modified xsi:type="dcterms:W3CDTF">2024-12-19T13:11:00Z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7ca1db14,7e01c8d7,67408f86</vt:lpwstr>
  </property>
  <property fmtid="{D5CDD505-2E9C-101B-9397-08002B2CF9AE}" pid="3" name="ClassificationContentMarkingFooterFontProps">
    <vt:lpwstr>#ff0000,10,Calibri</vt:lpwstr>
  </property>
  <property fmtid="{D5CDD505-2E9C-101B-9397-08002B2CF9AE}" pid="4" name="ClassificationContentMarkingFooterText">
    <vt:lpwstr>WIPO CONFIDENTIAL </vt:lpwstr>
  </property>
  <property fmtid="{D5CDD505-2E9C-101B-9397-08002B2CF9AE}" pid="5" name="MSIP_Label_392b0f22-1f9d-4de8-bfc1-5a4760bd775f_Enabled">
    <vt:lpwstr>true</vt:lpwstr>
  </property>
  <property fmtid="{D5CDD505-2E9C-101B-9397-08002B2CF9AE}" pid="6" name="MSIP_Label_392b0f22-1f9d-4de8-bfc1-5a4760bd775f_SetDate">
    <vt:lpwstr>2024-12-16T10:43:29Z</vt:lpwstr>
  </property>
  <property fmtid="{D5CDD505-2E9C-101B-9397-08002B2CF9AE}" pid="7" name="MSIP_Label_392b0f22-1f9d-4de8-bfc1-5a4760bd775f_Method">
    <vt:lpwstr>Privileged</vt:lpwstr>
  </property>
  <property fmtid="{D5CDD505-2E9C-101B-9397-08002B2CF9AE}" pid="8" name="MSIP_Label_392b0f22-1f9d-4de8-bfc1-5a4760bd775f_Name">
    <vt:lpwstr>WIPO CONFIDENTIAL</vt:lpwstr>
  </property>
  <property fmtid="{D5CDD505-2E9C-101B-9397-08002B2CF9AE}" pid="9" name="MSIP_Label_392b0f22-1f9d-4de8-bfc1-5a4760bd775f_SiteId">
    <vt:lpwstr>faa31b06-8ccc-48c9-867f-f7510dd11c02</vt:lpwstr>
  </property>
  <property fmtid="{D5CDD505-2E9C-101B-9397-08002B2CF9AE}" pid="10" name="MSIP_Label_392b0f22-1f9d-4de8-bfc1-5a4760bd775f_ActionId">
    <vt:lpwstr>4dcda776-b4a0-4be3-89cb-258dc4e59a09</vt:lpwstr>
  </property>
  <property fmtid="{D5CDD505-2E9C-101B-9397-08002B2CF9AE}" pid="11" name="MSIP_Label_392b0f22-1f9d-4de8-bfc1-5a4760bd775f_ContentBits">
    <vt:lpwstr>3</vt:lpwstr>
  </property>
</Properties>
</file>