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442744" w14:textId="77777777" w:rsidR="00521B2F" w:rsidRPr="00F30EF3" w:rsidRDefault="00605A11" w:rsidP="00425FC9">
      <w:pPr>
        <w:spacing w:after="0" w:line="240" w:lineRule="auto"/>
        <w:jc w:val="center"/>
        <w:rPr>
          <w:rFonts w:cstheme="minorHAnsi"/>
          <w:b/>
          <w:bCs/>
          <w:color w:val="0070C0"/>
          <w:sz w:val="32"/>
          <w:szCs w:val="32"/>
          <w:rtl/>
        </w:rPr>
      </w:pPr>
      <w:r w:rsidRPr="00F30EF3">
        <w:rPr>
          <w:rFonts w:cstheme="minorHAnsi"/>
          <w:b/>
          <w:bCs/>
          <w:color w:val="0070C0"/>
          <w:sz w:val="32"/>
          <w:szCs w:val="32"/>
          <w:rtl/>
        </w:rPr>
        <w:t>مبادئ توجيهية لتخصيص</w:t>
      </w:r>
      <w:r w:rsidRPr="00F30EF3">
        <w:rPr>
          <w:rFonts w:cstheme="minorHAnsi"/>
          <w:sz w:val="32"/>
          <w:szCs w:val="32"/>
          <w:rtl/>
        </w:rPr>
        <w:t xml:space="preserve"> </w:t>
      </w:r>
    </w:p>
    <w:p w14:paraId="33A33B9D" w14:textId="77777777" w:rsidR="00F72A72" w:rsidRPr="00F30EF3" w:rsidRDefault="00F72A72" w:rsidP="00425FC9">
      <w:pPr>
        <w:spacing w:after="0" w:line="240" w:lineRule="auto"/>
        <w:jc w:val="center"/>
        <w:rPr>
          <w:rFonts w:cstheme="minorHAnsi"/>
          <w:b/>
          <w:bCs/>
          <w:color w:val="0070C0"/>
          <w:sz w:val="32"/>
          <w:szCs w:val="32"/>
          <w:rtl/>
        </w:rPr>
      </w:pPr>
      <w:r w:rsidRPr="00F30EF3">
        <w:rPr>
          <w:rFonts w:cstheme="minorHAnsi"/>
          <w:b/>
          <w:bCs/>
          <w:color w:val="0070C0"/>
          <w:sz w:val="32"/>
          <w:szCs w:val="32"/>
          <w:rtl/>
        </w:rPr>
        <w:t>نموذج الويبو لسياسة الملكية الفكرية لفائدة الجامعات والمؤسسات البحثية</w:t>
      </w:r>
    </w:p>
    <w:p w14:paraId="1832BCB2" w14:textId="77777777" w:rsidR="0027602C" w:rsidRPr="00F30EF3" w:rsidRDefault="0027602C" w:rsidP="00425FC9">
      <w:pPr>
        <w:spacing w:after="0" w:line="240" w:lineRule="auto"/>
        <w:jc w:val="center"/>
        <w:rPr>
          <w:rFonts w:cstheme="minorHAnsi"/>
          <w:b/>
          <w:bCs/>
          <w:color w:val="0070C0"/>
          <w:lang w:val="en-US"/>
        </w:rPr>
      </w:pPr>
    </w:p>
    <w:p w14:paraId="6D7DB727" w14:textId="77777777" w:rsidR="0027602C" w:rsidRPr="00F30EF3" w:rsidRDefault="0027602C" w:rsidP="00425FC9">
      <w:pPr>
        <w:spacing w:after="0" w:line="240" w:lineRule="auto"/>
        <w:jc w:val="center"/>
        <w:rPr>
          <w:rFonts w:cstheme="minorHAnsi"/>
          <w:b/>
          <w:bCs/>
          <w:sz w:val="24"/>
          <w:szCs w:val="24"/>
          <w:rtl/>
        </w:rPr>
      </w:pPr>
      <w:r w:rsidRPr="00F30EF3">
        <w:rPr>
          <w:rFonts w:cstheme="minorHAnsi"/>
          <w:b/>
          <w:bCs/>
          <w:sz w:val="24"/>
          <w:szCs w:val="24"/>
          <w:rtl/>
        </w:rPr>
        <w:t>إصدار 29 يناير 2019</w:t>
      </w:r>
    </w:p>
    <w:sdt>
      <w:sdtPr>
        <w:rPr>
          <w:rFonts w:asciiTheme="minorHAnsi" w:eastAsiaTheme="minorEastAsia" w:hAnsiTheme="minorHAnsi" w:cstheme="minorHAnsi"/>
          <w:b w:val="0"/>
          <w:bCs w:val="0"/>
          <w:color w:val="auto"/>
          <w:sz w:val="24"/>
          <w:szCs w:val="24"/>
          <w:rtl/>
          <w:lang w:val="en-ZA" w:eastAsia="en-ZA"/>
        </w:rPr>
        <w:id w:val="1307894128"/>
        <w:docPartObj>
          <w:docPartGallery w:val="Table of Contents"/>
          <w:docPartUnique/>
        </w:docPartObj>
      </w:sdtPr>
      <w:sdtEndPr>
        <w:rPr>
          <w:noProof/>
          <w:sz w:val="22"/>
          <w:szCs w:val="22"/>
        </w:rPr>
      </w:sdtEndPr>
      <w:sdtContent>
        <w:p w14:paraId="0AE83FBE" w14:textId="77777777" w:rsidR="00462962" w:rsidRPr="00F30EF3" w:rsidRDefault="00462962" w:rsidP="00BD07D8">
          <w:pPr>
            <w:pStyle w:val="TOCHeading"/>
            <w:jc w:val="center"/>
            <w:rPr>
              <w:rFonts w:asciiTheme="minorHAnsi" w:hAnsiTheme="minorHAnsi" w:cstheme="minorHAnsi"/>
              <w:sz w:val="24"/>
              <w:szCs w:val="24"/>
              <w:rtl/>
            </w:rPr>
          </w:pPr>
          <w:r w:rsidRPr="00F30EF3">
            <w:rPr>
              <w:rFonts w:asciiTheme="minorHAnsi" w:hAnsiTheme="minorHAnsi" w:cstheme="minorHAnsi"/>
              <w:sz w:val="24"/>
              <w:szCs w:val="24"/>
              <w:rtl/>
            </w:rPr>
            <w:t>قائمة المحتويات</w:t>
          </w:r>
        </w:p>
        <w:p w14:paraId="7A4C5125" w14:textId="585083AA" w:rsidR="00D3795B" w:rsidRDefault="00462962">
          <w:pPr>
            <w:pStyle w:val="TOC1"/>
            <w:rPr>
              <w:rFonts w:asciiTheme="minorHAnsi" w:eastAsiaTheme="minorEastAsia" w:hAnsiTheme="minorHAnsi" w:cstheme="minorBidi"/>
              <w:b w:val="0"/>
              <w:kern w:val="2"/>
              <w:sz w:val="24"/>
              <w:szCs w:val="24"/>
              <w:rtl/>
              <w:lang w:val="en-US" w:bidi="ar-SA"/>
              <w14:ligatures w14:val="standardContextual"/>
            </w:rPr>
          </w:pPr>
          <w:r w:rsidRPr="00F30EF3">
            <w:rPr>
              <w:rFonts w:asciiTheme="minorHAnsi" w:hAnsiTheme="minorHAnsi" w:cstheme="minorHAnsi"/>
              <w:rtl/>
            </w:rPr>
            <w:fldChar w:fldCharType="begin"/>
          </w:r>
          <w:r w:rsidRPr="00F30EF3">
            <w:rPr>
              <w:rFonts w:asciiTheme="minorHAnsi" w:hAnsiTheme="minorHAnsi" w:cstheme="minorHAnsi"/>
              <w:rtl/>
            </w:rPr>
            <w:instrText xml:space="preserve"> </w:instrText>
          </w:r>
          <w:r w:rsidRPr="00F30EF3">
            <w:rPr>
              <w:rFonts w:asciiTheme="minorHAnsi" w:hAnsiTheme="minorHAnsi" w:cstheme="minorHAnsi"/>
            </w:rPr>
            <w:instrText xml:space="preserve">TOC \o "1-2" \h \z \u </w:instrText>
          </w:r>
          <w:r w:rsidRPr="00F30EF3">
            <w:rPr>
              <w:rFonts w:asciiTheme="minorHAnsi" w:hAnsiTheme="minorHAnsi" w:cstheme="minorHAnsi"/>
              <w:rtl/>
            </w:rPr>
            <w:fldChar w:fldCharType="separate"/>
          </w:r>
          <w:hyperlink w:anchor="_Toc178260756" w:history="1">
            <w:r w:rsidR="00D3795B" w:rsidRPr="000C02CA">
              <w:rPr>
                <w:rStyle w:val="Hyperlink"/>
                <w:rFonts w:cstheme="minorHAnsi"/>
                <w:rtl/>
              </w:rPr>
              <w:t>"</w:t>
            </w:r>
            <w:r w:rsidR="00D3795B" w:rsidRPr="000C02CA">
              <w:rPr>
                <w:rStyle w:val="Hyperlink"/>
                <w:rFonts w:cstheme="minorHAnsi" w:hint="eastAsia"/>
                <w:rtl/>
              </w:rPr>
              <w:t>أولاً</w:t>
            </w:r>
            <w:r w:rsidR="00D3795B" w:rsidRPr="000C02CA">
              <w:rPr>
                <w:rStyle w:val="Hyperlink"/>
                <w:rFonts w:cstheme="minorHAnsi"/>
                <w:rtl/>
              </w:rPr>
              <w:t xml:space="preserve">" </w:t>
            </w:r>
            <w:r w:rsidR="00D3795B" w:rsidRPr="000C02CA">
              <w:rPr>
                <w:rStyle w:val="Hyperlink"/>
                <w:rFonts w:cstheme="minorHAnsi" w:hint="eastAsia"/>
                <w:rtl/>
              </w:rPr>
              <w:t>نبذة</w:t>
            </w:r>
            <w:r w:rsidR="00D3795B" w:rsidRPr="000C02CA">
              <w:rPr>
                <w:rStyle w:val="Hyperlink"/>
                <w:rFonts w:cstheme="minorHAnsi"/>
                <w:rtl/>
              </w:rPr>
              <w:t xml:space="preserve"> </w:t>
            </w:r>
            <w:r w:rsidR="00D3795B" w:rsidRPr="000C02CA">
              <w:rPr>
                <w:rStyle w:val="Hyperlink"/>
                <w:rFonts w:cstheme="minorHAnsi" w:hint="eastAsia"/>
                <w:rtl/>
              </w:rPr>
              <w:t>عن</w:t>
            </w:r>
            <w:r w:rsidR="00D3795B" w:rsidRPr="000C02CA">
              <w:rPr>
                <w:rStyle w:val="Hyperlink"/>
                <w:rFonts w:cstheme="minorHAnsi"/>
                <w:rtl/>
              </w:rPr>
              <w:t xml:space="preserve"> </w:t>
            </w:r>
            <w:r w:rsidR="00D3795B" w:rsidRPr="000C02CA">
              <w:rPr>
                <w:rStyle w:val="Hyperlink"/>
                <w:rFonts w:cstheme="minorHAnsi" w:hint="eastAsia"/>
                <w:rtl/>
              </w:rPr>
              <w:t>المبادئ</w:t>
            </w:r>
            <w:r w:rsidR="00D3795B" w:rsidRPr="000C02CA">
              <w:rPr>
                <w:rStyle w:val="Hyperlink"/>
                <w:rFonts w:cstheme="minorHAnsi"/>
                <w:rtl/>
              </w:rPr>
              <w:t xml:space="preserve"> </w:t>
            </w:r>
            <w:r w:rsidR="00D3795B" w:rsidRPr="000C02CA">
              <w:rPr>
                <w:rStyle w:val="Hyperlink"/>
                <w:rFonts w:cstheme="minorHAnsi" w:hint="eastAsia"/>
                <w:rtl/>
              </w:rPr>
              <w:t>التوجيهية</w:t>
            </w:r>
            <w:r w:rsidR="00D3795B">
              <w:rPr>
                <w:webHidden/>
                <w:rtl/>
              </w:rPr>
              <w:tab/>
            </w:r>
            <w:r w:rsidR="00D3795B">
              <w:rPr>
                <w:webHidden/>
                <w:rtl/>
              </w:rPr>
              <w:fldChar w:fldCharType="begin"/>
            </w:r>
            <w:r w:rsidR="00D3795B">
              <w:rPr>
                <w:webHidden/>
                <w:rtl/>
              </w:rPr>
              <w:instrText xml:space="preserve"> </w:instrText>
            </w:r>
            <w:r w:rsidR="00D3795B">
              <w:rPr>
                <w:webHidden/>
              </w:rPr>
              <w:instrText>PAGEREF</w:instrText>
            </w:r>
            <w:r w:rsidR="00D3795B">
              <w:rPr>
                <w:webHidden/>
                <w:rtl/>
              </w:rPr>
              <w:instrText xml:space="preserve"> _</w:instrText>
            </w:r>
            <w:r w:rsidR="00D3795B">
              <w:rPr>
                <w:webHidden/>
              </w:rPr>
              <w:instrText>Toc178260756 \h</w:instrText>
            </w:r>
            <w:r w:rsidR="00D3795B">
              <w:rPr>
                <w:webHidden/>
                <w:rtl/>
              </w:rPr>
              <w:instrText xml:space="preserve"> </w:instrText>
            </w:r>
            <w:r w:rsidR="00D3795B">
              <w:rPr>
                <w:webHidden/>
                <w:rtl/>
              </w:rPr>
            </w:r>
            <w:r w:rsidR="00D3795B">
              <w:rPr>
                <w:webHidden/>
                <w:rtl/>
              </w:rPr>
              <w:fldChar w:fldCharType="separate"/>
            </w:r>
            <w:r w:rsidR="00D3795B">
              <w:rPr>
                <w:webHidden/>
                <w:rtl/>
              </w:rPr>
              <w:t>3</w:t>
            </w:r>
            <w:r w:rsidR="00D3795B">
              <w:rPr>
                <w:webHidden/>
                <w:rtl/>
              </w:rPr>
              <w:fldChar w:fldCharType="end"/>
            </w:r>
          </w:hyperlink>
        </w:p>
        <w:p w14:paraId="5CD1FC64" w14:textId="51F01B8D" w:rsidR="00D3795B" w:rsidRDefault="00D3795B">
          <w:pPr>
            <w:pStyle w:val="TOC1"/>
            <w:rPr>
              <w:rFonts w:asciiTheme="minorHAnsi" w:eastAsiaTheme="minorEastAsia" w:hAnsiTheme="minorHAnsi" w:cstheme="minorBidi"/>
              <w:b w:val="0"/>
              <w:kern w:val="2"/>
              <w:sz w:val="24"/>
              <w:szCs w:val="24"/>
              <w:rtl/>
              <w:lang w:val="en-US" w:bidi="ar-SA"/>
              <w14:ligatures w14:val="standardContextual"/>
            </w:rPr>
          </w:pPr>
          <w:hyperlink w:anchor="_Toc178260757" w:history="1">
            <w:r w:rsidRPr="000C02CA">
              <w:rPr>
                <w:rStyle w:val="Hyperlink"/>
                <w:rFonts w:cstheme="minorHAnsi"/>
                <w:rtl/>
              </w:rPr>
              <w:t>"</w:t>
            </w:r>
            <w:r w:rsidRPr="000C02CA">
              <w:rPr>
                <w:rStyle w:val="Hyperlink"/>
                <w:rFonts w:cstheme="minorHAnsi" w:hint="eastAsia"/>
                <w:rtl/>
              </w:rPr>
              <w:t>ثانياً</w:t>
            </w:r>
            <w:r w:rsidRPr="000C02CA">
              <w:rPr>
                <w:rStyle w:val="Hyperlink"/>
                <w:rFonts w:cstheme="minorHAnsi"/>
                <w:rtl/>
              </w:rPr>
              <w:t xml:space="preserve">". </w:t>
            </w:r>
            <w:r w:rsidRPr="000C02CA">
              <w:rPr>
                <w:rStyle w:val="Hyperlink"/>
                <w:rFonts w:cstheme="minorHAnsi" w:hint="eastAsia"/>
                <w:rtl/>
              </w:rPr>
              <w:t>المبادئ</w:t>
            </w:r>
            <w:r w:rsidRPr="000C02CA">
              <w:rPr>
                <w:rStyle w:val="Hyperlink"/>
                <w:rFonts w:cstheme="minorHAnsi"/>
                <w:rtl/>
              </w:rPr>
              <w:t xml:space="preserve"> </w:t>
            </w:r>
            <w:r w:rsidRPr="000C02CA">
              <w:rPr>
                <w:rStyle w:val="Hyperlink"/>
                <w:rFonts w:cstheme="minorHAnsi" w:hint="eastAsia"/>
                <w:rtl/>
              </w:rPr>
              <w:t>التوجيهية</w:t>
            </w:r>
            <w:r w:rsidRPr="000C02CA">
              <w:rPr>
                <w:rStyle w:val="Hyperlink"/>
                <w:rFonts w:cstheme="minorHAnsi"/>
                <w:rtl/>
              </w:rPr>
              <w:t xml:space="preserve"> </w:t>
            </w:r>
            <w:r w:rsidRPr="000C02CA">
              <w:rPr>
                <w:rStyle w:val="Hyperlink"/>
                <w:rFonts w:cstheme="minorHAnsi" w:hint="eastAsia"/>
                <w:rtl/>
              </w:rPr>
              <w:t>المشتركة</w:t>
            </w:r>
            <w:r w:rsidRPr="000C02CA">
              <w:rPr>
                <w:rStyle w:val="Hyperlink"/>
                <w:rFonts w:cstheme="minorHAnsi"/>
                <w:rtl/>
              </w:rPr>
              <w:t xml:space="preserve"> </w:t>
            </w:r>
            <w:r w:rsidRPr="000C02CA">
              <w:rPr>
                <w:rStyle w:val="Hyperlink"/>
                <w:rFonts w:cstheme="minorHAnsi" w:hint="eastAsia"/>
                <w:rtl/>
              </w:rPr>
              <w:t>لصياغة</w:t>
            </w:r>
            <w:r w:rsidRPr="000C02CA">
              <w:rPr>
                <w:rStyle w:val="Hyperlink"/>
                <w:rFonts w:cstheme="minorHAnsi"/>
                <w:rtl/>
              </w:rPr>
              <w:t xml:space="preserve"> </w:t>
            </w:r>
            <w:r w:rsidRPr="000C02CA">
              <w:rPr>
                <w:rStyle w:val="Hyperlink"/>
                <w:rFonts w:cstheme="minorHAnsi" w:hint="eastAsia"/>
                <w:rtl/>
              </w:rPr>
              <w:t>سياسة</w:t>
            </w:r>
            <w:r w:rsidRPr="000C02CA">
              <w:rPr>
                <w:rStyle w:val="Hyperlink"/>
                <w:rFonts w:cstheme="minorHAnsi"/>
                <w:rtl/>
              </w:rPr>
              <w:t xml:space="preserve"> </w:t>
            </w:r>
            <w:r w:rsidRPr="000C02CA">
              <w:rPr>
                <w:rStyle w:val="Hyperlink"/>
                <w:rFonts w:cstheme="minorHAnsi" w:hint="eastAsia"/>
                <w:rtl/>
              </w:rPr>
              <w:t>ملكية</w:t>
            </w:r>
            <w:r w:rsidRPr="000C02CA">
              <w:rPr>
                <w:rStyle w:val="Hyperlink"/>
                <w:rFonts w:cstheme="minorHAnsi"/>
                <w:rtl/>
              </w:rPr>
              <w:t xml:space="preserve"> </w:t>
            </w:r>
            <w:r w:rsidRPr="000C02CA">
              <w:rPr>
                <w:rStyle w:val="Hyperlink"/>
                <w:rFonts w:cstheme="minorHAnsi" w:hint="eastAsia"/>
                <w:rtl/>
              </w:rPr>
              <w:t>فكرية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Toc178260757 \h</w:instrText>
            </w:r>
            <w:r>
              <w:rPr>
                <w:webHidden/>
                <w:rtl/>
              </w:rPr>
              <w:instrText xml:space="preserve"> </w:instrText>
            </w:r>
            <w:r>
              <w:rPr>
                <w:webHidden/>
                <w:rtl/>
              </w:rPr>
            </w:r>
            <w:r>
              <w:rPr>
                <w:webHidden/>
                <w:rtl/>
              </w:rPr>
              <w:fldChar w:fldCharType="separate"/>
            </w:r>
            <w:r>
              <w:rPr>
                <w:webHidden/>
                <w:rtl/>
              </w:rPr>
              <w:t>3</w:t>
            </w:r>
            <w:r>
              <w:rPr>
                <w:webHidden/>
                <w:rtl/>
              </w:rPr>
              <w:fldChar w:fldCharType="end"/>
            </w:r>
          </w:hyperlink>
        </w:p>
        <w:p w14:paraId="7ECC5D38" w14:textId="1917EC22" w:rsidR="00D3795B" w:rsidRDefault="00D3795B">
          <w:pPr>
            <w:pStyle w:val="TOC1"/>
            <w:rPr>
              <w:rFonts w:asciiTheme="minorHAnsi" w:eastAsiaTheme="minorEastAsia" w:hAnsiTheme="minorHAnsi" w:cstheme="minorBidi"/>
              <w:b w:val="0"/>
              <w:kern w:val="2"/>
              <w:sz w:val="24"/>
              <w:szCs w:val="24"/>
              <w:rtl/>
              <w:lang w:val="en-US" w:bidi="ar-SA"/>
              <w14:ligatures w14:val="standardContextual"/>
            </w:rPr>
          </w:pPr>
          <w:hyperlink w:anchor="_Toc178260758" w:history="1">
            <w:r w:rsidRPr="000C02CA">
              <w:rPr>
                <w:rStyle w:val="Hyperlink"/>
                <w:rFonts w:cstheme="minorHAnsi"/>
                <w:rtl/>
              </w:rPr>
              <w:t xml:space="preserve">"3". </w:t>
            </w:r>
            <w:r w:rsidRPr="000C02CA">
              <w:rPr>
                <w:rStyle w:val="Hyperlink"/>
                <w:rFonts w:cstheme="minorHAnsi" w:hint="eastAsia"/>
                <w:rtl/>
              </w:rPr>
              <w:t>شرح</w:t>
            </w:r>
            <w:r w:rsidRPr="000C02CA">
              <w:rPr>
                <w:rStyle w:val="Hyperlink"/>
                <w:rFonts w:cstheme="minorHAnsi"/>
                <w:rtl/>
              </w:rPr>
              <w:t xml:space="preserve"> </w:t>
            </w:r>
            <w:r w:rsidRPr="000C02CA">
              <w:rPr>
                <w:rStyle w:val="Hyperlink"/>
                <w:rFonts w:cstheme="minorHAnsi" w:hint="eastAsia"/>
                <w:rtl/>
              </w:rPr>
              <w:t>نموذج</w:t>
            </w:r>
            <w:r w:rsidRPr="000C02CA">
              <w:rPr>
                <w:rStyle w:val="Hyperlink"/>
                <w:rFonts w:cstheme="minorHAnsi"/>
                <w:rtl/>
              </w:rPr>
              <w:t xml:space="preserve"> </w:t>
            </w:r>
            <w:r w:rsidRPr="000C02CA">
              <w:rPr>
                <w:rStyle w:val="Hyperlink"/>
                <w:rFonts w:cstheme="minorHAnsi" w:hint="eastAsia"/>
                <w:rtl/>
              </w:rPr>
              <w:t>سياسة</w:t>
            </w:r>
            <w:r w:rsidRPr="000C02CA">
              <w:rPr>
                <w:rStyle w:val="Hyperlink"/>
                <w:rFonts w:cstheme="minorHAnsi"/>
                <w:rtl/>
              </w:rPr>
              <w:t xml:space="preserve"> </w:t>
            </w:r>
            <w:r w:rsidRPr="000C02CA">
              <w:rPr>
                <w:rStyle w:val="Hyperlink"/>
                <w:rFonts w:cstheme="minorHAnsi" w:hint="eastAsia"/>
                <w:rtl/>
              </w:rPr>
              <w:t>الملكية</w:t>
            </w:r>
            <w:r w:rsidRPr="000C02CA">
              <w:rPr>
                <w:rStyle w:val="Hyperlink"/>
                <w:rFonts w:cstheme="minorHAnsi"/>
                <w:rtl/>
              </w:rPr>
              <w:t xml:space="preserve"> </w:t>
            </w:r>
            <w:r w:rsidRPr="000C02CA">
              <w:rPr>
                <w:rStyle w:val="Hyperlink"/>
                <w:rFonts w:cstheme="minorHAnsi" w:hint="eastAsia"/>
                <w:rtl/>
              </w:rPr>
              <w:t>الفكرية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Toc178260758 \h</w:instrText>
            </w:r>
            <w:r>
              <w:rPr>
                <w:webHidden/>
                <w:rtl/>
              </w:rPr>
              <w:instrText xml:space="preserve"> </w:instrText>
            </w:r>
            <w:r>
              <w:rPr>
                <w:webHidden/>
                <w:rtl/>
              </w:rPr>
            </w:r>
            <w:r>
              <w:rPr>
                <w:webHidden/>
                <w:rtl/>
              </w:rPr>
              <w:fldChar w:fldCharType="separate"/>
            </w:r>
            <w:r>
              <w:rPr>
                <w:webHidden/>
                <w:rtl/>
              </w:rPr>
              <w:t>5</w:t>
            </w:r>
            <w:r>
              <w:rPr>
                <w:webHidden/>
                <w:rtl/>
              </w:rPr>
              <w:fldChar w:fldCharType="end"/>
            </w:r>
          </w:hyperlink>
        </w:p>
        <w:p w14:paraId="012125D5" w14:textId="5A605CB8" w:rsidR="00D3795B" w:rsidRDefault="00D3795B">
          <w:pPr>
            <w:pStyle w:val="TOC2"/>
            <w:tabs>
              <w:tab w:val="right" w:leader="dot" w:pos="9016"/>
            </w:tabs>
            <w:rPr>
              <w:noProof/>
              <w:kern w:val="2"/>
              <w:sz w:val="24"/>
              <w:szCs w:val="24"/>
              <w:rtl/>
              <w:lang w:val="en-US" w:eastAsia="en-US" w:bidi="ar-SA"/>
              <w14:ligatures w14:val="standardContextual"/>
            </w:rPr>
          </w:pPr>
          <w:hyperlink w:anchor="_Toc178260759" w:history="1">
            <w:r w:rsidRPr="000C02CA">
              <w:rPr>
                <w:rStyle w:val="Hyperlink"/>
                <w:rFonts w:cstheme="minorHAnsi" w:hint="eastAsia"/>
                <w:noProof/>
                <w:rtl/>
              </w:rPr>
              <w:t>مادة</w:t>
            </w:r>
            <w:r w:rsidRPr="000C02CA">
              <w:rPr>
                <w:rStyle w:val="Hyperlink"/>
                <w:rFonts w:cstheme="minorHAnsi"/>
                <w:noProof/>
                <w:rtl/>
              </w:rPr>
              <w:t xml:space="preserve"> 1 – </w:t>
            </w:r>
            <w:r w:rsidRPr="000C02CA">
              <w:rPr>
                <w:rStyle w:val="Hyperlink"/>
                <w:rFonts w:cstheme="minorHAnsi" w:hint="eastAsia"/>
                <w:noProof/>
                <w:rtl/>
              </w:rPr>
              <w:t>تمهيد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Toc178260759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14:paraId="6FB512D9" w14:textId="30E2042F" w:rsidR="00D3795B" w:rsidRDefault="00D3795B">
          <w:pPr>
            <w:pStyle w:val="TOC2"/>
            <w:tabs>
              <w:tab w:val="right" w:leader="dot" w:pos="9016"/>
            </w:tabs>
            <w:rPr>
              <w:noProof/>
              <w:kern w:val="2"/>
              <w:sz w:val="24"/>
              <w:szCs w:val="24"/>
              <w:rtl/>
              <w:lang w:val="en-US" w:eastAsia="en-US" w:bidi="ar-SA"/>
              <w14:ligatures w14:val="standardContextual"/>
            </w:rPr>
          </w:pPr>
          <w:hyperlink w:anchor="_Toc178260760" w:history="1">
            <w:r w:rsidRPr="000C02CA">
              <w:rPr>
                <w:rStyle w:val="Hyperlink"/>
                <w:rFonts w:cstheme="minorHAnsi" w:hint="eastAsia"/>
                <w:noProof/>
                <w:rtl/>
              </w:rPr>
              <w:t>المادة</w:t>
            </w:r>
            <w:r w:rsidRPr="000C02CA">
              <w:rPr>
                <w:rStyle w:val="Hyperlink"/>
                <w:rFonts w:cstheme="minorHAnsi"/>
                <w:noProof/>
                <w:rtl/>
              </w:rPr>
              <w:t xml:space="preserve"> 2 - </w:t>
            </w:r>
            <w:r w:rsidRPr="000C02CA">
              <w:rPr>
                <w:rStyle w:val="Hyperlink"/>
                <w:rFonts w:cstheme="minorHAnsi" w:hint="eastAsia"/>
                <w:noProof/>
                <w:rtl/>
              </w:rPr>
              <w:t>التعريفات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Toc178260760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14:paraId="10A11110" w14:textId="3DB2B015" w:rsidR="00D3795B" w:rsidRDefault="00D3795B">
          <w:pPr>
            <w:pStyle w:val="TOC2"/>
            <w:tabs>
              <w:tab w:val="right" w:leader="dot" w:pos="9016"/>
            </w:tabs>
            <w:rPr>
              <w:noProof/>
              <w:kern w:val="2"/>
              <w:sz w:val="24"/>
              <w:szCs w:val="24"/>
              <w:rtl/>
              <w:lang w:val="en-US" w:eastAsia="en-US" w:bidi="ar-SA"/>
              <w14:ligatures w14:val="standardContextual"/>
            </w:rPr>
          </w:pPr>
          <w:hyperlink w:anchor="_Toc178260761" w:history="1">
            <w:r w:rsidRPr="000C02CA">
              <w:rPr>
                <w:rStyle w:val="Hyperlink"/>
                <w:rFonts w:cstheme="minorHAnsi" w:hint="eastAsia"/>
                <w:noProof/>
                <w:rtl/>
              </w:rPr>
              <w:t>المادة</w:t>
            </w:r>
            <w:r w:rsidRPr="000C02CA">
              <w:rPr>
                <w:rStyle w:val="Hyperlink"/>
                <w:rFonts w:cstheme="minorHAnsi"/>
                <w:noProof/>
                <w:rtl/>
              </w:rPr>
              <w:t xml:space="preserve"> 3– </w:t>
            </w:r>
            <w:r w:rsidRPr="000C02CA">
              <w:rPr>
                <w:rStyle w:val="Hyperlink"/>
                <w:rFonts w:cstheme="minorHAnsi" w:hint="eastAsia"/>
                <w:noProof/>
                <w:rtl/>
              </w:rPr>
              <w:t>نطاق</w:t>
            </w:r>
            <w:r w:rsidRPr="000C02CA">
              <w:rPr>
                <w:rStyle w:val="Hyperlink"/>
                <w:rFonts w:cstheme="minorHAnsi"/>
                <w:noProof/>
                <w:rtl/>
              </w:rPr>
              <w:t xml:space="preserve"> </w:t>
            </w:r>
            <w:r w:rsidRPr="000C02CA">
              <w:rPr>
                <w:rStyle w:val="Hyperlink"/>
                <w:rFonts w:cstheme="minorHAnsi" w:hint="eastAsia"/>
                <w:noProof/>
                <w:rtl/>
              </w:rPr>
              <w:t>السياسة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Toc178260761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14:paraId="0E1845FE" w14:textId="574FAC76" w:rsidR="00D3795B" w:rsidRDefault="00D3795B">
          <w:pPr>
            <w:pStyle w:val="TOC2"/>
            <w:tabs>
              <w:tab w:val="right" w:leader="dot" w:pos="9016"/>
            </w:tabs>
            <w:rPr>
              <w:noProof/>
              <w:kern w:val="2"/>
              <w:sz w:val="24"/>
              <w:szCs w:val="24"/>
              <w:rtl/>
              <w:lang w:val="en-US" w:eastAsia="en-US" w:bidi="ar-SA"/>
              <w14:ligatures w14:val="standardContextual"/>
            </w:rPr>
          </w:pPr>
          <w:hyperlink w:anchor="_Toc178260762" w:history="1">
            <w:r w:rsidRPr="000C02CA">
              <w:rPr>
                <w:rStyle w:val="Hyperlink"/>
                <w:rFonts w:cstheme="minorHAnsi" w:hint="eastAsia"/>
                <w:noProof/>
                <w:rtl/>
              </w:rPr>
              <w:t>المادة</w:t>
            </w:r>
            <w:r w:rsidRPr="000C02CA">
              <w:rPr>
                <w:rStyle w:val="Hyperlink"/>
                <w:rFonts w:cstheme="minorHAnsi"/>
                <w:noProof/>
                <w:rtl/>
              </w:rPr>
              <w:t xml:space="preserve"> 4 – </w:t>
            </w:r>
            <w:r w:rsidRPr="000C02CA">
              <w:rPr>
                <w:rStyle w:val="Hyperlink"/>
                <w:rFonts w:cstheme="minorHAnsi" w:hint="eastAsia"/>
                <w:noProof/>
                <w:rtl/>
              </w:rPr>
              <w:t>الحوكمة</w:t>
            </w:r>
            <w:r w:rsidRPr="000C02CA">
              <w:rPr>
                <w:rStyle w:val="Hyperlink"/>
                <w:rFonts w:cstheme="minorHAnsi"/>
                <w:noProof/>
                <w:rtl/>
              </w:rPr>
              <w:t xml:space="preserve"> </w:t>
            </w:r>
            <w:r w:rsidRPr="000C02CA">
              <w:rPr>
                <w:rStyle w:val="Hyperlink"/>
                <w:rFonts w:cstheme="minorHAnsi" w:hint="eastAsia"/>
                <w:noProof/>
                <w:rtl/>
              </w:rPr>
              <w:t>والتشغيل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Toc178260762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14:paraId="5441D712" w14:textId="56F548B5" w:rsidR="00D3795B" w:rsidRDefault="00D3795B">
          <w:pPr>
            <w:pStyle w:val="TOC2"/>
            <w:tabs>
              <w:tab w:val="right" w:leader="dot" w:pos="9016"/>
            </w:tabs>
            <w:rPr>
              <w:noProof/>
              <w:kern w:val="2"/>
              <w:sz w:val="24"/>
              <w:szCs w:val="24"/>
              <w:rtl/>
              <w:lang w:val="en-US" w:eastAsia="en-US" w:bidi="ar-SA"/>
              <w14:ligatures w14:val="standardContextual"/>
            </w:rPr>
          </w:pPr>
          <w:hyperlink w:anchor="_Toc178260763" w:history="1">
            <w:r w:rsidRPr="000C02CA">
              <w:rPr>
                <w:rStyle w:val="Hyperlink"/>
                <w:rFonts w:cstheme="minorHAnsi" w:hint="eastAsia"/>
                <w:noProof/>
                <w:rtl/>
              </w:rPr>
              <w:t>المادة</w:t>
            </w:r>
            <w:r w:rsidRPr="000C02CA">
              <w:rPr>
                <w:rStyle w:val="Hyperlink"/>
                <w:rFonts w:cstheme="minorHAnsi"/>
                <w:noProof/>
                <w:rtl/>
              </w:rPr>
              <w:t xml:space="preserve"> 5 - </w:t>
            </w:r>
            <w:r w:rsidRPr="000C02CA">
              <w:rPr>
                <w:rStyle w:val="Hyperlink"/>
                <w:rFonts w:cstheme="minorHAnsi" w:hint="eastAsia"/>
                <w:noProof/>
                <w:rtl/>
              </w:rPr>
              <w:t>ملكية</w:t>
            </w:r>
            <w:r w:rsidRPr="000C02CA">
              <w:rPr>
                <w:rStyle w:val="Hyperlink"/>
                <w:rFonts w:cstheme="minorHAnsi"/>
                <w:noProof/>
                <w:rtl/>
              </w:rPr>
              <w:t xml:space="preserve"> </w:t>
            </w:r>
            <w:r w:rsidRPr="000C02CA">
              <w:rPr>
                <w:rStyle w:val="Hyperlink"/>
                <w:rFonts w:cstheme="minorHAnsi" w:hint="eastAsia"/>
                <w:noProof/>
                <w:rtl/>
              </w:rPr>
              <w:t>الملكية</w:t>
            </w:r>
            <w:r w:rsidRPr="000C02CA">
              <w:rPr>
                <w:rStyle w:val="Hyperlink"/>
                <w:rFonts w:cstheme="minorHAnsi"/>
                <w:noProof/>
                <w:rtl/>
              </w:rPr>
              <w:t xml:space="preserve"> </w:t>
            </w:r>
            <w:r w:rsidRPr="000C02CA">
              <w:rPr>
                <w:rStyle w:val="Hyperlink"/>
                <w:rFonts w:cstheme="minorHAnsi" w:hint="eastAsia"/>
                <w:noProof/>
                <w:rtl/>
              </w:rPr>
              <w:t>الفكرية</w:t>
            </w:r>
            <w:r w:rsidRPr="000C02CA">
              <w:rPr>
                <w:rStyle w:val="Hyperlink"/>
                <w:rFonts w:cstheme="minorHAnsi"/>
                <w:noProof/>
                <w:rtl/>
              </w:rPr>
              <w:t xml:space="preserve"> </w:t>
            </w:r>
            <w:r w:rsidRPr="000C02CA">
              <w:rPr>
                <w:rStyle w:val="Hyperlink"/>
                <w:rFonts w:cstheme="minorHAnsi" w:hint="eastAsia"/>
                <w:noProof/>
                <w:rtl/>
              </w:rPr>
              <w:t>وحقوق</w:t>
            </w:r>
            <w:r w:rsidRPr="000C02CA">
              <w:rPr>
                <w:rStyle w:val="Hyperlink"/>
                <w:rFonts w:cstheme="minorHAnsi"/>
                <w:noProof/>
                <w:rtl/>
              </w:rPr>
              <w:t xml:space="preserve"> </w:t>
            </w:r>
            <w:r w:rsidRPr="000C02CA">
              <w:rPr>
                <w:rStyle w:val="Hyperlink"/>
                <w:rFonts w:cstheme="minorHAnsi" w:hint="eastAsia"/>
                <w:noProof/>
                <w:rtl/>
              </w:rPr>
              <w:t>الاستخدام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Toc178260763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14:paraId="7CE4B769" w14:textId="5F8F13C3" w:rsidR="00D3795B" w:rsidRDefault="00D3795B">
          <w:pPr>
            <w:pStyle w:val="TOC2"/>
            <w:tabs>
              <w:tab w:val="right" w:leader="dot" w:pos="9016"/>
            </w:tabs>
            <w:rPr>
              <w:noProof/>
              <w:kern w:val="2"/>
              <w:sz w:val="24"/>
              <w:szCs w:val="24"/>
              <w:rtl/>
              <w:lang w:val="en-US" w:eastAsia="en-US" w:bidi="ar-SA"/>
              <w14:ligatures w14:val="standardContextual"/>
            </w:rPr>
          </w:pPr>
          <w:hyperlink w:anchor="_Toc178260764" w:history="1">
            <w:r w:rsidRPr="000C02CA">
              <w:rPr>
                <w:rStyle w:val="Hyperlink"/>
                <w:rFonts w:cstheme="minorHAnsi" w:hint="eastAsia"/>
                <w:noProof/>
                <w:rtl/>
              </w:rPr>
              <w:t>المادة</w:t>
            </w:r>
            <w:r w:rsidRPr="000C02CA">
              <w:rPr>
                <w:rStyle w:val="Hyperlink"/>
                <w:rFonts w:cstheme="minorHAnsi"/>
                <w:noProof/>
                <w:rtl/>
              </w:rPr>
              <w:t xml:space="preserve"> 6 - </w:t>
            </w:r>
            <w:r w:rsidRPr="000C02CA">
              <w:rPr>
                <w:rStyle w:val="Hyperlink"/>
                <w:rFonts w:cstheme="minorHAnsi" w:hint="eastAsia"/>
                <w:noProof/>
                <w:rtl/>
              </w:rPr>
              <w:t>النشر</w:t>
            </w:r>
            <w:r w:rsidRPr="000C02CA">
              <w:rPr>
                <w:rStyle w:val="Hyperlink"/>
                <w:rFonts w:cstheme="minorHAnsi"/>
                <w:noProof/>
                <w:rtl/>
              </w:rPr>
              <w:t xml:space="preserve"> </w:t>
            </w:r>
            <w:r w:rsidRPr="000C02CA">
              <w:rPr>
                <w:rStyle w:val="Hyperlink"/>
                <w:rFonts w:cstheme="minorHAnsi" w:hint="eastAsia"/>
                <w:noProof/>
                <w:rtl/>
              </w:rPr>
              <w:t>وعدم</w:t>
            </w:r>
            <w:r w:rsidRPr="000C02CA">
              <w:rPr>
                <w:rStyle w:val="Hyperlink"/>
                <w:rFonts w:cstheme="minorHAnsi"/>
                <w:noProof/>
                <w:rtl/>
              </w:rPr>
              <w:t xml:space="preserve"> </w:t>
            </w:r>
            <w:r w:rsidRPr="000C02CA">
              <w:rPr>
                <w:rStyle w:val="Hyperlink"/>
                <w:rFonts w:cstheme="minorHAnsi" w:hint="eastAsia"/>
                <w:noProof/>
                <w:rtl/>
              </w:rPr>
              <w:t>الكشف</w:t>
            </w:r>
            <w:r w:rsidRPr="000C02CA">
              <w:rPr>
                <w:rStyle w:val="Hyperlink"/>
                <w:rFonts w:cstheme="minorHAnsi"/>
                <w:noProof/>
                <w:rtl/>
              </w:rPr>
              <w:t xml:space="preserve"> </w:t>
            </w:r>
            <w:r w:rsidRPr="000C02CA">
              <w:rPr>
                <w:rStyle w:val="Hyperlink"/>
                <w:rFonts w:cstheme="minorHAnsi" w:hint="eastAsia"/>
                <w:noProof/>
                <w:rtl/>
              </w:rPr>
              <w:t>والأسرار</w:t>
            </w:r>
            <w:r w:rsidRPr="000C02CA">
              <w:rPr>
                <w:rStyle w:val="Hyperlink"/>
                <w:rFonts w:cstheme="minorHAnsi"/>
                <w:noProof/>
                <w:rtl/>
              </w:rPr>
              <w:t xml:space="preserve"> </w:t>
            </w:r>
            <w:r w:rsidRPr="000C02CA">
              <w:rPr>
                <w:rStyle w:val="Hyperlink"/>
                <w:rFonts w:cstheme="minorHAnsi" w:hint="eastAsia"/>
                <w:noProof/>
                <w:rtl/>
              </w:rPr>
              <w:t>التجارية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Toc178260764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14:paraId="6D5D2A3B" w14:textId="606E6031" w:rsidR="00D3795B" w:rsidRDefault="00D3795B">
          <w:pPr>
            <w:pStyle w:val="TOC2"/>
            <w:tabs>
              <w:tab w:val="right" w:leader="dot" w:pos="9016"/>
            </w:tabs>
            <w:rPr>
              <w:noProof/>
              <w:kern w:val="2"/>
              <w:sz w:val="24"/>
              <w:szCs w:val="24"/>
              <w:rtl/>
              <w:lang w:val="en-US" w:eastAsia="en-US" w:bidi="ar-SA"/>
              <w14:ligatures w14:val="standardContextual"/>
            </w:rPr>
          </w:pPr>
          <w:hyperlink w:anchor="_Toc178260765" w:history="1">
            <w:r w:rsidRPr="000C02CA">
              <w:rPr>
                <w:rStyle w:val="Hyperlink"/>
                <w:rFonts w:cstheme="minorHAnsi" w:hint="eastAsia"/>
                <w:noProof/>
                <w:rtl/>
              </w:rPr>
              <w:t>المادة</w:t>
            </w:r>
            <w:r w:rsidRPr="000C02CA">
              <w:rPr>
                <w:rStyle w:val="Hyperlink"/>
                <w:rFonts w:cstheme="minorHAnsi"/>
                <w:noProof/>
                <w:rtl/>
              </w:rPr>
              <w:t xml:space="preserve"> 7 - </w:t>
            </w:r>
            <w:r w:rsidRPr="000C02CA">
              <w:rPr>
                <w:rStyle w:val="Hyperlink"/>
                <w:rFonts w:cstheme="minorHAnsi" w:hint="eastAsia"/>
                <w:noProof/>
                <w:rtl/>
              </w:rPr>
              <w:t>عقود</w:t>
            </w:r>
            <w:r w:rsidRPr="000C02CA">
              <w:rPr>
                <w:rStyle w:val="Hyperlink"/>
                <w:rFonts w:cstheme="minorHAnsi"/>
                <w:noProof/>
                <w:rtl/>
              </w:rPr>
              <w:t xml:space="preserve"> </w:t>
            </w:r>
            <w:r w:rsidRPr="000C02CA">
              <w:rPr>
                <w:rStyle w:val="Hyperlink"/>
                <w:rFonts w:cstheme="minorHAnsi" w:hint="eastAsia"/>
                <w:noProof/>
                <w:rtl/>
              </w:rPr>
              <w:t>البحث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Toc178260765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14:paraId="2A2A19A3" w14:textId="2152A808" w:rsidR="00D3795B" w:rsidRDefault="00D3795B">
          <w:pPr>
            <w:pStyle w:val="TOC2"/>
            <w:tabs>
              <w:tab w:val="right" w:leader="dot" w:pos="9016"/>
            </w:tabs>
            <w:rPr>
              <w:noProof/>
              <w:kern w:val="2"/>
              <w:sz w:val="24"/>
              <w:szCs w:val="24"/>
              <w:rtl/>
              <w:lang w:val="en-US" w:eastAsia="en-US" w:bidi="ar-SA"/>
              <w14:ligatures w14:val="standardContextual"/>
            </w:rPr>
          </w:pPr>
          <w:hyperlink w:anchor="_Toc178260766" w:history="1">
            <w:r w:rsidRPr="000C02CA">
              <w:rPr>
                <w:rStyle w:val="Hyperlink"/>
                <w:rFonts w:cstheme="minorHAnsi" w:hint="eastAsia"/>
                <w:noProof/>
                <w:rtl/>
              </w:rPr>
              <w:t>المادة</w:t>
            </w:r>
            <w:r w:rsidRPr="000C02CA">
              <w:rPr>
                <w:rStyle w:val="Hyperlink"/>
                <w:rFonts w:cstheme="minorHAnsi"/>
                <w:noProof/>
                <w:rtl/>
              </w:rPr>
              <w:t xml:space="preserve"> 8 - </w:t>
            </w:r>
            <w:r w:rsidRPr="000C02CA">
              <w:rPr>
                <w:rStyle w:val="Hyperlink"/>
                <w:rFonts w:cstheme="minorHAnsi" w:hint="eastAsia"/>
                <w:noProof/>
                <w:rtl/>
              </w:rPr>
              <w:t>معاينات</w:t>
            </w:r>
            <w:r w:rsidRPr="000C02CA">
              <w:rPr>
                <w:rStyle w:val="Hyperlink"/>
                <w:rFonts w:cstheme="minorHAnsi"/>
                <w:noProof/>
                <w:rtl/>
              </w:rPr>
              <w:t xml:space="preserve"> </w:t>
            </w:r>
            <w:r w:rsidRPr="000C02CA">
              <w:rPr>
                <w:rStyle w:val="Hyperlink"/>
                <w:rFonts w:cstheme="minorHAnsi" w:hint="eastAsia"/>
                <w:noProof/>
                <w:rtl/>
              </w:rPr>
              <w:t>مكتب</w:t>
            </w:r>
            <w:r w:rsidRPr="000C02CA">
              <w:rPr>
                <w:rStyle w:val="Hyperlink"/>
                <w:rFonts w:cstheme="minorHAnsi"/>
                <w:noProof/>
                <w:rtl/>
              </w:rPr>
              <w:t xml:space="preserve"> </w:t>
            </w:r>
            <w:r w:rsidRPr="000C02CA">
              <w:rPr>
                <w:rStyle w:val="Hyperlink"/>
                <w:rFonts w:cstheme="minorHAnsi" w:hint="eastAsia"/>
                <w:noProof/>
                <w:rtl/>
              </w:rPr>
              <w:t>إدارة</w:t>
            </w:r>
            <w:r w:rsidRPr="000C02CA">
              <w:rPr>
                <w:rStyle w:val="Hyperlink"/>
                <w:rFonts w:cstheme="minorHAnsi"/>
                <w:noProof/>
                <w:rtl/>
              </w:rPr>
              <w:t xml:space="preserve"> </w:t>
            </w:r>
            <w:r w:rsidRPr="000C02CA">
              <w:rPr>
                <w:rStyle w:val="Hyperlink"/>
                <w:rFonts w:cstheme="minorHAnsi" w:hint="eastAsia"/>
                <w:noProof/>
                <w:rtl/>
              </w:rPr>
              <w:t>الملكية</w:t>
            </w:r>
            <w:r w:rsidRPr="000C02CA">
              <w:rPr>
                <w:rStyle w:val="Hyperlink"/>
                <w:rFonts w:cstheme="minorHAnsi"/>
                <w:noProof/>
                <w:rtl/>
              </w:rPr>
              <w:t xml:space="preserve"> </w:t>
            </w:r>
            <w:r w:rsidRPr="000C02CA">
              <w:rPr>
                <w:rStyle w:val="Hyperlink"/>
                <w:rFonts w:cstheme="minorHAnsi" w:hint="eastAsia"/>
                <w:noProof/>
                <w:rtl/>
              </w:rPr>
              <w:t>الفكرية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Toc178260766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14:paraId="2C2653F7" w14:textId="595F9FBB" w:rsidR="00D3795B" w:rsidRDefault="00D3795B">
          <w:pPr>
            <w:pStyle w:val="TOC2"/>
            <w:tabs>
              <w:tab w:val="right" w:leader="dot" w:pos="9016"/>
            </w:tabs>
            <w:rPr>
              <w:noProof/>
              <w:kern w:val="2"/>
              <w:sz w:val="24"/>
              <w:szCs w:val="24"/>
              <w:rtl/>
              <w:lang w:val="en-US" w:eastAsia="en-US" w:bidi="ar-SA"/>
              <w14:ligatures w14:val="standardContextual"/>
            </w:rPr>
          </w:pPr>
          <w:hyperlink w:anchor="_Toc178260767" w:history="1">
            <w:r w:rsidRPr="000C02CA">
              <w:rPr>
                <w:rStyle w:val="Hyperlink"/>
                <w:rFonts w:cstheme="minorHAnsi" w:hint="eastAsia"/>
                <w:noProof/>
                <w:rtl/>
              </w:rPr>
              <w:t>المادة</w:t>
            </w:r>
            <w:r w:rsidRPr="000C02CA">
              <w:rPr>
                <w:rStyle w:val="Hyperlink"/>
                <w:rFonts w:cstheme="minorHAnsi"/>
                <w:noProof/>
                <w:rtl/>
              </w:rPr>
              <w:t xml:space="preserve"> 9 – </w:t>
            </w:r>
            <w:r w:rsidRPr="000C02CA">
              <w:rPr>
                <w:rStyle w:val="Hyperlink"/>
                <w:rFonts w:cstheme="minorHAnsi" w:hint="eastAsia"/>
                <w:noProof/>
                <w:rtl/>
              </w:rPr>
              <w:t>تسويق</w:t>
            </w:r>
            <w:r w:rsidRPr="000C02CA">
              <w:rPr>
                <w:rStyle w:val="Hyperlink"/>
                <w:rFonts w:cstheme="minorHAnsi"/>
                <w:noProof/>
                <w:rtl/>
              </w:rPr>
              <w:t xml:space="preserve"> </w:t>
            </w:r>
            <w:r w:rsidRPr="000C02CA">
              <w:rPr>
                <w:rStyle w:val="Hyperlink"/>
                <w:rFonts w:cstheme="minorHAnsi" w:hint="eastAsia"/>
                <w:noProof/>
                <w:rtl/>
              </w:rPr>
              <w:t>الملكية</w:t>
            </w:r>
            <w:r w:rsidRPr="000C02CA">
              <w:rPr>
                <w:rStyle w:val="Hyperlink"/>
                <w:rFonts w:cstheme="minorHAnsi"/>
                <w:noProof/>
                <w:rtl/>
              </w:rPr>
              <w:t xml:space="preserve"> </w:t>
            </w:r>
            <w:r w:rsidRPr="000C02CA">
              <w:rPr>
                <w:rStyle w:val="Hyperlink"/>
                <w:rFonts w:cstheme="minorHAnsi" w:hint="eastAsia"/>
                <w:noProof/>
                <w:rtl/>
              </w:rPr>
              <w:t>الفكرية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Toc178260767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14:paraId="556FE4B9" w14:textId="694968D4" w:rsidR="00D3795B" w:rsidRDefault="00D3795B">
          <w:pPr>
            <w:pStyle w:val="TOC2"/>
            <w:tabs>
              <w:tab w:val="right" w:leader="dot" w:pos="9016"/>
            </w:tabs>
            <w:rPr>
              <w:noProof/>
              <w:kern w:val="2"/>
              <w:sz w:val="24"/>
              <w:szCs w:val="24"/>
              <w:rtl/>
              <w:lang w:val="en-US" w:eastAsia="en-US" w:bidi="ar-SA"/>
              <w14:ligatures w14:val="standardContextual"/>
            </w:rPr>
          </w:pPr>
          <w:hyperlink w:anchor="_Toc178260768" w:history="1">
            <w:r w:rsidRPr="000C02CA">
              <w:rPr>
                <w:rStyle w:val="Hyperlink"/>
                <w:rFonts w:cstheme="minorHAnsi" w:hint="eastAsia"/>
                <w:noProof/>
                <w:rtl/>
              </w:rPr>
              <w:t>المادة</w:t>
            </w:r>
            <w:r w:rsidRPr="000C02CA">
              <w:rPr>
                <w:rStyle w:val="Hyperlink"/>
                <w:rFonts w:cstheme="minorHAnsi"/>
                <w:noProof/>
                <w:rtl/>
              </w:rPr>
              <w:t xml:space="preserve"> 10 - </w:t>
            </w:r>
            <w:r w:rsidRPr="000C02CA">
              <w:rPr>
                <w:rStyle w:val="Hyperlink"/>
                <w:rFonts w:cstheme="minorHAnsi" w:hint="eastAsia"/>
                <w:noProof/>
                <w:rtl/>
              </w:rPr>
              <w:t>توزيع</w:t>
            </w:r>
            <w:r w:rsidRPr="000C02CA">
              <w:rPr>
                <w:rStyle w:val="Hyperlink"/>
                <w:rFonts w:cstheme="minorHAnsi"/>
                <w:noProof/>
                <w:rtl/>
              </w:rPr>
              <w:t xml:space="preserve"> </w:t>
            </w:r>
            <w:r w:rsidRPr="000C02CA">
              <w:rPr>
                <w:rStyle w:val="Hyperlink"/>
                <w:rFonts w:cstheme="minorHAnsi" w:hint="eastAsia"/>
                <w:noProof/>
                <w:rtl/>
              </w:rPr>
              <w:t>الإيرادات</w:t>
            </w:r>
            <w:r w:rsidRPr="000C02CA">
              <w:rPr>
                <w:rStyle w:val="Hyperlink"/>
                <w:rFonts w:cstheme="minorHAnsi"/>
                <w:noProof/>
                <w:rtl/>
              </w:rPr>
              <w:t xml:space="preserve"> </w:t>
            </w:r>
            <w:r w:rsidRPr="000C02CA">
              <w:rPr>
                <w:rStyle w:val="Hyperlink"/>
                <w:rFonts w:cstheme="minorHAnsi" w:hint="eastAsia"/>
                <w:noProof/>
                <w:rtl/>
              </w:rPr>
              <w:t>والحوافز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Toc178260768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14:paraId="40A67DAD" w14:textId="6CA6B337" w:rsidR="00D3795B" w:rsidRDefault="00D3795B">
          <w:pPr>
            <w:pStyle w:val="TOC2"/>
            <w:tabs>
              <w:tab w:val="right" w:leader="dot" w:pos="9016"/>
            </w:tabs>
            <w:rPr>
              <w:noProof/>
              <w:kern w:val="2"/>
              <w:sz w:val="24"/>
              <w:szCs w:val="24"/>
              <w:rtl/>
              <w:lang w:val="en-US" w:eastAsia="en-US" w:bidi="ar-SA"/>
              <w14:ligatures w14:val="standardContextual"/>
            </w:rPr>
          </w:pPr>
          <w:hyperlink w:anchor="_Toc178260769" w:history="1">
            <w:r w:rsidRPr="000C02CA">
              <w:rPr>
                <w:rStyle w:val="Hyperlink"/>
                <w:rFonts w:cstheme="minorHAnsi" w:hint="eastAsia"/>
                <w:noProof/>
                <w:rtl/>
              </w:rPr>
              <w:t>المادة</w:t>
            </w:r>
            <w:r w:rsidRPr="000C02CA">
              <w:rPr>
                <w:rStyle w:val="Hyperlink"/>
                <w:rFonts w:cstheme="minorHAnsi"/>
                <w:noProof/>
                <w:rtl/>
              </w:rPr>
              <w:t xml:space="preserve"> 11 -  </w:t>
            </w:r>
            <w:r w:rsidRPr="000C02CA">
              <w:rPr>
                <w:rStyle w:val="Hyperlink"/>
                <w:rFonts w:cstheme="minorHAnsi" w:hint="eastAsia"/>
                <w:noProof/>
                <w:rtl/>
              </w:rPr>
              <w:t>الاحتفاظ</w:t>
            </w:r>
            <w:r w:rsidRPr="000C02CA">
              <w:rPr>
                <w:rStyle w:val="Hyperlink"/>
                <w:rFonts w:cstheme="minorHAnsi"/>
                <w:noProof/>
                <w:rtl/>
              </w:rPr>
              <w:t xml:space="preserve"> </w:t>
            </w:r>
            <w:r w:rsidRPr="000C02CA">
              <w:rPr>
                <w:rStyle w:val="Hyperlink"/>
                <w:rFonts w:cstheme="minorHAnsi" w:hint="eastAsia"/>
                <w:noProof/>
                <w:rtl/>
              </w:rPr>
              <w:t>بمحفظة</w:t>
            </w:r>
            <w:r w:rsidRPr="000C02CA">
              <w:rPr>
                <w:rStyle w:val="Hyperlink"/>
                <w:rFonts w:cstheme="minorHAnsi"/>
                <w:noProof/>
                <w:rtl/>
              </w:rPr>
              <w:t xml:space="preserve"> </w:t>
            </w:r>
            <w:r w:rsidRPr="000C02CA">
              <w:rPr>
                <w:rStyle w:val="Hyperlink"/>
                <w:rFonts w:cstheme="minorHAnsi" w:hint="eastAsia"/>
                <w:noProof/>
                <w:rtl/>
              </w:rPr>
              <w:t>الملكية</w:t>
            </w:r>
            <w:r w:rsidRPr="000C02CA">
              <w:rPr>
                <w:rStyle w:val="Hyperlink"/>
                <w:rFonts w:cstheme="minorHAnsi"/>
                <w:noProof/>
                <w:rtl/>
              </w:rPr>
              <w:t xml:space="preserve"> </w:t>
            </w:r>
            <w:r w:rsidRPr="000C02CA">
              <w:rPr>
                <w:rStyle w:val="Hyperlink"/>
                <w:rFonts w:cstheme="minorHAnsi" w:hint="eastAsia"/>
                <w:noProof/>
                <w:rtl/>
              </w:rPr>
              <w:t>الفكرية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Toc178260769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14:paraId="4E3021F9" w14:textId="68F5179A" w:rsidR="00D3795B" w:rsidRDefault="00D3795B">
          <w:pPr>
            <w:pStyle w:val="TOC2"/>
            <w:tabs>
              <w:tab w:val="right" w:leader="dot" w:pos="9016"/>
            </w:tabs>
            <w:rPr>
              <w:noProof/>
              <w:kern w:val="2"/>
              <w:sz w:val="24"/>
              <w:szCs w:val="24"/>
              <w:rtl/>
              <w:lang w:val="en-US" w:eastAsia="en-US" w:bidi="ar-SA"/>
              <w14:ligatures w14:val="standardContextual"/>
            </w:rPr>
          </w:pPr>
          <w:hyperlink w:anchor="_Toc178260770" w:history="1">
            <w:r w:rsidRPr="000C02CA">
              <w:rPr>
                <w:rStyle w:val="Hyperlink"/>
                <w:rFonts w:cstheme="minorHAnsi" w:hint="eastAsia"/>
                <w:noProof/>
                <w:rtl/>
              </w:rPr>
              <w:t>المادة</w:t>
            </w:r>
            <w:r w:rsidRPr="000C02CA">
              <w:rPr>
                <w:rStyle w:val="Hyperlink"/>
                <w:rFonts w:cstheme="minorHAnsi"/>
                <w:noProof/>
                <w:rtl/>
              </w:rPr>
              <w:t xml:space="preserve"> 12 – </w:t>
            </w:r>
            <w:r w:rsidRPr="000C02CA">
              <w:rPr>
                <w:rStyle w:val="Hyperlink"/>
                <w:rFonts w:cstheme="minorHAnsi" w:hint="eastAsia"/>
                <w:noProof/>
                <w:rtl/>
              </w:rPr>
              <w:t>المعارف</w:t>
            </w:r>
            <w:r w:rsidRPr="000C02CA">
              <w:rPr>
                <w:rStyle w:val="Hyperlink"/>
                <w:rFonts w:cstheme="minorHAnsi"/>
                <w:noProof/>
                <w:rtl/>
              </w:rPr>
              <w:t xml:space="preserve"> </w:t>
            </w:r>
            <w:r w:rsidRPr="000C02CA">
              <w:rPr>
                <w:rStyle w:val="Hyperlink"/>
                <w:rFonts w:cstheme="minorHAnsi" w:hint="eastAsia"/>
                <w:noProof/>
                <w:rtl/>
              </w:rPr>
              <w:t>التقليدية</w:t>
            </w:r>
            <w:r w:rsidRPr="000C02CA">
              <w:rPr>
                <w:rStyle w:val="Hyperlink"/>
                <w:rFonts w:cstheme="minorHAnsi"/>
                <w:noProof/>
                <w:rtl/>
              </w:rPr>
              <w:t xml:space="preserve"> </w:t>
            </w:r>
            <w:r w:rsidRPr="000C02CA">
              <w:rPr>
                <w:rStyle w:val="Hyperlink"/>
                <w:rFonts w:cstheme="minorHAnsi" w:hint="eastAsia"/>
                <w:noProof/>
                <w:rtl/>
              </w:rPr>
              <w:t>والموارد</w:t>
            </w:r>
            <w:r w:rsidRPr="000C02CA">
              <w:rPr>
                <w:rStyle w:val="Hyperlink"/>
                <w:rFonts w:cstheme="minorHAnsi"/>
                <w:noProof/>
                <w:rtl/>
              </w:rPr>
              <w:t xml:space="preserve"> </w:t>
            </w:r>
            <w:r w:rsidRPr="000C02CA">
              <w:rPr>
                <w:rStyle w:val="Hyperlink"/>
                <w:rFonts w:cstheme="minorHAnsi" w:hint="eastAsia"/>
                <w:noProof/>
                <w:rtl/>
              </w:rPr>
              <w:t>الوراثية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Toc178260770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14:paraId="27943C47" w14:textId="635F5FCA" w:rsidR="00D3795B" w:rsidRDefault="00D3795B">
          <w:pPr>
            <w:pStyle w:val="TOC2"/>
            <w:tabs>
              <w:tab w:val="right" w:leader="dot" w:pos="9016"/>
            </w:tabs>
            <w:rPr>
              <w:noProof/>
              <w:kern w:val="2"/>
              <w:sz w:val="24"/>
              <w:szCs w:val="24"/>
              <w:rtl/>
              <w:lang w:val="en-US" w:eastAsia="en-US" w:bidi="ar-SA"/>
              <w14:ligatures w14:val="standardContextual"/>
            </w:rPr>
          </w:pPr>
          <w:hyperlink w:anchor="_Toc178260771" w:history="1">
            <w:r w:rsidRPr="000C02CA">
              <w:rPr>
                <w:rStyle w:val="Hyperlink"/>
                <w:rFonts w:cstheme="minorHAnsi" w:hint="eastAsia"/>
                <w:noProof/>
                <w:rtl/>
              </w:rPr>
              <w:t>المادة</w:t>
            </w:r>
            <w:r w:rsidRPr="000C02CA">
              <w:rPr>
                <w:rStyle w:val="Hyperlink"/>
                <w:rFonts w:cstheme="minorHAnsi"/>
                <w:noProof/>
                <w:rtl/>
              </w:rPr>
              <w:t xml:space="preserve"> 13 – </w:t>
            </w:r>
            <w:r w:rsidRPr="000C02CA">
              <w:rPr>
                <w:rStyle w:val="Hyperlink"/>
                <w:rFonts w:cstheme="minorHAnsi" w:hint="eastAsia"/>
                <w:noProof/>
                <w:rtl/>
              </w:rPr>
              <w:t>تضارب</w:t>
            </w:r>
            <w:r w:rsidRPr="000C02CA">
              <w:rPr>
                <w:rStyle w:val="Hyperlink"/>
                <w:rFonts w:cstheme="minorHAnsi"/>
                <w:noProof/>
                <w:rtl/>
              </w:rPr>
              <w:t xml:space="preserve"> </w:t>
            </w:r>
            <w:r w:rsidRPr="000C02CA">
              <w:rPr>
                <w:rStyle w:val="Hyperlink"/>
                <w:rFonts w:cstheme="minorHAnsi" w:hint="eastAsia"/>
                <w:noProof/>
                <w:rtl/>
              </w:rPr>
              <w:t>المصالح</w:t>
            </w:r>
            <w:r w:rsidRPr="000C02CA">
              <w:rPr>
                <w:rStyle w:val="Hyperlink"/>
                <w:rFonts w:cstheme="minorHAnsi"/>
                <w:noProof/>
                <w:rtl/>
              </w:rPr>
              <w:t xml:space="preserve"> </w:t>
            </w:r>
            <w:r w:rsidRPr="000C02CA">
              <w:rPr>
                <w:rStyle w:val="Hyperlink"/>
                <w:rFonts w:cstheme="minorHAnsi" w:hint="eastAsia"/>
                <w:noProof/>
                <w:rtl/>
              </w:rPr>
              <w:t>وتضارب</w:t>
            </w:r>
            <w:r w:rsidRPr="000C02CA">
              <w:rPr>
                <w:rStyle w:val="Hyperlink"/>
                <w:rFonts w:cstheme="minorHAnsi"/>
                <w:noProof/>
                <w:rtl/>
              </w:rPr>
              <w:t xml:space="preserve"> </w:t>
            </w:r>
            <w:r w:rsidRPr="000C02CA">
              <w:rPr>
                <w:rStyle w:val="Hyperlink"/>
                <w:rFonts w:cstheme="minorHAnsi" w:hint="eastAsia"/>
                <w:noProof/>
                <w:rtl/>
              </w:rPr>
              <w:t>الالتزامات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Toc178260771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14:paraId="7CD93C11" w14:textId="562F840F" w:rsidR="00D3795B" w:rsidRDefault="00D3795B">
          <w:pPr>
            <w:pStyle w:val="TOC2"/>
            <w:tabs>
              <w:tab w:val="right" w:leader="dot" w:pos="9016"/>
            </w:tabs>
            <w:rPr>
              <w:noProof/>
              <w:kern w:val="2"/>
              <w:sz w:val="24"/>
              <w:szCs w:val="24"/>
              <w:rtl/>
              <w:lang w:val="en-US" w:eastAsia="en-US" w:bidi="ar-SA"/>
              <w14:ligatures w14:val="standardContextual"/>
            </w:rPr>
          </w:pPr>
          <w:hyperlink w:anchor="_Toc178260772" w:history="1">
            <w:r w:rsidRPr="000C02CA">
              <w:rPr>
                <w:rStyle w:val="Hyperlink"/>
                <w:rFonts w:cstheme="minorHAnsi" w:hint="eastAsia"/>
                <w:noProof/>
                <w:rtl/>
              </w:rPr>
              <w:t>المادة</w:t>
            </w:r>
            <w:r w:rsidRPr="000C02CA">
              <w:rPr>
                <w:rStyle w:val="Hyperlink"/>
                <w:rFonts w:cstheme="minorHAnsi"/>
                <w:noProof/>
                <w:rtl/>
              </w:rPr>
              <w:t xml:space="preserve"> 14 - </w:t>
            </w:r>
            <w:r w:rsidRPr="000C02CA">
              <w:rPr>
                <w:rStyle w:val="Hyperlink"/>
                <w:rFonts w:cstheme="minorHAnsi" w:hint="eastAsia"/>
                <w:noProof/>
                <w:rtl/>
              </w:rPr>
              <w:t>النزاع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Toc178260772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14:paraId="34E254EF" w14:textId="26858231" w:rsidR="00D3795B" w:rsidRDefault="00D3795B">
          <w:pPr>
            <w:pStyle w:val="TOC2"/>
            <w:tabs>
              <w:tab w:val="right" w:leader="dot" w:pos="9016"/>
            </w:tabs>
            <w:rPr>
              <w:noProof/>
              <w:kern w:val="2"/>
              <w:sz w:val="24"/>
              <w:szCs w:val="24"/>
              <w:rtl/>
              <w:lang w:val="en-US" w:eastAsia="en-US" w:bidi="ar-SA"/>
              <w14:ligatures w14:val="standardContextual"/>
            </w:rPr>
          </w:pPr>
          <w:hyperlink w:anchor="_Toc178260773" w:history="1">
            <w:r w:rsidRPr="000C02CA">
              <w:rPr>
                <w:rStyle w:val="Hyperlink"/>
                <w:rFonts w:cstheme="minorHAnsi" w:hint="eastAsia"/>
                <w:noProof/>
                <w:rtl/>
              </w:rPr>
              <w:t>المادة</w:t>
            </w:r>
            <w:r w:rsidRPr="000C02CA">
              <w:rPr>
                <w:rStyle w:val="Hyperlink"/>
                <w:rFonts w:cstheme="minorHAnsi"/>
                <w:noProof/>
                <w:rtl/>
              </w:rPr>
              <w:t xml:space="preserve"> 15 - </w:t>
            </w:r>
            <w:r w:rsidRPr="000C02CA">
              <w:rPr>
                <w:rStyle w:val="Hyperlink"/>
                <w:rFonts w:cstheme="minorHAnsi" w:hint="eastAsia"/>
                <w:noProof/>
                <w:rtl/>
              </w:rPr>
              <w:t>التعديل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Toc178260773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14:paraId="29296181" w14:textId="69E118EF" w:rsidR="00462962" w:rsidRPr="00F30EF3" w:rsidRDefault="00462962">
          <w:pPr>
            <w:rPr>
              <w:rFonts w:cstheme="minorHAnsi"/>
              <w:rtl/>
            </w:rPr>
          </w:pPr>
          <w:r w:rsidRPr="00F30EF3">
            <w:rPr>
              <w:rFonts w:cstheme="minorHAnsi"/>
              <w:b/>
              <w:rtl/>
            </w:rPr>
            <w:fldChar w:fldCharType="end"/>
          </w:r>
        </w:p>
      </w:sdtContent>
    </w:sdt>
    <w:p w14:paraId="338E4E08" w14:textId="77777777" w:rsidR="003901ED" w:rsidRPr="00F30EF3" w:rsidRDefault="003901ED" w:rsidP="00676EF9">
      <w:pPr>
        <w:spacing w:after="0" w:line="240" w:lineRule="auto"/>
        <w:rPr>
          <w:rFonts w:eastAsiaTheme="majorEastAsia" w:cstheme="minorHAnsi"/>
          <w:lang w:val="en-US"/>
        </w:rPr>
      </w:pPr>
    </w:p>
    <w:p w14:paraId="75545D46" w14:textId="77777777" w:rsidR="00BD07D8" w:rsidRPr="00F30EF3" w:rsidRDefault="00BD07D8" w:rsidP="00676EF9">
      <w:pPr>
        <w:spacing w:after="0" w:line="240" w:lineRule="auto"/>
        <w:rPr>
          <w:rFonts w:eastAsiaTheme="majorEastAsia" w:cstheme="minorHAnsi"/>
          <w:b/>
          <w:bCs/>
          <w:color w:val="0070C0"/>
          <w:lang w:val="en-US"/>
        </w:rPr>
      </w:pPr>
    </w:p>
    <w:p w14:paraId="408B3480" w14:textId="77777777" w:rsidR="00BD07D8" w:rsidRPr="00F30EF3" w:rsidRDefault="00BD07D8" w:rsidP="00676EF9">
      <w:pPr>
        <w:spacing w:after="0" w:line="240" w:lineRule="auto"/>
        <w:rPr>
          <w:rFonts w:eastAsiaTheme="majorEastAsia" w:cstheme="minorHAnsi"/>
          <w:b/>
          <w:bCs/>
          <w:color w:val="0070C0"/>
          <w:lang w:val="en-US"/>
        </w:rPr>
      </w:pPr>
    </w:p>
    <w:p w14:paraId="3769E5E5" w14:textId="77777777" w:rsidR="00BD07D8" w:rsidRPr="00F30EF3" w:rsidRDefault="00BD07D8" w:rsidP="00676EF9">
      <w:pPr>
        <w:spacing w:after="0" w:line="240" w:lineRule="auto"/>
        <w:rPr>
          <w:rFonts w:eastAsiaTheme="majorEastAsia" w:cstheme="minorHAnsi"/>
          <w:b/>
          <w:bCs/>
          <w:color w:val="0070C0"/>
          <w:lang w:val="en-US"/>
        </w:rPr>
      </w:pPr>
    </w:p>
    <w:p w14:paraId="74A56265" w14:textId="77777777" w:rsidR="00BD07D8" w:rsidRPr="00F30EF3" w:rsidRDefault="00BD07D8" w:rsidP="00676EF9">
      <w:pPr>
        <w:spacing w:after="0" w:line="240" w:lineRule="auto"/>
        <w:rPr>
          <w:rFonts w:eastAsiaTheme="majorEastAsia" w:cstheme="minorHAnsi"/>
          <w:b/>
          <w:bCs/>
          <w:color w:val="0070C0"/>
          <w:lang w:val="en-US"/>
        </w:rPr>
      </w:pPr>
    </w:p>
    <w:p w14:paraId="07BCC597" w14:textId="310B40DC" w:rsidR="003A33DC" w:rsidRPr="00F30EF3" w:rsidRDefault="003A33DC">
      <w:pPr>
        <w:bidi w:val="0"/>
        <w:rPr>
          <w:rFonts w:eastAsiaTheme="majorEastAsia" w:cstheme="minorHAnsi"/>
          <w:b/>
          <w:bCs/>
          <w:color w:val="0070C0"/>
          <w:rtl/>
          <w:lang w:val="en-US"/>
        </w:rPr>
      </w:pPr>
      <w:r w:rsidRPr="00F30EF3">
        <w:rPr>
          <w:rFonts w:eastAsiaTheme="majorEastAsia" w:cstheme="minorHAnsi"/>
          <w:b/>
          <w:bCs/>
          <w:color w:val="0070C0"/>
          <w:rtl/>
          <w:lang w:val="en-US"/>
        </w:rPr>
        <w:br w:type="page"/>
      </w:r>
    </w:p>
    <w:p w14:paraId="6CBE4F66" w14:textId="77777777" w:rsidR="00EC6904" w:rsidRPr="00F30EF3" w:rsidRDefault="003B356C" w:rsidP="00676EF9">
      <w:pPr>
        <w:spacing w:after="0" w:line="240" w:lineRule="auto"/>
        <w:rPr>
          <w:rFonts w:eastAsiaTheme="majorEastAsia" w:cstheme="minorHAnsi"/>
          <w:b/>
          <w:bCs/>
          <w:color w:val="0070C0"/>
          <w:sz w:val="32"/>
          <w:szCs w:val="32"/>
          <w:rtl/>
        </w:rPr>
      </w:pPr>
      <w:r w:rsidRPr="00F30EF3">
        <w:rPr>
          <w:rFonts w:cstheme="minorHAnsi"/>
          <w:b/>
          <w:bCs/>
          <w:color w:val="0070C0"/>
          <w:sz w:val="32"/>
          <w:szCs w:val="32"/>
          <w:rtl/>
        </w:rPr>
        <w:lastRenderedPageBreak/>
        <w:t>تمهيد</w:t>
      </w:r>
    </w:p>
    <w:p w14:paraId="5BF8FD4E" w14:textId="77777777" w:rsidR="00676EF9" w:rsidRPr="00F30EF3" w:rsidRDefault="00676EF9" w:rsidP="00676EF9">
      <w:pPr>
        <w:spacing w:after="0" w:line="240" w:lineRule="auto"/>
        <w:rPr>
          <w:rFonts w:eastAsiaTheme="minorHAnsi" w:cstheme="minorHAnsi"/>
          <w:lang w:val="en-US" w:eastAsia="en-US"/>
        </w:rPr>
      </w:pPr>
    </w:p>
    <w:p w14:paraId="7A1A7FE9" w14:textId="77777777" w:rsidR="00EC6904" w:rsidRPr="00F30EF3" w:rsidRDefault="00EC6904" w:rsidP="00734F31">
      <w:pPr>
        <w:autoSpaceDE w:val="0"/>
        <w:autoSpaceDN w:val="0"/>
        <w:adjustRightInd w:val="0"/>
        <w:spacing w:after="0" w:line="240" w:lineRule="auto"/>
        <w:jc w:val="both"/>
        <w:rPr>
          <w:rFonts w:eastAsiaTheme="minorHAnsi" w:cstheme="minorHAnsi"/>
          <w:rtl/>
        </w:rPr>
      </w:pPr>
      <w:r w:rsidRPr="00F30EF3">
        <w:rPr>
          <w:rFonts w:cstheme="minorHAnsi"/>
          <w:rtl/>
        </w:rPr>
        <w:t xml:space="preserve">يقدم هذا المنشور إرشادات عملية للمسؤولين رفيعي المستوى المنوطين بوضع السياسات والقواعد واللوائح في مؤسساتهم الأكاديمية أو البحثية، لتسهيل تخصيص </w:t>
      </w:r>
      <w:hyperlink r:id="rId8" w:history="1">
        <w:r w:rsidRPr="00F30EF3">
          <w:rPr>
            <w:rStyle w:val="Hyperlink"/>
            <w:rFonts w:cstheme="minorHAnsi"/>
            <w:b/>
            <w:bCs/>
            <w:rtl/>
          </w:rPr>
          <w:t>نموذج سياسة الملكية الفكرية لفائدة الجامعات والمؤسسات البحثية</w:t>
        </w:r>
      </w:hyperlink>
      <w:r w:rsidRPr="00F30EF3">
        <w:rPr>
          <w:rFonts w:cstheme="minorHAnsi"/>
          <w:rtl/>
        </w:rPr>
        <w:t xml:space="preserve"> ("النموذج"). تشرح المبادئ التوجيهية لتخصيص نموذج سياسة الملكية الفكرية ("المبادئ التوجيهية") المحتويات وتصف خلفية كل مادة مقترحة في النموذج. ويتم توضيح نص المواد حيثما أمكن بأمثلة ومقتطفات من سياسات مؤسسية متبعة فعلاً ومراجع مفيدة.  </w:t>
      </w:r>
    </w:p>
    <w:p w14:paraId="65AA0108" w14:textId="77777777" w:rsidR="00EC6904" w:rsidRPr="00F30EF3" w:rsidRDefault="00EC6904" w:rsidP="00734F31">
      <w:pPr>
        <w:autoSpaceDE w:val="0"/>
        <w:autoSpaceDN w:val="0"/>
        <w:adjustRightInd w:val="0"/>
        <w:spacing w:after="0" w:line="240" w:lineRule="auto"/>
        <w:jc w:val="both"/>
        <w:rPr>
          <w:rFonts w:eastAsiaTheme="minorHAnsi" w:cstheme="minorHAnsi"/>
          <w:lang w:val="en-US" w:eastAsia="en-US"/>
        </w:rPr>
      </w:pPr>
    </w:p>
    <w:p w14:paraId="45F6859E" w14:textId="77777777" w:rsidR="00EC6904" w:rsidRPr="00F30EF3" w:rsidRDefault="00EC6904" w:rsidP="00734F31">
      <w:pPr>
        <w:autoSpaceDE w:val="0"/>
        <w:autoSpaceDN w:val="0"/>
        <w:adjustRightInd w:val="0"/>
        <w:spacing w:after="0" w:line="240" w:lineRule="auto"/>
        <w:jc w:val="both"/>
        <w:rPr>
          <w:rFonts w:eastAsiaTheme="minorHAnsi" w:cstheme="minorHAnsi"/>
          <w:rtl/>
        </w:rPr>
      </w:pPr>
      <w:r w:rsidRPr="00F30EF3">
        <w:rPr>
          <w:rFonts w:cstheme="minorHAnsi"/>
          <w:rtl/>
        </w:rPr>
        <w:t>ومن المتوقع أن تكون المبادئ التوجيهية ذات عون لصائغي السياسات على صياغة سياسة مناسبة للملكية الفكرية وفقاً لاحتياجات المؤسسة وأنشطتها ومضمونها.</w:t>
      </w:r>
    </w:p>
    <w:p w14:paraId="1D70E5F4" w14:textId="77777777" w:rsidR="00EC6904" w:rsidRPr="00F30EF3" w:rsidRDefault="00EC6904" w:rsidP="00734F31">
      <w:pPr>
        <w:autoSpaceDE w:val="0"/>
        <w:autoSpaceDN w:val="0"/>
        <w:adjustRightInd w:val="0"/>
        <w:spacing w:after="0" w:line="240" w:lineRule="auto"/>
        <w:jc w:val="both"/>
        <w:rPr>
          <w:rFonts w:eastAsiaTheme="minorHAnsi" w:cstheme="minorHAnsi"/>
          <w:lang w:val="en-US" w:eastAsia="en-US"/>
        </w:rPr>
      </w:pPr>
    </w:p>
    <w:p w14:paraId="0F32762B" w14:textId="77777777" w:rsidR="00A163C3" w:rsidRPr="00F30EF3" w:rsidRDefault="00A163C3" w:rsidP="00A163C3">
      <w:pPr>
        <w:autoSpaceDE w:val="0"/>
        <w:autoSpaceDN w:val="0"/>
        <w:adjustRightInd w:val="0"/>
        <w:spacing w:after="0" w:line="240" w:lineRule="auto"/>
        <w:jc w:val="both"/>
        <w:rPr>
          <w:rFonts w:eastAsiaTheme="minorHAnsi" w:cstheme="minorHAnsi"/>
          <w:rtl/>
        </w:rPr>
      </w:pPr>
      <w:r w:rsidRPr="00F30EF3">
        <w:rPr>
          <w:rFonts w:cstheme="minorHAnsi"/>
          <w:rtl/>
        </w:rPr>
        <w:t>ولقد ساعد خبراء مرموقون على وضع المبادئ التوجيهية وتحرّوا الدقة في وضعها. ومع ذلك، فهي تحتوي على معلومات ذات طبيعة عامة ولا تهدف سوى إلى تقديم ملخص لجوانب الموضوع المتضمن. وليس المقصود منها أن تكون شاملة ولا ينبغي معاملتها على هذا الأساس. كما لا ينبغي الاعتماد عليها باعتبارها بديلاً للمشورة القانونية أو غيرها من المشورة المهنية بشأن أي مسألة معينة أو لاتخاذ أي قرار معين.</w:t>
      </w:r>
    </w:p>
    <w:p w14:paraId="1DEC0FC3" w14:textId="77777777" w:rsidR="00704997" w:rsidRPr="00F30EF3" w:rsidRDefault="00704997" w:rsidP="00704997">
      <w:pPr>
        <w:autoSpaceDE w:val="0"/>
        <w:autoSpaceDN w:val="0"/>
        <w:adjustRightInd w:val="0"/>
        <w:spacing w:after="0" w:line="240" w:lineRule="auto"/>
        <w:rPr>
          <w:rFonts w:eastAsiaTheme="majorEastAsia" w:cstheme="minorHAnsi"/>
          <w:b/>
          <w:bCs/>
          <w:color w:val="0070C0"/>
          <w:lang w:val="en-US"/>
        </w:rPr>
      </w:pPr>
    </w:p>
    <w:p w14:paraId="042571E7" w14:textId="03C1BB2D" w:rsidR="00704997" w:rsidRPr="00F30EF3" w:rsidRDefault="00704997" w:rsidP="00704997">
      <w:pPr>
        <w:autoSpaceDE w:val="0"/>
        <w:autoSpaceDN w:val="0"/>
        <w:adjustRightInd w:val="0"/>
        <w:spacing w:after="0" w:line="240" w:lineRule="auto"/>
        <w:rPr>
          <w:rFonts w:cstheme="minorHAnsi"/>
          <w:color w:val="000000"/>
          <w:sz w:val="32"/>
          <w:szCs w:val="32"/>
          <w:rtl/>
        </w:rPr>
      </w:pPr>
      <w:r w:rsidRPr="00F30EF3">
        <w:rPr>
          <w:rFonts w:cstheme="minorHAnsi"/>
          <w:b/>
          <w:bCs/>
          <w:color w:val="0070C0"/>
          <w:sz w:val="32"/>
          <w:szCs w:val="32"/>
          <w:rtl/>
        </w:rPr>
        <w:t>تأليف وشكر وتقدير</w:t>
      </w:r>
      <w:r w:rsidRPr="00F30EF3">
        <w:rPr>
          <w:rFonts w:cstheme="minorHAnsi"/>
          <w:b/>
          <w:bCs/>
          <w:color w:val="0070C0"/>
          <w:sz w:val="32"/>
          <w:szCs w:val="32"/>
          <w:rtl/>
        </w:rPr>
        <w:cr/>
      </w:r>
    </w:p>
    <w:p w14:paraId="2B8F5807" w14:textId="77777777" w:rsidR="00A66D34" w:rsidRPr="00F30EF3" w:rsidRDefault="00704997" w:rsidP="00704997">
      <w:pPr>
        <w:spacing w:line="240" w:lineRule="auto"/>
        <w:jc w:val="both"/>
        <w:rPr>
          <w:rFonts w:cstheme="minorHAnsi"/>
          <w:rtl/>
        </w:rPr>
      </w:pPr>
      <w:r w:rsidRPr="00F30EF3">
        <w:rPr>
          <w:rFonts w:cstheme="minorHAnsi"/>
          <w:rtl/>
        </w:rPr>
        <w:t xml:space="preserve">أعدّت المبادئ التوجيهية السيدة ليان فيربوهيد كوجلين، والسيدة كيري فول، والسيد ريتشارد كاهون. </w:t>
      </w:r>
    </w:p>
    <w:p w14:paraId="3530C55B" w14:textId="77777777" w:rsidR="00704997" w:rsidRPr="00F30EF3" w:rsidRDefault="005D1D93" w:rsidP="00704997">
      <w:pPr>
        <w:spacing w:line="240" w:lineRule="auto"/>
        <w:jc w:val="both"/>
        <w:rPr>
          <w:rFonts w:cstheme="minorHAnsi"/>
          <w:rtl/>
        </w:rPr>
      </w:pPr>
      <w:r w:rsidRPr="00F30EF3">
        <w:rPr>
          <w:rFonts w:cstheme="minorHAnsi"/>
          <w:rtl/>
        </w:rPr>
        <w:t>وإننا نود أن نشكر السيد محمد الجعفري، والسيدة أولغا بيغونيا فينيرو أغيري، والسيدة أليس مانيرو، والسيد فيليب مينديز، والسيدة هاجيت ميسر-يارون، والسيدة ماريا ديل بيلار نورييغا إسكوبار، والسيد بارتيليمي نياسي، والسيدة تانا بيستوريوس، والسيدة يوميكو هامانو، والسيدة جوستينا أوزيجالسكا-تريبالسكا، والسيدة إليزابيث ريتر دوس سانتوس، والسيد محمد شريف، والسيد ماكلين سيباندا على مساهماتهم البناءة.</w:t>
      </w:r>
    </w:p>
    <w:p w14:paraId="2B101278" w14:textId="77777777" w:rsidR="00744113" w:rsidRPr="00F30EF3" w:rsidRDefault="00197A75" w:rsidP="00AA1A8A">
      <w:pPr>
        <w:pBdr>
          <w:top w:val="single" w:sz="4" w:space="1" w:color="auto"/>
          <w:left w:val="single" w:sz="4" w:space="4" w:color="auto"/>
          <w:bottom w:val="single" w:sz="4" w:space="1" w:color="auto"/>
          <w:right w:val="single" w:sz="4" w:space="4" w:color="auto"/>
        </w:pBdr>
        <w:spacing w:after="120"/>
        <w:rPr>
          <w:rFonts w:eastAsia="Times New Roman" w:cstheme="minorHAnsi"/>
          <w:color w:val="000000"/>
          <w:rtl/>
        </w:rPr>
      </w:pPr>
      <w:r w:rsidRPr="00F30EF3">
        <w:rPr>
          <w:rFonts w:cstheme="minorHAnsi"/>
          <w:rtl/>
        </w:rPr>
        <w:t xml:space="preserve">والمبادئ التوجيهية </w:t>
      </w:r>
      <w:r w:rsidRPr="00F30EF3">
        <w:rPr>
          <w:rFonts w:cstheme="minorHAnsi"/>
          <w:color w:val="000000" w:themeColor="text1"/>
          <w:rtl/>
        </w:rPr>
        <w:t>جزء من</w:t>
      </w:r>
      <w:r w:rsidRPr="00F30EF3">
        <w:rPr>
          <w:rFonts w:cstheme="minorHAnsi"/>
          <w:b/>
          <w:bCs/>
          <w:color w:val="000000" w:themeColor="text1"/>
          <w:rtl/>
        </w:rPr>
        <w:t xml:space="preserve"> مجموعة أدوات الملكية الفكرية للويبو </w:t>
      </w:r>
      <w:r w:rsidRPr="00F30EF3">
        <w:rPr>
          <w:rFonts w:cstheme="minorHAnsi"/>
          <w:b/>
          <w:bCs/>
          <w:color w:val="000000"/>
          <w:rtl/>
        </w:rPr>
        <w:t>للجامعات والمؤسسات البحثية</w:t>
      </w:r>
      <w:r w:rsidRPr="00F30EF3">
        <w:rPr>
          <w:rFonts w:cstheme="minorHAnsi"/>
          <w:b/>
          <w:bCs/>
          <w:color w:val="000000" w:themeColor="text1"/>
          <w:rtl/>
        </w:rPr>
        <w:t>، حيث تربط البحث الأكاديمي بالاقتصاد والمجتمع</w:t>
      </w:r>
      <w:r w:rsidR="00744113" w:rsidRPr="00F30EF3">
        <w:rPr>
          <w:rStyle w:val="FootnoteReference"/>
          <w:rFonts w:eastAsiaTheme="minorHAnsi" w:cstheme="minorHAnsi"/>
          <w:rtl/>
          <w:lang w:val="en-US" w:eastAsia="en-US"/>
        </w:rPr>
        <w:footnoteReference w:id="1"/>
      </w:r>
      <w:r w:rsidRPr="00F30EF3">
        <w:rPr>
          <w:rFonts w:cstheme="minorHAnsi"/>
          <w:color w:val="000000"/>
          <w:rtl/>
        </w:rPr>
        <w:t>،</w:t>
      </w:r>
      <w:r w:rsidRPr="00F30EF3">
        <w:rPr>
          <w:rFonts w:cstheme="minorHAnsi"/>
          <w:b/>
          <w:bCs/>
          <w:color w:val="000000"/>
          <w:rtl/>
        </w:rPr>
        <w:t xml:space="preserve"> </w:t>
      </w:r>
      <w:r w:rsidRPr="00F30EF3">
        <w:rPr>
          <w:rFonts w:cstheme="minorHAnsi"/>
          <w:color w:val="000000"/>
          <w:rtl/>
        </w:rPr>
        <w:t>والتي تشمل</w:t>
      </w:r>
      <w:r w:rsidRPr="00F30EF3">
        <w:rPr>
          <w:rFonts w:cstheme="minorHAnsi"/>
          <w:b/>
          <w:bCs/>
          <w:color w:val="000000"/>
          <w:rtl/>
        </w:rPr>
        <w:t xml:space="preserve"> </w:t>
      </w:r>
      <w:r w:rsidRPr="00F30EF3">
        <w:rPr>
          <w:rFonts w:cstheme="minorHAnsi"/>
          <w:color w:val="000000"/>
          <w:rtl/>
        </w:rPr>
        <w:t>أيضاً:</w:t>
      </w:r>
    </w:p>
    <w:p w14:paraId="22A15A57" w14:textId="7871880B" w:rsidR="00744113" w:rsidRPr="00F30EF3" w:rsidRDefault="00744113" w:rsidP="008178A1">
      <w:pPr>
        <w:pStyle w:val="ListParagraph"/>
        <w:numPr>
          <w:ilvl w:val="0"/>
          <w:numId w:val="171"/>
        </w:numPr>
        <w:pBdr>
          <w:top w:val="single" w:sz="4" w:space="1" w:color="auto"/>
          <w:left w:val="single" w:sz="4" w:space="4" w:color="auto"/>
          <w:bottom w:val="single" w:sz="4" w:space="1" w:color="auto"/>
          <w:right w:val="single" w:sz="4" w:space="4" w:color="auto"/>
        </w:pBdr>
        <w:spacing w:after="0" w:line="240" w:lineRule="auto"/>
        <w:ind w:left="360"/>
        <w:jc w:val="both"/>
        <w:rPr>
          <w:rFonts w:cstheme="minorHAnsi"/>
          <w:rtl/>
        </w:rPr>
      </w:pPr>
      <w:r w:rsidRPr="00F30EF3">
        <w:rPr>
          <w:rFonts w:cstheme="minorHAnsi"/>
          <w:color w:val="0070C0"/>
          <w:rtl/>
        </w:rPr>
        <w:t>نموذج سياسة الملكية الفكرية للجامعات والمؤسسات البحثية</w:t>
      </w:r>
      <w:r w:rsidRPr="00F30EF3">
        <w:rPr>
          <w:rFonts w:cstheme="minorHAnsi"/>
          <w:i/>
          <w:iCs/>
          <w:color w:val="000000" w:themeColor="text1"/>
          <w:rtl/>
        </w:rPr>
        <w:t xml:space="preserve">: </w:t>
      </w:r>
      <w:r w:rsidRPr="00F30EF3">
        <w:rPr>
          <w:rFonts w:cstheme="minorHAnsi"/>
          <w:color w:val="000000" w:themeColor="text1"/>
          <w:rtl/>
        </w:rPr>
        <w:t>ملخص</w:t>
      </w:r>
      <w:r w:rsidRPr="00F30EF3">
        <w:rPr>
          <w:rFonts w:cstheme="minorHAnsi"/>
          <w:i/>
          <w:iCs/>
          <w:color w:val="000000" w:themeColor="text1"/>
          <w:rtl/>
        </w:rPr>
        <w:t xml:space="preserve"> </w:t>
      </w:r>
      <w:r w:rsidRPr="00F30EF3">
        <w:rPr>
          <w:rFonts w:cstheme="minorHAnsi"/>
          <w:rtl/>
        </w:rPr>
        <w:t xml:space="preserve">للقضايا الرئيسية التي تعتبر أساسية في سياسة الملكية الفكرية. المؤلفون: السيدة ليان فيربوهيد كوجلين، والسيد ريتشارد كاهون، </w:t>
      </w:r>
      <w:r w:rsidR="003B3E6A" w:rsidRPr="00F30EF3">
        <w:rPr>
          <w:rFonts w:cstheme="minorHAnsi"/>
        </w:rPr>
        <w:t xml:space="preserve"> </w:t>
      </w:r>
      <w:r w:rsidRPr="00F30EF3">
        <w:rPr>
          <w:rFonts w:cstheme="minorHAnsi"/>
          <w:rtl/>
        </w:rPr>
        <w:t>والسيد محمد الجعفري، والسيدة هاغيت ميسر يارون، والسيد بارتيليمي نياسي، والسيدة ماريا ديل بيلار نورييغا إسكوبار، والسيدة تانا بيستوريوس.</w:t>
      </w:r>
    </w:p>
    <w:p w14:paraId="23137FCB" w14:textId="77777777" w:rsidR="00744113" w:rsidRPr="00F30EF3" w:rsidRDefault="00744113" w:rsidP="008178A1">
      <w:pPr>
        <w:numPr>
          <w:ilvl w:val="0"/>
          <w:numId w:val="171"/>
        </w:numPr>
        <w:pBdr>
          <w:top w:val="single" w:sz="4" w:space="1" w:color="auto"/>
          <w:left w:val="single" w:sz="4" w:space="4" w:color="auto"/>
          <w:bottom w:val="single" w:sz="4" w:space="1" w:color="auto"/>
          <w:right w:val="single" w:sz="4" w:space="4" w:color="auto"/>
        </w:pBdr>
        <w:spacing w:after="0" w:line="240" w:lineRule="auto"/>
        <w:ind w:left="360"/>
        <w:contextualSpacing/>
        <w:jc w:val="both"/>
        <w:rPr>
          <w:rFonts w:eastAsia="Times New Roman" w:cstheme="minorHAnsi"/>
          <w:color w:val="000000" w:themeColor="text1"/>
          <w:rtl/>
        </w:rPr>
      </w:pPr>
      <w:r w:rsidRPr="00F30EF3">
        <w:rPr>
          <w:rFonts w:cstheme="minorHAnsi"/>
          <w:color w:val="0070C0"/>
          <w:rtl/>
        </w:rPr>
        <w:t>القائمة المرجعية لواضعي سياسات الملكية الفكرية:</w:t>
      </w:r>
      <w:r w:rsidRPr="00F30EF3">
        <w:rPr>
          <w:rFonts w:cstheme="minorHAnsi"/>
          <w:color w:val="000000"/>
          <w:rtl/>
        </w:rPr>
        <w:t xml:space="preserve"> </w:t>
      </w:r>
      <w:r w:rsidRPr="00F30EF3">
        <w:rPr>
          <w:rFonts w:cstheme="minorHAnsi"/>
          <w:color w:val="000000" w:themeColor="text1"/>
          <w:rtl/>
        </w:rPr>
        <w:t>إرشادات عملية ومعلومات مفصلة حول المراحل المختلفة التي تنطوي عليها عادةً عملية إنشاء أو تحسين سياسة الملكية الفكرية. المؤلف: السيدة ليان فيربوهيد كوجلين.</w:t>
      </w:r>
    </w:p>
    <w:p w14:paraId="3E1A4D76" w14:textId="77777777" w:rsidR="00537C61" w:rsidRPr="00F30EF3" w:rsidRDefault="00537C61" w:rsidP="008178A1">
      <w:pPr>
        <w:pStyle w:val="ListParagraph"/>
        <w:numPr>
          <w:ilvl w:val="0"/>
          <w:numId w:val="171"/>
        </w:numPr>
        <w:pBdr>
          <w:top w:val="single" w:sz="4" w:space="1" w:color="auto"/>
          <w:left w:val="single" w:sz="4" w:space="4" w:color="auto"/>
          <w:bottom w:val="single" w:sz="4" w:space="1" w:color="auto"/>
          <w:right w:val="single" w:sz="4" w:space="4" w:color="auto"/>
        </w:pBdr>
        <w:spacing w:after="0" w:line="240" w:lineRule="auto"/>
        <w:ind w:left="360"/>
        <w:jc w:val="both"/>
        <w:rPr>
          <w:rFonts w:eastAsiaTheme="majorEastAsia" w:cstheme="minorHAnsi"/>
          <w:b/>
          <w:bCs/>
          <w:color w:val="0070C0"/>
          <w:rtl/>
        </w:rPr>
      </w:pPr>
      <w:r w:rsidRPr="00F30EF3">
        <w:rPr>
          <w:rFonts w:cstheme="minorHAnsi"/>
          <w:color w:val="0070C0"/>
          <w:rtl/>
        </w:rPr>
        <w:t xml:space="preserve">خريطة الأصول الفكرية الأكاديمية: </w:t>
      </w:r>
      <w:r w:rsidRPr="00F30EF3">
        <w:rPr>
          <w:rFonts w:cstheme="minorHAnsi"/>
          <w:rtl/>
        </w:rPr>
        <w:t xml:space="preserve">مصممة لفهم النطاق الواسع للأصول المحتملة التي تمتلكها أو قد تمتلكها مؤسسة أكاديمية وفهم طريقة استخدامها استراتيجياً. قائد المشروع: السيدة أولغا سباسيتش، المؤلفون: </w:t>
      </w:r>
      <w:r w:rsidRPr="00F30EF3">
        <w:rPr>
          <w:rFonts w:cstheme="minorHAnsi"/>
          <w:color w:val="000000" w:themeColor="text1"/>
          <w:rtl/>
        </w:rPr>
        <w:t>السيد ستيفن تان والدكتور جون فريزر.</w:t>
      </w:r>
      <w:r w:rsidRPr="00F30EF3">
        <w:rPr>
          <w:rFonts w:cstheme="minorHAnsi"/>
          <w:rtl/>
        </w:rPr>
        <w:t xml:space="preserve"> </w:t>
      </w:r>
    </w:p>
    <w:p w14:paraId="121A82FC" w14:textId="77777777" w:rsidR="00537C61" w:rsidRPr="00F30EF3" w:rsidRDefault="00537C61" w:rsidP="008178A1">
      <w:pPr>
        <w:numPr>
          <w:ilvl w:val="0"/>
          <w:numId w:val="171"/>
        </w:numPr>
        <w:pBdr>
          <w:top w:val="single" w:sz="4" w:space="1" w:color="auto"/>
          <w:left w:val="single" w:sz="4" w:space="4" w:color="auto"/>
          <w:bottom w:val="single" w:sz="4" w:space="1" w:color="auto"/>
          <w:right w:val="single" w:sz="4" w:space="4" w:color="auto"/>
        </w:pBdr>
        <w:spacing w:after="0" w:line="240" w:lineRule="auto"/>
        <w:ind w:left="360"/>
        <w:jc w:val="both"/>
        <w:rPr>
          <w:rFonts w:eastAsia="Times New Roman" w:cstheme="minorHAnsi"/>
          <w:rtl/>
        </w:rPr>
      </w:pPr>
      <w:r w:rsidRPr="00F30EF3">
        <w:rPr>
          <w:rFonts w:cstheme="minorHAnsi"/>
          <w:color w:val="0070C0"/>
          <w:rtl/>
        </w:rPr>
        <w:t>الاتفاقات النموذجية:</w:t>
      </w:r>
      <w:r w:rsidRPr="00F30EF3">
        <w:rPr>
          <w:rFonts w:cstheme="minorHAnsi"/>
          <w:color w:val="000000" w:themeColor="text1"/>
          <w:rtl/>
        </w:rPr>
        <w:t xml:space="preserve"> مجموعة من الاتفاقات النموذجية لنقل المعارف والتكنولوجيا بين المؤسسات الأكاديمية ومع الشركاء التجاريين. </w:t>
      </w:r>
      <w:r w:rsidRPr="00F30EF3">
        <w:rPr>
          <w:rFonts w:cstheme="minorHAnsi"/>
          <w:rtl/>
        </w:rPr>
        <w:t xml:space="preserve">قائد المشروع: السيدة أولغا سباسيتش، </w:t>
      </w:r>
      <w:r w:rsidRPr="00F30EF3">
        <w:rPr>
          <w:rFonts w:cstheme="minorHAnsi"/>
          <w:color w:val="000000" w:themeColor="text1"/>
          <w:rtl/>
        </w:rPr>
        <w:t>المؤلف: السيد د. باتريك أورايلي.</w:t>
      </w:r>
    </w:p>
    <w:p w14:paraId="1E1FAC3B" w14:textId="77777777" w:rsidR="00A73D7F" w:rsidRPr="00F30EF3" w:rsidRDefault="00537C61" w:rsidP="008178A1">
      <w:pPr>
        <w:numPr>
          <w:ilvl w:val="0"/>
          <w:numId w:val="171"/>
        </w:numPr>
        <w:pBdr>
          <w:top w:val="single" w:sz="4" w:space="1" w:color="auto"/>
          <w:left w:val="single" w:sz="4" w:space="4" w:color="auto"/>
          <w:bottom w:val="single" w:sz="4" w:space="1" w:color="auto"/>
          <w:right w:val="single" w:sz="4" w:space="4" w:color="auto"/>
        </w:pBdr>
        <w:spacing w:after="0" w:line="240" w:lineRule="auto"/>
        <w:ind w:left="360"/>
        <w:jc w:val="both"/>
        <w:rPr>
          <w:rFonts w:cstheme="minorHAnsi"/>
          <w:rtl/>
        </w:rPr>
      </w:pPr>
      <w:r w:rsidRPr="00F30EF3">
        <w:rPr>
          <w:rFonts w:cstheme="minorHAnsi"/>
          <w:color w:val="0070C0"/>
          <w:rtl/>
        </w:rPr>
        <w:t xml:space="preserve">دراسات إفرادية: </w:t>
      </w:r>
      <w:r w:rsidRPr="00F30EF3">
        <w:rPr>
          <w:rFonts w:cstheme="minorHAnsi"/>
          <w:color w:val="000000" w:themeColor="text1"/>
          <w:rtl/>
        </w:rPr>
        <w:t>أداة لتدريب مديري التكنولوجيا بالرجوع إلى العديد من الاتفاقات النموذجية.</w:t>
      </w:r>
      <w:r w:rsidRPr="00F30EF3">
        <w:rPr>
          <w:rFonts w:cstheme="minorHAnsi"/>
          <w:rtl/>
        </w:rPr>
        <w:t xml:space="preserve"> قائد المشروع: السيدة أولغا سباسيتش، المؤلفون:</w:t>
      </w:r>
      <w:r w:rsidRPr="00F30EF3">
        <w:rPr>
          <w:rFonts w:cstheme="minorHAnsi"/>
          <w:color w:val="0070C0"/>
          <w:rtl/>
        </w:rPr>
        <w:t xml:space="preserve"> </w:t>
      </w:r>
      <w:r w:rsidRPr="00F30EF3">
        <w:rPr>
          <w:rFonts w:cstheme="minorHAnsi"/>
          <w:color w:val="000000" w:themeColor="text1"/>
          <w:rtl/>
        </w:rPr>
        <w:t>السيدة هاغيت ميسر يارون والدكتورة كيرين بريمور.</w:t>
      </w:r>
    </w:p>
    <w:p w14:paraId="401F0D21" w14:textId="77777777" w:rsidR="00A73D7F" w:rsidRPr="00F30EF3" w:rsidRDefault="00A73D7F" w:rsidP="00AA1A8A">
      <w:pPr>
        <w:pBdr>
          <w:top w:val="single" w:sz="4" w:space="1" w:color="auto"/>
          <w:left w:val="single" w:sz="4" w:space="4" w:color="auto"/>
          <w:bottom w:val="single" w:sz="4" w:space="1" w:color="auto"/>
          <w:right w:val="single" w:sz="4" w:space="4" w:color="auto"/>
        </w:pBdr>
        <w:spacing w:after="0" w:line="240" w:lineRule="auto"/>
        <w:contextualSpacing/>
        <w:rPr>
          <w:rFonts w:cstheme="minorHAnsi"/>
        </w:rPr>
      </w:pPr>
    </w:p>
    <w:p w14:paraId="0BF653BE" w14:textId="38E7248F" w:rsidR="00CB4E3C" w:rsidRPr="00F30EF3" w:rsidRDefault="00292BA3" w:rsidP="00F9504D">
      <w:pPr>
        <w:pStyle w:val="Heading1"/>
        <w:spacing w:before="240" w:after="240"/>
        <w:rPr>
          <w:rFonts w:asciiTheme="minorHAnsi" w:hAnsiTheme="minorHAnsi" w:cstheme="minorHAnsi"/>
          <w:sz w:val="24"/>
          <w:szCs w:val="24"/>
          <w:rtl/>
        </w:rPr>
      </w:pPr>
      <w:bookmarkStart w:id="0" w:name="_Toc516160031"/>
      <w:bookmarkStart w:id="1" w:name="_Toc516219374"/>
      <w:bookmarkStart w:id="2" w:name="_Toc516496016"/>
      <w:bookmarkStart w:id="3" w:name="_Toc516829388"/>
      <w:bookmarkStart w:id="4" w:name="_Toc178260756"/>
      <w:r w:rsidRPr="00F30EF3">
        <w:rPr>
          <w:rFonts w:asciiTheme="minorHAnsi" w:hAnsiTheme="minorHAnsi" w:cstheme="minorHAnsi"/>
          <w:sz w:val="24"/>
          <w:szCs w:val="24"/>
          <w:rtl/>
        </w:rPr>
        <w:lastRenderedPageBreak/>
        <w:t>"</w:t>
      </w:r>
      <w:r w:rsidR="003B3E6A" w:rsidRPr="00F30EF3">
        <w:rPr>
          <w:rFonts w:asciiTheme="minorHAnsi" w:hAnsiTheme="minorHAnsi" w:cstheme="minorHAnsi" w:hint="cs"/>
          <w:sz w:val="24"/>
          <w:szCs w:val="24"/>
          <w:rtl/>
        </w:rPr>
        <w:t>أولاً</w:t>
      </w:r>
      <w:r w:rsidRPr="00F30EF3">
        <w:rPr>
          <w:rFonts w:asciiTheme="minorHAnsi" w:hAnsiTheme="minorHAnsi" w:cstheme="minorHAnsi"/>
          <w:sz w:val="24"/>
          <w:szCs w:val="24"/>
          <w:rtl/>
        </w:rPr>
        <w:t>" نبذة عن المبادئ التوجيهية</w:t>
      </w:r>
      <w:bookmarkEnd w:id="0"/>
      <w:bookmarkEnd w:id="1"/>
      <w:bookmarkEnd w:id="2"/>
      <w:bookmarkEnd w:id="3"/>
      <w:bookmarkEnd w:id="4"/>
      <w:r w:rsidRPr="00F30EF3">
        <w:rPr>
          <w:rFonts w:asciiTheme="minorHAnsi" w:hAnsiTheme="minorHAnsi" w:cstheme="minorHAnsi"/>
          <w:sz w:val="24"/>
          <w:szCs w:val="24"/>
          <w:rtl/>
        </w:rPr>
        <w:t xml:space="preserve"> </w:t>
      </w:r>
    </w:p>
    <w:p w14:paraId="03F766FD" w14:textId="77777777" w:rsidR="00B50D7E" w:rsidRPr="00F30EF3" w:rsidRDefault="00B50D7E" w:rsidP="00F9504D">
      <w:pPr>
        <w:pStyle w:val="NoSpacing"/>
        <w:keepNext/>
        <w:keepLines/>
        <w:bidi/>
        <w:jc w:val="both"/>
        <w:rPr>
          <w:rFonts w:cstheme="minorHAnsi"/>
          <w:rtl/>
        </w:rPr>
      </w:pPr>
      <w:r w:rsidRPr="00F30EF3">
        <w:rPr>
          <w:rFonts w:cstheme="minorHAnsi"/>
          <w:rtl/>
        </w:rPr>
        <w:t xml:space="preserve">تعتبر المبادئ التوجيهية بمثابة دليل عملي لصياغة نموذج سياسة الملكية الفكرية.  </w:t>
      </w:r>
    </w:p>
    <w:p w14:paraId="45369C8A" w14:textId="77777777" w:rsidR="00B50D7E" w:rsidRPr="00F30EF3" w:rsidRDefault="00B50D7E" w:rsidP="00F9504D">
      <w:pPr>
        <w:pStyle w:val="NoSpacing"/>
        <w:keepNext/>
        <w:keepLines/>
        <w:jc w:val="both"/>
        <w:rPr>
          <w:rFonts w:cstheme="minorHAnsi"/>
          <w:lang w:val="en-US"/>
        </w:rPr>
      </w:pPr>
    </w:p>
    <w:p w14:paraId="5B204442" w14:textId="2E181FA8" w:rsidR="00B50D7E" w:rsidRPr="00F30EF3" w:rsidRDefault="00B50D7E" w:rsidP="00F9504D">
      <w:pPr>
        <w:pStyle w:val="NoSpacing"/>
        <w:keepNext/>
        <w:keepLines/>
        <w:bidi/>
        <w:jc w:val="both"/>
        <w:rPr>
          <w:rFonts w:cstheme="minorHAnsi"/>
          <w:rtl/>
        </w:rPr>
      </w:pPr>
      <w:r w:rsidRPr="00F30EF3">
        <w:rPr>
          <w:rFonts w:cstheme="minorHAnsi"/>
          <w:rtl/>
        </w:rPr>
        <w:t>ولم يُصمم النموذج ليعمل عمل "القالب النموذجي"، بل ليكون بمثابة ملخص وافٍ للحد الأدنى من المجالات التي ينبغي التعاطي معها في سياسة الملكية الفكرية المؤسسية. وبالتالي، يقدم النموذج مجموعة من البنود التي تشكل سياسة فعالة ومحددة جيداً للملكية الفكرية، والتي يمكن استخدامها كما هي. وعلى الرغم من ذلك، توجد مجموعة متنوعة من خيارات وبنود السياسة التي يمكن استخدامها بدلاً من تلك المنصوص عليها في النموذج. وتوفر هذه المبادئ التوجيهية الآن هذه البدائل والخيارات من خلال أمثلة قطرية مختلفة، وتحليل لإيجابيات وسلبيات النهج المختلفة.</w:t>
      </w:r>
    </w:p>
    <w:p w14:paraId="7FE78106" w14:textId="77777777" w:rsidR="00FB04C4" w:rsidRPr="00F30EF3" w:rsidRDefault="00FB04C4" w:rsidP="00F9504D">
      <w:pPr>
        <w:pStyle w:val="NoSpacing"/>
        <w:keepNext/>
        <w:keepLines/>
        <w:jc w:val="both"/>
        <w:rPr>
          <w:rFonts w:cstheme="minorHAnsi"/>
          <w:lang w:val="en-US"/>
        </w:rPr>
      </w:pPr>
    </w:p>
    <w:p w14:paraId="6F4DB658" w14:textId="77777777" w:rsidR="00FB04C4" w:rsidRPr="00F30EF3" w:rsidRDefault="00D64177" w:rsidP="00F9504D">
      <w:pPr>
        <w:pStyle w:val="NoSpacing"/>
        <w:keepNext/>
        <w:keepLines/>
        <w:bidi/>
        <w:jc w:val="both"/>
        <w:rPr>
          <w:rFonts w:cstheme="minorHAnsi"/>
          <w:rtl/>
        </w:rPr>
      </w:pPr>
      <w:r w:rsidRPr="00F30EF3">
        <w:rPr>
          <w:rFonts w:cstheme="minorHAnsi"/>
          <w:rtl/>
        </w:rPr>
        <w:t xml:space="preserve">والمبادئ التوجيهية </w:t>
      </w:r>
      <w:r w:rsidRPr="00F30EF3">
        <w:rPr>
          <w:rFonts w:cstheme="minorHAnsi"/>
          <w:i/>
          <w:iCs/>
          <w:rtl/>
        </w:rPr>
        <w:t>فريدة من نوعها</w:t>
      </w:r>
      <w:r w:rsidRPr="00F30EF3">
        <w:rPr>
          <w:rFonts w:cstheme="minorHAnsi"/>
          <w:rtl/>
        </w:rPr>
        <w:t xml:space="preserve"> بمعنى أنها:</w:t>
      </w:r>
    </w:p>
    <w:p w14:paraId="13592EDB" w14:textId="77777777" w:rsidR="00E36191" w:rsidRPr="00F30EF3" w:rsidRDefault="00E36191" w:rsidP="00F9504D">
      <w:pPr>
        <w:pStyle w:val="NoSpacing"/>
        <w:keepNext/>
        <w:keepLines/>
        <w:jc w:val="both"/>
        <w:rPr>
          <w:rFonts w:cstheme="minorHAnsi"/>
          <w:lang w:val="en-US"/>
        </w:rPr>
      </w:pPr>
    </w:p>
    <w:p w14:paraId="5F6735CA" w14:textId="77777777" w:rsidR="00D64177" w:rsidRPr="00F30EF3" w:rsidRDefault="00A30539" w:rsidP="00F9504D">
      <w:pPr>
        <w:pStyle w:val="NoSpacing"/>
        <w:keepNext/>
        <w:keepLines/>
        <w:numPr>
          <w:ilvl w:val="0"/>
          <w:numId w:val="21"/>
        </w:numPr>
        <w:bidi/>
        <w:ind w:left="567" w:hanging="567"/>
        <w:jc w:val="both"/>
        <w:rPr>
          <w:rFonts w:cstheme="minorHAnsi"/>
          <w:rtl/>
        </w:rPr>
      </w:pPr>
      <w:r w:rsidRPr="00F30EF3">
        <w:rPr>
          <w:rFonts w:cstheme="minorHAnsi"/>
          <w:rtl/>
        </w:rPr>
        <w:t xml:space="preserve">هي نتيجة </w:t>
      </w:r>
      <w:r w:rsidRPr="00F30EF3">
        <w:rPr>
          <w:rFonts w:cstheme="minorHAnsi"/>
          <w:b/>
          <w:bCs/>
          <w:rtl/>
        </w:rPr>
        <w:t>الكتابة التعاونية</w:t>
      </w:r>
      <w:r w:rsidRPr="00F30EF3">
        <w:rPr>
          <w:rFonts w:cstheme="minorHAnsi"/>
          <w:rtl/>
        </w:rPr>
        <w:t xml:space="preserve"> لخبراء من 14 بلداً مختلفاً، الذين اختبروا مزيجاً من سياسات الملكية الفكرية المؤسسية المتنوعة وهياكل إدارة الملكية الفكرية؛</w:t>
      </w:r>
    </w:p>
    <w:p w14:paraId="158762FF" w14:textId="77777777" w:rsidR="00E36191" w:rsidRPr="00F30EF3" w:rsidRDefault="00A30539" w:rsidP="00F9504D">
      <w:pPr>
        <w:pStyle w:val="NoSpacing"/>
        <w:keepNext/>
        <w:keepLines/>
        <w:numPr>
          <w:ilvl w:val="0"/>
          <w:numId w:val="21"/>
        </w:numPr>
        <w:bidi/>
        <w:ind w:left="567" w:hanging="567"/>
        <w:jc w:val="both"/>
        <w:rPr>
          <w:rFonts w:cstheme="minorHAnsi"/>
          <w:rtl/>
        </w:rPr>
      </w:pPr>
      <w:r w:rsidRPr="00F30EF3">
        <w:rPr>
          <w:rFonts w:cstheme="minorHAnsi"/>
          <w:rtl/>
        </w:rPr>
        <w:t xml:space="preserve">وهي تمد يد العون للمستخدمين في تحديد إمكانية تطبيق كل مادة مضمّنة في سياسة ملكية فكرية حسب </w:t>
      </w:r>
      <w:r w:rsidRPr="00F30EF3">
        <w:rPr>
          <w:rFonts w:cstheme="minorHAnsi"/>
          <w:b/>
          <w:bCs/>
          <w:rtl/>
        </w:rPr>
        <w:t>سياقهم</w:t>
      </w:r>
      <w:r w:rsidRPr="00F30EF3">
        <w:rPr>
          <w:rFonts w:cstheme="minorHAnsi"/>
          <w:rtl/>
        </w:rPr>
        <w:t xml:space="preserve"> الخاص وأن يكونوا على دراية بالخيارات الموجودة؛  </w:t>
      </w:r>
    </w:p>
    <w:p w14:paraId="05ED9799" w14:textId="77777777" w:rsidR="00D64177" w:rsidRPr="00F30EF3" w:rsidRDefault="00B50D7E" w:rsidP="00F9504D">
      <w:pPr>
        <w:pStyle w:val="NoSpacing"/>
        <w:keepNext/>
        <w:keepLines/>
        <w:numPr>
          <w:ilvl w:val="0"/>
          <w:numId w:val="21"/>
        </w:numPr>
        <w:bidi/>
        <w:ind w:left="567" w:hanging="567"/>
        <w:jc w:val="both"/>
        <w:rPr>
          <w:rFonts w:cstheme="minorHAnsi"/>
          <w:rtl/>
        </w:rPr>
      </w:pPr>
      <w:r w:rsidRPr="00F30EF3">
        <w:rPr>
          <w:rFonts w:cstheme="minorHAnsi"/>
          <w:rtl/>
        </w:rPr>
        <w:t xml:space="preserve">وتعتزم التشجيع على </w:t>
      </w:r>
      <w:r w:rsidRPr="00F30EF3">
        <w:rPr>
          <w:rFonts w:cstheme="minorHAnsi"/>
          <w:b/>
          <w:bCs/>
          <w:rtl/>
        </w:rPr>
        <w:t>التسويق المسؤول للملكية الفكرية</w:t>
      </w:r>
      <w:r w:rsidRPr="00F30EF3">
        <w:rPr>
          <w:rStyle w:val="FootnoteReference"/>
          <w:rFonts w:cstheme="minorHAnsi"/>
          <w:rtl/>
          <w:lang w:val="en-US"/>
        </w:rPr>
        <w:footnoteReference w:id="2"/>
      </w:r>
      <w:r w:rsidRPr="00F30EF3">
        <w:rPr>
          <w:rFonts w:cstheme="minorHAnsi"/>
          <w:rtl/>
        </w:rPr>
        <w:t>، بهدف تعظيم الصالح العام، مع الإقرار بالاختصاص التقليدي للجامعات العامة والمؤسسات البحثية.</w:t>
      </w:r>
    </w:p>
    <w:p w14:paraId="06DD7C96" w14:textId="69F3C707" w:rsidR="00AE696B" w:rsidRPr="00F30EF3" w:rsidRDefault="00292BA3" w:rsidP="00F9504D">
      <w:pPr>
        <w:pStyle w:val="Heading1"/>
        <w:spacing w:before="240" w:after="240"/>
        <w:rPr>
          <w:rFonts w:asciiTheme="minorHAnsi" w:hAnsiTheme="minorHAnsi" w:cstheme="minorHAnsi"/>
          <w:sz w:val="24"/>
          <w:szCs w:val="24"/>
          <w:rtl/>
        </w:rPr>
      </w:pPr>
      <w:bookmarkStart w:id="5" w:name="_Toc516160032"/>
      <w:bookmarkStart w:id="6" w:name="_Toc516219375"/>
      <w:bookmarkStart w:id="7" w:name="_Toc516496017"/>
      <w:bookmarkStart w:id="8" w:name="_Toc516829389"/>
      <w:bookmarkStart w:id="9" w:name="_Toc178260757"/>
      <w:r w:rsidRPr="00F30EF3">
        <w:rPr>
          <w:rFonts w:asciiTheme="minorHAnsi" w:hAnsiTheme="minorHAnsi" w:cstheme="minorHAnsi"/>
          <w:sz w:val="24"/>
          <w:szCs w:val="24"/>
          <w:rtl/>
        </w:rPr>
        <w:t>"</w:t>
      </w:r>
      <w:r w:rsidR="003B3E6A" w:rsidRPr="00F30EF3">
        <w:rPr>
          <w:rFonts w:asciiTheme="minorHAnsi" w:hAnsiTheme="minorHAnsi" w:cstheme="minorHAnsi" w:hint="cs"/>
          <w:sz w:val="24"/>
          <w:szCs w:val="24"/>
          <w:rtl/>
        </w:rPr>
        <w:t>ثانياً</w:t>
      </w:r>
      <w:r w:rsidRPr="00F30EF3">
        <w:rPr>
          <w:rFonts w:asciiTheme="minorHAnsi" w:hAnsiTheme="minorHAnsi" w:cstheme="minorHAnsi"/>
          <w:sz w:val="24"/>
          <w:szCs w:val="24"/>
          <w:rtl/>
        </w:rPr>
        <w:t>". المبادئ التوجيهية المشتركة لصياغة سياسة ملكية فكرية</w:t>
      </w:r>
      <w:bookmarkEnd w:id="5"/>
      <w:bookmarkEnd w:id="6"/>
      <w:bookmarkEnd w:id="7"/>
      <w:bookmarkEnd w:id="8"/>
      <w:bookmarkEnd w:id="9"/>
    </w:p>
    <w:p w14:paraId="7A013C36" w14:textId="77777777" w:rsidR="001E615A" w:rsidRPr="00F30EF3" w:rsidRDefault="001E615A" w:rsidP="00E73746">
      <w:pPr>
        <w:tabs>
          <w:tab w:val="left" w:pos="426"/>
        </w:tabs>
        <w:spacing w:line="240" w:lineRule="auto"/>
        <w:jc w:val="both"/>
        <w:rPr>
          <w:rFonts w:eastAsiaTheme="minorHAnsi" w:cstheme="minorHAnsi"/>
          <w:b/>
          <w:bCs/>
          <w:color w:val="0070C0"/>
          <w:sz w:val="24"/>
          <w:szCs w:val="24"/>
          <w:rtl/>
        </w:rPr>
      </w:pPr>
      <w:r w:rsidRPr="00F30EF3">
        <w:rPr>
          <w:rFonts w:cstheme="minorHAnsi"/>
          <w:b/>
          <w:bCs/>
          <w:color w:val="0070C0"/>
          <w:sz w:val="24"/>
          <w:szCs w:val="24"/>
          <w:rtl/>
        </w:rPr>
        <w:t>التعليقات</w:t>
      </w:r>
    </w:p>
    <w:p w14:paraId="1C6FECE3" w14:textId="77777777" w:rsidR="001E615A" w:rsidRPr="00F30EF3" w:rsidRDefault="001E615A" w:rsidP="00734F31">
      <w:pPr>
        <w:pStyle w:val="NoSpacing"/>
        <w:bidi/>
        <w:jc w:val="both"/>
        <w:rPr>
          <w:rFonts w:cstheme="minorHAnsi"/>
          <w:rtl/>
        </w:rPr>
      </w:pPr>
      <w:r w:rsidRPr="00F30EF3">
        <w:rPr>
          <w:rFonts w:cstheme="minorHAnsi"/>
          <w:rtl/>
        </w:rPr>
        <w:t>عند صياغة سياسة مؤسسية بشأن الملكية الفكرية، ينبغي مراعاة ما يلي:</w:t>
      </w:r>
    </w:p>
    <w:p w14:paraId="0CDF9151" w14:textId="77777777" w:rsidR="001E615A" w:rsidRPr="00F30EF3" w:rsidRDefault="001E615A" w:rsidP="00734F31">
      <w:pPr>
        <w:pStyle w:val="NoSpacing"/>
        <w:jc w:val="both"/>
        <w:rPr>
          <w:rFonts w:cstheme="minorHAnsi"/>
          <w:lang w:val="en-US"/>
        </w:rPr>
      </w:pPr>
    </w:p>
    <w:p w14:paraId="77D68386" w14:textId="77777777" w:rsidR="005574EE" w:rsidRPr="00F30EF3" w:rsidRDefault="00FE6D7F" w:rsidP="00464282">
      <w:pPr>
        <w:pStyle w:val="ListParagraph"/>
        <w:numPr>
          <w:ilvl w:val="0"/>
          <w:numId w:val="5"/>
        </w:numPr>
        <w:tabs>
          <w:tab w:val="left" w:pos="1134"/>
        </w:tabs>
        <w:autoSpaceDE w:val="0"/>
        <w:autoSpaceDN w:val="0"/>
        <w:adjustRightInd w:val="0"/>
        <w:spacing w:after="0" w:line="240" w:lineRule="auto"/>
        <w:ind w:left="426" w:hanging="426"/>
        <w:jc w:val="both"/>
        <w:rPr>
          <w:rFonts w:cstheme="minorHAnsi"/>
          <w:rtl/>
        </w:rPr>
      </w:pPr>
      <w:r w:rsidRPr="00F30EF3">
        <w:rPr>
          <w:rFonts w:cstheme="minorHAnsi"/>
          <w:b/>
          <w:bCs/>
          <w:rtl/>
        </w:rPr>
        <w:t>الاتساق القانوني والمؤسسي</w:t>
      </w:r>
      <w:r w:rsidRPr="00F30EF3">
        <w:rPr>
          <w:rFonts w:cstheme="minorHAnsi"/>
          <w:rtl/>
        </w:rPr>
        <w:t xml:space="preserve"> </w:t>
      </w:r>
    </w:p>
    <w:p w14:paraId="7B80A73C" w14:textId="77777777" w:rsidR="000444C2" w:rsidRPr="00F30EF3" w:rsidRDefault="000444C2" w:rsidP="00B7519E">
      <w:pPr>
        <w:pStyle w:val="ListParagraph"/>
        <w:tabs>
          <w:tab w:val="left" w:pos="1134"/>
        </w:tabs>
        <w:autoSpaceDE w:val="0"/>
        <w:autoSpaceDN w:val="0"/>
        <w:adjustRightInd w:val="0"/>
        <w:spacing w:after="0" w:line="240" w:lineRule="auto"/>
        <w:ind w:left="426"/>
        <w:jc w:val="both"/>
        <w:rPr>
          <w:rFonts w:cstheme="minorHAnsi"/>
          <w:lang w:val="en-US"/>
        </w:rPr>
      </w:pPr>
    </w:p>
    <w:p w14:paraId="119C96DF" w14:textId="79791808" w:rsidR="00272089" w:rsidRPr="00F30EF3" w:rsidRDefault="002C3701" w:rsidP="00464282">
      <w:pPr>
        <w:pStyle w:val="ListParagraph"/>
        <w:numPr>
          <w:ilvl w:val="1"/>
          <w:numId w:val="5"/>
        </w:numPr>
        <w:tabs>
          <w:tab w:val="left" w:pos="851"/>
        </w:tabs>
        <w:autoSpaceDE w:val="0"/>
        <w:autoSpaceDN w:val="0"/>
        <w:adjustRightInd w:val="0"/>
        <w:spacing w:after="0" w:line="240" w:lineRule="auto"/>
        <w:ind w:left="851" w:hanging="425"/>
        <w:jc w:val="both"/>
        <w:rPr>
          <w:rFonts w:eastAsiaTheme="minorHAnsi" w:cstheme="minorHAnsi"/>
          <w:rtl/>
        </w:rPr>
      </w:pPr>
      <w:r w:rsidRPr="00F30EF3">
        <w:rPr>
          <w:rFonts w:cstheme="minorHAnsi"/>
          <w:rtl/>
        </w:rPr>
        <w:t>القوانين - لا يُنصح بنموذج موحد لسياسة الملكية الفكرية لجميع الجامعات والمؤسسات البحثية (المؤسسات)، حيث يجب أخذ العديد من العوامل بعين الاعتبار. وعلى وجه الخصوص، لا ينبغي أن تتعارض سياسة الملكية الفكرية مع القوانين واللوائح الوطنية أو الدولية، وعلى هذا النحو يوصى بشدة بإجراء تحليل متعمق للإطار القانوني الوطني</w:t>
      </w:r>
      <w:r w:rsidR="00272089" w:rsidRPr="00F30EF3">
        <w:rPr>
          <w:rStyle w:val="FootnoteReference"/>
          <w:rFonts w:cstheme="minorHAnsi"/>
          <w:rtl/>
          <w:lang w:val="en-US"/>
        </w:rPr>
        <w:footnoteReference w:id="3"/>
      </w:r>
      <w:r w:rsidRPr="00F30EF3">
        <w:rPr>
          <w:rFonts w:cstheme="minorHAnsi"/>
          <w:rtl/>
        </w:rPr>
        <w:t xml:space="preserve"> قبل صياغة سياسة الملكية الفكرية الخاصة بك. وتشمل العوامل الإضافية التي يجب وضعها في الاعتبار الأهداف المحددة لمؤسستك، وممارسات السوق، وثقافة ريادة الأعمال في المؤسسة، وقدرة المؤسسة على نقل المعرفة، وقدرة المنطقة على استيعاب تلك المعلومات.  </w:t>
      </w:r>
    </w:p>
    <w:p w14:paraId="3F54960B" w14:textId="77777777" w:rsidR="00272089" w:rsidRPr="00F30EF3" w:rsidRDefault="00272089" w:rsidP="00B7519E">
      <w:pPr>
        <w:pStyle w:val="ListParagraph"/>
        <w:tabs>
          <w:tab w:val="left" w:pos="851"/>
        </w:tabs>
        <w:autoSpaceDE w:val="0"/>
        <w:autoSpaceDN w:val="0"/>
        <w:adjustRightInd w:val="0"/>
        <w:spacing w:after="0" w:line="240" w:lineRule="auto"/>
        <w:ind w:left="851"/>
        <w:jc w:val="both"/>
        <w:rPr>
          <w:rFonts w:eastAsiaTheme="minorHAnsi" w:cstheme="minorHAnsi"/>
          <w:lang w:val="en-US" w:eastAsia="en-US"/>
        </w:rPr>
      </w:pPr>
    </w:p>
    <w:p w14:paraId="2B0D0435" w14:textId="5F2B7EBF" w:rsidR="00272089" w:rsidRPr="00F30EF3" w:rsidRDefault="002C3701" w:rsidP="00464282">
      <w:pPr>
        <w:pStyle w:val="ListParagraph"/>
        <w:numPr>
          <w:ilvl w:val="1"/>
          <w:numId w:val="5"/>
        </w:numPr>
        <w:tabs>
          <w:tab w:val="left" w:pos="851"/>
        </w:tabs>
        <w:autoSpaceDE w:val="0"/>
        <w:autoSpaceDN w:val="0"/>
        <w:adjustRightInd w:val="0"/>
        <w:spacing w:after="0" w:line="240" w:lineRule="auto"/>
        <w:ind w:left="851" w:hanging="425"/>
        <w:jc w:val="both"/>
        <w:rPr>
          <w:rFonts w:cstheme="minorHAnsi"/>
          <w:rtl/>
        </w:rPr>
      </w:pPr>
      <w:r w:rsidRPr="00F30EF3">
        <w:rPr>
          <w:rFonts w:cstheme="minorHAnsi"/>
          <w:rtl/>
        </w:rPr>
        <w:t>اللوائح المؤسسية - قد تختلف رؤية مؤسستك ورسالتها في جوانب مهمة عن البنود المقترحة في النموذج ويجب أخذها في الاعتبار عند صياغة سياسة الملكية الفكرية الخاصة بك. ويجب ألا تتعارض سياسة الملكية الفكرية مع السياسات المؤسسية أو اللوائح أو القوانين الأخرى.</w:t>
      </w:r>
    </w:p>
    <w:p w14:paraId="2D67216C" w14:textId="77777777" w:rsidR="00272089" w:rsidRPr="00F30EF3" w:rsidRDefault="00272089" w:rsidP="00B7519E">
      <w:pPr>
        <w:pStyle w:val="ListParagraph"/>
        <w:tabs>
          <w:tab w:val="left" w:pos="851"/>
        </w:tabs>
        <w:autoSpaceDE w:val="0"/>
        <w:autoSpaceDN w:val="0"/>
        <w:adjustRightInd w:val="0"/>
        <w:spacing w:after="0" w:line="240" w:lineRule="auto"/>
        <w:ind w:left="851"/>
        <w:jc w:val="both"/>
        <w:rPr>
          <w:rFonts w:cstheme="minorHAnsi"/>
          <w:lang w:val="en-US"/>
        </w:rPr>
      </w:pPr>
    </w:p>
    <w:p w14:paraId="687A009A" w14:textId="77777777" w:rsidR="00FE584A" w:rsidRPr="00F30EF3" w:rsidRDefault="002C3701" w:rsidP="00464282">
      <w:pPr>
        <w:pStyle w:val="ListParagraph"/>
        <w:numPr>
          <w:ilvl w:val="1"/>
          <w:numId w:val="5"/>
        </w:numPr>
        <w:tabs>
          <w:tab w:val="left" w:pos="851"/>
        </w:tabs>
        <w:autoSpaceDE w:val="0"/>
        <w:autoSpaceDN w:val="0"/>
        <w:adjustRightInd w:val="0"/>
        <w:spacing w:after="0" w:line="240" w:lineRule="auto"/>
        <w:ind w:left="851" w:hanging="425"/>
        <w:jc w:val="both"/>
        <w:rPr>
          <w:rFonts w:cstheme="minorHAnsi"/>
          <w:rtl/>
        </w:rPr>
      </w:pPr>
      <w:r w:rsidRPr="00F30EF3">
        <w:rPr>
          <w:rFonts w:cstheme="minorHAnsi"/>
          <w:rtl/>
        </w:rPr>
        <w:t>الموافقة على السياسة - علاوة على ذلك، يجب أن يكون لدى المؤسسات عمليات معمول بها لضمان الموافقة على سياسة الملكية الفكرية الخاصة بها وبالتالي تكون ملزمة داخل المؤسسة.</w:t>
      </w:r>
    </w:p>
    <w:p w14:paraId="2B760204" w14:textId="77777777" w:rsidR="009D4A54" w:rsidRPr="00F30EF3" w:rsidRDefault="009D4A54">
      <w:pPr>
        <w:rPr>
          <w:rFonts w:eastAsiaTheme="minorHAnsi" w:cstheme="minorHAnsi"/>
          <w:rtl/>
        </w:rPr>
      </w:pPr>
      <w:r w:rsidRPr="00F30EF3">
        <w:rPr>
          <w:rFonts w:cstheme="minorHAnsi"/>
          <w:rtl/>
        </w:rPr>
        <w:br w:type="page"/>
      </w:r>
    </w:p>
    <w:p w14:paraId="693826C5" w14:textId="77777777" w:rsidR="00B76B1B" w:rsidRPr="00F30EF3" w:rsidRDefault="00B76B1B" w:rsidP="00734F31">
      <w:pPr>
        <w:shd w:val="clear" w:color="auto" w:fill="FFFFFF" w:themeFill="background1"/>
        <w:tabs>
          <w:tab w:val="left" w:pos="567"/>
        </w:tabs>
        <w:autoSpaceDE w:val="0"/>
        <w:autoSpaceDN w:val="0"/>
        <w:adjustRightInd w:val="0"/>
        <w:spacing w:after="0" w:line="240" w:lineRule="auto"/>
        <w:jc w:val="both"/>
        <w:rPr>
          <w:rFonts w:eastAsiaTheme="minorHAnsi" w:cstheme="minorHAnsi"/>
          <w:lang w:val="en-US" w:eastAsia="en-US"/>
        </w:rPr>
      </w:pPr>
    </w:p>
    <w:p w14:paraId="2A34532C" w14:textId="6A436E93" w:rsidR="00B76B1B" w:rsidRPr="00F30EF3" w:rsidRDefault="00057D3B"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567"/>
        <w:jc w:val="both"/>
        <w:rPr>
          <w:rFonts w:cstheme="minorHAnsi"/>
          <w:b/>
          <w:bCs/>
          <w:rtl/>
        </w:rPr>
      </w:pPr>
      <w:r w:rsidRPr="00F30EF3">
        <w:rPr>
          <w:rFonts w:cstheme="minorHAnsi"/>
          <w:b/>
          <w:bCs/>
          <w:rtl/>
        </w:rPr>
        <w:t xml:space="preserve">الإطار </w:t>
      </w:r>
      <w:r w:rsidR="00DE122D" w:rsidRPr="00F30EF3">
        <w:rPr>
          <w:rFonts w:cstheme="minorHAnsi" w:hint="cs"/>
          <w:b/>
          <w:bCs/>
          <w:rtl/>
        </w:rPr>
        <w:t xml:space="preserve">1. </w:t>
      </w:r>
      <w:r w:rsidRPr="00F30EF3">
        <w:rPr>
          <w:rFonts w:cstheme="minorHAnsi"/>
          <w:b/>
          <w:bCs/>
          <w:rtl/>
        </w:rPr>
        <w:t>نصائح لمواءمة سياسة الملكية الفكرية الخاصة بك مع القانون واللوائح المؤسسية</w:t>
      </w:r>
    </w:p>
    <w:p w14:paraId="34677F46" w14:textId="77777777" w:rsidR="00B76B1B" w:rsidRPr="00F30EF3" w:rsidRDefault="00B76B1B"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567"/>
        <w:jc w:val="both"/>
        <w:rPr>
          <w:rFonts w:cstheme="minorHAnsi"/>
          <w:b/>
          <w:bCs/>
          <w:lang w:val="en-US"/>
        </w:rPr>
      </w:pPr>
    </w:p>
    <w:p w14:paraId="018A746E" w14:textId="77777777" w:rsidR="00272089" w:rsidRPr="00F30EF3"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cstheme="minorHAnsi"/>
          <w:rtl/>
        </w:rPr>
      </w:pPr>
      <w:r w:rsidRPr="00F30EF3">
        <w:rPr>
          <w:rFonts w:cstheme="minorHAnsi"/>
          <w:rtl/>
        </w:rPr>
        <w:t xml:space="preserve">هل لدى بلدك قانون صريح يسمح للمؤسسات الممولة من الدولة بامتلاك الملكية الفكرية وتسويقها؟ </w:t>
      </w:r>
    </w:p>
    <w:p w14:paraId="37A144D4" w14:textId="37F5F3B7" w:rsidR="00272089" w:rsidRPr="00F30EF3"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cstheme="minorHAnsi"/>
          <w:rtl/>
        </w:rPr>
      </w:pPr>
      <w:r w:rsidRPr="00F30EF3">
        <w:rPr>
          <w:rFonts w:cstheme="minorHAnsi"/>
          <w:rtl/>
        </w:rPr>
        <w:t>هل توجد قواعد صريحة بشأن ملكية الملكية الفكرية للموظفين؟ ما موقف الملكية في القانون بالنسبة للاختراعات/ المخرجات الإبداعية للموظفين الأكاديميين؟</w:t>
      </w:r>
    </w:p>
    <w:p w14:paraId="40DA3A94" w14:textId="77777777" w:rsidR="00272089" w:rsidRPr="00F30EF3"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cstheme="minorHAnsi"/>
          <w:rtl/>
        </w:rPr>
      </w:pPr>
      <w:r w:rsidRPr="00F30EF3">
        <w:rPr>
          <w:rFonts w:cstheme="minorHAnsi"/>
          <w:rtl/>
        </w:rPr>
        <w:t>هل توجد قواعد بشأن النفاذ إلى نتائج البحوث الممولة من الدولة (مثل البيانات المفتوحة/النفاذ المفتوح/المصدر المفتوح)؟</w:t>
      </w:r>
    </w:p>
    <w:p w14:paraId="0F062299" w14:textId="77777777" w:rsidR="00272089" w:rsidRPr="00F30EF3"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cstheme="minorHAnsi"/>
          <w:rtl/>
        </w:rPr>
      </w:pPr>
      <w:r w:rsidRPr="00F30EF3">
        <w:rPr>
          <w:rFonts w:cstheme="minorHAnsi"/>
          <w:rtl/>
        </w:rPr>
        <w:t xml:space="preserve">كيف ستكون سياسة الملكية الفكرية الخاصة بالمؤسسة ملزمة لموظفيها وطلابها وزوارها؟ </w:t>
      </w:r>
    </w:p>
    <w:p w14:paraId="796A1175" w14:textId="77777777" w:rsidR="00272089" w:rsidRPr="00F30EF3"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cstheme="minorHAnsi"/>
          <w:rtl/>
        </w:rPr>
      </w:pPr>
      <w:r w:rsidRPr="00F30EF3">
        <w:rPr>
          <w:rFonts w:cstheme="minorHAnsi"/>
          <w:rtl/>
        </w:rPr>
        <w:t>هل تتضمن عقود العمل الأكاديمي بنود التكليف وهل هي قابلة للتنفيذ؟</w:t>
      </w:r>
    </w:p>
    <w:p w14:paraId="752CB973" w14:textId="77777777" w:rsidR="00272089" w:rsidRPr="00F30EF3"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hanging="720"/>
        <w:jc w:val="both"/>
        <w:rPr>
          <w:rFonts w:cstheme="minorHAnsi"/>
          <w:rtl/>
        </w:rPr>
      </w:pPr>
      <w:r w:rsidRPr="00F30EF3">
        <w:rPr>
          <w:rFonts w:cstheme="minorHAnsi"/>
          <w:rtl/>
        </w:rPr>
        <w:t>هل تتسق سياسة الملكية الفكرية مع سياسة البحث في المؤسسة؟</w:t>
      </w:r>
    </w:p>
    <w:p w14:paraId="4FD36C09" w14:textId="77777777" w:rsidR="002255D1" w:rsidRPr="00F30EF3" w:rsidRDefault="002255D1" w:rsidP="00B7519E">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cstheme="minorHAnsi"/>
          <w:lang w:val="en-US"/>
        </w:rPr>
      </w:pPr>
    </w:p>
    <w:p w14:paraId="7CE46776" w14:textId="77777777" w:rsidR="00D06F97" w:rsidRPr="00F30EF3" w:rsidRDefault="00D06F97" w:rsidP="002255D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567"/>
        <w:jc w:val="both"/>
        <w:rPr>
          <w:rFonts w:cstheme="minorHAnsi"/>
          <w:rtl/>
        </w:rPr>
      </w:pPr>
      <w:r w:rsidRPr="00F30EF3">
        <w:rPr>
          <w:rFonts w:cstheme="minorHAnsi"/>
          <w:rtl/>
        </w:rPr>
        <w:t xml:space="preserve">لمزيد من المواصفات التفصيلية، انظر </w:t>
      </w:r>
      <w:hyperlink r:id="rId9" w:history="1">
        <w:r w:rsidRPr="00F30EF3">
          <w:rPr>
            <w:rStyle w:val="Hyperlink"/>
            <w:rFonts w:cstheme="minorHAnsi"/>
            <w:rtl/>
          </w:rPr>
          <w:t>القائمة المرجعية لواضعي سياسات الملكية الفكرية</w:t>
        </w:r>
      </w:hyperlink>
      <w:r w:rsidRPr="00F30EF3">
        <w:rPr>
          <w:rFonts w:cstheme="minorHAnsi"/>
          <w:rtl/>
        </w:rPr>
        <w:t>.</w:t>
      </w:r>
    </w:p>
    <w:p w14:paraId="61622409" w14:textId="77777777" w:rsidR="00FE584A" w:rsidRPr="00F30EF3" w:rsidRDefault="00FE584A" w:rsidP="00734F31">
      <w:pPr>
        <w:tabs>
          <w:tab w:val="left" w:pos="1134"/>
        </w:tabs>
        <w:autoSpaceDE w:val="0"/>
        <w:autoSpaceDN w:val="0"/>
        <w:adjustRightInd w:val="0"/>
        <w:spacing w:after="0" w:line="240" w:lineRule="auto"/>
        <w:jc w:val="both"/>
        <w:rPr>
          <w:rFonts w:cstheme="minorHAnsi"/>
          <w:lang w:val="en-US"/>
        </w:rPr>
      </w:pPr>
    </w:p>
    <w:p w14:paraId="0D0D4504" w14:textId="7193860C" w:rsidR="00D64177" w:rsidRPr="00F30EF3" w:rsidRDefault="001E615A" w:rsidP="000C1792">
      <w:pPr>
        <w:pStyle w:val="ListParagraph"/>
        <w:numPr>
          <w:ilvl w:val="0"/>
          <w:numId w:val="5"/>
        </w:numPr>
        <w:tabs>
          <w:tab w:val="left" w:pos="1134"/>
        </w:tabs>
        <w:autoSpaceDE w:val="0"/>
        <w:autoSpaceDN w:val="0"/>
        <w:adjustRightInd w:val="0"/>
        <w:spacing w:after="0" w:line="240" w:lineRule="auto"/>
        <w:ind w:left="426" w:hanging="426"/>
        <w:jc w:val="both"/>
        <w:rPr>
          <w:rFonts w:cstheme="minorHAnsi"/>
          <w:rtl/>
        </w:rPr>
      </w:pPr>
      <w:r w:rsidRPr="00F30EF3">
        <w:rPr>
          <w:rFonts w:cstheme="minorHAnsi"/>
          <w:b/>
          <w:bCs/>
          <w:rtl/>
        </w:rPr>
        <w:t>التخصيص</w:t>
      </w:r>
      <w:r w:rsidRPr="00F30EF3">
        <w:rPr>
          <w:rFonts w:cstheme="minorHAnsi"/>
          <w:rtl/>
        </w:rPr>
        <w:t xml:space="preserve"> – ينبغي لكل مؤسسة أن تصوغ سياسة الملكية الفكرية الخاصة بها لتعكس نهجها في إدارة الملكية الفكرية ونقل المعرفة، وتضع في الحسبان شخصية المؤسسة وطبيعة التكنولوجيا والنظام الإيكولوجي المحلي للابتكار.</w:t>
      </w:r>
      <w:r w:rsidR="00667D5F" w:rsidRPr="00F30EF3">
        <w:rPr>
          <w:rStyle w:val="FootnoteReference"/>
          <w:rFonts w:eastAsiaTheme="minorHAnsi" w:cstheme="minorHAnsi"/>
          <w:rtl/>
          <w:lang w:val="en-US" w:eastAsia="en-US"/>
        </w:rPr>
        <w:footnoteReference w:id="4"/>
      </w:r>
      <w:r w:rsidRPr="00F30EF3">
        <w:rPr>
          <w:rFonts w:cstheme="minorHAnsi"/>
          <w:rtl/>
        </w:rPr>
        <w:t xml:space="preserve"> ويجب على المؤسسة تحديد إمكانية تطبيق كل مادة في نموذج سياسة الملكية الفكرية والنظر في جميع الخيارات المتاحة. كما يوصى بإجراء تقييم للاحتياجات المؤسسية، لتخصيص النموذج بشكل أفضل.</w:t>
      </w:r>
      <w:r w:rsidR="00CB41B1" w:rsidRPr="00F30EF3">
        <w:rPr>
          <w:rStyle w:val="FootnoteReference"/>
          <w:rFonts w:eastAsiaTheme="minorHAnsi" w:cstheme="minorHAnsi"/>
          <w:rtl/>
          <w:lang w:val="en-US" w:eastAsia="en-US"/>
        </w:rPr>
        <w:footnoteReference w:id="5"/>
      </w:r>
      <w:r w:rsidRPr="00F30EF3">
        <w:rPr>
          <w:rFonts w:cstheme="minorHAnsi"/>
          <w:rtl/>
        </w:rPr>
        <w:t xml:space="preserve">   </w:t>
      </w:r>
    </w:p>
    <w:p w14:paraId="511D5277" w14:textId="77777777" w:rsidR="00FE584A" w:rsidRPr="00F30EF3" w:rsidRDefault="00FE584A" w:rsidP="00B7519E">
      <w:pPr>
        <w:pStyle w:val="FootnoteText"/>
        <w:tabs>
          <w:tab w:val="left" w:pos="851"/>
        </w:tabs>
        <w:ind w:left="426"/>
        <w:jc w:val="both"/>
        <w:rPr>
          <w:rFonts w:cstheme="minorHAnsi"/>
          <w:sz w:val="22"/>
          <w:lang w:val="en-US"/>
        </w:rPr>
      </w:pPr>
    </w:p>
    <w:p w14:paraId="6CF178EB" w14:textId="77777777" w:rsidR="00FE584A" w:rsidRPr="00F30EF3" w:rsidRDefault="00FE584A" w:rsidP="00464282">
      <w:pPr>
        <w:pStyle w:val="CommentText"/>
        <w:numPr>
          <w:ilvl w:val="0"/>
          <w:numId w:val="5"/>
        </w:numPr>
        <w:spacing w:after="0"/>
        <w:ind w:left="425" w:hanging="425"/>
        <w:jc w:val="both"/>
        <w:rPr>
          <w:rFonts w:cstheme="minorHAnsi"/>
          <w:color w:val="000000"/>
          <w:sz w:val="22"/>
          <w:szCs w:val="22"/>
          <w:rtl/>
        </w:rPr>
      </w:pPr>
      <w:r w:rsidRPr="00F30EF3">
        <w:rPr>
          <w:rFonts w:cstheme="minorHAnsi"/>
          <w:b/>
          <w:bCs/>
          <w:sz w:val="22"/>
          <w:szCs w:val="22"/>
          <w:rtl/>
        </w:rPr>
        <w:t>المصادقة</w:t>
      </w:r>
      <w:r w:rsidRPr="00F30EF3">
        <w:rPr>
          <w:rFonts w:cstheme="minorHAnsi"/>
          <w:sz w:val="22"/>
          <w:szCs w:val="22"/>
          <w:rtl/>
        </w:rPr>
        <w:t xml:space="preserve"> – </w:t>
      </w:r>
      <w:r w:rsidRPr="00F30EF3">
        <w:rPr>
          <w:rFonts w:cstheme="minorHAnsi"/>
          <w:color w:val="000000"/>
          <w:sz w:val="22"/>
          <w:szCs w:val="22"/>
          <w:rtl/>
        </w:rPr>
        <w:t>يجب استشارة المجتمع الأكاديمي أثناء عملية وضع سياسة الملكية الفكرية قبل أن تدخل حيز التنفيذ. وهذا يضمن الشرعية ويعزز فهم مقصد سياسة الملكية الفكرية ونطاقها، ومن المرجح أن يقلل من نقاط التعسر المحتملة في تنفيذها.</w:t>
      </w:r>
      <w:r w:rsidR="002C332D" w:rsidRPr="00F30EF3">
        <w:rPr>
          <w:rStyle w:val="FootnoteReference"/>
          <w:rFonts w:cstheme="minorHAnsi"/>
          <w:color w:val="000000"/>
          <w:sz w:val="22"/>
          <w:szCs w:val="22"/>
          <w:rtl/>
          <w:lang w:val="en-US" w:eastAsia="en-ZA"/>
        </w:rPr>
        <w:footnoteReference w:id="6"/>
      </w:r>
    </w:p>
    <w:p w14:paraId="06B8B979" w14:textId="77777777" w:rsidR="00003C7F" w:rsidRPr="00F30EF3" w:rsidRDefault="00003C7F" w:rsidP="00734F31">
      <w:pPr>
        <w:pStyle w:val="FootnoteText"/>
        <w:tabs>
          <w:tab w:val="left" w:pos="993"/>
        </w:tabs>
        <w:ind w:left="1004"/>
        <w:jc w:val="both"/>
        <w:rPr>
          <w:rFonts w:cstheme="minorHAnsi"/>
          <w:sz w:val="22"/>
          <w:lang w:val="en-US"/>
        </w:rPr>
      </w:pPr>
    </w:p>
    <w:p w14:paraId="77B01239" w14:textId="3383ECF0" w:rsidR="002A3827" w:rsidRPr="00F30EF3" w:rsidRDefault="001E615A" w:rsidP="00464282">
      <w:pPr>
        <w:pStyle w:val="ListParagraph"/>
        <w:numPr>
          <w:ilvl w:val="0"/>
          <w:numId w:val="5"/>
        </w:numPr>
        <w:shd w:val="clear" w:color="auto" w:fill="FFFFFF" w:themeFill="background1"/>
        <w:tabs>
          <w:tab w:val="left" w:pos="567"/>
        </w:tabs>
        <w:autoSpaceDE w:val="0"/>
        <w:autoSpaceDN w:val="0"/>
        <w:adjustRightInd w:val="0"/>
        <w:spacing w:after="0" w:line="240" w:lineRule="auto"/>
        <w:ind w:left="426" w:hanging="426"/>
        <w:jc w:val="both"/>
        <w:rPr>
          <w:rFonts w:eastAsiaTheme="minorHAnsi" w:cstheme="minorHAnsi"/>
          <w:rtl/>
        </w:rPr>
      </w:pPr>
      <w:r w:rsidRPr="00F30EF3">
        <w:rPr>
          <w:rFonts w:cstheme="minorHAnsi"/>
          <w:b/>
          <w:bCs/>
          <w:rtl/>
        </w:rPr>
        <w:t>التواصل</w:t>
      </w:r>
      <w:r w:rsidRPr="00F30EF3">
        <w:rPr>
          <w:rFonts w:cstheme="minorHAnsi"/>
          <w:rtl/>
        </w:rPr>
        <w:t xml:space="preserve"> – </w:t>
      </w:r>
      <w:r w:rsidRPr="00F30EF3">
        <w:rPr>
          <w:rFonts w:cstheme="minorHAnsi"/>
          <w:color w:val="000000"/>
          <w:rtl/>
        </w:rPr>
        <w:t>على الرغم من أن عملية تطوير السياسات تعتبر في حد ذاتها مهمة قيمة، إلا أنها ليست سوى خطوة أولى نحو نقل المعرفة بنجاح والتي تتطلب أيضاً تأييداً من الإدارة العليا وتوقعات معقولة وصبراً.</w:t>
      </w:r>
      <w:r w:rsidRPr="00F30EF3">
        <w:rPr>
          <w:rFonts w:cstheme="minorHAnsi"/>
          <w:rtl/>
        </w:rPr>
        <w:t xml:space="preserve"> وعادة لا يكون أصحاب المصلحة المنخرطون في سياسة الملكية الفكرية (الموظفون والطلاب والزائرون وغيرهم) على دراية بالمسألة المعقدة المتعلقة بحقوق الملكية الفكرية ونقل التكنولوجيا. وفي هذا الصدد، ينبغي لسياسة الملكية الفكرية المؤسسية أن تكون قصيرة وشاملة. وقد وجدت بعض المؤسسات أنه من المفيد تقديم مبادئ توجيهية عملية أو دليل إلى جانب سياسة الملكية الفكرية الخاصة بها (مثل أفضل الممارسات للطلاب، المبادئ التوجيهية للباحثين، دليل الطالب، وما إلى ذلك، بما في ذلك إجراءات التشغيل القياسية).</w:t>
      </w:r>
      <w:r w:rsidR="002A3827" w:rsidRPr="00F30EF3">
        <w:rPr>
          <w:rFonts w:eastAsiaTheme="minorHAnsi" w:cstheme="minorHAnsi"/>
          <w:vertAlign w:val="superscript"/>
          <w:rtl/>
          <w:lang w:val="en-US" w:eastAsia="en-US"/>
        </w:rPr>
        <w:footnoteReference w:id="7"/>
      </w:r>
      <w:r w:rsidRPr="00F30EF3">
        <w:rPr>
          <w:rFonts w:cstheme="minorHAnsi"/>
          <w:rtl/>
        </w:rPr>
        <w:t xml:space="preserve"> علاوة على ذلك، من المستحسن أن تكون سياسة الملكية الفكرية متاحة لمجتمع المؤسسة بأكمله من خلال عملية التوظيف والموقع الإلكتروني ووسائل النشر الأخرى.</w:t>
      </w:r>
    </w:p>
    <w:p w14:paraId="38B8088C" w14:textId="77777777" w:rsidR="00CB24C9" w:rsidRPr="00F30EF3" w:rsidRDefault="00CB24C9" w:rsidP="00734F31">
      <w:pPr>
        <w:pStyle w:val="ListParagraph"/>
        <w:spacing w:line="240" w:lineRule="auto"/>
        <w:jc w:val="both"/>
        <w:rPr>
          <w:rFonts w:eastAsiaTheme="minorHAnsi" w:cstheme="minorHAnsi"/>
          <w:lang w:val="en-US" w:eastAsia="en-US"/>
        </w:rPr>
      </w:pPr>
    </w:p>
    <w:p w14:paraId="072CB5CF" w14:textId="77777777" w:rsidR="00CB24C9" w:rsidRPr="00F30EF3" w:rsidRDefault="00CB24C9" w:rsidP="00464282">
      <w:pPr>
        <w:pStyle w:val="ListParagraph"/>
        <w:numPr>
          <w:ilvl w:val="0"/>
          <w:numId w:val="5"/>
        </w:numPr>
        <w:shd w:val="clear" w:color="auto" w:fill="FFFFFF" w:themeFill="background1"/>
        <w:tabs>
          <w:tab w:val="left" w:pos="426"/>
        </w:tabs>
        <w:autoSpaceDE w:val="0"/>
        <w:autoSpaceDN w:val="0"/>
        <w:adjustRightInd w:val="0"/>
        <w:spacing w:after="0" w:line="240" w:lineRule="auto"/>
        <w:ind w:left="426" w:hanging="426"/>
        <w:jc w:val="both"/>
        <w:rPr>
          <w:rFonts w:eastAsiaTheme="minorHAnsi" w:cstheme="minorHAnsi"/>
          <w:rtl/>
        </w:rPr>
      </w:pPr>
      <w:r w:rsidRPr="00F30EF3">
        <w:rPr>
          <w:rFonts w:cstheme="minorHAnsi"/>
          <w:b/>
          <w:bCs/>
          <w:rtl/>
        </w:rPr>
        <w:t>التحسين والتكيف</w:t>
      </w:r>
      <w:r w:rsidRPr="00F30EF3">
        <w:rPr>
          <w:rFonts w:cstheme="minorHAnsi"/>
          <w:rtl/>
        </w:rPr>
        <w:t xml:space="preserve"> – ينبغي أن تكون سياسة الملكية الفكرية وثيقة حية وتخضع للمراجعة والتحديث من المؤسسة، من حين لآخر.</w:t>
      </w:r>
      <w:r w:rsidRPr="00F30EF3">
        <w:rPr>
          <w:rStyle w:val="FootnoteReference"/>
          <w:rFonts w:eastAsiaTheme="minorHAnsi" w:cstheme="minorHAnsi"/>
          <w:rtl/>
          <w:lang w:val="en-US" w:eastAsia="en-US"/>
        </w:rPr>
        <w:footnoteReference w:id="8"/>
      </w:r>
    </w:p>
    <w:p w14:paraId="59477C99" w14:textId="77777777" w:rsidR="00BD26BF" w:rsidRPr="00F30EF3" w:rsidRDefault="00BD26BF">
      <w:pPr>
        <w:rPr>
          <w:rFonts w:eastAsiaTheme="minorHAnsi" w:cstheme="minorHAnsi"/>
          <w:b/>
          <w:bCs/>
          <w:color w:val="0070C0"/>
          <w:rtl/>
        </w:rPr>
      </w:pPr>
      <w:bookmarkStart w:id="10" w:name="_Toc516160033"/>
      <w:bookmarkStart w:id="11" w:name="_Toc516219376"/>
      <w:bookmarkStart w:id="12" w:name="_Toc516496018"/>
      <w:r w:rsidRPr="00F30EF3">
        <w:rPr>
          <w:rFonts w:cstheme="minorHAnsi"/>
          <w:rtl/>
        </w:rPr>
        <w:br w:type="page"/>
      </w:r>
    </w:p>
    <w:p w14:paraId="2683CE7A" w14:textId="77777777" w:rsidR="00E22076" w:rsidRPr="00F30EF3" w:rsidRDefault="00292BA3" w:rsidP="00B00EEA">
      <w:pPr>
        <w:pStyle w:val="Heading1"/>
        <w:rPr>
          <w:rFonts w:asciiTheme="minorHAnsi" w:hAnsiTheme="minorHAnsi" w:cstheme="minorHAnsi"/>
          <w:sz w:val="24"/>
          <w:szCs w:val="24"/>
          <w:rtl/>
        </w:rPr>
      </w:pPr>
      <w:bookmarkStart w:id="13" w:name="_Toc516829390"/>
      <w:bookmarkStart w:id="14" w:name="_Toc178260758"/>
      <w:r w:rsidRPr="00F30EF3">
        <w:rPr>
          <w:rFonts w:asciiTheme="minorHAnsi" w:hAnsiTheme="minorHAnsi" w:cstheme="minorHAnsi"/>
          <w:sz w:val="24"/>
          <w:szCs w:val="24"/>
          <w:rtl/>
        </w:rPr>
        <w:lastRenderedPageBreak/>
        <w:t>"3". شرح نموذج سياسة الملكية الفكرية</w:t>
      </w:r>
      <w:bookmarkEnd w:id="10"/>
      <w:bookmarkEnd w:id="11"/>
      <w:bookmarkEnd w:id="12"/>
      <w:bookmarkEnd w:id="13"/>
      <w:bookmarkEnd w:id="14"/>
    </w:p>
    <w:p w14:paraId="2994F072" w14:textId="77777777" w:rsidR="00E22076" w:rsidRPr="00F30EF3" w:rsidRDefault="00E22076" w:rsidP="002F3C51">
      <w:pPr>
        <w:pStyle w:val="NoSpacing"/>
        <w:bidi/>
        <w:jc w:val="both"/>
        <w:rPr>
          <w:rFonts w:cstheme="minorHAnsi"/>
          <w:rtl/>
        </w:rPr>
      </w:pPr>
      <w:r w:rsidRPr="00F30EF3">
        <w:rPr>
          <w:rFonts w:cstheme="minorHAnsi"/>
          <w:rtl/>
        </w:rPr>
        <w:t>تتمتع المبادئ التوجيهية بهيكل نموذج سياسة الملكية الفكرية ذاته، وتشرح، من خلال التعليقات والشروح، كل مادة في النموذج.  عند قراءة هذه المبادئ التوجيهية، من المهم الإحاطة علماً بالتعاريف الواردة في المادة 2 من النموذج، حيث تم تعريف جميع المصطلحات المكتوبة بأحرف كبيرة المستخدمة في هذه المبادئ التوجيهية هناك.</w:t>
      </w:r>
    </w:p>
    <w:p w14:paraId="51D8FBE3" w14:textId="77777777" w:rsidR="00F83B37" w:rsidRPr="00F30EF3" w:rsidRDefault="00F83B37" w:rsidP="002F3C51">
      <w:pPr>
        <w:pStyle w:val="NoSpacing"/>
        <w:jc w:val="both"/>
        <w:rPr>
          <w:rFonts w:cstheme="minorHAnsi"/>
          <w:lang w:val="en-US"/>
        </w:rPr>
      </w:pPr>
    </w:p>
    <w:p w14:paraId="0C440F55" w14:textId="77777777" w:rsidR="00E22076" w:rsidRPr="00F30EF3" w:rsidRDefault="00E22076" w:rsidP="002F3C51">
      <w:pPr>
        <w:autoSpaceDE w:val="0"/>
        <w:autoSpaceDN w:val="0"/>
        <w:adjustRightInd w:val="0"/>
        <w:spacing w:after="0" w:line="240" w:lineRule="auto"/>
        <w:rPr>
          <w:rFonts w:eastAsiaTheme="minorHAnsi" w:cstheme="minorHAnsi"/>
          <w:lang w:val="en-US" w:eastAsia="en-US"/>
        </w:rPr>
      </w:pPr>
    </w:p>
    <w:p w14:paraId="2A0CD785" w14:textId="77777777" w:rsidR="00E22076" w:rsidRPr="00F30EF3" w:rsidRDefault="00E22076" w:rsidP="002F3C51">
      <w:pPr>
        <w:pStyle w:val="Heading2"/>
        <w:rPr>
          <w:rFonts w:asciiTheme="minorHAnsi" w:hAnsiTheme="minorHAnsi" w:cstheme="minorHAnsi"/>
          <w:sz w:val="22"/>
          <w:szCs w:val="22"/>
          <w:rtl/>
        </w:rPr>
      </w:pPr>
      <w:bookmarkStart w:id="15" w:name="_Toc490468516"/>
    </w:p>
    <w:p w14:paraId="49B4C02A" w14:textId="77777777" w:rsidR="00F87055" w:rsidRPr="00F30EF3" w:rsidRDefault="00060558" w:rsidP="002F3C51">
      <w:pPr>
        <w:pStyle w:val="Heading2"/>
        <w:rPr>
          <w:rFonts w:asciiTheme="minorHAnsi" w:hAnsiTheme="minorHAnsi" w:cstheme="minorHAnsi"/>
          <w:rtl/>
        </w:rPr>
      </w:pPr>
      <w:bookmarkStart w:id="16" w:name="_Toc516160034"/>
      <w:bookmarkStart w:id="17" w:name="_Toc516219377"/>
      <w:bookmarkStart w:id="18" w:name="_Toc516496019"/>
      <w:bookmarkStart w:id="19" w:name="_Toc516829391"/>
      <w:bookmarkStart w:id="20" w:name="_Toc178260759"/>
      <w:r w:rsidRPr="00F30EF3">
        <w:rPr>
          <w:rFonts w:asciiTheme="minorHAnsi" w:hAnsiTheme="minorHAnsi" w:cstheme="minorHAnsi"/>
          <w:rtl/>
        </w:rPr>
        <w:t xml:space="preserve">مادة 1 – </w:t>
      </w:r>
      <w:bookmarkEnd w:id="15"/>
      <w:r w:rsidRPr="00F30EF3">
        <w:rPr>
          <w:rFonts w:asciiTheme="minorHAnsi" w:hAnsiTheme="minorHAnsi" w:cstheme="minorHAnsi"/>
          <w:rtl/>
        </w:rPr>
        <w:t>تمهيد</w:t>
      </w:r>
      <w:bookmarkEnd w:id="16"/>
      <w:bookmarkEnd w:id="17"/>
      <w:bookmarkEnd w:id="18"/>
      <w:bookmarkEnd w:id="19"/>
      <w:bookmarkEnd w:id="20"/>
      <w:r w:rsidRPr="00F30EF3">
        <w:rPr>
          <w:rFonts w:asciiTheme="minorHAnsi" w:hAnsiTheme="minorHAnsi" w:cstheme="minorHAnsi"/>
          <w:rtl/>
        </w:rPr>
        <w:t xml:space="preserve"> </w:t>
      </w:r>
    </w:p>
    <w:p w14:paraId="363CE399" w14:textId="77777777" w:rsidR="00E22076" w:rsidRPr="00F30EF3" w:rsidRDefault="00E22076" w:rsidP="002F3C51">
      <w:pPr>
        <w:pStyle w:val="Heading2"/>
        <w:rPr>
          <w:rFonts w:asciiTheme="minorHAnsi" w:hAnsiTheme="minorHAnsi" w:cstheme="minorHAnsi"/>
          <w:sz w:val="22"/>
          <w:szCs w:val="22"/>
          <w:lang w:val="en-US"/>
        </w:rPr>
      </w:pPr>
    </w:p>
    <w:p w14:paraId="58F44457" w14:textId="77777777" w:rsidR="00F87055" w:rsidRPr="00F30EF3" w:rsidRDefault="0004177B" w:rsidP="00B7519E">
      <w:pPr>
        <w:pStyle w:val="Heading3"/>
        <w:spacing w:before="360"/>
        <w:rPr>
          <w:rFonts w:asciiTheme="minorHAnsi" w:hAnsiTheme="minorHAnsi" w:cstheme="minorHAnsi"/>
          <w:sz w:val="24"/>
          <w:szCs w:val="24"/>
          <w:rtl/>
        </w:rPr>
      </w:pPr>
      <w:bookmarkStart w:id="21" w:name="_Toc516160035"/>
      <w:bookmarkStart w:id="22" w:name="_Toc516219378"/>
      <w:bookmarkStart w:id="23" w:name="_Toc516496020"/>
      <w:bookmarkStart w:id="24" w:name="_Toc516829392"/>
      <w:r w:rsidRPr="00F30EF3">
        <w:rPr>
          <w:rFonts w:asciiTheme="minorHAnsi" w:hAnsiTheme="minorHAnsi" w:cstheme="minorHAnsi"/>
          <w:sz w:val="24"/>
          <w:szCs w:val="24"/>
          <w:rtl/>
        </w:rPr>
        <w:t>مقدمة</w:t>
      </w:r>
      <w:bookmarkEnd w:id="21"/>
      <w:bookmarkEnd w:id="22"/>
      <w:bookmarkEnd w:id="23"/>
      <w:bookmarkEnd w:id="24"/>
    </w:p>
    <w:p w14:paraId="2DEE9CB1" w14:textId="77777777" w:rsidR="003718DF" w:rsidRPr="00F30EF3" w:rsidRDefault="003718DF" w:rsidP="00734F31">
      <w:pPr>
        <w:jc w:val="both"/>
        <w:rPr>
          <w:rFonts w:eastAsiaTheme="minorHAnsi" w:cstheme="minorHAnsi"/>
          <w:rtl/>
        </w:rPr>
      </w:pPr>
      <w:r w:rsidRPr="00F30EF3">
        <w:rPr>
          <w:rFonts w:cstheme="minorHAnsi"/>
          <w:rtl/>
        </w:rPr>
        <w:t xml:space="preserve">تبدأ سياسات الملكية الفكرية عادةً بتمهيد وجدول محتويات وقسم خاص بالتعريفات. </w:t>
      </w:r>
    </w:p>
    <w:p w14:paraId="35FDF909" w14:textId="77777777" w:rsidR="00194209" w:rsidRPr="00F30EF3" w:rsidRDefault="003550AB" w:rsidP="00734F31">
      <w:pPr>
        <w:spacing w:line="240" w:lineRule="auto"/>
        <w:jc w:val="both"/>
        <w:rPr>
          <w:rFonts w:eastAsiaTheme="minorHAnsi" w:cstheme="minorHAnsi"/>
          <w:rtl/>
        </w:rPr>
      </w:pPr>
      <w:r w:rsidRPr="00F30EF3">
        <w:rPr>
          <w:rFonts w:cstheme="minorHAnsi"/>
          <w:rtl/>
        </w:rPr>
        <w:t>تعتبر المادة 1 من النموذج مثالاً وتحتاج إلى تعديل كي:</w:t>
      </w:r>
    </w:p>
    <w:p w14:paraId="6B4793BA" w14:textId="77777777" w:rsidR="00194209" w:rsidRPr="00F30EF3" w:rsidRDefault="00E81909" w:rsidP="00464282">
      <w:pPr>
        <w:pStyle w:val="ListParagraph"/>
        <w:numPr>
          <w:ilvl w:val="0"/>
          <w:numId w:val="4"/>
        </w:numPr>
        <w:autoSpaceDE w:val="0"/>
        <w:autoSpaceDN w:val="0"/>
        <w:adjustRightInd w:val="0"/>
        <w:spacing w:after="0" w:line="240" w:lineRule="auto"/>
        <w:ind w:left="426" w:hanging="426"/>
        <w:jc w:val="both"/>
        <w:rPr>
          <w:rFonts w:cstheme="minorHAnsi"/>
          <w:rtl/>
        </w:rPr>
      </w:pPr>
      <w:r w:rsidRPr="00F30EF3">
        <w:rPr>
          <w:rFonts w:cstheme="minorHAnsi"/>
          <w:rtl/>
        </w:rPr>
        <w:t xml:space="preserve">تعكس رسالة المؤسسة ورؤيتها وقيمها وتشرح كيف يتواءم هدف التسويق مع هذه المبادئ الاستراتيجية؛ </w:t>
      </w:r>
    </w:p>
    <w:p w14:paraId="33FB2F05" w14:textId="77777777" w:rsidR="00194209" w:rsidRPr="00F30EF3" w:rsidRDefault="00E81909" w:rsidP="00464282">
      <w:pPr>
        <w:pStyle w:val="ListParagraph"/>
        <w:numPr>
          <w:ilvl w:val="0"/>
          <w:numId w:val="4"/>
        </w:numPr>
        <w:autoSpaceDE w:val="0"/>
        <w:autoSpaceDN w:val="0"/>
        <w:adjustRightInd w:val="0"/>
        <w:spacing w:after="0" w:line="240" w:lineRule="auto"/>
        <w:ind w:left="426" w:hanging="426"/>
        <w:jc w:val="both"/>
        <w:rPr>
          <w:rFonts w:cstheme="minorHAnsi"/>
          <w:rtl/>
        </w:rPr>
      </w:pPr>
      <w:r w:rsidRPr="00F30EF3">
        <w:rPr>
          <w:rFonts w:cstheme="minorHAnsi"/>
          <w:rtl/>
        </w:rPr>
        <w:t>وتصف بإيجاز ما أدى إلى الرغبة في وضع سياسة للملكية الفكرية وما هو هدف هذه السياسة؛</w:t>
      </w:r>
    </w:p>
    <w:p w14:paraId="4647B4BF" w14:textId="77777777" w:rsidR="00D030AF" w:rsidRPr="00F30EF3" w:rsidRDefault="00D030AF" w:rsidP="00464282">
      <w:pPr>
        <w:pStyle w:val="ListParagraph"/>
        <w:numPr>
          <w:ilvl w:val="0"/>
          <w:numId w:val="4"/>
        </w:numPr>
        <w:autoSpaceDE w:val="0"/>
        <w:autoSpaceDN w:val="0"/>
        <w:adjustRightInd w:val="0"/>
        <w:spacing w:after="0" w:line="240" w:lineRule="auto"/>
        <w:ind w:left="426" w:hanging="426"/>
        <w:jc w:val="both"/>
        <w:rPr>
          <w:rFonts w:cstheme="minorHAnsi"/>
          <w:rtl/>
        </w:rPr>
      </w:pPr>
      <w:r w:rsidRPr="00F30EF3">
        <w:rPr>
          <w:rFonts w:cstheme="minorHAnsi"/>
          <w:rtl/>
        </w:rPr>
        <w:t xml:space="preserve">وتشير إلى أي وثائق رئيسية ذات صلة مثل: </w:t>
      </w:r>
    </w:p>
    <w:p w14:paraId="47EDECBC" w14:textId="77777777" w:rsidR="00D030AF" w:rsidRPr="00F30EF3" w:rsidRDefault="00D030AF" w:rsidP="009D4A54">
      <w:pPr>
        <w:pStyle w:val="ListParagraph"/>
        <w:numPr>
          <w:ilvl w:val="1"/>
          <w:numId w:val="78"/>
        </w:numPr>
        <w:autoSpaceDE w:val="0"/>
        <w:autoSpaceDN w:val="0"/>
        <w:adjustRightInd w:val="0"/>
        <w:spacing w:after="0" w:line="240" w:lineRule="auto"/>
        <w:ind w:left="851" w:hanging="425"/>
        <w:jc w:val="both"/>
        <w:rPr>
          <w:rFonts w:cstheme="minorHAnsi"/>
          <w:rtl/>
        </w:rPr>
      </w:pPr>
      <w:r w:rsidRPr="00F30EF3">
        <w:rPr>
          <w:rFonts w:cstheme="minorHAnsi"/>
          <w:rtl/>
        </w:rPr>
        <w:t>التشريع؛</w:t>
      </w:r>
    </w:p>
    <w:p w14:paraId="0D9FD0FA" w14:textId="77777777" w:rsidR="00DE678D" w:rsidRPr="00F30EF3" w:rsidRDefault="00DE678D" w:rsidP="009D4A54">
      <w:pPr>
        <w:pStyle w:val="ListParagraph"/>
        <w:numPr>
          <w:ilvl w:val="1"/>
          <w:numId w:val="78"/>
        </w:numPr>
        <w:autoSpaceDE w:val="0"/>
        <w:autoSpaceDN w:val="0"/>
        <w:adjustRightInd w:val="0"/>
        <w:spacing w:after="0" w:line="240" w:lineRule="auto"/>
        <w:ind w:left="851" w:hanging="425"/>
        <w:jc w:val="both"/>
        <w:rPr>
          <w:rFonts w:cstheme="minorHAnsi"/>
          <w:rtl/>
        </w:rPr>
      </w:pPr>
      <w:r w:rsidRPr="00F30EF3">
        <w:rPr>
          <w:rFonts w:cstheme="minorHAnsi"/>
          <w:rtl/>
        </w:rPr>
        <w:t xml:space="preserve">والمبادئ التوجيهية أو مدونات الممارسات الوطنية لإدارة الملكية الفكرية، إن وجدت، والتي تقرها مؤسستك (انظر </w:t>
      </w:r>
      <w:hyperlink w:anchor="Box6" w:history="1">
        <w:r w:rsidRPr="00F30EF3">
          <w:rPr>
            <w:rStyle w:val="Hyperlink"/>
            <w:rFonts w:cstheme="minorHAnsi"/>
            <w:shd w:val="clear" w:color="auto" w:fill="FFFFFF" w:themeFill="background1"/>
            <w:rtl/>
          </w:rPr>
          <w:t>الإطار 6</w:t>
        </w:r>
      </w:hyperlink>
      <w:r w:rsidRPr="00F30EF3">
        <w:rPr>
          <w:rFonts w:cstheme="minorHAnsi"/>
          <w:shd w:val="clear" w:color="auto" w:fill="FFFFFF" w:themeFill="background1"/>
          <w:rtl/>
        </w:rPr>
        <w:t>)؛</w:t>
      </w:r>
    </w:p>
    <w:p w14:paraId="4720B0C8" w14:textId="77777777" w:rsidR="00D030AF" w:rsidRPr="00F30EF3" w:rsidRDefault="00D030AF" w:rsidP="009D4A54">
      <w:pPr>
        <w:pStyle w:val="ListParagraph"/>
        <w:numPr>
          <w:ilvl w:val="1"/>
          <w:numId w:val="78"/>
        </w:numPr>
        <w:autoSpaceDE w:val="0"/>
        <w:autoSpaceDN w:val="0"/>
        <w:adjustRightInd w:val="0"/>
        <w:spacing w:after="0" w:line="240" w:lineRule="auto"/>
        <w:ind w:left="851" w:hanging="425"/>
        <w:jc w:val="both"/>
        <w:rPr>
          <w:rFonts w:cstheme="minorHAnsi"/>
          <w:rtl/>
        </w:rPr>
      </w:pPr>
      <w:r w:rsidRPr="00F30EF3">
        <w:rPr>
          <w:rFonts w:cstheme="minorHAnsi"/>
          <w:rtl/>
        </w:rPr>
        <w:t>وغيرها من سياسات المؤسسات ذات الصلة (مثل تضارب المصالح والشركات المنبثقة والطلاب)</w:t>
      </w:r>
    </w:p>
    <w:p w14:paraId="4C2AB7B5" w14:textId="77777777" w:rsidR="00D030AF" w:rsidRPr="00F30EF3" w:rsidRDefault="00D030AF" w:rsidP="009D4A54">
      <w:pPr>
        <w:pStyle w:val="ListParagraph"/>
        <w:numPr>
          <w:ilvl w:val="1"/>
          <w:numId w:val="78"/>
        </w:numPr>
        <w:autoSpaceDE w:val="0"/>
        <w:autoSpaceDN w:val="0"/>
        <w:adjustRightInd w:val="0"/>
        <w:spacing w:after="0" w:line="240" w:lineRule="auto"/>
        <w:ind w:left="851" w:hanging="425"/>
        <w:jc w:val="both"/>
        <w:rPr>
          <w:rFonts w:cstheme="minorHAnsi"/>
          <w:rtl/>
        </w:rPr>
      </w:pPr>
      <w:r w:rsidRPr="00F30EF3">
        <w:rPr>
          <w:rFonts w:cstheme="minorHAnsi"/>
          <w:rtl/>
        </w:rPr>
        <w:t>والإجراءات الداعمة و/أو المبادئ التوجيهية المرتبطة بها.</w:t>
      </w:r>
    </w:p>
    <w:p w14:paraId="1DD6666F" w14:textId="77777777" w:rsidR="00172756" w:rsidRPr="00F30EF3" w:rsidRDefault="00172756" w:rsidP="00B7519E">
      <w:pPr>
        <w:pStyle w:val="Heading3"/>
        <w:spacing w:before="360"/>
        <w:rPr>
          <w:rFonts w:asciiTheme="minorHAnsi" w:hAnsiTheme="minorHAnsi" w:cstheme="minorHAnsi"/>
          <w:sz w:val="24"/>
          <w:szCs w:val="24"/>
          <w:rtl/>
        </w:rPr>
      </w:pPr>
      <w:bookmarkStart w:id="25" w:name="_Toc494115940"/>
      <w:bookmarkStart w:id="26" w:name="_Toc516160036"/>
      <w:bookmarkStart w:id="27" w:name="_Toc516219379"/>
      <w:bookmarkStart w:id="28" w:name="_Toc516496021"/>
      <w:bookmarkStart w:id="29" w:name="_Toc516829393"/>
      <w:r w:rsidRPr="00F30EF3">
        <w:rPr>
          <w:rFonts w:asciiTheme="minorHAnsi" w:hAnsiTheme="minorHAnsi" w:cstheme="minorHAnsi"/>
          <w:sz w:val="24"/>
          <w:szCs w:val="24"/>
          <w:rtl/>
        </w:rPr>
        <w:t>المادة 1.1 – السياق ورسالة المؤسسة</w:t>
      </w:r>
      <w:bookmarkEnd w:id="25"/>
      <w:bookmarkEnd w:id="26"/>
      <w:bookmarkEnd w:id="27"/>
      <w:bookmarkEnd w:id="28"/>
      <w:bookmarkEnd w:id="29"/>
    </w:p>
    <w:p w14:paraId="45247555" w14:textId="67258A67" w:rsidR="0052367D" w:rsidRPr="00F30EF3" w:rsidRDefault="001C07E8" w:rsidP="00464282">
      <w:pPr>
        <w:pStyle w:val="ListParagraph"/>
        <w:numPr>
          <w:ilvl w:val="0"/>
          <w:numId w:val="4"/>
        </w:numPr>
        <w:autoSpaceDE w:val="0"/>
        <w:autoSpaceDN w:val="0"/>
        <w:adjustRightInd w:val="0"/>
        <w:spacing w:after="0" w:line="240" w:lineRule="auto"/>
        <w:ind w:left="426" w:hanging="426"/>
        <w:jc w:val="both"/>
        <w:rPr>
          <w:rFonts w:cstheme="minorHAnsi"/>
          <w:color w:val="000000" w:themeColor="text1"/>
          <w:rtl/>
        </w:rPr>
      </w:pPr>
      <w:r w:rsidRPr="00F30EF3">
        <w:rPr>
          <w:rFonts w:cstheme="minorHAnsi"/>
          <w:b/>
          <w:bCs/>
          <w:color w:val="000000" w:themeColor="text1"/>
          <w:rtl/>
        </w:rPr>
        <w:t xml:space="preserve">المادة 1.1.1، </w:t>
      </w:r>
      <w:r w:rsidRPr="00F30EF3">
        <w:rPr>
          <w:rFonts w:cstheme="minorHAnsi"/>
          <w:b/>
          <w:bCs/>
          <w:i/>
          <w:iCs/>
          <w:color w:val="000000" w:themeColor="text1"/>
          <w:rtl/>
        </w:rPr>
        <w:t>الرسالة</w:t>
      </w:r>
      <w:r w:rsidRPr="00F30EF3">
        <w:rPr>
          <w:rFonts w:cstheme="minorHAnsi"/>
          <w:color w:val="000000" w:themeColor="text1"/>
          <w:rtl/>
        </w:rPr>
        <w:t>: يجب أن ترتبط سياسة ملكية فكرية برسالة المؤسسة وتدعمها وتفعّلها. لدى المؤسسات مجموعة من الرسائل المختلفة. والرسائل الرئيسية للجامعات هي، على سبيل المثال، التعليم والبحث والمشاركة المجتمعية. ويساهم، تسويق الملكية الفكرية ونقل المعرفة إلى أفراد المجتمع الذين يمكنهم الاستفادة منها لتحقيق الصالح العام، في كل من هذه الرسائل. لذلك، اعتمد عدد كبير من المؤسسات بيانات رسمية خاصة بالرسائل تعبر عن دعم ريادة الأعمال الأكاديمية والتسويق (يشار إليها غالباً باسم "الرسالة الثالثة"</w:t>
      </w:r>
      <w:r w:rsidR="00A163C3" w:rsidRPr="00F30EF3">
        <w:rPr>
          <w:rStyle w:val="FootnoteReference"/>
          <w:rFonts w:cstheme="minorHAnsi"/>
          <w:color w:val="000000" w:themeColor="text1"/>
          <w:rtl/>
          <w:lang w:val="en-US"/>
        </w:rPr>
        <w:footnoteReference w:id="9"/>
      </w:r>
      <w:r w:rsidRPr="00F30EF3">
        <w:rPr>
          <w:rStyle w:val="FootnoteReference"/>
          <w:rFonts w:cstheme="minorHAnsi"/>
          <w:color w:val="000000" w:themeColor="text1"/>
          <w:rtl/>
        </w:rPr>
        <w:t xml:space="preserve"> </w:t>
      </w:r>
      <w:r w:rsidRPr="00F30EF3">
        <w:rPr>
          <w:rFonts w:cstheme="minorHAnsi"/>
          <w:color w:val="000000" w:themeColor="text1"/>
          <w:rtl/>
        </w:rPr>
        <w:t>).</w:t>
      </w:r>
    </w:p>
    <w:p w14:paraId="22B622E2" w14:textId="77777777" w:rsidR="001C07E8" w:rsidRPr="00F30EF3" w:rsidRDefault="00172756" w:rsidP="00B7519E">
      <w:pPr>
        <w:pStyle w:val="Heading3"/>
        <w:spacing w:before="360"/>
        <w:rPr>
          <w:rFonts w:asciiTheme="minorHAnsi" w:hAnsiTheme="minorHAnsi" w:cstheme="minorHAnsi"/>
          <w:sz w:val="24"/>
          <w:szCs w:val="24"/>
          <w:rtl/>
        </w:rPr>
      </w:pPr>
      <w:bookmarkStart w:id="30" w:name="_Toc494115941"/>
      <w:bookmarkStart w:id="31" w:name="_Toc516160037"/>
      <w:bookmarkStart w:id="32" w:name="_Toc516219380"/>
      <w:bookmarkStart w:id="33" w:name="_Toc516496022"/>
      <w:bookmarkStart w:id="34" w:name="_Toc516829394"/>
      <w:r w:rsidRPr="00F30EF3">
        <w:rPr>
          <w:rFonts w:asciiTheme="minorHAnsi" w:hAnsiTheme="minorHAnsi" w:cstheme="minorHAnsi"/>
          <w:sz w:val="24"/>
          <w:szCs w:val="24"/>
          <w:rtl/>
        </w:rPr>
        <w:t>المادة 2.1 - الغرض من سياسة الملكية الفكرية</w:t>
      </w:r>
      <w:bookmarkEnd w:id="30"/>
      <w:bookmarkEnd w:id="31"/>
      <w:bookmarkEnd w:id="32"/>
      <w:bookmarkEnd w:id="33"/>
      <w:bookmarkEnd w:id="34"/>
    </w:p>
    <w:p w14:paraId="40650C3F" w14:textId="77777777" w:rsidR="00EC5B4C" w:rsidRPr="00F30EF3" w:rsidRDefault="00A42B1F" w:rsidP="00B7519E">
      <w:pPr>
        <w:autoSpaceDE w:val="0"/>
        <w:autoSpaceDN w:val="0"/>
        <w:adjustRightInd w:val="0"/>
        <w:spacing w:after="0" w:line="240" w:lineRule="auto"/>
        <w:jc w:val="both"/>
        <w:rPr>
          <w:rFonts w:cstheme="minorHAnsi"/>
          <w:rtl/>
        </w:rPr>
      </w:pPr>
      <w:r w:rsidRPr="00F30EF3">
        <w:rPr>
          <w:rFonts w:cstheme="minorHAnsi"/>
          <w:rtl/>
        </w:rPr>
        <w:t>قد يحتوي هذا القسم على بيان موجز لتوضيح السبب من وراء سياسة الملكية الفكرية والاحتياجات التي تسعى إلى تلبيتها. وتضمنت معظم السياسات التي تمت مراجعتها مجموعة من الأهداف التالية:</w:t>
      </w:r>
    </w:p>
    <w:p w14:paraId="7F93A60C" w14:textId="77777777" w:rsidR="00EC5B4C" w:rsidRPr="00F30EF3" w:rsidRDefault="00EC5B4C" w:rsidP="009743BC">
      <w:pPr>
        <w:pStyle w:val="ListParagraph"/>
        <w:autoSpaceDE w:val="0"/>
        <w:autoSpaceDN w:val="0"/>
        <w:adjustRightInd w:val="0"/>
        <w:spacing w:after="0" w:line="240" w:lineRule="auto"/>
        <w:ind w:left="426"/>
        <w:jc w:val="both"/>
        <w:rPr>
          <w:rFonts w:cstheme="minorHAnsi"/>
          <w:lang w:val="en-US"/>
        </w:rPr>
      </w:pPr>
    </w:p>
    <w:p w14:paraId="5E562068" w14:textId="02028274" w:rsidR="00057D3B" w:rsidRPr="00F30EF3" w:rsidRDefault="00057D3B" w:rsidP="00B7519E">
      <w:pPr>
        <w:widowControl w:val="0"/>
        <w:pBdr>
          <w:top w:val="single" w:sz="4" w:space="1" w:color="auto"/>
          <w:left w:val="single" w:sz="4" w:space="3" w:color="auto"/>
          <w:bottom w:val="single" w:sz="4" w:space="1" w:color="auto"/>
          <w:right w:val="single" w:sz="4" w:space="4" w:color="auto"/>
        </w:pBdr>
        <w:shd w:val="clear" w:color="auto" w:fill="D9D9D9" w:themeFill="background1" w:themeFillShade="D9"/>
        <w:adjustRightInd w:val="0"/>
        <w:spacing w:after="0" w:line="300" w:lineRule="atLeast"/>
        <w:jc w:val="both"/>
        <w:textAlignment w:val="baseline"/>
        <w:rPr>
          <w:rFonts w:cstheme="minorHAnsi"/>
          <w:b/>
          <w:bCs/>
          <w:rtl/>
        </w:rPr>
      </w:pPr>
      <w:bookmarkStart w:id="35" w:name="Box2"/>
      <w:r w:rsidRPr="00F30EF3">
        <w:rPr>
          <w:rFonts w:cstheme="minorHAnsi"/>
          <w:b/>
          <w:bCs/>
          <w:rtl/>
        </w:rPr>
        <w:t xml:space="preserve">الإطار </w:t>
      </w:r>
      <w:bookmarkEnd w:id="35"/>
      <w:r w:rsidR="00661666" w:rsidRPr="00F30EF3">
        <w:rPr>
          <w:rFonts w:cstheme="minorHAnsi" w:hint="cs"/>
          <w:b/>
          <w:bCs/>
          <w:rtl/>
        </w:rPr>
        <w:t>2</w:t>
      </w:r>
      <w:r w:rsidR="00661666" w:rsidRPr="00F30EF3">
        <w:rPr>
          <w:rFonts w:cstheme="minorHAnsi"/>
          <w:b/>
          <w:bCs/>
          <w:lang w:val="en-US"/>
        </w:rPr>
        <w:t>.</w:t>
      </w:r>
      <w:r w:rsidRPr="00F30EF3">
        <w:rPr>
          <w:rFonts w:cstheme="minorHAnsi"/>
          <w:b/>
          <w:bCs/>
          <w:rtl/>
        </w:rPr>
        <w:t xml:space="preserve"> الأهداف المشتركة لسياسة ملكية فكرية</w:t>
      </w:r>
    </w:p>
    <w:p w14:paraId="29260DF9" w14:textId="77777777" w:rsidR="0007179C" w:rsidRPr="00F30EF3" w:rsidRDefault="0007179C" w:rsidP="00B7519E">
      <w:pPr>
        <w:widowControl w:val="0"/>
        <w:pBdr>
          <w:top w:val="single" w:sz="4" w:space="1" w:color="auto"/>
          <w:left w:val="single" w:sz="4" w:space="3" w:color="auto"/>
          <w:bottom w:val="single" w:sz="4" w:space="1" w:color="auto"/>
          <w:right w:val="single" w:sz="4" w:space="4" w:color="auto"/>
        </w:pBdr>
        <w:shd w:val="clear" w:color="auto" w:fill="D9D9D9" w:themeFill="background1" w:themeFillShade="D9"/>
        <w:adjustRightInd w:val="0"/>
        <w:spacing w:after="0" w:line="300" w:lineRule="atLeast"/>
        <w:jc w:val="both"/>
        <w:textAlignment w:val="baseline"/>
        <w:rPr>
          <w:rFonts w:cstheme="minorHAnsi"/>
          <w:b/>
          <w:bCs/>
          <w:lang w:val="en-US"/>
        </w:rPr>
      </w:pPr>
    </w:p>
    <w:p w14:paraId="33F2DB48" w14:textId="77777777" w:rsidR="00556CEF" w:rsidRPr="00F30EF3" w:rsidRDefault="00556CEF"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cstheme="minorHAnsi"/>
          <w:rtl/>
        </w:rPr>
      </w:pPr>
      <w:r w:rsidRPr="00F30EF3">
        <w:rPr>
          <w:rFonts w:cstheme="minorHAnsi"/>
          <w:rtl/>
        </w:rPr>
        <w:t>مكافأة إبداعات الباحثين والتقنيين والطلاب؛</w:t>
      </w:r>
    </w:p>
    <w:p w14:paraId="06D31A1F" w14:textId="77777777" w:rsidR="00EC5B4C" w:rsidRPr="00F30EF3"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cstheme="minorHAnsi"/>
          <w:rtl/>
        </w:rPr>
      </w:pPr>
      <w:r w:rsidRPr="00F30EF3">
        <w:rPr>
          <w:rFonts w:cstheme="minorHAnsi"/>
          <w:rtl/>
        </w:rPr>
        <w:t>تسهيل نقل المعرفة والتكنولوجيا إلى المجتمع؛</w:t>
      </w:r>
    </w:p>
    <w:p w14:paraId="6B9DDD3E" w14:textId="77777777" w:rsidR="00294B77" w:rsidRPr="00F30EF3"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cstheme="minorHAnsi"/>
          <w:rtl/>
        </w:rPr>
      </w:pPr>
      <w:r w:rsidRPr="00F30EF3">
        <w:rPr>
          <w:rFonts w:cstheme="minorHAnsi"/>
          <w:rtl/>
        </w:rPr>
        <w:t xml:space="preserve">تسهيل التطبيق العملي والاستخدام الاقتصادي للملكية الفكرية المنبثق من نتائج البحوث وغيرها من المصنفات الإبداعية </w:t>
      </w:r>
      <w:r w:rsidRPr="00F30EF3">
        <w:rPr>
          <w:rFonts w:cstheme="minorHAnsi"/>
          <w:rtl/>
        </w:rPr>
        <w:lastRenderedPageBreak/>
        <w:t>التي تنجزها المؤسسة لتحقيق منافع للمجتمع؛</w:t>
      </w:r>
    </w:p>
    <w:p w14:paraId="223D8664" w14:textId="77777777" w:rsidR="00EC5B4C" w:rsidRPr="00F30EF3"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cstheme="minorHAnsi"/>
          <w:rtl/>
        </w:rPr>
      </w:pPr>
      <w:r w:rsidRPr="00F30EF3">
        <w:rPr>
          <w:rFonts w:cstheme="minorHAnsi"/>
          <w:rtl/>
        </w:rPr>
        <w:t>تعزيز الروابط مع القطاعات الصناعية؛</w:t>
      </w:r>
    </w:p>
    <w:p w14:paraId="2D596F57" w14:textId="77777777" w:rsidR="001E7984" w:rsidRPr="00F30EF3"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cstheme="minorHAnsi"/>
          <w:rtl/>
        </w:rPr>
      </w:pPr>
      <w:r w:rsidRPr="00F30EF3">
        <w:rPr>
          <w:rFonts w:cstheme="minorHAnsi"/>
          <w:rtl/>
        </w:rPr>
        <w:t>تشجيع البحث والمنح الدراسية وروح الفضول، وبالتالي توليد معارف جديدة؛</w:t>
      </w:r>
    </w:p>
    <w:p w14:paraId="5B111B3F" w14:textId="77777777" w:rsidR="001E7984" w:rsidRPr="00F30EF3" w:rsidRDefault="001E7984"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cstheme="minorHAnsi"/>
          <w:rtl/>
        </w:rPr>
      </w:pPr>
      <w:r w:rsidRPr="00F30EF3">
        <w:rPr>
          <w:rFonts w:cstheme="minorHAnsi"/>
          <w:rtl/>
        </w:rPr>
        <w:t>وضع ثقافة ابتكارية تعزز إقامة الملكية الفكرية وتوفر إطاراً للنظر في إمكاناتها على الصعيد التجاري؛</w:t>
      </w:r>
    </w:p>
    <w:p w14:paraId="3A4F1408" w14:textId="77777777" w:rsidR="00EC5B4C" w:rsidRPr="00F30EF3"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cstheme="minorHAnsi"/>
          <w:rtl/>
        </w:rPr>
      </w:pPr>
      <w:r w:rsidRPr="00F30EF3">
        <w:rPr>
          <w:rFonts w:cstheme="minorHAnsi"/>
          <w:rtl/>
        </w:rPr>
        <w:t>ضمان توزيع النتائج التجارية والمنافع المالية أو غيرها من المنافع بطريقة عادلة ومنصفة تحفز وتقرّ بمساهمات المخترعين والمؤسسة وكذلك أصحاب المصلحة الآخرين؛</w:t>
      </w:r>
    </w:p>
    <w:p w14:paraId="06C05013" w14:textId="77777777" w:rsidR="00EC5B4C" w:rsidRPr="00F30EF3"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cstheme="minorHAnsi"/>
          <w:rtl/>
        </w:rPr>
      </w:pPr>
      <w:r w:rsidRPr="00F30EF3">
        <w:rPr>
          <w:rFonts w:cstheme="minorHAnsi"/>
          <w:rtl/>
        </w:rPr>
        <w:t>ضمان إتاحة الملكية الفكرية ومنتجات البحث الأخرى للجمهور من خلال عملية نقل التكنولوجيا الفعّالة وفي الوقت المناسب؛</w:t>
      </w:r>
    </w:p>
    <w:p w14:paraId="1ACCA23A" w14:textId="77777777" w:rsidR="001E7984" w:rsidRPr="00F30EF3"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cstheme="minorHAnsi"/>
          <w:rtl/>
        </w:rPr>
      </w:pPr>
      <w:r w:rsidRPr="00F30EF3">
        <w:rPr>
          <w:rFonts w:cstheme="minorHAnsi"/>
          <w:rtl/>
        </w:rPr>
        <w:t>تعزيز البحث والتحقيق العلميين والمحافظة عليهما والحث عليهما وتقديم المعونة لهما؛</w:t>
      </w:r>
    </w:p>
    <w:p w14:paraId="37783CD3" w14:textId="77777777" w:rsidR="001E7984" w:rsidRPr="00F30EF3" w:rsidRDefault="001E7984"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cstheme="minorHAnsi"/>
          <w:rtl/>
        </w:rPr>
      </w:pPr>
      <w:r w:rsidRPr="00F30EF3">
        <w:rPr>
          <w:rFonts w:cstheme="minorHAnsi"/>
          <w:rtl/>
        </w:rPr>
        <w:t>إتاحة فهم واضح لحقوق ومسؤوليات المؤسسة وموظفيها وطلابها وزوارها.</w:t>
      </w:r>
    </w:p>
    <w:p w14:paraId="1AC23582" w14:textId="77777777" w:rsidR="00EC5B4C" w:rsidRPr="00F30EF3" w:rsidRDefault="00EC5B4C" w:rsidP="009743BC">
      <w:pPr>
        <w:pStyle w:val="ListParagraph"/>
        <w:autoSpaceDE w:val="0"/>
        <w:autoSpaceDN w:val="0"/>
        <w:adjustRightInd w:val="0"/>
        <w:spacing w:after="0" w:line="240" w:lineRule="auto"/>
        <w:ind w:left="426"/>
        <w:jc w:val="both"/>
        <w:rPr>
          <w:rFonts w:cstheme="minorHAnsi"/>
          <w:lang w:val="en-US"/>
        </w:rPr>
      </w:pPr>
    </w:p>
    <w:p w14:paraId="278B8150" w14:textId="77777777" w:rsidR="00805049" w:rsidRPr="00F30EF3" w:rsidRDefault="00805049" w:rsidP="009743BC">
      <w:pPr>
        <w:pStyle w:val="ListParagraph"/>
        <w:autoSpaceDE w:val="0"/>
        <w:autoSpaceDN w:val="0"/>
        <w:adjustRightInd w:val="0"/>
        <w:spacing w:after="0" w:line="240" w:lineRule="auto"/>
        <w:ind w:left="426"/>
        <w:jc w:val="both"/>
        <w:rPr>
          <w:rFonts w:cstheme="minorHAnsi"/>
          <w:lang w:val="en-US"/>
        </w:rPr>
      </w:pPr>
    </w:p>
    <w:p w14:paraId="2DEC9FAC" w14:textId="77777777" w:rsidR="00AA4746" w:rsidRPr="00F30EF3" w:rsidRDefault="00AA4746" w:rsidP="00B7519E">
      <w:pPr>
        <w:pStyle w:val="ListParagraph"/>
        <w:autoSpaceDE w:val="0"/>
        <w:autoSpaceDN w:val="0"/>
        <w:adjustRightInd w:val="0"/>
        <w:spacing w:after="0" w:line="240" w:lineRule="auto"/>
        <w:ind w:left="0"/>
        <w:jc w:val="both"/>
        <w:rPr>
          <w:rFonts w:cstheme="minorHAnsi"/>
          <w:rtl/>
        </w:rPr>
      </w:pPr>
      <w:r w:rsidRPr="00F30EF3">
        <w:rPr>
          <w:rFonts w:cstheme="minorHAnsi"/>
          <w:rtl/>
        </w:rPr>
        <w:t xml:space="preserve">تحدد المواد 1.2.1 و2.2.1 و3.2.1 من النموذج ثلاثة أغراض عامة: تعزيز الاستخدام الواسع النطاق للملكية الفكرية للمؤسسة؛ ووضع قواعد لإدارة الملكية الفكرية بشكل استراتيجي وفعال؛ وضمان توازن المصالح.  </w:t>
      </w:r>
    </w:p>
    <w:p w14:paraId="69B65981" w14:textId="77777777" w:rsidR="00AA4746" w:rsidRPr="00F30EF3" w:rsidRDefault="00AA4746" w:rsidP="009743BC">
      <w:pPr>
        <w:pStyle w:val="ListParagraph"/>
        <w:autoSpaceDE w:val="0"/>
        <w:autoSpaceDN w:val="0"/>
        <w:adjustRightInd w:val="0"/>
        <w:spacing w:after="0" w:line="240" w:lineRule="auto"/>
        <w:ind w:left="426"/>
        <w:jc w:val="both"/>
        <w:rPr>
          <w:rFonts w:cstheme="minorHAnsi"/>
          <w:lang w:val="en-US"/>
        </w:rPr>
      </w:pPr>
    </w:p>
    <w:p w14:paraId="1394A9C5" w14:textId="7439A335" w:rsidR="0052367D" w:rsidRPr="00F30EF3" w:rsidRDefault="00960764" w:rsidP="009D4A54">
      <w:pPr>
        <w:pStyle w:val="ListParagraph"/>
        <w:numPr>
          <w:ilvl w:val="0"/>
          <w:numId w:val="13"/>
        </w:numPr>
        <w:shd w:val="clear" w:color="auto" w:fill="FFFFFF" w:themeFill="background1"/>
        <w:autoSpaceDE w:val="0"/>
        <w:autoSpaceDN w:val="0"/>
        <w:adjustRightInd w:val="0"/>
        <w:spacing w:after="0" w:line="240" w:lineRule="auto"/>
        <w:ind w:left="426" w:hanging="426"/>
        <w:jc w:val="both"/>
        <w:rPr>
          <w:rFonts w:cstheme="minorHAnsi"/>
          <w:rtl/>
        </w:rPr>
      </w:pPr>
      <w:r w:rsidRPr="00F30EF3">
        <w:rPr>
          <w:rFonts w:cstheme="minorHAnsi"/>
          <w:b/>
          <w:bCs/>
          <w:rtl/>
        </w:rPr>
        <w:t>المادة 1.2.1،</w:t>
      </w:r>
      <w:r w:rsidRPr="00F30EF3">
        <w:rPr>
          <w:rFonts w:cstheme="minorHAnsi"/>
          <w:b/>
          <w:bCs/>
          <w:i/>
          <w:iCs/>
          <w:rtl/>
        </w:rPr>
        <w:t xml:space="preserve"> استخدام الملكية الفكرية</w:t>
      </w:r>
      <w:r w:rsidRPr="00F30EF3">
        <w:rPr>
          <w:rFonts w:cstheme="minorHAnsi"/>
          <w:rtl/>
        </w:rPr>
        <w:t>: تسعى سياسة ملكية فكرية إلى تعزيز بيئة يتم فيها استخدام الاختراعات المفيدة أو المصنفات الإبداعية التي تتولد عن الموظفين والطلاب والزوار بطرق تضمن تحقيق أقصى قدر من المنفعة للمبدعين والمؤسسة والمجتمع ككل عن طريق نقل نتائج هذه البحوث لأطراف أخرى</w:t>
      </w:r>
      <w:r w:rsidR="00FF6CD3" w:rsidRPr="00F30EF3">
        <w:rPr>
          <w:rStyle w:val="FootnoteReference"/>
          <w:rFonts w:cstheme="minorHAnsi"/>
          <w:rtl/>
          <w:lang w:val="en-US"/>
        </w:rPr>
        <w:footnoteReference w:id="10"/>
      </w:r>
      <w:r w:rsidRPr="00F30EF3">
        <w:rPr>
          <w:rFonts w:cstheme="minorHAnsi"/>
          <w:rtl/>
        </w:rPr>
        <w:t>. وتشمل فرص النقل هذه الترخيص وأوجه التعاون البحثي والخدمات والاستشارات وإنشاء شركات جديدة تعتمد على الملكية الفكرية الخاصة بالمؤسسة (شركات منبثقة) أو استخدام الملكية الفكرية الخاصة بالمؤسسة في الشركات الناشئة القائمة.</w:t>
      </w:r>
    </w:p>
    <w:p w14:paraId="4941A05D" w14:textId="77777777" w:rsidR="00960764" w:rsidRPr="00F30EF3" w:rsidRDefault="00960764" w:rsidP="00734F31">
      <w:pPr>
        <w:pStyle w:val="ListParagraph"/>
        <w:autoSpaceDE w:val="0"/>
        <w:autoSpaceDN w:val="0"/>
        <w:adjustRightInd w:val="0"/>
        <w:spacing w:after="0" w:line="240" w:lineRule="auto"/>
        <w:ind w:left="426"/>
        <w:jc w:val="both"/>
        <w:rPr>
          <w:rFonts w:cstheme="minorHAnsi"/>
          <w:lang w:val="en-US"/>
        </w:rPr>
      </w:pPr>
    </w:p>
    <w:p w14:paraId="75B1F9A8" w14:textId="56787505" w:rsidR="00BD0CC6" w:rsidRPr="00F30EF3" w:rsidRDefault="00FC11ED" w:rsidP="009D4A54">
      <w:pPr>
        <w:pStyle w:val="ListParagraph"/>
        <w:numPr>
          <w:ilvl w:val="0"/>
          <w:numId w:val="13"/>
        </w:numPr>
        <w:shd w:val="clear" w:color="auto" w:fill="FFFFFF" w:themeFill="background1"/>
        <w:autoSpaceDE w:val="0"/>
        <w:autoSpaceDN w:val="0"/>
        <w:adjustRightInd w:val="0"/>
        <w:spacing w:after="0" w:line="240" w:lineRule="auto"/>
        <w:ind w:left="426" w:hanging="426"/>
        <w:jc w:val="both"/>
        <w:rPr>
          <w:rFonts w:cstheme="minorHAnsi"/>
          <w:rtl/>
        </w:rPr>
      </w:pPr>
      <w:r w:rsidRPr="00F30EF3">
        <w:rPr>
          <w:rFonts w:cstheme="minorHAnsi"/>
          <w:b/>
          <w:bCs/>
          <w:rtl/>
        </w:rPr>
        <w:t xml:space="preserve">المادة 2.2.1، </w:t>
      </w:r>
      <w:r w:rsidRPr="00F30EF3">
        <w:rPr>
          <w:rFonts w:cstheme="minorHAnsi"/>
          <w:b/>
          <w:bCs/>
          <w:i/>
          <w:iCs/>
          <w:rtl/>
        </w:rPr>
        <w:t>إدارة الملكية الفكرية</w:t>
      </w:r>
      <w:r w:rsidRPr="00F30EF3">
        <w:rPr>
          <w:rFonts w:cstheme="minorHAnsi"/>
          <w:rtl/>
        </w:rPr>
        <w:t xml:space="preserve">: تهدف سياسة الملكية الفكرية إلى وضع إجراءات شفافة لإدارة الملكية الفكرية. </w:t>
      </w:r>
    </w:p>
    <w:p w14:paraId="47C3951F" w14:textId="77777777" w:rsidR="0052367D" w:rsidRPr="00F30EF3" w:rsidRDefault="0052367D" w:rsidP="00B7519E">
      <w:pPr>
        <w:pStyle w:val="ListParagraph"/>
        <w:shd w:val="clear" w:color="auto" w:fill="FFFFFF" w:themeFill="background1"/>
        <w:autoSpaceDE w:val="0"/>
        <w:autoSpaceDN w:val="0"/>
        <w:adjustRightInd w:val="0"/>
        <w:spacing w:after="0" w:line="240" w:lineRule="auto"/>
        <w:ind w:left="426"/>
        <w:jc w:val="both"/>
        <w:rPr>
          <w:rFonts w:cstheme="minorHAnsi"/>
          <w:lang w:val="en-US"/>
        </w:rPr>
      </w:pPr>
    </w:p>
    <w:p w14:paraId="353CA01A" w14:textId="77777777" w:rsidR="00FF6CD3" w:rsidRPr="00F30EF3" w:rsidRDefault="00FF6CD3" w:rsidP="009D4A54">
      <w:pPr>
        <w:pStyle w:val="ListParagraph"/>
        <w:numPr>
          <w:ilvl w:val="1"/>
          <w:numId w:val="72"/>
        </w:numPr>
        <w:shd w:val="clear" w:color="auto" w:fill="FFFFFF" w:themeFill="background1"/>
        <w:autoSpaceDE w:val="0"/>
        <w:autoSpaceDN w:val="0"/>
        <w:adjustRightInd w:val="0"/>
        <w:spacing w:after="0" w:line="240" w:lineRule="auto"/>
        <w:ind w:left="851" w:hanging="425"/>
        <w:jc w:val="both"/>
        <w:rPr>
          <w:rFonts w:cstheme="minorHAnsi"/>
          <w:rtl/>
        </w:rPr>
      </w:pPr>
      <w:r w:rsidRPr="00F30EF3">
        <w:rPr>
          <w:rFonts w:cstheme="minorHAnsi"/>
          <w:color w:val="0070C0"/>
          <w:rtl/>
        </w:rPr>
        <w:t>الأهمية بالنسبة للباحثين</w:t>
      </w:r>
      <w:r w:rsidRPr="00F30EF3">
        <w:rPr>
          <w:rFonts w:cstheme="minorHAnsi"/>
          <w:rtl/>
        </w:rPr>
        <w:t xml:space="preserve"> - ستساعد سياسة الملكية الفكرية السليمة المؤسسة على تعيين مخرجات أبحاثها وحمايتها. ومن الأفضل أن تتضمن سياسة الملكية الفكرية أحكاماً للتحفيز على الإبداع والابتكارات واستقطابها لدى موظفيها وطلابها وزوارها. وينبغي أن تتضمن مبادئ توجيهية متعلقة بالتركيز الذي تسلّطه المؤسسة على المنافع المالية وغير المالية الناجمة عن نقل المعرفة. </w:t>
      </w:r>
    </w:p>
    <w:p w14:paraId="71D6D71D" w14:textId="77777777" w:rsidR="00177E70" w:rsidRPr="00F30EF3" w:rsidRDefault="00FF6CD3" w:rsidP="009D4A54">
      <w:pPr>
        <w:pStyle w:val="ListParagraph"/>
        <w:numPr>
          <w:ilvl w:val="1"/>
          <w:numId w:val="72"/>
        </w:numPr>
        <w:shd w:val="clear" w:color="auto" w:fill="FFFFFF" w:themeFill="background1"/>
        <w:autoSpaceDE w:val="0"/>
        <w:autoSpaceDN w:val="0"/>
        <w:adjustRightInd w:val="0"/>
        <w:spacing w:after="0" w:line="240" w:lineRule="auto"/>
        <w:ind w:left="851" w:hanging="425"/>
        <w:jc w:val="both"/>
        <w:rPr>
          <w:rFonts w:cstheme="minorHAnsi"/>
          <w:rtl/>
        </w:rPr>
      </w:pPr>
      <w:r w:rsidRPr="00F30EF3">
        <w:rPr>
          <w:rFonts w:cstheme="minorHAnsi"/>
          <w:color w:val="0070C0"/>
          <w:rtl/>
        </w:rPr>
        <w:t>الأهمية بالنسبة للمؤسسات</w:t>
      </w:r>
      <w:r w:rsidRPr="00F30EF3">
        <w:rPr>
          <w:rFonts w:cstheme="minorHAnsi"/>
          <w:rtl/>
        </w:rPr>
        <w:t xml:space="preserve"> – تعد سياسة الملكية الفكرية المنشورة ضرورية لتوفير الشفافية للشركات ورواد الأعمال الذين يرغبون في تسويق الملكية الفكرية التي تنشأ في المؤسسات. وينبغي أن تكون الشركات قادرة على النفاذ إلى الملكية الفكرية وتسويقها بسرعة، بشروط تقدم قيمة عادلة لجميع الأطراف، وبطرق يمكن توقعها وتكون متسقة ما بين عملية مفاوضات إلى ما بعدها.</w:t>
      </w:r>
    </w:p>
    <w:p w14:paraId="5A077349" w14:textId="77777777" w:rsidR="00177E70" w:rsidRPr="00F30EF3" w:rsidRDefault="00177E70" w:rsidP="00B7519E">
      <w:pPr>
        <w:shd w:val="clear" w:color="auto" w:fill="FFFFFF" w:themeFill="background1"/>
        <w:autoSpaceDE w:val="0"/>
        <w:autoSpaceDN w:val="0"/>
        <w:adjustRightInd w:val="0"/>
        <w:spacing w:after="0" w:line="240" w:lineRule="auto"/>
        <w:jc w:val="both"/>
        <w:rPr>
          <w:rFonts w:cstheme="minorHAnsi"/>
          <w:lang w:val="en-US"/>
        </w:rPr>
      </w:pPr>
    </w:p>
    <w:p w14:paraId="6ADEAC2E" w14:textId="355345CD" w:rsidR="00FF6CD3" w:rsidRPr="00F30EF3" w:rsidRDefault="001E7984" w:rsidP="009D4A54">
      <w:pPr>
        <w:pStyle w:val="ListParagraph"/>
        <w:numPr>
          <w:ilvl w:val="0"/>
          <w:numId w:val="13"/>
        </w:numPr>
        <w:tabs>
          <w:tab w:val="left" w:pos="426"/>
        </w:tabs>
        <w:autoSpaceDE w:val="0"/>
        <w:autoSpaceDN w:val="0"/>
        <w:adjustRightInd w:val="0"/>
        <w:spacing w:after="0" w:line="240" w:lineRule="auto"/>
        <w:ind w:left="426" w:hanging="426"/>
        <w:jc w:val="both"/>
        <w:rPr>
          <w:rFonts w:cstheme="minorHAnsi"/>
          <w:rtl/>
        </w:rPr>
      </w:pPr>
      <w:r w:rsidRPr="00F30EF3">
        <w:rPr>
          <w:rFonts w:cstheme="minorHAnsi"/>
          <w:b/>
          <w:bCs/>
          <w:rtl/>
        </w:rPr>
        <w:t xml:space="preserve">المادة 3.2.1 </w:t>
      </w:r>
      <w:r w:rsidRPr="00F30EF3">
        <w:rPr>
          <w:rFonts w:cstheme="minorHAnsi"/>
          <w:b/>
          <w:bCs/>
          <w:i/>
          <w:iCs/>
          <w:rtl/>
        </w:rPr>
        <w:t>توازن المصالح</w:t>
      </w:r>
      <w:r w:rsidRPr="00F30EF3">
        <w:rPr>
          <w:rFonts w:cstheme="minorHAnsi"/>
          <w:rtl/>
        </w:rPr>
        <w:t>:</w:t>
      </w:r>
      <w:r w:rsidRPr="00F30EF3">
        <w:rPr>
          <w:rFonts w:cstheme="minorHAnsi"/>
          <w:i/>
          <w:iCs/>
          <w:rtl/>
        </w:rPr>
        <w:t xml:space="preserve"> </w:t>
      </w:r>
      <w:r w:rsidRPr="00F30EF3">
        <w:rPr>
          <w:rFonts w:cstheme="minorHAnsi"/>
          <w:rtl/>
        </w:rPr>
        <w:t xml:space="preserve">من الضروري أن نضع في الاعتبار أن الحفاظ على تقاليد المؤسسة (بما في ذلك الحرية الأكاديمية، والمنح الدراسية، والبحث، والحوكمة المشتركة، ونقل المعرفة عن طريق النشر) والتسويق القائم على الملكية الفكرية كلها أمور يمكن أن تتسم بالتكامل البالغ. وفي الواقع، فإن سياسة الملكية الفكرية الفعّالة ستضمن تكامل هذه المساعي التي تسير جنباً إلى جنب.  </w:t>
      </w:r>
    </w:p>
    <w:p w14:paraId="7B8059CB" w14:textId="77777777" w:rsidR="00805049" w:rsidRPr="00F30EF3" w:rsidRDefault="00805049" w:rsidP="00B7519E">
      <w:pPr>
        <w:tabs>
          <w:tab w:val="left" w:pos="426"/>
        </w:tabs>
        <w:autoSpaceDE w:val="0"/>
        <w:autoSpaceDN w:val="0"/>
        <w:adjustRightInd w:val="0"/>
        <w:spacing w:after="0" w:line="240" w:lineRule="auto"/>
        <w:jc w:val="both"/>
        <w:rPr>
          <w:rFonts w:cstheme="minorHAnsi"/>
          <w:lang w:val="en-US"/>
        </w:rPr>
      </w:pPr>
    </w:p>
    <w:p w14:paraId="0601AEF8" w14:textId="77777777" w:rsidR="00C36B60" w:rsidRPr="00F30EF3" w:rsidRDefault="00C36B60" w:rsidP="009D4A54">
      <w:pPr>
        <w:pStyle w:val="ListParagraph"/>
        <w:numPr>
          <w:ilvl w:val="0"/>
          <w:numId w:val="13"/>
        </w:numPr>
        <w:tabs>
          <w:tab w:val="left" w:pos="426"/>
        </w:tabs>
        <w:autoSpaceDE w:val="0"/>
        <w:autoSpaceDN w:val="0"/>
        <w:adjustRightInd w:val="0"/>
        <w:spacing w:after="0" w:line="240" w:lineRule="auto"/>
        <w:ind w:left="426" w:hanging="426"/>
        <w:jc w:val="both"/>
        <w:rPr>
          <w:rFonts w:cstheme="minorHAnsi"/>
          <w:rtl/>
        </w:rPr>
      </w:pPr>
      <w:r w:rsidRPr="00F30EF3">
        <w:rPr>
          <w:rFonts w:cstheme="minorHAnsi"/>
          <w:b/>
          <w:bCs/>
          <w:rtl/>
        </w:rPr>
        <w:t>الخيار:</w:t>
      </w:r>
      <w:r w:rsidRPr="00F30EF3">
        <w:rPr>
          <w:rFonts w:cstheme="minorHAnsi"/>
          <w:rtl/>
        </w:rPr>
        <w:t xml:space="preserve"> يمكن إضافة المزيد من المواد لتوضيح الهدف من السياسة بشكل أكبر. على سبيل المثال:</w:t>
      </w:r>
    </w:p>
    <w:p w14:paraId="09A21B11" w14:textId="77777777" w:rsidR="00805049" w:rsidRPr="00F30EF3" w:rsidRDefault="00805049" w:rsidP="00B7519E">
      <w:pPr>
        <w:pStyle w:val="ListParagraph"/>
        <w:tabs>
          <w:tab w:val="left" w:pos="426"/>
        </w:tabs>
        <w:autoSpaceDE w:val="0"/>
        <w:autoSpaceDN w:val="0"/>
        <w:adjustRightInd w:val="0"/>
        <w:spacing w:after="0" w:line="240" w:lineRule="auto"/>
        <w:ind w:left="426"/>
        <w:jc w:val="both"/>
        <w:rPr>
          <w:rFonts w:cstheme="minorHAnsi"/>
          <w:b/>
          <w:bCs/>
          <w:lang w:val="en-US"/>
        </w:rPr>
      </w:pPr>
    </w:p>
    <w:p w14:paraId="2AF50CC8" w14:textId="77777777" w:rsidR="00D33173" w:rsidRPr="00F30EF3" w:rsidRDefault="00D33173" w:rsidP="00B7519E">
      <w:pPr>
        <w:tabs>
          <w:tab w:val="left" w:pos="851"/>
        </w:tabs>
        <w:spacing w:after="0" w:line="240" w:lineRule="auto"/>
        <w:ind w:left="852"/>
        <w:jc w:val="both"/>
        <w:rPr>
          <w:rFonts w:cstheme="minorHAnsi"/>
          <w:i/>
          <w:iCs/>
          <w:rtl/>
        </w:rPr>
      </w:pPr>
      <w:r w:rsidRPr="00F30EF3">
        <w:rPr>
          <w:rFonts w:cstheme="minorHAnsi"/>
          <w:i/>
          <w:iCs/>
          <w:rtl/>
        </w:rPr>
        <w:t>2.1.</w:t>
      </w:r>
      <w:r w:rsidRPr="00F30EF3">
        <w:rPr>
          <w:rFonts w:cstheme="minorHAnsi"/>
          <w:i/>
          <w:iCs/>
        </w:rPr>
        <w:t>X</w:t>
      </w:r>
      <w:r w:rsidRPr="00F30EF3">
        <w:rPr>
          <w:rFonts w:cstheme="minorHAnsi"/>
          <w:i/>
          <w:iCs/>
          <w:rtl/>
        </w:rPr>
        <w:t xml:space="preserve">. </w:t>
      </w:r>
      <w:r w:rsidRPr="00F30EF3">
        <w:rPr>
          <w:rFonts w:cstheme="minorHAnsi"/>
          <w:b/>
          <w:bCs/>
          <w:i/>
          <w:iCs/>
          <w:rtl/>
        </w:rPr>
        <w:t>الحقوق والمسؤوليات</w:t>
      </w:r>
      <w:r w:rsidRPr="00F30EF3">
        <w:rPr>
          <w:rFonts w:cstheme="minorHAnsi"/>
          <w:i/>
          <w:iCs/>
          <w:rtl/>
        </w:rPr>
        <w:t>. تحدد سياسة الملكية الفكرية موقف المؤسسة فيما يتعلق بملكية الملكية الفكرية واستخدامها (احترام القواعد القانونية الملزمة/ التطبيقية وأنظمة الملكية)، والاعتراف بالمبدعين ومكافأتهم، وحقوق ومسؤوليات جميع الأطراف. وتحدد كذلك قواعد المؤسسة للتعاون مع المنظمات الصناعية وغيرها من المنظمات وتقدم مبادئ توجيهية بشأن تقاسم المنافع الناشئة عن تسويق الملكية الفكرية.</w:t>
      </w:r>
    </w:p>
    <w:p w14:paraId="15F81193" w14:textId="77777777" w:rsidR="00AD45A8" w:rsidRPr="00F30EF3" w:rsidRDefault="00AD45A8" w:rsidP="00B7519E">
      <w:pPr>
        <w:tabs>
          <w:tab w:val="left" w:pos="851"/>
        </w:tabs>
        <w:spacing w:after="0" w:line="240" w:lineRule="auto"/>
        <w:jc w:val="both"/>
        <w:rPr>
          <w:rFonts w:cstheme="minorHAnsi"/>
          <w:i/>
          <w:iCs/>
          <w:lang w:val="en-US"/>
        </w:rPr>
      </w:pPr>
    </w:p>
    <w:p w14:paraId="68C701BA" w14:textId="77777777" w:rsidR="00AD45A8" w:rsidRPr="00F30EF3" w:rsidRDefault="00AD45A8" w:rsidP="009D4A54">
      <w:pPr>
        <w:pStyle w:val="ListParagraph"/>
        <w:numPr>
          <w:ilvl w:val="0"/>
          <w:numId w:val="13"/>
        </w:numPr>
        <w:tabs>
          <w:tab w:val="left" w:pos="426"/>
        </w:tabs>
        <w:autoSpaceDE w:val="0"/>
        <w:autoSpaceDN w:val="0"/>
        <w:adjustRightInd w:val="0"/>
        <w:spacing w:after="0" w:line="240" w:lineRule="auto"/>
        <w:ind w:left="426" w:hanging="426"/>
        <w:jc w:val="both"/>
        <w:rPr>
          <w:rFonts w:cstheme="minorHAnsi"/>
          <w:rtl/>
        </w:rPr>
      </w:pPr>
      <w:r w:rsidRPr="00F30EF3">
        <w:rPr>
          <w:rFonts w:cstheme="minorHAnsi"/>
          <w:b/>
          <w:bCs/>
          <w:rtl/>
        </w:rPr>
        <w:t>الخيار:</w:t>
      </w:r>
      <w:r w:rsidRPr="00F30EF3">
        <w:rPr>
          <w:rFonts w:cstheme="minorHAnsi"/>
          <w:rtl/>
        </w:rPr>
        <w:t xml:space="preserve"> تمتلك بعض البلدان "مبادئ توجيهية" أو "مبادئ" أو "ممارسات فضلى" أو "مدونة ممارسات" وطنية لإدارة الملكية الفكرية فيما يخص أنشطة نقل المعرفة (للاطلاع على مجموعة من هذه المبادئ التوجيهية، انظر </w:t>
      </w:r>
      <w:hyperlink w:anchor="Box6" w:history="1">
        <w:r w:rsidRPr="00F30EF3">
          <w:rPr>
            <w:rStyle w:val="Hyperlink"/>
            <w:rFonts w:cstheme="minorHAnsi"/>
            <w:rtl/>
          </w:rPr>
          <w:t>الإطار 6</w:t>
        </w:r>
      </w:hyperlink>
      <w:r w:rsidRPr="00F30EF3">
        <w:rPr>
          <w:rStyle w:val="Hyperlink"/>
          <w:rFonts w:cstheme="minorHAnsi"/>
          <w:rtl/>
        </w:rPr>
        <w:t>)</w:t>
      </w:r>
      <w:r w:rsidRPr="00F30EF3">
        <w:rPr>
          <w:rFonts w:cstheme="minorHAnsi"/>
          <w:rtl/>
        </w:rPr>
        <w:t xml:space="preserve">. وإذا كانت مؤسستك تؤيد أياً من هذه المبادئ التوجيهية، فمن المستحسن الإحالة إليها في تمهيد سياسة الملكية الفكرية: </w:t>
      </w:r>
    </w:p>
    <w:p w14:paraId="359A27CB" w14:textId="77777777" w:rsidR="00AD45A8" w:rsidRPr="00F30EF3" w:rsidRDefault="00AD45A8" w:rsidP="00B7519E">
      <w:pPr>
        <w:spacing w:before="100" w:beforeAutospacing="1" w:after="0" w:line="240" w:lineRule="auto"/>
        <w:ind w:left="851"/>
        <w:jc w:val="both"/>
        <w:rPr>
          <w:rFonts w:cstheme="minorHAnsi"/>
          <w:i/>
          <w:iCs/>
          <w:rtl/>
        </w:rPr>
      </w:pPr>
      <w:r w:rsidRPr="00F30EF3">
        <w:rPr>
          <w:rFonts w:cstheme="minorHAnsi"/>
          <w:i/>
          <w:iCs/>
          <w:rtl/>
        </w:rPr>
        <w:lastRenderedPageBreak/>
        <w:t>2.1.</w:t>
      </w:r>
      <w:r w:rsidRPr="00F30EF3">
        <w:rPr>
          <w:rFonts w:cstheme="minorHAnsi"/>
          <w:i/>
          <w:iCs/>
        </w:rPr>
        <w:t>X</w:t>
      </w:r>
      <w:r w:rsidRPr="00F30EF3">
        <w:rPr>
          <w:rFonts w:cstheme="minorHAnsi"/>
          <w:i/>
          <w:iCs/>
          <w:rtl/>
        </w:rPr>
        <w:t xml:space="preserve">. </w:t>
      </w:r>
      <w:r w:rsidRPr="00F30EF3">
        <w:rPr>
          <w:rFonts w:cstheme="minorHAnsi"/>
          <w:b/>
          <w:bCs/>
          <w:i/>
          <w:iCs/>
          <w:rtl/>
        </w:rPr>
        <w:t>الامتثال للممارسات الفضلى الوطنية</w:t>
      </w:r>
      <w:r w:rsidRPr="00F30EF3">
        <w:rPr>
          <w:rFonts w:cstheme="minorHAnsi"/>
          <w:i/>
          <w:iCs/>
          <w:rtl/>
        </w:rPr>
        <w:t>. تساعد سياسة الملكية الفكرية المؤسسة على الامتثال لما يكون من [</w:t>
      </w:r>
      <w:r w:rsidRPr="00F30EF3">
        <w:rPr>
          <w:rFonts w:cstheme="minorHAnsi"/>
          <w:i/>
          <w:iCs/>
          <w:shd w:val="clear" w:color="auto" w:fill="D9D9D9" w:themeFill="background1" w:themeFillShade="D9"/>
          <w:rtl/>
        </w:rPr>
        <w:t>مسمى ما يتصل من مبادئ توجيهية أو مبادئ أو ممارسات فضلى أو مدونة ممارسات وطنية لإدارة الملكية الفكرية</w:t>
      </w:r>
      <w:r w:rsidRPr="00F30EF3">
        <w:rPr>
          <w:rFonts w:cstheme="minorHAnsi"/>
          <w:i/>
          <w:iCs/>
          <w:rtl/>
        </w:rPr>
        <w:t>].</w:t>
      </w:r>
    </w:p>
    <w:p w14:paraId="75F56DCF" w14:textId="77777777" w:rsidR="00C6392C" w:rsidRPr="00F30EF3" w:rsidRDefault="00C6392C" w:rsidP="00B7519E">
      <w:pPr>
        <w:tabs>
          <w:tab w:val="left" w:pos="851"/>
        </w:tabs>
        <w:spacing w:after="0" w:line="240" w:lineRule="auto"/>
        <w:jc w:val="both"/>
        <w:rPr>
          <w:rFonts w:cstheme="minorHAnsi"/>
          <w:i/>
          <w:iCs/>
          <w:lang w:val="en-US"/>
        </w:rPr>
      </w:pPr>
    </w:p>
    <w:p w14:paraId="6382A0F2" w14:textId="77777777" w:rsidR="0007179C" w:rsidRPr="00F30EF3" w:rsidRDefault="0007179C" w:rsidP="00B7519E">
      <w:pPr>
        <w:tabs>
          <w:tab w:val="left" w:pos="851"/>
        </w:tabs>
        <w:spacing w:after="0" w:line="240" w:lineRule="auto"/>
        <w:jc w:val="both"/>
        <w:rPr>
          <w:rFonts w:cstheme="minorHAnsi"/>
          <w:i/>
          <w:iCs/>
          <w:lang w:val="en-US"/>
        </w:rPr>
      </w:pPr>
    </w:p>
    <w:p w14:paraId="256562C5" w14:textId="3698F90F" w:rsidR="0007179C" w:rsidRPr="00F30EF3" w:rsidRDefault="0007179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cstheme="minorHAnsi"/>
          <w:b/>
          <w:bCs/>
          <w:rtl/>
        </w:rPr>
      </w:pPr>
      <w:r w:rsidRPr="00F30EF3">
        <w:rPr>
          <w:rFonts w:cstheme="minorHAnsi"/>
          <w:b/>
          <w:bCs/>
          <w:rtl/>
        </w:rPr>
        <w:t xml:space="preserve">الإطار </w:t>
      </w:r>
      <w:r w:rsidR="00F344FA" w:rsidRPr="00F30EF3">
        <w:rPr>
          <w:rFonts w:cstheme="minorHAnsi"/>
          <w:b/>
          <w:bCs/>
        </w:rPr>
        <w:t>.3</w:t>
      </w:r>
      <w:r w:rsidRPr="00F30EF3">
        <w:rPr>
          <w:rFonts w:cstheme="minorHAnsi"/>
          <w:b/>
          <w:bCs/>
          <w:rtl/>
        </w:rPr>
        <w:t xml:space="preserve"> الدوافع الشائعة للمؤسسات لتسويق الملكية الفكرية وتعزيز مبادرات البحوث التعاونية</w:t>
      </w:r>
    </w:p>
    <w:p w14:paraId="3D8AE6E6" w14:textId="77777777" w:rsidR="0007179C" w:rsidRPr="00F30EF3" w:rsidRDefault="0007179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cstheme="minorHAnsi"/>
          <w:b/>
          <w:bCs/>
          <w:lang w:val="en-US"/>
        </w:rPr>
      </w:pPr>
    </w:p>
    <w:p w14:paraId="14C8DC66" w14:textId="77777777" w:rsidR="0007179C" w:rsidRPr="00F30EF3" w:rsidRDefault="0007179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cstheme="minorHAnsi"/>
          <w:b/>
          <w:bCs/>
          <w:rtl/>
        </w:rPr>
      </w:pPr>
      <w:r w:rsidRPr="00F30EF3">
        <w:rPr>
          <w:rFonts w:cstheme="minorHAnsi"/>
          <w:rtl/>
        </w:rPr>
        <w:t>تدفع المؤسسات مجموعة متنوعة من الأسباب لإنشاء برنامج للتسويق وتنفيذ مبادرات بحوث تعاونية، تدعمها سياسة تمكينية للملكية الفكرية. وتتمثل الفرص الرئيسية الناشئة عن هذه الأنشطة في:</w:t>
      </w:r>
    </w:p>
    <w:p w14:paraId="78BBFC88" w14:textId="77777777" w:rsidR="0007179C" w:rsidRPr="00F30EF3" w:rsidRDefault="0007179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cstheme="minorHAnsi"/>
          <w:b/>
          <w:bCs/>
          <w:lang w:val="en-US"/>
        </w:rPr>
      </w:pPr>
    </w:p>
    <w:p w14:paraId="5ED3F88C" w14:textId="77777777" w:rsidR="00425802" w:rsidRPr="00F30EF3"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cstheme="minorHAnsi"/>
          <w:rtl/>
        </w:rPr>
      </w:pPr>
      <w:r w:rsidRPr="00F30EF3">
        <w:rPr>
          <w:rFonts w:cstheme="minorHAnsi"/>
          <w:rtl/>
        </w:rPr>
        <w:t>تعزيز القدرة التنافسية للمنطقة؛</w:t>
      </w:r>
    </w:p>
    <w:p w14:paraId="04F2F88A" w14:textId="77777777" w:rsidR="00425802" w:rsidRPr="00F30EF3"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cstheme="minorHAnsi"/>
          <w:rtl/>
        </w:rPr>
      </w:pPr>
      <w:r w:rsidRPr="00F30EF3">
        <w:rPr>
          <w:rFonts w:cstheme="minorHAnsi"/>
          <w:rtl/>
        </w:rPr>
        <w:t>ومعالجة التحديات المجتمعية</w:t>
      </w:r>
      <w:r w:rsidR="0094117F" w:rsidRPr="00F30EF3">
        <w:rPr>
          <w:rStyle w:val="FootnoteReference"/>
          <w:rFonts w:cstheme="minorHAnsi"/>
          <w:rtl/>
          <w:lang w:val="en-US"/>
        </w:rPr>
        <w:footnoteReference w:id="11"/>
      </w:r>
      <w:r w:rsidRPr="00F30EF3">
        <w:rPr>
          <w:rFonts w:cstheme="minorHAnsi"/>
          <w:rtl/>
        </w:rPr>
        <w:t xml:space="preserve"> وتعظيم تأثير البحث على المستوى المجتمعي؛</w:t>
      </w:r>
    </w:p>
    <w:p w14:paraId="78358C43" w14:textId="77777777" w:rsidR="00425802" w:rsidRPr="00F30EF3"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cstheme="minorHAnsi"/>
          <w:rtl/>
        </w:rPr>
      </w:pPr>
      <w:r w:rsidRPr="00F30EF3">
        <w:rPr>
          <w:rFonts w:cstheme="minorHAnsi"/>
          <w:rtl/>
        </w:rPr>
        <w:t>وتوسيع نطاق مصادر تمويل البحوث في المؤسسة</w:t>
      </w:r>
      <w:r w:rsidR="0094117F" w:rsidRPr="00F30EF3">
        <w:rPr>
          <w:rStyle w:val="FootnoteReference"/>
          <w:rFonts w:cstheme="minorHAnsi"/>
          <w:rtl/>
          <w:lang w:val="en-US"/>
        </w:rPr>
        <w:footnoteReference w:id="12"/>
      </w:r>
      <w:r w:rsidRPr="00F30EF3">
        <w:rPr>
          <w:rFonts w:cstheme="minorHAnsi"/>
          <w:rtl/>
        </w:rPr>
        <w:t>؛</w:t>
      </w:r>
    </w:p>
    <w:p w14:paraId="3952E724" w14:textId="77777777" w:rsidR="00425802" w:rsidRPr="00F30EF3"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cstheme="minorHAnsi"/>
          <w:rtl/>
        </w:rPr>
      </w:pPr>
      <w:r w:rsidRPr="00F30EF3">
        <w:rPr>
          <w:rFonts w:cstheme="minorHAnsi"/>
          <w:rtl/>
        </w:rPr>
        <w:t>وتعزيز سمعة المؤسسة وتصنيفها</w:t>
      </w:r>
      <w:r w:rsidR="001432FC" w:rsidRPr="00F30EF3">
        <w:rPr>
          <w:rStyle w:val="FootnoteReference"/>
          <w:rFonts w:cstheme="minorHAnsi"/>
          <w:rtl/>
          <w:lang w:val="en-US"/>
        </w:rPr>
        <w:footnoteReference w:id="13"/>
      </w:r>
      <w:r w:rsidRPr="00F30EF3">
        <w:rPr>
          <w:rFonts w:cstheme="minorHAnsi"/>
          <w:rtl/>
        </w:rPr>
        <w:t>؛</w:t>
      </w:r>
    </w:p>
    <w:p w14:paraId="3C7A3335" w14:textId="77777777" w:rsidR="00425802" w:rsidRPr="00F30EF3"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cstheme="minorHAnsi"/>
          <w:rtl/>
        </w:rPr>
      </w:pPr>
      <w:r w:rsidRPr="00F30EF3">
        <w:rPr>
          <w:rFonts w:cstheme="minorHAnsi"/>
          <w:rtl/>
        </w:rPr>
        <w:t>والاستفادة من الشراكات الصناعية من حيث تحسين جودة برامج البحث</w:t>
      </w:r>
      <w:r w:rsidRPr="00F30EF3">
        <w:rPr>
          <w:rStyle w:val="FootnoteReference"/>
          <w:rFonts w:cstheme="minorHAnsi"/>
          <w:rtl/>
          <w:lang w:val="en-US"/>
        </w:rPr>
        <w:footnoteReference w:id="14"/>
      </w:r>
      <w:r w:rsidRPr="00F30EF3">
        <w:rPr>
          <w:rFonts w:cstheme="minorHAnsi"/>
          <w:rtl/>
        </w:rPr>
        <w:t>، وتعزيز التدريس</w:t>
      </w:r>
      <w:r w:rsidR="001432FC" w:rsidRPr="00F30EF3">
        <w:rPr>
          <w:rStyle w:val="FootnoteReference"/>
          <w:rFonts w:cstheme="minorHAnsi"/>
          <w:rtl/>
          <w:lang w:val="en-US"/>
        </w:rPr>
        <w:footnoteReference w:id="15"/>
      </w:r>
      <w:r w:rsidRPr="00F30EF3">
        <w:rPr>
          <w:rFonts w:cstheme="minorHAnsi"/>
          <w:rtl/>
        </w:rPr>
        <w:t>، وتهيئة فرص عمل لأعضاء هيئة التدريس/ الطلاب</w:t>
      </w:r>
      <w:r w:rsidR="001432FC" w:rsidRPr="00F30EF3">
        <w:rPr>
          <w:rStyle w:val="FootnoteReference"/>
          <w:rFonts w:cstheme="minorHAnsi"/>
          <w:rtl/>
          <w:lang w:val="en-US"/>
        </w:rPr>
        <w:footnoteReference w:id="16"/>
      </w:r>
      <w:r w:rsidRPr="00F30EF3">
        <w:rPr>
          <w:rFonts w:cstheme="minorHAnsi"/>
          <w:rtl/>
        </w:rPr>
        <w:t>، وتحسين التنقل بين القطاعات والنفاذ إلى البيانات التجريبية من القطاع الصناعي؛</w:t>
      </w:r>
    </w:p>
    <w:p w14:paraId="370B5E02" w14:textId="77777777" w:rsidR="001432FC" w:rsidRPr="00F30EF3" w:rsidRDefault="001432FC"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cstheme="minorHAnsi"/>
          <w:rtl/>
        </w:rPr>
      </w:pPr>
      <w:r w:rsidRPr="00F30EF3">
        <w:rPr>
          <w:rFonts w:cstheme="minorHAnsi"/>
          <w:rtl/>
        </w:rPr>
        <w:t>استقطاب المواهب الرئيسية.</w:t>
      </w:r>
      <w:r w:rsidRPr="00F30EF3">
        <w:rPr>
          <w:rStyle w:val="FootnoteReference"/>
          <w:rFonts w:cstheme="minorHAnsi"/>
          <w:rtl/>
          <w:lang w:val="en-US"/>
        </w:rPr>
        <w:footnoteReference w:id="17"/>
      </w:r>
    </w:p>
    <w:p w14:paraId="4A223FD4" w14:textId="77777777" w:rsidR="001432FC" w:rsidRPr="00F30EF3" w:rsidRDefault="001432F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cstheme="minorHAnsi"/>
          <w:lang w:val="en-US"/>
        </w:rPr>
      </w:pPr>
    </w:p>
    <w:p w14:paraId="1EF77E56" w14:textId="77777777" w:rsidR="0007179C" w:rsidRPr="00F30EF3" w:rsidRDefault="001432F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cstheme="minorHAnsi"/>
          <w:i/>
          <w:iCs/>
          <w:rtl/>
        </w:rPr>
      </w:pPr>
      <w:r w:rsidRPr="00F30EF3">
        <w:rPr>
          <w:rFonts w:cstheme="minorHAnsi"/>
          <w:rtl/>
        </w:rPr>
        <w:t xml:space="preserve">لمزيد من المعلومات، انظر </w:t>
      </w:r>
      <w:hyperlink r:id="rId10" w:history="1">
        <w:r w:rsidRPr="00F30EF3">
          <w:rPr>
            <w:rStyle w:val="Hyperlink"/>
            <w:rFonts w:cstheme="minorHAnsi"/>
            <w:rtl/>
          </w:rPr>
          <w:t>القائمة المرجعية لواضعي السياسات</w:t>
        </w:r>
      </w:hyperlink>
      <w:r w:rsidRPr="00F30EF3">
        <w:rPr>
          <w:rFonts w:cstheme="minorHAnsi"/>
          <w:rtl/>
        </w:rPr>
        <w:t xml:space="preserve">، القائمة المرجعية 2. </w:t>
      </w:r>
    </w:p>
    <w:p w14:paraId="17B66650" w14:textId="77777777" w:rsidR="00B6410E" w:rsidRPr="00F30EF3" w:rsidRDefault="005506B7" w:rsidP="00B7519E">
      <w:pPr>
        <w:pStyle w:val="Heading3"/>
        <w:spacing w:before="360"/>
        <w:rPr>
          <w:rFonts w:asciiTheme="minorHAnsi" w:hAnsiTheme="minorHAnsi" w:cstheme="minorHAnsi"/>
          <w:sz w:val="24"/>
          <w:szCs w:val="24"/>
          <w:rtl/>
        </w:rPr>
      </w:pPr>
      <w:bookmarkStart w:id="36" w:name="_Article_1.3_–"/>
      <w:bookmarkStart w:id="37" w:name="_Toc494115942"/>
      <w:bookmarkStart w:id="38" w:name="_Toc516160038"/>
      <w:bookmarkStart w:id="39" w:name="_Toc516219381"/>
      <w:bookmarkStart w:id="40" w:name="_Toc516496023"/>
      <w:bookmarkStart w:id="41" w:name="_Toc516829395"/>
      <w:bookmarkEnd w:id="36"/>
      <w:r w:rsidRPr="00F30EF3">
        <w:rPr>
          <w:rFonts w:asciiTheme="minorHAnsi" w:hAnsiTheme="minorHAnsi" w:cstheme="minorHAnsi"/>
          <w:sz w:val="24"/>
          <w:szCs w:val="24"/>
          <w:rtl/>
        </w:rPr>
        <w:t>المادة 3.1 - المبادئ العامة</w:t>
      </w:r>
      <w:bookmarkEnd w:id="37"/>
      <w:bookmarkEnd w:id="38"/>
      <w:bookmarkEnd w:id="39"/>
      <w:bookmarkEnd w:id="40"/>
      <w:bookmarkEnd w:id="41"/>
    </w:p>
    <w:p w14:paraId="4B7FBFF6" w14:textId="77777777" w:rsidR="001B0C79" w:rsidRPr="00F30EF3" w:rsidRDefault="00D308CC" w:rsidP="00B7519E">
      <w:pPr>
        <w:shd w:val="clear" w:color="auto" w:fill="FFFFFF" w:themeFill="background1"/>
        <w:tabs>
          <w:tab w:val="left" w:pos="426"/>
        </w:tabs>
        <w:autoSpaceDE w:val="0"/>
        <w:autoSpaceDN w:val="0"/>
        <w:adjustRightInd w:val="0"/>
        <w:spacing w:after="0" w:line="240" w:lineRule="auto"/>
        <w:jc w:val="both"/>
        <w:rPr>
          <w:rFonts w:cstheme="minorHAnsi"/>
          <w:rtl/>
        </w:rPr>
      </w:pPr>
      <w:r w:rsidRPr="00F30EF3">
        <w:rPr>
          <w:rFonts w:cstheme="minorHAnsi"/>
          <w:rtl/>
        </w:rPr>
        <w:t xml:space="preserve">هذا القسم ليس ضرورياً، بيد أنه ذو فائدة في تقديم بيانات مبادئ موجزة غير إلزامية والتي قد لا تكون مناسبة في نص السياسة. وفي هذا السياق، تنص المادة 3.1 من النموذج على بعض المبادئ التي تعتزم المؤسسة وضعها في الاعتبار، في حال وجود فرص لتسويق أي ملكية فكرية تنشأ عن البحث. </w:t>
      </w:r>
    </w:p>
    <w:p w14:paraId="7EF42358" w14:textId="77777777" w:rsidR="000B2058" w:rsidRPr="00F30EF3" w:rsidRDefault="000B2058" w:rsidP="00B7519E">
      <w:pPr>
        <w:shd w:val="clear" w:color="auto" w:fill="FFFFFF" w:themeFill="background1"/>
        <w:tabs>
          <w:tab w:val="left" w:pos="426"/>
        </w:tabs>
        <w:autoSpaceDE w:val="0"/>
        <w:autoSpaceDN w:val="0"/>
        <w:adjustRightInd w:val="0"/>
        <w:spacing w:after="0" w:line="240" w:lineRule="auto"/>
        <w:jc w:val="both"/>
        <w:rPr>
          <w:rFonts w:cstheme="minorHAnsi"/>
          <w:lang w:val="en-US"/>
        </w:rPr>
      </w:pPr>
    </w:p>
    <w:p w14:paraId="76FCE525" w14:textId="25978599" w:rsidR="00960B9A" w:rsidRPr="00F30EF3" w:rsidRDefault="00063808" w:rsidP="00464282">
      <w:pPr>
        <w:pStyle w:val="ListParagraph"/>
        <w:numPr>
          <w:ilvl w:val="1"/>
          <w:numId w:val="3"/>
        </w:numPr>
        <w:shd w:val="clear" w:color="auto" w:fill="FFFFFF" w:themeFill="background1"/>
        <w:tabs>
          <w:tab w:val="left" w:pos="426"/>
        </w:tabs>
        <w:autoSpaceDE w:val="0"/>
        <w:autoSpaceDN w:val="0"/>
        <w:adjustRightInd w:val="0"/>
        <w:spacing w:after="0" w:line="240" w:lineRule="auto"/>
        <w:ind w:left="426" w:hanging="426"/>
        <w:jc w:val="both"/>
        <w:rPr>
          <w:rFonts w:cstheme="minorHAnsi"/>
          <w:rtl/>
        </w:rPr>
      </w:pPr>
      <w:bookmarkStart w:id="42" w:name="Article1p3p1"/>
      <w:r w:rsidRPr="00F30EF3">
        <w:rPr>
          <w:rFonts w:cstheme="minorHAnsi"/>
          <w:b/>
          <w:bCs/>
          <w:rtl/>
        </w:rPr>
        <w:t>المادة 1.3.1</w:t>
      </w:r>
      <w:bookmarkEnd w:id="42"/>
      <w:r w:rsidRPr="00F30EF3">
        <w:rPr>
          <w:rFonts w:cstheme="minorHAnsi"/>
          <w:b/>
          <w:bCs/>
          <w:rtl/>
        </w:rPr>
        <w:t xml:space="preserve">، </w:t>
      </w:r>
      <w:r w:rsidRPr="00F30EF3">
        <w:rPr>
          <w:rFonts w:cstheme="minorHAnsi"/>
          <w:b/>
          <w:bCs/>
          <w:i/>
          <w:iCs/>
          <w:rtl/>
        </w:rPr>
        <w:t>التسويق المسؤول</w:t>
      </w:r>
      <w:r w:rsidRPr="00F30EF3">
        <w:rPr>
          <w:rFonts w:cstheme="minorHAnsi"/>
          <w:rtl/>
        </w:rPr>
        <w:t xml:space="preserve">: تؤكد هذه المادة على أن تسويق مخرجات البحوث يحفزه في المقام الأول تيسير النفاذ إلى الملكية الفكرية التي تم إبداعها (بشروط متنوعة) بالإضافة إلى المنافع الاجتماعية والاقتصادية، وليس فقط تحقيق الإيرادات (التأثير وليس الدخل). وفي هذا السياق، تتبنى المزيد من المؤسسات حول العالم مفهوم "المسؤولية الاجتماعية" أو "ريادة الأعمال الاجتماعية".   </w:t>
      </w:r>
    </w:p>
    <w:p w14:paraId="5EEFB825" w14:textId="77777777" w:rsidR="00960B9A" w:rsidRPr="00F30EF3" w:rsidRDefault="00960B9A" w:rsidP="00B7519E">
      <w:pPr>
        <w:shd w:val="clear" w:color="auto" w:fill="FFFFFF" w:themeFill="background1"/>
        <w:tabs>
          <w:tab w:val="left" w:pos="426"/>
        </w:tabs>
        <w:autoSpaceDE w:val="0"/>
        <w:autoSpaceDN w:val="0"/>
        <w:adjustRightInd w:val="0"/>
        <w:spacing w:after="0" w:line="240" w:lineRule="auto"/>
        <w:jc w:val="both"/>
        <w:rPr>
          <w:rFonts w:cstheme="minorHAnsi"/>
          <w:lang w:val="en-US"/>
        </w:rPr>
      </w:pPr>
    </w:p>
    <w:p w14:paraId="2D785F73" w14:textId="40ED0D8F" w:rsidR="00A26BC7" w:rsidRPr="00F30EF3" w:rsidRDefault="000F46DC"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cstheme="minorHAnsi"/>
          <w:rtl/>
        </w:rPr>
      </w:pPr>
      <w:r w:rsidRPr="00F30EF3">
        <w:rPr>
          <w:rFonts w:cstheme="minorHAnsi"/>
          <w:b/>
          <w:bCs/>
          <w:rtl/>
        </w:rPr>
        <w:t xml:space="preserve">المادة 2.3.1، </w:t>
      </w:r>
      <w:r w:rsidRPr="00F30EF3">
        <w:rPr>
          <w:rFonts w:cstheme="minorHAnsi"/>
          <w:b/>
          <w:bCs/>
          <w:i/>
          <w:iCs/>
          <w:rtl/>
        </w:rPr>
        <w:t>الحوافز</w:t>
      </w:r>
      <w:r w:rsidRPr="00F30EF3">
        <w:rPr>
          <w:rFonts w:cstheme="minorHAnsi"/>
          <w:rtl/>
        </w:rPr>
        <w:t>: تضطلع الحوافز بدور مهم في دفع عملية نقل المعرفة. ينبغي للمؤسسات التي تختار التركيز على البعد الريادي لنقل المعرفة أن تنظر في أنظمة المكافآت المالية وغير المالية التي تأخذ في الاعتبار دوافع ووجهات نظر وثقافات أصحاب المصلحة الرئيسيين الثلاثة في نقل المعرفة: (أ) العلماء الأكاديميين</w:t>
      </w:r>
      <w:r w:rsidR="00A26BC7" w:rsidRPr="00F30EF3">
        <w:rPr>
          <w:rStyle w:val="FootnoteReference"/>
          <w:rFonts w:cstheme="minorHAnsi"/>
          <w:rtl/>
          <w:lang w:val="en-US"/>
        </w:rPr>
        <w:footnoteReference w:id="18"/>
      </w:r>
      <w:r w:rsidRPr="00F30EF3">
        <w:rPr>
          <w:rFonts w:cstheme="minorHAnsi"/>
          <w:rtl/>
        </w:rPr>
        <w:t>، (ب) ومكتب إدارة الملكية الفكرية وإدارة الجامعات</w:t>
      </w:r>
      <w:r w:rsidR="00A26BC7" w:rsidRPr="00F30EF3">
        <w:rPr>
          <w:rStyle w:val="FootnoteReference"/>
          <w:rFonts w:cstheme="minorHAnsi"/>
          <w:rtl/>
          <w:lang w:val="en-US"/>
        </w:rPr>
        <w:footnoteReference w:id="19"/>
      </w:r>
      <w:r w:rsidRPr="00F30EF3">
        <w:rPr>
          <w:rFonts w:cstheme="minorHAnsi"/>
          <w:rtl/>
        </w:rPr>
        <w:t>، (ج) والشركات/ رواد الأعمال</w:t>
      </w:r>
      <w:r w:rsidR="00A26BC7" w:rsidRPr="00F30EF3">
        <w:rPr>
          <w:rStyle w:val="FootnoteReference"/>
          <w:rFonts w:cstheme="minorHAnsi"/>
          <w:rtl/>
          <w:lang w:val="en-US"/>
        </w:rPr>
        <w:footnoteReference w:id="20"/>
      </w:r>
      <w:r w:rsidRPr="00F30EF3">
        <w:rPr>
          <w:rFonts w:cstheme="minorHAnsi"/>
          <w:rtl/>
        </w:rPr>
        <w:t xml:space="preserve">.  انظر أيضاً </w:t>
      </w:r>
      <w:hyperlink w:anchor="_ARTICLE_10_-" w:history="1">
        <w:r w:rsidRPr="00F30EF3">
          <w:rPr>
            <w:rStyle w:val="Hyperlink"/>
            <w:rFonts w:cstheme="minorHAnsi"/>
            <w:rtl/>
          </w:rPr>
          <w:t>المادة 10</w:t>
        </w:r>
      </w:hyperlink>
      <w:r w:rsidRPr="00F30EF3">
        <w:rPr>
          <w:rFonts w:cstheme="minorHAnsi"/>
          <w:rtl/>
        </w:rPr>
        <w:t>.</w:t>
      </w:r>
    </w:p>
    <w:p w14:paraId="7DF289DA" w14:textId="77777777" w:rsidR="00C209E5" w:rsidRPr="00F30EF3" w:rsidRDefault="00C209E5" w:rsidP="00B7519E">
      <w:pPr>
        <w:pStyle w:val="ListParagraph"/>
        <w:shd w:val="clear" w:color="auto" w:fill="FFFFFF" w:themeFill="background1"/>
        <w:autoSpaceDE w:val="0"/>
        <w:autoSpaceDN w:val="0"/>
        <w:adjustRightInd w:val="0"/>
        <w:spacing w:after="0" w:line="240" w:lineRule="auto"/>
        <w:ind w:left="0"/>
        <w:jc w:val="both"/>
        <w:rPr>
          <w:rFonts w:cstheme="minorHAnsi"/>
          <w:lang w:val="en-US"/>
        </w:rPr>
      </w:pPr>
    </w:p>
    <w:p w14:paraId="5C9F708C" w14:textId="42B07663" w:rsidR="00E40BCF" w:rsidRPr="00F30EF3" w:rsidRDefault="00587C53"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cstheme="minorHAnsi"/>
          <w:rtl/>
        </w:rPr>
      </w:pPr>
      <w:r w:rsidRPr="00F30EF3">
        <w:rPr>
          <w:rFonts w:cstheme="minorHAnsi"/>
          <w:b/>
          <w:bCs/>
          <w:rtl/>
        </w:rPr>
        <w:lastRenderedPageBreak/>
        <w:t xml:space="preserve">المادة 3.3.1، </w:t>
      </w:r>
      <w:r w:rsidRPr="00F30EF3">
        <w:rPr>
          <w:rFonts w:cstheme="minorHAnsi"/>
          <w:b/>
          <w:bCs/>
          <w:i/>
          <w:iCs/>
          <w:rtl/>
        </w:rPr>
        <w:t>التطوير المحلي</w:t>
      </w:r>
      <w:r w:rsidRPr="00F30EF3">
        <w:rPr>
          <w:rFonts w:cstheme="minorHAnsi"/>
          <w:rtl/>
        </w:rPr>
        <w:t>:</w:t>
      </w:r>
      <w:r w:rsidRPr="00F30EF3">
        <w:rPr>
          <w:rFonts w:cstheme="minorHAnsi"/>
          <w:b/>
          <w:bCs/>
          <w:rtl/>
        </w:rPr>
        <w:t xml:space="preserve"> </w:t>
      </w:r>
      <w:r w:rsidRPr="00F30EF3">
        <w:rPr>
          <w:rFonts w:cstheme="minorHAnsi"/>
          <w:rtl/>
        </w:rPr>
        <w:t>يعزز النموذج الرأي القائل بأن زيادة الجهود الرامية إلى استخدام الملكية الفكرية الناتجة عن البحث الأكاديمي يمكن أن تكون أحد الدوافع لنمو اقتصادي محلي كبير.</w:t>
      </w:r>
      <w:r w:rsidR="00BF4081" w:rsidRPr="00F30EF3">
        <w:rPr>
          <w:rStyle w:val="FootnoteReference"/>
          <w:rFonts w:cstheme="minorHAnsi"/>
          <w:color w:val="000000" w:themeColor="text1"/>
          <w:rtl/>
          <w:lang w:val="en-US"/>
        </w:rPr>
        <w:footnoteReference w:id="21"/>
      </w:r>
      <w:r w:rsidRPr="00F30EF3">
        <w:rPr>
          <w:rFonts w:cstheme="minorHAnsi"/>
          <w:rtl/>
        </w:rPr>
        <w:t xml:space="preserve"> وتضطلع العديد من المؤسسات بدور مهم بصفتها شريكاً لأصحاب المصلحة المحليين والإقليميين. وهي تنفذ مجموعة متنوعة من ممارسات إدارة الملكية الفكرية والتي تشمل التعاون مع الشبكات أو "المجموعات" الصناعية الإقليمية؛ والتعاون الفعّال مع الشركات الصغيرة والمتوسطة في منطقتهم؛ وتشجيع الشركات المنبثقة وتفضيل الشركات المحلية باعتبارها مرخَص لها محتمل للملكية الفكرية</w:t>
      </w:r>
      <w:r w:rsidR="008C13DD" w:rsidRPr="00F30EF3">
        <w:rPr>
          <w:rStyle w:val="FootnoteReference"/>
          <w:rFonts w:cstheme="minorHAnsi"/>
          <w:rtl/>
          <w:lang w:val="en-US"/>
        </w:rPr>
        <w:footnoteReference w:id="22"/>
      </w:r>
      <w:r w:rsidRPr="00F30EF3">
        <w:rPr>
          <w:rFonts w:cstheme="minorHAnsi"/>
          <w:rtl/>
        </w:rPr>
        <w:t>. كما ينبغي لكل مؤسسة أن تنظر في كيفية استخدام أصول الملكية الفكرية الخاصة بها على نحو استباقي لمساعدة النظام الإيكولوجي المحلي للابتكار والتنمية الاقتصادية.</w:t>
      </w:r>
      <w:r w:rsidRPr="00F30EF3">
        <w:rPr>
          <w:rFonts w:cstheme="minorHAnsi"/>
          <w:color w:val="FF0000"/>
          <w:rtl/>
        </w:rPr>
        <w:t xml:space="preserve"> </w:t>
      </w:r>
    </w:p>
    <w:p w14:paraId="6BAD8A8A" w14:textId="77777777" w:rsidR="00A26BC7" w:rsidRPr="00F30EF3" w:rsidRDefault="00A26BC7" w:rsidP="00A26BC7">
      <w:pPr>
        <w:shd w:val="clear" w:color="auto" w:fill="FFFFFF" w:themeFill="background1"/>
        <w:autoSpaceDE w:val="0"/>
        <w:autoSpaceDN w:val="0"/>
        <w:adjustRightInd w:val="0"/>
        <w:spacing w:after="0" w:line="240" w:lineRule="auto"/>
        <w:jc w:val="both"/>
        <w:rPr>
          <w:rFonts w:cstheme="minorHAnsi"/>
          <w:lang w:val="en-US"/>
        </w:rPr>
      </w:pPr>
    </w:p>
    <w:p w14:paraId="7BA8CE9C" w14:textId="77777777" w:rsidR="00AB3EB5" w:rsidRPr="00F30EF3" w:rsidRDefault="00AB3EB5" w:rsidP="00AB3EB5">
      <w:pPr>
        <w:shd w:val="clear" w:color="auto" w:fill="FFFFFF" w:themeFill="background1"/>
        <w:autoSpaceDE w:val="0"/>
        <w:autoSpaceDN w:val="0"/>
        <w:adjustRightInd w:val="0"/>
        <w:spacing w:after="0" w:line="240" w:lineRule="auto"/>
        <w:ind w:left="426"/>
        <w:jc w:val="both"/>
        <w:rPr>
          <w:rFonts w:cstheme="minorHAnsi"/>
          <w:rtl/>
        </w:rPr>
      </w:pPr>
      <w:r w:rsidRPr="00F30EF3">
        <w:rPr>
          <w:rFonts w:cstheme="minorHAnsi"/>
          <w:rtl/>
        </w:rPr>
        <w:t>وتعكس المادة 3.3.1 فكرة أن رسالة المؤسسات تشمل أبعاداً تتجاوز تعزيز المعرفة والبحث، والتي يشار إليها عموماً باسم "</w:t>
      </w:r>
      <w:r w:rsidRPr="00F30EF3">
        <w:rPr>
          <w:rFonts w:cstheme="minorHAnsi"/>
          <w:b/>
          <w:bCs/>
          <w:rtl/>
        </w:rPr>
        <w:t>المسؤولية الاجتماعية للجامعات</w:t>
      </w:r>
      <w:r w:rsidRPr="00F30EF3">
        <w:rPr>
          <w:rFonts w:cstheme="minorHAnsi"/>
          <w:rtl/>
        </w:rPr>
        <w:t>".</w:t>
      </w:r>
    </w:p>
    <w:p w14:paraId="160B27E4" w14:textId="77777777" w:rsidR="00AB3EB5" w:rsidRPr="00F30EF3" w:rsidRDefault="00AB3EB5" w:rsidP="00AB3EB5">
      <w:pPr>
        <w:shd w:val="clear" w:color="auto" w:fill="FFFFFF" w:themeFill="background1"/>
        <w:autoSpaceDE w:val="0"/>
        <w:autoSpaceDN w:val="0"/>
        <w:adjustRightInd w:val="0"/>
        <w:spacing w:after="0" w:line="240" w:lineRule="auto"/>
        <w:ind w:left="426"/>
        <w:jc w:val="both"/>
        <w:rPr>
          <w:rFonts w:cstheme="minorHAnsi"/>
          <w:b/>
          <w:bCs/>
          <w:lang w:val="en-US"/>
        </w:rPr>
      </w:pPr>
    </w:p>
    <w:p w14:paraId="45061AFD" w14:textId="2C6CFA12" w:rsidR="00A26BC7" w:rsidRPr="00F30EF3" w:rsidRDefault="00A26BC7" w:rsidP="00AB3EB5">
      <w:pPr>
        <w:shd w:val="clear" w:color="auto" w:fill="FFFFFF" w:themeFill="background1"/>
        <w:autoSpaceDE w:val="0"/>
        <w:autoSpaceDN w:val="0"/>
        <w:adjustRightInd w:val="0"/>
        <w:spacing w:after="0" w:line="240" w:lineRule="auto"/>
        <w:ind w:left="426"/>
        <w:jc w:val="both"/>
        <w:rPr>
          <w:rFonts w:cstheme="minorHAnsi"/>
          <w:color w:val="231F20"/>
          <w:rtl/>
        </w:rPr>
      </w:pPr>
      <w:r w:rsidRPr="00F30EF3">
        <w:rPr>
          <w:rFonts w:cstheme="minorHAnsi"/>
          <w:rtl/>
        </w:rPr>
        <w:t xml:space="preserve">طالما كانت </w:t>
      </w:r>
      <w:r w:rsidRPr="00F30EF3">
        <w:rPr>
          <w:rFonts w:cstheme="minorHAnsi"/>
          <w:b/>
          <w:bCs/>
          <w:rtl/>
        </w:rPr>
        <w:t>المسؤولية الاجتماعية للشركات</w:t>
      </w:r>
      <w:r w:rsidRPr="00F30EF3">
        <w:rPr>
          <w:rFonts w:cstheme="minorHAnsi"/>
          <w:rtl/>
        </w:rPr>
        <w:t xml:space="preserve"> سمة من سمات عالم الأعمال لعدة سنوات وأصبحت جزءاً أصيلاً في العديد من الجامعات والمؤسسات البحثية حيث يبحث رؤساؤها عن طرق بديلة لتحقيق الاستدامة. </w:t>
      </w:r>
      <w:r w:rsidRPr="00F30EF3">
        <w:rPr>
          <w:rFonts w:cstheme="minorHAnsi"/>
          <w:color w:val="000000" w:themeColor="text1"/>
          <w:rtl/>
        </w:rPr>
        <w:t xml:space="preserve">ويتمثل الهدف من المسؤولية الاجتماعية للشركات في العمل "بطريقة أخلاقية وشفافة تساهم في تحسين صحة ورفاهية المجتمع"، وفقاً للمعيار </w:t>
      </w:r>
      <w:hyperlink r:id="rId11" w:tgtFrame="_new" w:history="1">
        <w:r w:rsidRPr="00F30EF3">
          <w:rPr>
            <w:rStyle w:val="Hyperlink"/>
            <w:rFonts w:cstheme="minorHAnsi"/>
            <w:color w:val="0066CC"/>
          </w:rPr>
          <w:t>ISO 26000</w:t>
        </w:r>
        <w:r w:rsidR="00F26167" w:rsidRPr="00F30EF3">
          <w:rPr>
            <w:rStyle w:val="FootnoteReference"/>
            <w:rFonts w:cstheme="minorHAnsi"/>
            <w:color w:val="0066CC"/>
            <w:lang w:val="en-US"/>
          </w:rPr>
          <w:footnoteReference w:id="23"/>
        </w:r>
      </w:hyperlink>
      <w:r w:rsidRPr="00F30EF3">
        <w:rPr>
          <w:rFonts w:cstheme="minorHAnsi"/>
          <w:color w:val="231F20"/>
          <w:rtl/>
        </w:rPr>
        <w:t>.</w:t>
      </w:r>
    </w:p>
    <w:p w14:paraId="1646287D" w14:textId="77777777" w:rsidR="00A26BC7" w:rsidRPr="00F30EF3" w:rsidRDefault="00A26BC7" w:rsidP="00AB3EB5">
      <w:pPr>
        <w:shd w:val="clear" w:color="auto" w:fill="FFFFFF" w:themeFill="background1"/>
        <w:autoSpaceDE w:val="0"/>
        <w:autoSpaceDN w:val="0"/>
        <w:adjustRightInd w:val="0"/>
        <w:spacing w:after="0" w:line="240" w:lineRule="auto"/>
        <w:ind w:left="426"/>
        <w:jc w:val="both"/>
        <w:rPr>
          <w:rFonts w:cstheme="minorHAnsi"/>
          <w:lang w:val="en-US"/>
        </w:rPr>
      </w:pPr>
    </w:p>
    <w:p w14:paraId="1C8C0F51" w14:textId="30DB8EEE" w:rsidR="00A26BC7" w:rsidRPr="00F30EF3" w:rsidRDefault="00A26BC7" w:rsidP="00AB3EB5">
      <w:pPr>
        <w:shd w:val="clear" w:color="auto" w:fill="FFFFFF"/>
        <w:spacing w:line="240" w:lineRule="auto"/>
        <w:ind w:left="426"/>
        <w:jc w:val="both"/>
        <w:rPr>
          <w:rFonts w:cstheme="minorHAnsi"/>
          <w:b/>
          <w:bCs/>
          <w:color w:val="000000" w:themeColor="text1"/>
          <w:rtl/>
        </w:rPr>
      </w:pPr>
      <w:r w:rsidRPr="00F30EF3">
        <w:rPr>
          <w:rFonts w:cstheme="minorHAnsi"/>
          <w:color w:val="000000" w:themeColor="text1"/>
          <w:rtl/>
        </w:rPr>
        <w:t>ويضمّن عدد متزايد من المؤسسات المسؤولية الاجتماعية في بيانات رسالتها، بحجة أن التعليم العالي يكون أفضل حالاً عندما يرد النفع للمجتمع المسؤول عن تمويله. ومن الأمثلة على هذه النهج تشكيل بعثات بحثية لإنتاج أبحاث تلبي احتياجات السوق؛ وتعزيز النُهُج الأخلاقية لتسويق الملكية الفكرية؛ وإجراء الأنشطة البحثية بالتعاون الوثيق مع القطاع الصناعي والمجتمع المحلي؛ والتصدي لمجموعة متنوعة من التحديات الاجتماعية الاقتصادية مثل الصحة والطاقة والأمن الغذائي.</w:t>
      </w:r>
    </w:p>
    <w:p w14:paraId="72070937" w14:textId="77777777" w:rsidR="003A33DC" w:rsidRPr="00F30EF3" w:rsidRDefault="003A33DC" w:rsidP="00AB3EB5">
      <w:pPr>
        <w:shd w:val="clear" w:color="auto" w:fill="FFFFFF"/>
        <w:spacing w:line="240" w:lineRule="auto"/>
        <w:ind w:left="426"/>
        <w:jc w:val="both"/>
        <w:rPr>
          <w:rFonts w:cstheme="minorHAnsi"/>
          <w:b/>
          <w:bCs/>
          <w:color w:val="000000" w:themeColor="text1"/>
          <w:rtl/>
        </w:rPr>
      </w:pPr>
    </w:p>
    <w:p w14:paraId="443449FA" w14:textId="72FAEB00" w:rsidR="00A26BC7" w:rsidRPr="00F30EF3" w:rsidRDefault="00A26BC7" w:rsidP="00DA7E04">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jc w:val="both"/>
        <w:rPr>
          <w:rStyle w:val="Hyperlink"/>
          <w:rFonts w:cstheme="minorHAnsi"/>
          <w:b/>
          <w:bCs/>
          <w:color w:val="auto"/>
          <w:u w:val="none"/>
          <w:rtl/>
        </w:rPr>
      </w:pPr>
      <w:r w:rsidRPr="00F30EF3">
        <w:rPr>
          <w:rFonts w:cstheme="minorHAnsi"/>
          <w:b/>
          <w:bCs/>
          <w:rtl/>
        </w:rPr>
        <w:t xml:space="preserve">الإطار </w:t>
      </w:r>
      <w:r w:rsidR="009F1BCD" w:rsidRPr="00F30EF3">
        <w:rPr>
          <w:rFonts w:cstheme="minorHAnsi"/>
          <w:b/>
          <w:bCs/>
        </w:rPr>
        <w:t>.4</w:t>
      </w:r>
      <w:r w:rsidRPr="00F30EF3">
        <w:rPr>
          <w:rFonts w:cstheme="minorHAnsi"/>
          <w:b/>
          <w:bCs/>
          <w:rtl/>
        </w:rPr>
        <w:t xml:space="preserve"> </w:t>
      </w:r>
      <w:r w:rsidRPr="00F30EF3">
        <w:rPr>
          <w:rStyle w:val="Hyperlink"/>
          <w:rFonts w:cstheme="minorHAnsi"/>
          <w:b/>
          <w:bCs/>
          <w:color w:val="auto"/>
          <w:u w:val="none"/>
          <w:rtl/>
        </w:rPr>
        <w:t>حالات تطبيقية للمسؤولية الاجتماعية للجامعات</w:t>
      </w:r>
    </w:p>
    <w:p w14:paraId="2506D476" w14:textId="77777777" w:rsidR="00D50925" w:rsidRPr="00F30EF3" w:rsidRDefault="006E4BB0" w:rsidP="009D4A54">
      <w:pPr>
        <w:pStyle w:val="ListParagraph"/>
        <w:numPr>
          <w:ilvl w:val="0"/>
          <w:numId w:val="157"/>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hanging="426"/>
        <w:jc w:val="both"/>
        <w:rPr>
          <w:rStyle w:val="Hyperlink"/>
          <w:rFonts w:cstheme="minorHAnsi"/>
          <w:color w:val="auto"/>
          <w:u w:val="none"/>
          <w:rtl/>
        </w:rPr>
      </w:pPr>
      <w:r w:rsidRPr="00F30EF3">
        <w:rPr>
          <w:rFonts w:cstheme="minorHAnsi"/>
          <w:rtl/>
        </w:rPr>
        <w:t xml:space="preserve">يحتوي </w:t>
      </w:r>
      <w:r w:rsidRPr="00F30EF3">
        <w:rPr>
          <w:rStyle w:val="Hyperlink"/>
          <w:rFonts w:cstheme="minorHAnsi"/>
          <w:color w:val="auto"/>
          <w:u w:val="none"/>
          <w:rtl/>
        </w:rPr>
        <w:t>كل من النموذج</w:t>
      </w:r>
      <w:hyperlink r:id="rId12" w:history="1">
        <w:r w:rsidRPr="00F30EF3">
          <w:rPr>
            <w:rStyle w:val="Hyperlink"/>
            <w:rFonts w:cstheme="minorHAnsi"/>
            <w:rtl/>
          </w:rPr>
          <w:t xml:space="preserve"> والقائمة المرجعية لواضعي سياسات الملكية الفكرية</w:t>
        </w:r>
      </w:hyperlink>
      <w:r w:rsidRPr="00F30EF3">
        <w:rPr>
          <w:rStyle w:val="Hyperlink"/>
          <w:rFonts w:cstheme="minorHAnsi"/>
          <w:color w:val="auto"/>
          <w:u w:val="none"/>
          <w:rtl/>
        </w:rPr>
        <w:t xml:space="preserve"> على عدة إشارات إلى التسويق الاجتماعي المسؤول لمخرجات البحوث الأكاديمية</w:t>
      </w:r>
    </w:p>
    <w:p w14:paraId="12118824" w14:textId="77777777" w:rsidR="00F54FEE" w:rsidRPr="00F30EF3" w:rsidRDefault="00D50925" w:rsidP="006E4BB0">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709"/>
        </w:tabs>
        <w:spacing w:after="0" w:line="240" w:lineRule="auto"/>
        <w:jc w:val="both"/>
        <w:rPr>
          <w:rStyle w:val="Hyperlink"/>
          <w:rFonts w:cstheme="minorHAnsi"/>
          <w:color w:val="auto"/>
          <w:u w:val="none"/>
          <w:rtl/>
        </w:rPr>
      </w:pPr>
      <w:r w:rsidRPr="00F30EF3">
        <w:rPr>
          <w:rStyle w:val="Hyperlink"/>
          <w:rFonts w:cstheme="minorHAnsi"/>
          <w:color w:val="auto"/>
          <w:u w:val="none"/>
          <w:rtl/>
        </w:rPr>
        <w:t>-</w:t>
      </w:r>
      <w:r w:rsidRPr="00F30EF3">
        <w:rPr>
          <w:rStyle w:val="Hyperlink"/>
          <w:rFonts w:cstheme="minorHAnsi"/>
          <w:color w:val="auto"/>
          <w:u w:val="none"/>
          <w:rtl/>
        </w:rPr>
        <w:tab/>
      </w:r>
      <w:hyperlink r:id="rId13" w:history="1">
        <w:r w:rsidRPr="00F30EF3">
          <w:rPr>
            <w:rStyle w:val="Hyperlink"/>
            <w:rFonts w:cstheme="minorHAnsi"/>
            <w:rtl/>
          </w:rPr>
          <w:t>نموذج سياسة الملكية الفكرية</w:t>
        </w:r>
      </w:hyperlink>
      <w:r w:rsidRPr="00F30EF3">
        <w:rPr>
          <w:rStyle w:val="Hyperlink"/>
          <w:rFonts w:cstheme="minorHAnsi"/>
          <w:color w:val="auto"/>
          <w:u w:val="none"/>
          <w:rtl/>
        </w:rPr>
        <w:t xml:space="preserve">: المواد 3.2.1، و1.3.1، و3.3.1، و4.7، و4.9، و5.9، و6.9، و10، و12.  </w:t>
      </w:r>
    </w:p>
    <w:p w14:paraId="45A07551" w14:textId="77777777" w:rsidR="00D50925" w:rsidRPr="00F30EF3" w:rsidRDefault="00D50925" w:rsidP="006E4BB0">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709"/>
        </w:tabs>
        <w:spacing w:after="0" w:line="240" w:lineRule="auto"/>
        <w:jc w:val="both"/>
        <w:rPr>
          <w:rStyle w:val="Hyperlink"/>
          <w:rFonts w:cstheme="minorHAnsi"/>
          <w:color w:val="auto"/>
          <w:u w:val="none"/>
          <w:rtl/>
        </w:rPr>
      </w:pPr>
      <w:r w:rsidRPr="00F30EF3">
        <w:rPr>
          <w:rStyle w:val="Hyperlink"/>
          <w:rFonts w:cstheme="minorHAnsi"/>
          <w:color w:val="auto"/>
          <w:u w:val="none"/>
          <w:rtl/>
        </w:rPr>
        <w:t>-</w:t>
      </w:r>
      <w:r w:rsidRPr="00F30EF3">
        <w:rPr>
          <w:rStyle w:val="Hyperlink"/>
          <w:rFonts w:cstheme="minorHAnsi"/>
          <w:color w:val="auto"/>
          <w:u w:val="none"/>
          <w:rtl/>
        </w:rPr>
        <w:tab/>
      </w:r>
      <w:hyperlink r:id="rId14" w:history="1">
        <w:r w:rsidRPr="00F30EF3">
          <w:rPr>
            <w:rStyle w:val="Hyperlink"/>
            <w:rFonts w:cstheme="minorHAnsi"/>
            <w:rtl/>
          </w:rPr>
          <w:t>القائمة المرجعية لواضعي سياسات الملكية الفكرية</w:t>
        </w:r>
      </w:hyperlink>
      <w:r w:rsidRPr="00F30EF3">
        <w:rPr>
          <w:rStyle w:val="Hyperlink"/>
          <w:rFonts w:cstheme="minorHAnsi"/>
          <w:color w:val="auto"/>
          <w:u w:val="none"/>
          <w:rtl/>
        </w:rPr>
        <w:t>:  أرقام القوائم المرجعية 2 و3 و10 و17.</w:t>
      </w:r>
    </w:p>
    <w:p w14:paraId="37C16CA8" w14:textId="77777777" w:rsidR="00F54FEE" w:rsidRPr="00F30EF3" w:rsidRDefault="00F54FEE" w:rsidP="00F54FE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Style w:val="Hyperlink"/>
          <w:rFonts w:cstheme="minorHAnsi"/>
          <w:color w:val="auto"/>
          <w:u w:val="none"/>
          <w:lang w:val="en-US"/>
        </w:rPr>
      </w:pPr>
    </w:p>
    <w:p w14:paraId="127246C5" w14:textId="77777777" w:rsidR="006E4BB0" w:rsidRPr="00F30EF3" w:rsidRDefault="006E4BB0" w:rsidP="009D4A54">
      <w:pPr>
        <w:pStyle w:val="ListParagraph"/>
        <w:numPr>
          <w:ilvl w:val="0"/>
          <w:numId w:val="157"/>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hanging="426"/>
        <w:jc w:val="both"/>
        <w:rPr>
          <w:rStyle w:val="Hyperlink"/>
          <w:rFonts w:cstheme="minorHAnsi"/>
          <w:color w:val="auto"/>
          <w:u w:val="none"/>
          <w:rtl/>
        </w:rPr>
      </w:pPr>
      <w:r w:rsidRPr="00F30EF3">
        <w:rPr>
          <w:rStyle w:val="Hyperlink"/>
          <w:rFonts w:cstheme="minorHAnsi"/>
          <w:color w:val="auto"/>
          <w:u w:val="none"/>
          <w:rtl/>
        </w:rPr>
        <w:t xml:space="preserve">يوفر </w:t>
      </w:r>
      <w:hyperlink r:id="rId15" w:history="1">
        <w:r w:rsidRPr="00F30EF3">
          <w:rPr>
            <w:rStyle w:val="Hyperlink"/>
            <w:rFonts w:cstheme="minorHAnsi"/>
            <w:rtl/>
          </w:rPr>
          <w:t>تقرير المسؤولية الاجتماعية للجامعات في الاتحاد الأوروبي</w:t>
        </w:r>
        <w:r w:rsidRPr="00F30EF3">
          <w:rPr>
            <w:rStyle w:val="FootnoteReference"/>
            <w:rFonts w:cstheme="minorHAnsi"/>
            <w:rtl/>
            <w:lang w:val="en-US"/>
          </w:rPr>
          <w:footnoteReference w:id="24"/>
        </w:r>
      </w:hyperlink>
      <w:r w:rsidRPr="00F30EF3">
        <w:rPr>
          <w:rStyle w:val="Hyperlink"/>
          <w:rFonts w:cstheme="minorHAnsi"/>
          <w:color w:val="auto"/>
          <w:u w:val="none"/>
          <w:rtl/>
        </w:rPr>
        <w:t xml:space="preserve"> إطاراً مرجعياً أوروبياً مشتركاً لتعزيز المسؤولية الاجتماعية للجامعات الأوروبية.</w:t>
      </w:r>
      <w:r w:rsidRPr="00F30EF3">
        <w:rPr>
          <w:rFonts w:cstheme="minorHAnsi"/>
          <w:rtl/>
        </w:rPr>
        <w:t xml:space="preserve"> </w:t>
      </w:r>
    </w:p>
    <w:p w14:paraId="4511AFF5" w14:textId="77777777" w:rsidR="00F26167" w:rsidRPr="00F30EF3" w:rsidRDefault="00F26167" w:rsidP="00F26167">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0"/>
        <w:jc w:val="both"/>
        <w:rPr>
          <w:rStyle w:val="Hyperlink"/>
          <w:rFonts w:cstheme="minorHAnsi"/>
          <w:color w:val="auto"/>
          <w:u w:val="none"/>
          <w:lang w:val="en-US"/>
        </w:rPr>
      </w:pPr>
    </w:p>
    <w:p w14:paraId="52983347" w14:textId="77777777" w:rsidR="00D50925" w:rsidRPr="00F30EF3" w:rsidRDefault="00D50925" w:rsidP="009D4A54">
      <w:pPr>
        <w:pStyle w:val="ListParagraph"/>
        <w:numPr>
          <w:ilvl w:val="0"/>
          <w:numId w:val="157"/>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hanging="426"/>
        <w:jc w:val="both"/>
        <w:rPr>
          <w:rStyle w:val="Hyperlink"/>
          <w:rFonts w:cstheme="minorHAnsi"/>
          <w:color w:val="auto"/>
          <w:u w:val="none"/>
          <w:rtl/>
        </w:rPr>
      </w:pPr>
      <w:r w:rsidRPr="00F30EF3">
        <w:rPr>
          <w:rStyle w:val="Hyperlink"/>
          <w:rFonts w:cstheme="minorHAnsi"/>
          <w:color w:val="auto"/>
          <w:u w:val="none"/>
          <w:rtl/>
        </w:rPr>
        <w:t>أمثلة على المؤسسات التي ضمّنت البعد الاجتماعي في ممارسات نقل المعرفة لديها:</w:t>
      </w:r>
    </w:p>
    <w:p w14:paraId="33F40C80" w14:textId="77777777" w:rsidR="00A26BC7" w:rsidRPr="00F30EF3" w:rsidRDefault="00A26BC7"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cstheme="minorHAnsi"/>
          <w:color w:val="auto"/>
          <w:u w:val="none"/>
          <w:rtl/>
        </w:rPr>
      </w:pPr>
      <w:r w:rsidRPr="00F30EF3">
        <w:rPr>
          <w:rStyle w:val="Hyperlink"/>
          <w:rFonts w:cstheme="minorHAnsi"/>
          <w:color w:val="auto"/>
          <w:u w:val="none"/>
          <w:rtl/>
        </w:rPr>
        <w:t>الجامعة الهاشمية، الأردن</w:t>
      </w:r>
      <w:r w:rsidRPr="00F30EF3">
        <w:rPr>
          <w:rStyle w:val="FootnoteReference"/>
          <w:rFonts w:cstheme="minorHAnsi"/>
          <w:rtl/>
          <w:lang w:val="en-US"/>
        </w:rPr>
        <w:footnoteReference w:id="25"/>
      </w:r>
    </w:p>
    <w:p w14:paraId="34905EF2" w14:textId="77777777" w:rsidR="00A26BC7" w:rsidRPr="00F30EF3" w:rsidRDefault="00A26BC7"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cstheme="minorHAnsi"/>
          <w:color w:val="auto"/>
          <w:u w:val="none"/>
          <w:rtl/>
        </w:rPr>
      </w:pPr>
      <w:r w:rsidRPr="00F30EF3">
        <w:rPr>
          <w:rStyle w:val="Hyperlink"/>
          <w:rFonts w:cstheme="minorHAnsi"/>
          <w:color w:val="auto"/>
          <w:u w:val="none"/>
          <w:rtl/>
        </w:rPr>
        <w:t>جامعة جنوب الوادي، مصر</w:t>
      </w:r>
      <w:r w:rsidRPr="00F30EF3">
        <w:rPr>
          <w:rStyle w:val="FootnoteReference"/>
          <w:rFonts w:cstheme="minorHAnsi"/>
          <w:rtl/>
          <w:lang w:val="en-US"/>
        </w:rPr>
        <w:footnoteReference w:id="26"/>
      </w:r>
    </w:p>
    <w:p w14:paraId="21973897" w14:textId="77777777" w:rsidR="00A26BC7" w:rsidRPr="00F30EF3" w:rsidRDefault="00A26BC7"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cstheme="minorHAnsi"/>
          <w:color w:val="auto"/>
          <w:u w:val="none"/>
          <w:rtl/>
        </w:rPr>
      </w:pPr>
      <w:r w:rsidRPr="00F30EF3">
        <w:rPr>
          <w:rStyle w:val="Hyperlink"/>
          <w:rFonts w:cstheme="minorHAnsi"/>
          <w:color w:val="auto"/>
          <w:u w:val="none"/>
          <w:rtl/>
        </w:rPr>
        <w:t>جامعة مانشستر، المملكة المتحدة</w:t>
      </w:r>
      <w:r w:rsidRPr="00F30EF3">
        <w:rPr>
          <w:rStyle w:val="FootnoteReference"/>
          <w:rFonts w:cstheme="minorHAnsi"/>
          <w:rtl/>
          <w:lang w:val="en-US"/>
        </w:rPr>
        <w:footnoteReference w:id="27"/>
      </w:r>
    </w:p>
    <w:p w14:paraId="4162C80E" w14:textId="77777777" w:rsidR="00A26BC7" w:rsidRPr="00F30EF3" w:rsidRDefault="00A26BC7"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cstheme="minorHAnsi"/>
          <w:color w:val="auto"/>
          <w:u w:val="none"/>
          <w:rtl/>
        </w:rPr>
      </w:pPr>
      <w:r w:rsidRPr="00F30EF3">
        <w:rPr>
          <w:rStyle w:val="Hyperlink"/>
          <w:rFonts w:cstheme="minorHAnsi"/>
          <w:color w:val="auto"/>
          <w:u w:val="none"/>
          <w:rtl/>
        </w:rPr>
        <w:t>جامعة غرب اسكتلندا</w:t>
      </w:r>
      <w:r w:rsidRPr="00F30EF3">
        <w:rPr>
          <w:rStyle w:val="FootnoteReference"/>
          <w:rFonts w:cstheme="minorHAnsi"/>
          <w:rtl/>
          <w:lang w:val="en-US"/>
        </w:rPr>
        <w:footnoteReference w:id="28"/>
      </w:r>
    </w:p>
    <w:p w14:paraId="05A19AB4" w14:textId="77777777" w:rsidR="00712AD1" w:rsidRPr="00F30EF3" w:rsidRDefault="00712AD1" w:rsidP="00712AD1">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cstheme="minorHAnsi"/>
          <w:color w:val="auto"/>
          <w:u w:val="none"/>
          <w:rtl/>
        </w:rPr>
      </w:pPr>
      <w:r w:rsidRPr="00F30EF3">
        <w:rPr>
          <w:rStyle w:val="Hyperlink"/>
          <w:rFonts w:cstheme="minorHAnsi"/>
          <w:color w:val="auto"/>
          <w:u w:val="none"/>
          <w:rtl/>
        </w:rPr>
        <w:t>جامعة أوسلو، النرويج</w:t>
      </w:r>
      <w:r w:rsidRPr="00F30EF3">
        <w:rPr>
          <w:rStyle w:val="FootnoteReference"/>
          <w:rFonts w:cstheme="minorHAnsi"/>
          <w:rtl/>
          <w:lang w:val="en-GB"/>
        </w:rPr>
        <w:footnoteReference w:id="29"/>
      </w:r>
    </w:p>
    <w:p w14:paraId="23B8A829" w14:textId="77777777" w:rsidR="00F71527" w:rsidRPr="00F30EF3" w:rsidRDefault="00D3795B" w:rsidP="00712AD1">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cstheme="minorHAnsi"/>
          <w:color w:val="auto"/>
          <w:u w:val="none"/>
          <w:rtl/>
        </w:rPr>
      </w:pPr>
      <w:hyperlink r:id="rId16" w:history="1">
        <w:r w:rsidR="00372C70" w:rsidRPr="00F30EF3">
          <w:rPr>
            <w:rStyle w:val="Hyperlink"/>
            <w:rFonts w:cstheme="minorHAnsi"/>
            <w:rtl/>
          </w:rPr>
          <w:t>جامعة بيركلي،</w:t>
        </w:r>
      </w:hyperlink>
      <w:r w:rsidR="00372C70" w:rsidRPr="00F30EF3">
        <w:rPr>
          <w:rStyle w:val="Hyperlink"/>
          <w:rFonts w:cstheme="minorHAnsi"/>
          <w:color w:val="auto"/>
          <w:u w:val="none"/>
          <w:rtl/>
        </w:rPr>
        <w:t>، الولايات المتحدة الأمريكية</w:t>
      </w:r>
      <w:r w:rsidR="00F71527" w:rsidRPr="00F30EF3">
        <w:rPr>
          <w:rStyle w:val="FootnoteReference"/>
          <w:rFonts w:cstheme="minorHAnsi"/>
          <w:rtl/>
          <w:lang w:val="en-GB"/>
        </w:rPr>
        <w:footnoteReference w:id="30"/>
      </w:r>
    </w:p>
    <w:p w14:paraId="7E17EC48" w14:textId="77777777" w:rsidR="00F71527" w:rsidRPr="00F30EF3" w:rsidRDefault="00F71527" w:rsidP="00712AD1">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cstheme="minorHAnsi"/>
          <w:color w:val="auto"/>
          <w:u w:val="none"/>
          <w:rtl/>
        </w:rPr>
      </w:pPr>
      <w:r w:rsidRPr="00F30EF3">
        <w:rPr>
          <w:rStyle w:val="Hyperlink"/>
          <w:rFonts w:cstheme="minorHAnsi"/>
          <w:color w:val="auto"/>
          <w:u w:val="none"/>
          <w:rtl/>
        </w:rPr>
        <w:t>جامعة كورنيل</w:t>
      </w:r>
      <w:r w:rsidRPr="00F30EF3">
        <w:rPr>
          <w:rStyle w:val="FootnoteReference"/>
          <w:rFonts w:cstheme="minorHAnsi"/>
          <w:rtl/>
          <w:lang w:val="en-GB"/>
        </w:rPr>
        <w:footnoteReference w:id="31"/>
      </w:r>
    </w:p>
    <w:p w14:paraId="76D0799E" w14:textId="77777777" w:rsidR="00B9654A" w:rsidRPr="00F30EF3" w:rsidRDefault="00B9654A"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cstheme="minorHAnsi"/>
          <w:rtl/>
        </w:rPr>
      </w:pPr>
      <w:r w:rsidRPr="00F30EF3">
        <w:rPr>
          <w:rStyle w:val="Hyperlink"/>
          <w:rFonts w:cstheme="minorHAnsi"/>
          <w:rtl/>
        </w:rPr>
        <w:t>جامعة مدينة هونغ كونغ</w:t>
      </w:r>
      <w:r w:rsidRPr="00F30EF3">
        <w:rPr>
          <w:rStyle w:val="FootnoteReference"/>
          <w:rFonts w:cstheme="minorHAnsi"/>
          <w:rtl/>
          <w:lang w:val="en-US"/>
        </w:rPr>
        <w:footnoteReference w:id="32"/>
      </w:r>
    </w:p>
    <w:p w14:paraId="36D69F28" w14:textId="77777777" w:rsidR="00B9654A" w:rsidRPr="00F30EF3" w:rsidRDefault="00B9654A"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cstheme="minorHAnsi"/>
          <w:rtl/>
        </w:rPr>
      </w:pPr>
      <w:r w:rsidRPr="00F30EF3">
        <w:rPr>
          <w:rStyle w:val="Hyperlink"/>
          <w:rFonts w:cstheme="minorHAnsi"/>
          <w:rtl/>
        </w:rPr>
        <w:t>شبكة جامعة الآسيان</w:t>
      </w:r>
      <w:r w:rsidRPr="00F30EF3">
        <w:rPr>
          <w:rStyle w:val="FootnoteReference"/>
          <w:rFonts w:cstheme="minorHAnsi"/>
          <w:rtl/>
          <w:lang w:val="en-US"/>
        </w:rPr>
        <w:footnoteReference w:id="33"/>
      </w:r>
    </w:p>
    <w:p w14:paraId="62A485A4" w14:textId="77777777" w:rsidR="00B9654A" w:rsidRPr="00F30EF3" w:rsidRDefault="00B9654A"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cstheme="minorHAnsi"/>
          <w:rtl/>
        </w:rPr>
      </w:pPr>
      <w:r w:rsidRPr="00F30EF3">
        <w:rPr>
          <w:rStyle w:val="Hyperlink"/>
          <w:rFonts w:cstheme="minorHAnsi"/>
          <w:rtl/>
        </w:rPr>
        <w:t xml:space="preserve">الجامعات الأمريكية اللاتينية </w:t>
      </w:r>
      <w:r w:rsidRPr="00F30EF3">
        <w:rPr>
          <w:rStyle w:val="FootnoteReference"/>
          <w:rFonts w:cstheme="minorHAnsi"/>
          <w:rtl/>
          <w:lang w:val="en-US"/>
        </w:rPr>
        <w:footnoteReference w:id="34"/>
      </w:r>
    </w:p>
    <w:p w14:paraId="5CA7C2B0" w14:textId="77777777" w:rsidR="0002456F" w:rsidRPr="00F30EF3" w:rsidRDefault="0002456F" w:rsidP="00AB3EB5">
      <w:pPr>
        <w:shd w:val="clear" w:color="auto" w:fill="FFFFFF" w:themeFill="background1"/>
        <w:autoSpaceDE w:val="0"/>
        <w:autoSpaceDN w:val="0"/>
        <w:adjustRightInd w:val="0"/>
        <w:spacing w:after="0" w:line="240" w:lineRule="auto"/>
        <w:jc w:val="both"/>
        <w:rPr>
          <w:rFonts w:cstheme="minorHAnsi"/>
          <w:lang w:val="en-US"/>
        </w:rPr>
      </w:pPr>
    </w:p>
    <w:p w14:paraId="2AE4B92C" w14:textId="77257296" w:rsidR="0015756C" w:rsidRPr="00F30EF3" w:rsidRDefault="00AB3EB5" w:rsidP="00AB3EB5">
      <w:pPr>
        <w:shd w:val="clear" w:color="auto" w:fill="FFFFFF" w:themeFill="background1"/>
        <w:autoSpaceDE w:val="0"/>
        <w:autoSpaceDN w:val="0"/>
        <w:adjustRightInd w:val="0"/>
        <w:spacing w:after="0" w:line="240" w:lineRule="auto"/>
        <w:jc w:val="both"/>
        <w:rPr>
          <w:rFonts w:cstheme="minorHAnsi"/>
          <w:rtl/>
        </w:rPr>
      </w:pPr>
      <w:r w:rsidRPr="00F30EF3">
        <w:rPr>
          <w:rFonts w:cstheme="minorHAnsi"/>
          <w:rtl/>
        </w:rPr>
        <w:t>تجد فلسفات المواد من 1.3.1 إلى 3.3.1 تطبيقاً في العديد من المقالات في جميع أنحاء النموذج. يمكن إضافة مواد فرعية أخرى إلى المادة 3.1، على سبيل المثال:</w:t>
      </w:r>
    </w:p>
    <w:p w14:paraId="23A0A1A8" w14:textId="77777777" w:rsidR="00AB3EB5" w:rsidRPr="00F30EF3" w:rsidRDefault="00AB3EB5" w:rsidP="00AB3EB5">
      <w:pPr>
        <w:shd w:val="clear" w:color="auto" w:fill="FFFFFF" w:themeFill="background1"/>
        <w:autoSpaceDE w:val="0"/>
        <w:autoSpaceDN w:val="0"/>
        <w:adjustRightInd w:val="0"/>
        <w:spacing w:after="0" w:line="240" w:lineRule="auto"/>
        <w:jc w:val="both"/>
        <w:rPr>
          <w:rFonts w:cstheme="minorHAnsi"/>
          <w:lang w:val="en-US"/>
        </w:rPr>
      </w:pPr>
    </w:p>
    <w:p w14:paraId="6466673F" w14:textId="72A9E78A" w:rsidR="00FE0FAB" w:rsidRPr="00F30EF3" w:rsidRDefault="0015756C"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cstheme="minorHAnsi"/>
          <w:i/>
          <w:iCs/>
          <w:rtl/>
        </w:rPr>
      </w:pPr>
      <w:r w:rsidRPr="00F30EF3">
        <w:rPr>
          <w:rFonts w:cstheme="minorHAnsi"/>
          <w:i/>
          <w:iCs/>
          <w:rtl/>
        </w:rPr>
        <w:t>3.1.</w:t>
      </w:r>
      <w:r w:rsidRPr="00F30EF3">
        <w:rPr>
          <w:rFonts w:cstheme="minorHAnsi"/>
          <w:i/>
          <w:iCs/>
        </w:rPr>
        <w:t>X</w:t>
      </w:r>
      <w:r w:rsidRPr="00F30EF3">
        <w:rPr>
          <w:rFonts w:cstheme="minorHAnsi"/>
          <w:i/>
          <w:iCs/>
          <w:rtl/>
        </w:rPr>
        <w:t>.</w:t>
      </w:r>
      <w:r w:rsidRPr="00F30EF3">
        <w:rPr>
          <w:rFonts w:cstheme="minorHAnsi"/>
          <w:b/>
          <w:bCs/>
          <w:i/>
          <w:iCs/>
          <w:rtl/>
        </w:rPr>
        <w:t xml:space="preserve"> قواعد المساعدات الحكومية الوطنية  </w:t>
      </w:r>
      <w:r w:rsidRPr="00F30EF3">
        <w:rPr>
          <w:rFonts w:cstheme="minorHAnsi"/>
          <w:i/>
          <w:iCs/>
          <w:rtl/>
        </w:rPr>
        <w:t>يجب أن تلتزم المؤسسة بقواعد المساعدة الحكومية الوطنية فيما يتعلق بحماية الملكية الفكرية والتصرف في الملكية الفكرية؛ ويجب أن تكيف سياسة الملكية الفكرية مع التزامات الإبلاغ والكشف التي يقرّها القانون.</w:t>
      </w:r>
    </w:p>
    <w:p w14:paraId="4793C516" w14:textId="77777777" w:rsidR="00D33173" w:rsidRPr="00F30EF3" w:rsidRDefault="00D33173" w:rsidP="00B7519E">
      <w:pPr>
        <w:pStyle w:val="ListParagraph"/>
        <w:shd w:val="clear" w:color="auto" w:fill="FFFFFF" w:themeFill="background1"/>
        <w:autoSpaceDE w:val="0"/>
        <w:autoSpaceDN w:val="0"/>
        <w:adjustRightInd w:val="0"/>
        <w:spacing w:after="0" w:line="240" w:lineRule="auto"/>
        <w:ind w:left="426"/>
        <w:jc w:val="both"/>
        <w:rPr>
          <w:rFonts w:cstheme="minorHAnsi"/>
          <w:b/>
          <w:bCs/>
          <w:rtl/>
        </w:rPr>
      </w:pPr>
      <w:r w:rsidRPr="00F30EF3">
        <w:rPr>
          <w:rFonts w:cstheme="minorHAnsi"/>
          <w:b/>
          <w:bCs/>
          <w:rtl/>
        </w:rPr>
        <w:t xml:space="preserve">  </w:t>
      </w:r>
    </w:p>
    <w:p w14:paraId="0AFCB7BC" w14:textId="7B248D7E" w:rsidR="00A62158" w:rsidRPr="00F30EF3" w:rsidRDefault="008C7DF6" w:rsidP="00F34A51">
      <w:pPr>
        <w:pStyle w:val="ListParagraph"/>
        <w:shd w:val="clear" w:color="auto" w:fill="FFFFFF" w:themeFill="background1"/>
        <w:tabs>
          <w:tab w:val="left" w:pos="426"/>
        </w:tabs>
        <w:autoSpaceDE w:val="0"/>
        <w:autoSpaceDN w:val="0"/>
        <w:adjustRightInd w:val="0"/>
        <w:spacing w:after="0" w:line="240" w:lineRule="auto"/>
        <w:ind w:left="426"/>
        <w:jc w:val="both"/>
        <w:rPr>
          <w:rFonts w:cstheme="minorHAnsi"/>
          <w:rtl/>
        </w:rPr>
      </w:pPr>
      <w:r w:rsidRPr="00F30EF3">
        <w:rPr>
          <w:rFonts w:cstheme="minorHAnsi"/>
          <w:rtl/>
        </w:rPr>
        <w:t>فعلى سبيل المثال، يسمح قانون بايه-دول (</w:t>
      </w:r>
      <w:r w:rsidRPr="00F30EF3">
        <w:rPr>
          <w:rFonts w:cstheme="minorHAnsi"/>
        </w:rPr>
        <w:t>Bayh-Dole</w:t>
      </w:r>
      <w:r w:rsidRPr="00F30EF3">
        <w:rPr>
          <w:rFonts w:cstheme="minorHAnsi"/>
          <w:rtl/>
        </w:rPr>
        <w:t xml:space="preserve">) لعام 1980 في الولايات المتحدة الأمريكية لمتلقي تمويل البحوث الفيدرالية على الصعيد الأكاديمي بالحق في طلب البراءات على الاختراعات الناشئة عن هذا التمويل. ومع ذلك، لا يمنح القانون حرية التصرف المطلقة وغير المقيدة للمتلقين. بل على العكس من ذلك، ترد بالقانون ضمانات المساءلة، بما في ذلك اشتراطات الإبلاغ عن وجود البراءات الممولة اتحادياً وكذلك المعلومات المتعلقة بالترخيص والتنازل والاستخدام العملي لهذه البراءات. كما يوفر القانون للحكومة مجموعة من الحقوق المحتفظ بها في المصنف الذي تموله. </w:t>
      </w:r>
    </w:p>
    <w:p w14:paraId="1C215980" w14:textId="77777777" w:rsidR="00D33173" w:rsidRPr="00F30EF3" w:rsidRDefault="00D33173" w:rsidP="00E73746">
      <w:pPr>
        <w:pStyle w:val="ListParagraph"/>
        <w:shd w:val="clear" w:color="auto" w:fill="FFFFFF" w:themeFill="background1"/>
        <w:tabs>
          <w:tab w:val="left" w:pos="426"/>
        </w:tabs>
        <w:autoSpaceDE w:val="0"/>
        <w:autoSpaceDN w:val="0"/>
        <w:adjustRightInd w:val="0"/>
        <w:spacing w:after="0" w:line="240" w:lineRule="auto"/>
        <w:ind w:left="426"/>
        <w:jc w:val="both"/>
        <w:rPr>
          <w:rFonts w:cstheme="minorHAnsi"/>
          <w:color w:val="000000" w:themeColor="text1"/>
          <w:lang w:val="en-US"/>
        </w:rPr>
      </w:pPr>
    </w:p>
    <w:p w14:paraId="467351CD" w14:textId="77777777" w:rsidR="00D33173" w:rsidRPr="00F30EF3" w:rsidRDefault="008F7643" w:rsidP="00A4113D">
      <w:pPr>
        <w:pStyle w:val="ListParagraph"/>
        <w:numPr>
          <w:ilvl w:val="0"/>
          <w:numId w:val="3"/>
        </w:numPr>
        <w:tabs>
          <w:tab w:val="left" w:pos="851"/>
        </w:tabs>
        <w:spacing w:after="120" w:line="240" w:lineRule="auto"/>
        <w:ind w:left="426" w:hanging="426"/>
        <w:contextualSpacing w:val="0"/>
        <w:jc w:val="both"/>
        <w:rPr>
          <w:rFonts w:cstheme="minorHAnsi"/>
          <w:i/>
          <w:iCs/>
          <w:rtl/>
        </w:rPr>
      </w:pPr>
      <w:r w:rsidRPr="00F30EF3">
        <w:rPr>
          <w:rFonts w:cstheme="minorHAnsi"/>
          <w:i/>
          <w:iCs/>
          <w:rtl/>
        </w:rPr>
        <w:t>3.1.</w:t>
      </w:r>
      <w:r w:rsidRPr="00F30EF3">
        <w:rPr>
          <w:rFonts w:cstheme="minorHAnsi"/>
          <w:i/>
          <w:iCs/>
        </w:rPr>
        <w:t>X</w:t>
      </w:r>
      <w:r w:rsidRPr="00F30EF3">
        <w:rPr>
          <w:rFonts w:cstheme="minorHAnsi"/>
          <w:i/>
          <w:iCs/>
          <w:rtl/>
        </w:rPr>
        <w:t xml:space="preserve">. </w:t>
      </w:r>
      <w:r w:rsidRPr="00F30EF3">
        <w:rPr>
          <w:rFonts w:cstheme="minorHAnsi"/>
          <w:b/>
          <w:bCs/>
          <w:i/>
          <w:iCs/>
          <w:rtl/>
        </w:rPr>
        <w:t>التوعية والتثقيف في مجال الملكية الفكرية</w:t>
      </w:r>
      <w:r w:rsidRPr="00F30EF3">
        <w:rPr>
          <w:rFonts w:cstheme="minorHAnsi"/>
          <w:b/>
          <w:bCs/>
          <w:i/>
          <w:iCs/>
          <w:color w:val="000000" w:themeColor="text1"/>
          <w:rtl/>
        </w:rPr>
        <w:t>.</w:t>
      </w:r>
      <w:r w:rsidRPr="00F30EF3">
        <w:rPr>
          <w:rFonts w:cstheme="minorHAnsi"/>
          <w:i/>
          <w:iCs/>
          <w:rtl/>
        </w:rPr>
        <w:t xml:space="preserve"> تلتزم المؤسسة باتخاذ خطوات لإذكاء الوعي</w:t>
      </w:r>
      <w:r w:rsidRPr="00F30EF3">
        <w:rPr>
          <w:rFonts w:cstheme="minorHAnsi"/>
          <w:i/>
          <w:iCs/>
          <w:vertAlign w:val="superscript"/>
          <w:rtl/>
        </w:rPr>
        <w:t xml:space="preserve"> </w:t>
      </w:r>
      <w:r w:rsidRPr="00F30EF3">
        <w:rPr>
          <w:rFonts w:cstheme="minorHAnsi"/>
          <w:i/>
          <w:iCs/>
          <w:rtl/>
        </w:rPr>
        <w:t xml:space="preserve">بين الموظفين والطلاب حول مختلف أنواع الملكية الفكرية، والحقوق المعنية بكل نوع، ومساهمتهم في الابتكار، وسياسة الملكية الفكرية القائمة.  كما تلتزم المؤسسة أيضاً بمراعاة تضمين دورات الملكية الفكرية ونقل المعرفة/التكنولوجيا </w:t>
      </w:r>
      <w:r w:rsidRPr="00F30EF3">
        <w:rPr>
          <w:rFonts w:cstheme="minorHAnsi"/>
          <w:i/>
          <w:iCs/>
          <w:color w:val="000000" w:themeColor="text1"/>
          <w:rtl/>
        </w:rPr>
        <w:t>وريادة الأعمال</w:t>
      </w:r>
      <w:r w:rsidRPr="00F30EF3">
        <w:rPr>
          <w:rFonts w:cstheme="minorHAnsi"/>
          <w:i/>
          <w:iCs/>
          <w:rtl/>
        </w:rPr>
        <w:t xml:space="preserve"> في المناهج الدراسية.</w:t>
      </w:r>
    </w:p>
    <w:p w14:paraId="52DF5E05" w14:textId="77777777" w:rsidR="002A3827" w:rsidRPr="00F30EF3" w:rsidRDefault="00A26BC7" w:rsidP="00A4113D">
      <w:pPr>
        <w:autoSpaceDE w:val="0"/>
        <w:autoSpaceDN w:val="0"/>
        <w:adjustRightInd w:val="0"/>
        <w:spacing w:after="120" w:line="240" w:lineRule="auto"/>
        <w:ind w:left="426"/>
        <w:jc w:val="both"/>
        <w:rPr>
          <w:rFonts w:cstheme="minorHAnsi"/>
          <w:rtl/>
        </w:rPr>
      </w:pPr>
      <w:r w:rsidRPr="00F30EF3">
        <w:rPr>
          <w:rFonts w:cstheme="minorHAnsi"/>
          <w:rtl/>
        </w:rPr>
        <w:t>وإذا اختارت المؤسسة اعتماد رسالة التسويق القائم على الملكية الفكرية، فمن الضروري أن يكون هناك فهم وقبول لهذه الرسالة من طرف مجتمع البحث. ولذلك ينبغي للمؤسسات أن تشجع الباحثين المهتمين وإدارة المؤسسات ومسؤولي نقل التكنولوجيا على التعليم/ التدريب بشأن الملكية الفكرية. وينبغي لهذا التدريب أن يتناول أيضاً تفاصيل عملية ريادة الأعمال، وكيفية التفاعل مع مجتمع الأعمال/ريادة الأعمال المحلي. وتشمل الطرق الفعّالة لإذكاء هذا الوعي حلقات العمل المتعلقة بالملكية الفكرية؛ ونشر المقالات في نشرة إخبارية أو عبر الشبكة الداخلية (إنترانت)؛ وتوزيع نشرات وكتيبات الملكية الفكرية على جميع الإدارات؛ والمحاضرين الزائرين، وما إلى ذلك.</w:t>
      </w:r>
    </w:p>
    <w:p w14:paraId="10AFF4E7" w14:textId="77777777" w:rsidR="0012352F" w:rsidRPr="00F30EF3" w:rsidRDefault="0012352F" w:rsidP="0072797F">
      <w:pPr>
        <w:tabs>
          <w:tab w:val="left" w:pos="426"/>
          <w:tab w:val="left" w:pos="851"/>
        </w:tabs>
        <w:spacing w:after="0" w:line="240" w:lineRule="auto"/>
        <w:ind w:left="426"/>
        <w:jc w:val="both"/>
        <w:rPr>
          <w:rFonts w:cstheme="minorHAnsi"/>
          <w:lang w:val="en-US"/>
        </w:rPr>
      </w:pPr>
    </w:p>
    <w:p w14:paraId="495302F5" w14:textId="13B464B0" w:rsidR="00924444" w:rsidRPr="00F30EF3" w:rsidRDefault="00D57F17" w:rsidP="00B7519E">
      <w:p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426"/>
        <w:jc w:val="both"/>
        <w:rPr>
          <w:rFonts w:cstheme="minorHAnsi"/>
          <w:b/>
          <w:bCs/>
          <w:rtl/>
        </w:rPr>
      </w:pPr>
      <w:bookmarkStart w:id="43" w:name="Box5"/>
      <w:r w:rsidRPr="00F30EF3">
        <w:rPr>
          <w:rFonts w:cstheme="minorHAnsi"/>
          <w:b/>
          <w:bCs/>
          <w:rtl/>
        </w:rPr>
        <w:t xml:space="preserve">الإطار </w:t>
      </w:r>
      <w:bookmarkEnd w:id="43"/>
      <w:r w:rsidR="00A820F6" w:rsidRPr="00F30EF3">
        <w:rPr>
          <w:rFonts w:cstheme="minorHAnsi"/>
          <w:b/>
          <w:bCs/>
          <w:lang w:val="en-US"/>
        </w:rPr>
        <w:t>.5</w:t>
      </w:r>
      <w:r w:rsidRPr="00F30EF3">
        <w:rPr>
          <w:rFonts w:cstheme="minorHAnsi"/>
          <w:b/>
          <w:bCs/>
          <w:rtl/>
        </w:rPr>
        <w:t xml:space="preserve">  نصائح لإدخال ثقافة الوعي بحقوق الملكية الفكرية</w:t>
      </w:r>
    </w:p>
    <w:p w14:paraId="10A53DF5" w14:textId="77777777" w:rsidR="00924444" w:rsidRPr="00F30EF3" w:rsidRDefault="00924444" w:rsidP="00B7519E">
      <w:p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426"/>
        <w:jc w:val="both"/>
        <w:rPr>
          <w:rFonts w:cstheme="minorHAnsi"/>
          <w:b/>
          <w:bCs/>
          <w:lang w:val="en-US"/>
        </w:rPr>
      </w:pPr>
    </w:p>
    <w:p w14:paraId="2E46A863" w14:textId="77777777" w:rsidR="0054519A" w:rsidRPr="00F30EF3" w:rsidRDefault="0054519A" w:rsidP="00A820F6">
      <w:pPr>
        <w:pStyle w:val="ListParagraph"/>
        <w:numPr>
          <w:ilvl w:val="0"/>
          <w:numId w:val="95"/>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120" w:line="240" w:lineRule="auto"/>
        <w:ind w:left="851" w:hanging="425"/>
        <w:contextualSpacing w:val="0"/>
        <w:jc w:val="both"/>
        <w:rPr>
          <w:rFonts w:cstheme="minorHAnsi"/>
          <w:rtl/>
        </w:rPr>
      </w:pPr>
      <w:r w:rsidRPr="00F30EF3">
        <w:rPr>
          <w:rFonts w:cstheme="minorHAnsi"/>
          <w:rtl/>
        </w:rPr>
        <w:t>إذكاء الوعي والمهارات الأساسية فيما يتعلق بالملكية الفكرية ونقل المعرفة من خلال الإجراءات التدريبية لجميع الموظفين والطلاب والزائرين، والتأكد من أن الموظفين المسؤولين عن إدارة الملكية الفكرية (أي إدارة الجامعة وموظفي مكتب إدارة الملكية الفكرية) يتمتعون بالمهارات المطلوبة ويتلقون تدريباً وافياً.</w:t>
      </w:r>
    </w:p>
    <w:p w14:paraId="64A28EF1" w14:textId="77777777" w:rsidR="00D57F17" w:rsidRPr="00F30EF3" w:rsidRDefault="00FE0FAB" w:rsidP="00A820F6">
      <w:pPr>
        <w:pStyle w:val="ListParagraph"/>
        <w:numPr>
          <w:ilvl w:val="0"/>
          <w:numId w:val="82"/>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120" w:line="240" w:lineRule="auto"/>
        <w:ind w:left="851" w:hanging="425"/>
        <w:contextualSpacing w:val="0"/>
        <w:jc w:val="both"/>
        <w:rPr>
          <w:rFonts w:cstheme="minorHAnsi"/>
          <w:rtl/>
        </w:rPr>
      </w:pPr>
      <w:r w:rsidRPr="00F30EF3">
        <w:rPr>
          <w:rFonts w:cstheme="minorHAnsi"/>
          <w:rtl/>
        </w:rPr>
        <w:t>إعداد برنامج مناسب للتثقيف في مجال الملكية الفكرية وريادة الأعمال لكل الجهات المشاركة في نقل المعرفة، والتركيز على الجوانب العملية لكل مجموعة، مثل:</w:t>
      </w:r>
    </w:p>
    <w:tbl>
      <w:tblPr>
        <w:bidiVisual/>
        <w:tblW w:w="9110" w:type="dxa"/>
        <w:tblInd w:w="392" w:type="dxa"/>
        <w:tblLook w:val="04A0" w:firstRow="1" w:lastRow="0" w:firstColumn="1" w:lastColumn="0" w:noHBand="0" w:noVBand="1"/>
      </w:tblPr>
      <w:tblGrid>
        <w:gridCol w:w="1098"/>
        <w:gridCol w:w="364"/>
        <w:gridCol w:w="7553"/>
        <w:gridCol w:w="95"/>
      </w:tblGrid>
      <w:tr w:rsidR="00A45002" w:rsidRPr="00F30EF3" w14:paraId="2BD2B10B" w14:textId="77777777" w:rsidTr="008E6150">
        <w:tc>
          <w:tcPr>
            <w:tcW w:w="1098" w:type="dxa"/>
            <w:shd w:val="clear" w:color="auto" w:fill="17365D" w:themeFill="text2" w:themeFillShade="BF"/>
          </w:tcPr>
          <w:p w14:paraId="690DBCC5" w14:textId="77777777" w:rsidR="00A45002" w:rsidRPr="00F30EF3" w:rsidRDefault="00A45002" w:rsidP="00B7519E">
            <w:pPr>
              <w:ind w:left="-108"/>
              <w:jc w:val="center"/>
              <w:rPr>
                <w:rFonts w:cstheme="minorHAnsi"/>
                <w:b/>
                <w:rtl/>
              </w:rPr>
            </w:pPr>
            <w:r w:rsidRPr="00F30EF3">
              <w:rPr>
                <w:rFonts w:cstheme="minorHAnsi"/>
                <w:b/>
                <w:bCs/>
                <w:rtl/>
              </w:rPr>
              <w:t>الفئة</w:t>
            </w:r>
          </w:p>
        </w:tc>
        <w:tc>
          <w:tcPr>
            <w:tcW w:w="8012" w:type="dxa"/>
            <w:gridSpan w:val="3"/>
            <w:shd w:val="clear" w:color="auto" w:fill="17365D" w:themeFill="text2" w:themeFillShade="BF"/>
          </w:tcPr>
          <w:p w14:paraId="4F0FCA5A" w14:textId="77777777" w:rsidR="00A45002" w:rsidRPr="00F30EF3" w:rsidRDefault="00A45002" w:rsidP="00910FD6">
            <w:pPr>
              <w:jc w:val="center"/>
              <w:rPr>
                <w:rFonts w:cstheme="minorHAnsi"/>
                <w:b/>
                <w:bCs/>
                <w:rtl/>
              </w:rPr>
            </w:pPr>
            <w:r w:rsidRPr="00F30EF3">
              <w:rPr>
                <w:rFonts w:cstheme="minorHAnsi"/>
                <w:b/>
                <w:bCs/>
                <w:rtl/>
              </w:rPr>
              <w:t>المنهج التدريبي</w:t>
            </w:r>
          </w:p>
        </w:tc>
      </w:tr>
      <w:tr w:rsidR="00A45002" w:rsidRPr="00F30EF3" w14:paraId="039BA6CE" w14:textId="77777777" w:rsidTr="008E6150">
        <w:trPr>
          <w:gridAfter w:val="1"/>
          <w:wAfter w:w="95" w:type="dxa"/>
        </w:trPr>
        <w:tc>
          <w:tcPr>
            <w:tcW w:w="14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DEBE60" w14:textId="77777777" w:rsidR="00A45002" w:rsidRPr="00F30EF3" w:rsidRDefault="00A45002" w:rsidP="00B7519E">
            <w:pPr>
              <w:autoSpaceDE w:val="0"/>
              <w:autoSpaceDN w:val="0"/>
              <w:adjustRightInd w:val="0"/>
              <w:rPr>
                <w:rFonts w:cstheme="minorHAnsi"/>
                <w:b/>
                <w:bCs/>
                <w:color w:val="231F20"/>
                <w:rtl/>
              </w:rPr>
            </w:pPr>
            <w:r w:rsidRPr="00F30EF3">
              <w:rPr>
                <w:rFonts w:cstheme="minorHAnsi"/>
                <w:b/>
                <w:bCs/>
                <w:color w:val="231F20"/>
                <w:rtl/>
              </w:rPr>
              <w:t>الباحثون</w:t>
            </w:r>
          </w:p>
        </w:tc>
        <w:tc>
          <w:tcPr>
            <w:tcW w:w="75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3A3860" w14:textId="77777777" w:rsidR="00910FD6" w:rsidRPr="00F30EF3" w:rsidRDefault="00910FD6" w:rsidP="009D4A54">
            <w:pPr>
              <w:pStyle w:val="ListParagraph"/>
              <w:numPr>
                <w:ilvl w:val="0"/>
                <w:numId w:val="97"/>
              </w:numPr>
              <w:autoSpaceDE w:val="0"/>
              <w:autoSpaceDN w:val="0"/>
              <w:adjustRightInd w:val="0"/>
              <w:ind w:left="273" w:hanging="273"/>
              <w:jc w:val="both"/>
              <w:rPr>
                <w:rFonts w:cstheme="minorHAnsi"/>
                <w:color w:val="231F20"/>
                <w:rtl/>
              </w:rPr>
            </w:pPr>
            <w:r w:rsidRPr="00F30EF3">
              <w:rPr>
                <w:rFonts w:cstheme="minorHAnsi"/>
                <w:color w:val="231F20"/>
                <w:rtl/>
              </w:rPr>
              <w:t>عملية تحديد الملكية الفكرية وحمايتها؛</w:t>
            </w:r>
          </w:p>
          <w:p w14:paraId="0C918A01" w14:textId="77777777" w:rsidR="00910FD6" w:rsidRPr="00F30EF3" w:rsidRDefault="00910FD6" w:rsidP="009D4A54">
            <w:pPr>
              <w:pStyle w:val="ListParagraph"/>
              <w:numPr>
                <w:ilvl w:val="0"/>
                <w:numId w:val="97"/>
              </w:numPr>
              <w:autoSpaceDE w:val="0"/>
              <w:autoSpaceDN w:val="0"/>
              <w:adjustRightInd w:val="0"/>
              <w:ind w:left="273" w:hanging="273"/>
              <w:jc w:val="both"/>
              <w:rPr>
                <w:rFonts w:cstheme="minorHAnsi"/>
                <w:color w:val="231F20"/>
                <w:rtl/>
              </w:rPr>
            </w:pPr>
            <w:r w:rsidRPr="00F30EF3">
              <w:rPr>
                <w:rFonts w:cstheme="minorHAnsi"/>
                <w:color w:val="231F20"/>
                <w:rtl/>
              </w:rPr>
              <w:t>ووقت الكشف عن الملكية الفكرية لمكتب إدارة الملكية الفكرية؛</w:t>
            </w:r>
          </w:p>
          <w:p w14:paraId="4667F4A5" w14:textId="77777777" w:rsidR="00910FD6" w:rsidRPr="00F30EF3" w:rsidRDefault="00910FD6" w:rsidP="009D4A54">
            <w:pPr>
              <w:pStyle w:val="ListParagraph"/>
              <w:numPr>
                <w:ilvl w:val="0"/>
                <w:numId w:val="97"/>
              </w:numPr>
              <w:autoSpaceDE w:val="0"/>
              <w:autoSpaceDN w:val="0"/>
              <w:adjustRightInd w:val="0"/>
              <w:ind w:left="273" w:hanging="273"/>
              <w:jc w:val="both"/>
              <w:rPr>
                <w:rFonts w:cstheme="minorHAnsi"/>
                <w:color w:val="231F20"/>
                <w:rtl/>
              </w:rPr>
            </w:pPr>
            <w:r w:rsidRPr="00F30EF3">
              <w:rPr>
                <w:rFonts w:cstheme="minorHAnsi"/>
                <w:color w:val="231F20"/>
                <w:rtl/>
              </w:rPr>
              <w:lastRenderedPageBreak/>
              <w:t>وأهمية السرية، لا سيّما فيما يتعلق بالنشر وتقديم الملخصات والعروض التقديمية/الملصقات الأكاديمية؛</w:t>
            </w:r>
          </w:p>
          <w:p w14:paraId="1D214532" w14:textId="77777777" w:rsidR="00A45002" w:rsidRPr="00F30EF3" w:rsidRDefault="00910FD6" w:rsidP="009D4A54">
            <w:pPr>
              <w:pStyle w:val="ListParagraph"/>
              <w:numPr>
                <w:ilvl w:val="0"/>
                <w:numId w:val="97"/>
              </w:numPr>
              <w:autoSpaceDE w:val="0"/>
              <w:autoSpaceDN w:val="0"/>
              <w:adjustRightInd w:val="0"/>
              <w:ind w:left="273" w:hanging="273"/>
              <w:jc w:val="both"/>
              <w:rPr>
                <w:rFonts w:cstheme="minorHAnsi"/>
                <w:color w:val="231F20"/>
                <w:rtl/>
              </w:rPr>
            </w:pPr>
            <w:r w:rsidRPr="00F30EF3">
              <w:rPr>
                <w:rFonts w:cstheme="minorHAnsi"/>
                <w:color w:val="231F20"/>
                <w:rtl/>
              </w:rPr>
              <w:t>وحفظ السجلات ومتطلبات الإثبات (بما في ذلك دفاتر الملاحظات المختبرية)؛</w:t>
            </w:r>
          </w:p>
          <w:p w14:paraId="20684E2E" w14:textId="77777777" w:rsidR="00A45002" w:rsidRPr="00F30EF3" w:rsidRDefault="00A45002" w:rsidP="009D4A54">
            <w:pPr>
              <w:pStyle w:val="ListParagraph"/>
              <w:numPr>
                <w:ilvl w:val="0"/>
                <w:numId w:val="97"/>
              </w:numPr>
              <w:autoSpaceDE w:val="0"/>
              <w:autoSpaceDN w:val="0"/>
              <w:adjustRightInd w:val="0"/>
              <w:ind w:left="273" w:hanging="273"/>
              <w:jc w:val="both"/>
              <w:rPr>
                <w:rFonts w:cstheme="minorHAnsi"/>
                <w:color w:val="231F20"/>
                <w:rtl/>
              </w:rPr>
            </w:pPr>
            <w:r w:rsidRPr="00F30EF3">
              <w:rPr>
                <w:rFonts w:cstheme="minorHAnsi"/>
                <w:color w:val="231F20"/>
                <w:rtl/>
              </w:rPr>
              <w:t>وفهم أساسي لأنواع اتفاقات الملكية الفكرية، خاصة في سياق تبادل المواد والمعلومات البحثية؛</w:t>
            </w:r>
          </w:p>
          <w:p w14:paraId="5C8C0B55" w14:textId="77777777" w:rsidR="00A45002" w:rsidRPr="00F30EF3" w:rsidRDefault="00910FD6" w:rsidP="006078F5">
            <w:pPr>
              <w:pStyle w:val="ListParagraph"/>
              <w:numPr>
                <w:ilvl w:val="0"/>
                <w:numId w:val="97"/>
              </w:numPr>
              <w:autoSpaceDE w:val="0"/>
              <w:autoSpaceDN w:val="0"/>
              <w:adjustRightInd w:val="0"/>
              <w:ind w:left="273" w:hanging="273"/>
              <w:jc w:val="both"/>
              <w:rPr>
                <w:rFonts w:cstheme="minorHAnsi"/>
                <w:color w:val="231F20"/>
                <w:rtl/>
              </w:rPr>
            </w:pPr>
            <w:r w:rsidRPr="00F30EF3">
              <w:rPr>
                <w:rFonts w:cstheme="minorHAnsi"/>
                <w:color w:val="231F20"/>
                <w:rtl/>
              </w:rPr>
              <w:t>وسياسة الملكية الفكرية للمؤسسة، والمسائل المتعلقة بالملكية والحماية والتسويق وجهات الاتصال وما إلى ذلك.</w:t>
            </w:r>
            <w:r w:rsidRPr="00F30EF3">
              <w:rPr>
                <w:rFonts w:cstheme="minorHAnsi"/>
                <w:rtl/>
              </w:rPr>
              <w:t xml:space="preserve"> </w:t>
            </w:r>
          </w:p>
        </w:tc>
      </w:tr>
      <w:tr w:rsidR="00A45002" w:rsidRPr="00F30EF3" w14:paraId="4523AA02" w14:textId="77777777" w:rsidTr="008E6150">
        <w:trPr>
          <w:gridAfter w:val="1"/>
          <w:wAfter w:w="95" w:type="dxa"/>
        </w:trPr>
        <w:tc>
          <w:tcPr>
            <w:tcW w:w="146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5AE808" w14:textId="77777777" w:rsidR="00A45002" w:rsidRPr="00F30EF3" w:rsidRDefault="00A45002" w:rsidP="006078F5">
            <w:pPr>
              <w:autoSpaceDE w:val="0"/>
              <w:autoSpaceDN w:val="0"/>
              <w:adjustRightInd w:val="0"/>
              <w:spacing w:line="240" w:lineRule="auto"/>
              <w:rPr>
                <w:rFonts w:cstheme="minorHAnsi"/>
                <w:b/>
                <w:bCs/>
                <w:color w:val="231F20"/>
                <w:rtl/>
              </w:rPr>
            </w:pPr>
            <w:r w:rsidRPr="00F30EF3">
              <w:rPr>
                <w:rFonts w:cstheme="minorHAnsi"/>
                <w:b/>
                <w:bCs/>
                <w:color w:val="231F20"/>
                <w:rtl/>
              </w:rPr>
              <w:lastRenderedPageBreak/>
              <w:t>مديرو البحوث ومديرو المؤسسات</w:t>
            </w:r>
          </w:p>
          <w:p w14:paraId="0B84416B" w14:textId="77777777" w:rsidR="00A45002" w:rsidRPr="00F30EF3" w:rsidRDefault="00A45002" w:rsidP="00B7519E">
            <w:pPr>
              <w:tabs>
                <w:tab w:val="left" w:pos="284"/>
                <w:tab w:val="left" w:pos="851"/>
              </w:tabs>
              <w:ind w:left="284"/>
              <w:rPr>
                <w:rFonts w:cstheme="minorHAnsi"/>
                <w:b/>
                <w:bCs/>
                <w:color w:val="231F20"/>
                <w:lang w:val="en-US"/>
              </w:rPr>
            </w:pPr>
          </w:p>
        </w:tc>
        <w:tc>
          <w:tcPr>
            <w:tcW w:w="75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CE566C" w14:textId="77777777" w:rsidR="00A45002" w:rsidRPr="00F30EF3" w:rsidRDefault="00A45002" w:rsidP="009D4A54">
            <w:pPr>
              <w:pStyle w:val="ListParagraph"/>
              <w:numPr>
                <w:ilvl w:val="0"/>
                <w:numId w:val="97"/>
              </w:numPr>
              <w:autoSpaceDE w:val="0"/>
              <w:autoSpaceDN w:val="0"/>
              <w:adjustRightInd w:val="0"/>
              <w:ind w:left="273" w:hanging="273"/>
              <w:jc w:val="both"/>
              <w:rPr>
                <w:rFonts w:cstheme="minorHAnsi"/>
                <w:color w:val="231F20"/>
                <w:rtl/>
              </w:rPr>
            </w:pPr>
            <w:r w:rsidRPr="00F30EF3">
              <w:rPr>
                <w:rFonts w:cstheme="minorHAnsi"/>
                <w:color w:val="231F20"/>
                <w:rtl/>
              </w:rPr>
              <w:t>أهمية إدارة الملكية الفكرية ووظائف الإدارة؛</w:t>
            </w:r>
          </w:p>
          <w:p w14:paraId="65D6620C" w14:textId="77777777" w:rsidR="00A45002" w:rsidRPr="00F30EF3" w:rsidRDefault="00A45002" w:rsidP="009D4A54">
            <w:pPr>
              <w:pStyle w:val="ListParagraph"/>
              <w:numPr>
                <w:ilvl w:val="0"/>
                <w:numId w:val="97"/>
              </w:numPr>
              <w:autoSpaceDE w:val="0"/>
              <w:autoSpaceDN w:val="0"/>
              <w:adjustRightInd w:val="0"/>
              <w:ind w:left="273" w:hanging="273"/>
              <w:jc w:val="both"/>
              <w:rPr>
                <w:rFonts w:cstheme="minorHAnsi"/>
                <w:color w:val="231F20"/>
                <w:rtl/>
              </w:rPr>
            </w:pPr>
            <w:r w:rsidRPr="00F30EF3">
              <w:rPr>
                <w:rFonts w:cstheme="minorHAnsi"/>
                <w:color w:val="231F20"/>
                <w:rtl/>
              </w:rPr>
              <w:t>وعمليات حماية الملكية الفكرية وإجراءاتها؛ أي التكاليف اللازمة لإدارة الملكية الفكرية بفاعلية (بما في ذلك القرارات المطلوبة في المراحل المختلفة من تطوير البحوث والملكية الفكرية)؛</w:t>
            </w:r>
          </w:p>
          <w:p w14:paraId="6C7C4717" w14:textId="77777777" w:rsidR="006078F5" w:rsidRPr="00F30EF3" w:rsidRDefault="00A45002" w:rsidP="00F71527">
            <w:pPr>
              <w:pStyle w:val="ListParagraph"/>
              <w:numPr>
                <w:ilvl w:val="0"/>
                <w:numId w:val="97"/>
              </w:numPr>
              <w:autoSpaceDE w:val="0"/>
              <w:autoSpaceDN w:val="0"/>
              <w:adjustRightInd w:val="0"/>
              <w:ind w:left="273" w:hanging="273"/>
              <w:jc w:val="both"/>
              <w:rPr>
                <w:rFonts w:cstheme="minorHAnsi"/>
                <w:color w:val="231F20"/>
                <w:rtl/>
              </w:rPr>
            </w:pPr>
            <w:r w:rsidRPr="00F30EF3">
              <w:rPr>
                <w:rFonts w:cstheme="minorHAnsi"/>
                <w:color w:val="231F20"/>
                <w:rtl/>
              </w:rPr>
              <w:t>وتنفيذ سياسة الملكية الفكرية الخاصة بالمؤسسة؛</w:t>
            </w:r>
          </w:p>
          <w:p w14:paraId="76C02A4C" w14:textId="77777777" w:rsidR="00A45002" w:rsidRPr="00F30EF3" w:rsidRDefault="00A45002" w:rsidP="006078F5">
            <w:pPr>
              <w:pStyle w:val="ListParagraph"/>
              <w:numPr>
                <w:ilvl w:val="0"/>
                <w:numId w:val="97"/>
              </w:numPr>
              <w:autoSpaceDE w:val="0"/>
              <w:autoSpaceDN w:val="0"/>
              <w:adjustRightInd w:val="0"/>
              <w:ind w:left="273" w:hanging="273"/>
              <w:jc w:val="both"/>
              <w:rPr>
                <w:rFonts w:cstheme="minorHAnsi"/>
                <w:color w:val="231F20"/>
                <w:rtl/>
              </w:rPr>
            </w:pPr>
            <w:r w:rsidRPr="00F30EF3">
              <w:rPr>
                <w:rFonts w:cstheme="minorHAnsi"/>
                <w:color w:val="231F20"/>
                <w:rtl/>
              </w:rPr>
              <w:t>وتقدير دور التكنولوجيا في تلبية الاحتياجات الاجتماعية الاقتصادية.</w:t>
            </w:r>
          </w:p>
        </w:tc>
      </w:tr>
      <w:tr w:rsidR="00A45002" w:rsidRPr="00F30EF3" w14:paraId="6D80B0B2" w14:textId="77777777" w:rsidTr="008E6150">
        <w:trPr>
          <w:gridAfter w:val="1"/>
          <w:wAfter w:w="95" w:type="dxa"/>
        </w:trPr>
        <w:tc>
          <w:tcPr>
            <w:tcW w:w="14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3DE712" w14:textId="77777777" w:rsidR="00A45002" w:rsidRPr="00F30EF3" w:rsidRDefault="00A45002" w:rsidP="00B7519E">
            <w:pPr>
              <w:tabs>
                <w:tab w:val="left" w:pos="284"/>
                <w:tab w:val="left" w:pos="851"/>
              </w:tabs>
              <w:rPr>
                <w:rFonts w:cstheme="minorHAnsi"/>
                <w:b/>
                <w:bCs/>
                <w:color w:val="231F20"/>
                <w:rtl/>
              </w:rPr>
            </w:pPr>
            <w:r w:rsidRPr="00F30EF3">
              <w:rPr>
                <w:rFonts w:cstheme="minorHAnsi"/>
                <w:b/>
                <w:bCs/>
                <w:color w:val="231F20"/>
                <w:rtl/>
              </w:rPr>
              <w:t>مديرو الملكية الفكرية</w:t>
            </w:r>
          </w:p>
        </w:tc>
        <w:tc>
          <w:tcPr>
            <w:tcW w:w="75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D656EF" w14:textId="77777777" w:rsidR="00A45002" w:rsidRPr="00F30EF3" w:rsidRDefault="00A45002" w:rsidP="009D4A54">
            <w:pPr>
              <w:pStyle w:val="ListParagraph"/>
              <w:numPr>
                <w:ilvl w:val="0"/>
                <w:numId w:val="97"/>
              </w:numPr>
              <w:autoSpaceDE w:val="0"/>
              <w:autoSpaceDN w:val="0"/>
              <w:adjustRightInd w:val="0"/>
              <w:ind w:left="273" w:hanging="273"/>
              <w:jc w:val="both"/>
              <w:rPr>
                <w:rFonts w:cstheme="minorHAnsi"/>
                <w:color w:val="231F20"/>
                <w:rtl/>
              </w:rPr>
            </w:pPr>
            <w:r w:rsidRPr="00F30EF3">
              <w:rPr>
                <w:rFonts w:cstheme="minorHAnsi"/>
                <w:color w:val="231F20"/>
                <w:rtl/>
              </w:rPr>
              <w:t>لمحة عامة عن إدارة الملكية الفكرية بداية من إنشاء الملكية الفكرية وحتى تسويقها وتطبيقها؛</w:t>
            </w:r>
          </w:p>
          <w:p w14:paraId="1AD1EDE9" w14:textId="77777777" w:rsidR="00A45002" w:rsidRPr="00F30EF3" w:rsidRDefault="00A45002" w:rsidP="009D4A54">
            <w:pPr>
              <w:pStyle w:val="ListParagraph"/>
              <w:numPr>
                <w:ilvl w:val="0"/>
                <w:numId w:val="97"/>
              </w:numPr>
              <w:autoSpaceDE w:val="0"/>
              <w:autoSpaceDN w:val="0"/>
              <w:adjustRightInd w:val="0"/>
              <w:ind w:left="273" w:hanging="273"/>
              <w:jc w:val="both"/>
              <w:rPr>
                <w:rFonts w:cstheme="minorHAnsi"/>
                <w:color w:val="231F20"/>
                <w:rtl/>
              </w:rPr>
            </w:pPr>
            <w:r w:rsidRPr="00F30EF3">
              <w:rPr>
                <w:rFonts w:cstheme="minorHAnsi"/>
                <w:color w:val="231F20"/>
                <w:rtl/>
              </w:rPr>
              <w:t>بناء الوعي؛</w:t>
            </w:r>
          </w:p>
          <w:p w14:paraId="02A0CA62" w14:textId="77777777" w:rsidR="00A45002" w:rsidRPr="00F30EF3" w:rsidRDefault="00A45002" w:rsidP="006078F5">
            <w:pPr>
              <w:pStyle w:val="ListParagraph"/>
              <w:numPr>
                <w:ilvl w:val="0"/>
                <w:numId w:val="97"/>
              </w:numPr>
              <w:autoSpaceDE w:val="0"/>
              <w:autoSpaceDN w:val="0"/>
              <w:adjustRightInd w:val="0"/>
              <w:ind w:left="273" w:hanging="273"/>
              <w:jc w:val="both"/>
              <w:rPr>
                <w:rFonts w:cstheme="minorHAnsi"/>
                <w:color w:val="231F20"/>
                <w:rtl/>
              </w:rPr>
            </w:pPr>
            <w:r w:rsidRPr="00F30EF3">
              <w:rPr>
                <w:rFonts w:cstheme="minorHAnsi"/>
                <w:color w:val="231F20"/>
                <w:rtl/>
              </w:rPr>
              <w:t>فهم العلوم (فهم بعض مجالات العلوم يمثل فائدة إضافية)</w:t>
            </w:r>
          </w:p>
        </w:tc>
      </w:tr>
      <w:tr w:rsidR="00A45002" w:rsidRPr="00F30EF3" w14:paraId="07ADCB0B" w14:textId="77777777" w:rsidTr="008E6150">
        <w:trPr>
          <w:gridAfter w:val="1"/>
          <w:wAfter w:w="95" w:type="dxa"/>
        </w:trPr>
        <w:tc>
          <w:tcPr>
            <w:tcW w:w="146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07851D" w14:textId="77777777" w:rsidR="00A45002" w:rsidRPr="00F30EF3" w:rsidRDefault="00A45002" w:rsidP="00B7519E">
            <w:pPr>
              <w:tabs>
                <w:tab w:val="left" w:pos="284"/>
                <w:tab w:val="left" w:pos="851"/>
              </w:tabs>
              <w:rPr>
                <w:rFonts w:cstheme="minorHAnsi"/>
                <w:b/>
                <w:color w:val="231F20"/>
                <w:rtl/>
              </w:rPr>
            </w:pPr>
            <w:r w:rsidRPr="00F30EF3">
              <w:rPr>
                <w:rFonts w:cstheme="minorHAnsi"/>
                <w:b/>
                <w:bCs/>
                <w:color w:val="231F20"/>
                <w:rtl/>
              </w:rPr>
              <w:t>العمليات</w:t>
            </w:r>
          </w:p>
        </w:tc>
        <w:tc>
          <w:tcPr>
            <w:tcW w:w="75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8AA266" w14:textId="77777777" w:rsidR="00225CEA" w:rsidRPr="00F30EF3" w:rsidRDefault="00A45002" w:rsidP="009D4A54">
            <w:pPr>
              <w:pStyle w:val="ListParagraph"/>
              <w:numPr>
                <w:ilvl w:val="0"/>
                <w:numId w:val="97"/>
              </w:numPr>
              <w:autoSpaceDE w:val="0"/>
              <w:autoSpaceDN w:val="0"/>
              <w:adjustRightInd w:val="0"/>
              <w:ind w:left="273" w:hanging="284"/>
              <w:jc w:val="both"/>
              <w:rPr>
                <w:rFonts w:cstheme="minorHAnsi"/>
                <w:color w:val="231F20"/>
                <w:rtl/>
              </w:rPr>
            </w:pPr>
            <w:r w:rsidRPr="00F30EF3">
              <w:rPr>
                <w:rFonts w:cstheme="minorHAnsi"/>
                <w:b/>
                <w:bCs/>
                <w:color w:val="231F20"/>
                <w:rtl/>
              </w:rPr>
              <w:t>التمويل</w:t>
            </w:r>
            <w:r w:rsidRPr="00F30EF3">
              <w:rPr>
                <w:rFonts w:cstheme="minorHAnsi"/>
                <w:color w:val="231F20"/>
                <w:rtl/>
              </w:rPr>
              <w:t>: فهم المبادئ التوجيهية لسياسة الملكية الفكرية، أي الأنظمة والعمليات اللازمة للتعامل مع مدفوعات وإيصالات الملكية الفكرية (على سبيل المثال، الإتاوات)؛ بمعنى إدارة المنافع للباحثين والمؤسسة</w:t>
            </w:r>
          </w:p>
          <w:p w14:paraId="7584D614" w14:textId="77777777" w:rsidR="00225CEA" w:rsidRPr="00F30EF3" w:rsidRDefault="00A45002" w:rsidP="009D4A54">
            <w:pPr>
              <w:pStyle w:val="ListParagraph"/>
              <w:numPr>
                <w:ilvl w:val="0"/>
                <w:numId w:val="98"/>
              </w:numPr>
              <w:autoSpaceDE w:val="0"/>
              <w:autoSpaceDN w:val="0"/>
              <w:adjustRightInd w:val="0"/>
              <w:ind w:left="273" w:hanging="284"/>
              <w:jc w:val="both"/>
              <w:rPr>
                <w:rFonts w:cstheme="minorHAnsi"/>
                <w:color w:val="231F20"/>
                <w:rtl/>
              </w:rPr>
            </w:pPr>
            <w:r w:rsidRPr="00F30EF3">
              <w:rPr>
                <w:rFonts w:cstheme="minorHAnsi"/>
                <w:b/>
                <w:bCs/>
                <w:color w:val="231F20"/>
                <w:rtl/>
              </w:rPr>
              <w:t>الموارد البشرية</w:t>
            </w:r>
            <w:r w:rsidRPr="00F30EF3">
              <w:rPr>
                <w:rFonts w:cstheme="minorHAnsi"/>
                <w:color w:val="231F20"/>
                <w:rtl/>
              </w:rPr>
              <w:t>: المبادئ التوجيهية لسياسة الملكية الفكرية والتفاعل مع السياسات المؤسسية الأخرى مثل شروط الخدمة والتوظيف وتضارب المصالح والالتزام والتعاقد مع العملاء</w:t>
            </w:r>
          </w:p>
          <w:p w14:paraId="0415B1DC" w14:textId="77777777" w:rsidR="00225CEA" w:rsidRPr="00F30EF3" w:rsidRDefault="00A45002" w:rsidP="009D4A54">
            <w:pPr>
              <w:pStyle w:val="ListParagraph"/>
              <w:numPr>
                <w:ilvl w:val="0"/>
                <w:numId w:val="98"/>
              </w:numPr>
              <w:autoSpaceDE w:val="0"/>
              <w:autoSpaceDN w:val="0"/>
              <w:adjustRightInd w:val="0"/>
              <w:ind w:left="273" w:hanging="284"/>
              <w:jc w:val="both"/>
              <w:rPr>
                <w:rFonts w:cstheme="minorHAnsi"/>
                <w:color w:val="231F20"/>
                <w:rtl/>
              </w:rPr>
            </w:pPr>
            <w:r w:rsidRPr="00F30EF3">
              <w:rPr>
                <w:rFonts w:cstheme="minorHAnsi"/>
                <w:b/>
                <w:bCs/>
                <w:color w:val="231F20"/>
                <w:rtl/>
              </w:rPr>
              <w:t>الخدمات القانونية</w:t>
            </w:r>
            <w:r w:rsidRPr="00F30EF3">
              <w:rPr>
                <w:rFonts w:cstheme="minorHAnsi"/>
                <w:color w:val="231F20"/>
                <w:rtl/>
              </w:rPr>
              <w:t>: المبادئ التوجيهية لسياسة الملكية الفكرية، وعقود واتفاقات الملكية الفكرية، وإدراك ما يشكّل ملكية فكرية والأشكال المختلفة لحماية الملكية الفكرية، والتفاوض بشأن الملكية الفكرية</w:t>
            </w:r>
          </w:p>
          <w:p w14:paraId="4F54EA4F" w14:textId="77777777" w:rsidR="00A45002" w:rsidRPr="00F30EF3" w:rsidRDefault="00A45002" w:rsidP="006078F5">
            <w:pPr>
              <w:pStyle w:val="ListParagraph"/>
              <w:numPr>
                <w:ilvl w:val="0"/>
                <w:numId w:val="97"/>
              </w:numPr>
              <w:tabs>
                <w:tab w:val="left" w:pos="851"/>
              </w:tabs>
              <w:autoSpaceDE w:val="0"/>
              <w:autoSpaceDN w:val="0"/>
              <w:adjustRightInd w:val="0"/>
              <w:ind w:left="273" w:hanging="284"/>
              <w:jc w:val="both"/>
              <w:rPr>
                <w:rFonts w:cstheme="minorHAnsi"/>
                <w:color w:val="231F20"/>
                <w:rtl/>
              </w:rPr>
            </w:pPr>
            <w:r w:rsidRPr="00F30EF3">
              <w:rPr>
                <w:rFonts w:cstheme="minorHAnsi"/>
                <w:b/>
                <w:bCs/>
                <w:color w:val="231F20"/>
                <w:rtl/>
              </w:rPr>
              <w:t>أبحاث العقود والمنح</w:t>
            </w:r>
            <w:r w:rsidRPr="00F30EF3">
              <w:rPr>
                <w:rFonts w:cstheme="minorHAnsi"/>
                <w:color w:val="231F20"/>
                <w:rtl/>
              </w:rPr>
              <w:t>: عقود واتفاقات الملكية الفكرية، لا سيّما البنود المتعلقة بملكية الملكية الفكرية، والمبادئ التوجيهية لسياسة الملكية الفكرية</w:t>
            </w:r>
          </w:p>
        </w:tc>
      </w:tr>
      <w:tr w:rsidR="00910FD6" w:rsidRPr="00F30EF3" w14:paraId="5CECDF79" w14:textId="77777777" w:rsidTr="008E6150">
        <w:trPr>
          <w:gridAfter w:val="1"/>
          <w:wAfter w:w="95" w:type="dxa"/>
        </w:trPr>
        <w:tc>
          <w:tcPr>
            <w:tcW w:w="9015" w:type="dxa"/>
            <w:gridSpan w:val="3"/>
            <w:tcBorders>
              <w:top w:val="single" w:sz="4" w:space="0" w:color="auto"/>
            </w:tcBorders>
          </w:tcPr>
          <w:p w14:paraId="31531F84" w14:textId="77777777" w:rsidR="00910FD6" w:rsidRPr="00F30EF3" w:rsidRDefault="00910FD6" w:rsidP="006078F5">
            <w:pPr>
              <w:autoSpaceDE w:val="0"/>
              <w:autoSpaceDN w:val="0"/>
              <w:adjustRightInd w:val="0"/>
              <w:rPr>
                <w:rFonts w:cstheme="minorHAnsi"/>
                <w:i/>
                <w:iCs/>
                <w:color w:val="231F20"/>
              </w:rPr>
            </w:pPr>
            <w:r w:rsidRPr="00F30EF3">
              <w:rPr>
                <w:rFonts w:cstheme="minorHAnsi"/>
                <w:i/>
                <w:iCs/>
                <w:color w:val="231F20"/>
                <w:rtl/>
              </w:rPr>
              <w:t xml:space="preserve">المصدر:  مقتبس من: س. بيفيل وأ. كراتيغر، </w:t>
            </w:r>
            <w:hyperlink r:id="rId17" w:history="1">
              <w:r w:rsidRPr="00F30EF3">
                <w:rPr>
                  <w:rStyle w:val="Hyperlink"/>
                  <w:rFonts w:cstheme="minorHAnsi"/>
                  <w:i/>
                  <w:iCs/>
                </w:rPr>
                <w:t>Training Staff in IP Management</w:t>
              </w:r>
              <w:r w:rsidRPr="00F30EF3">
                <w:rPr>
                  <w:rStyle w:val="FootnoteReference"/>
                  <w:rFonts w:cstheme="minorHAnsi"/>
                  <w:i/>
                  <w:iCs/>
                  <w:color w:val="231F20"/>
                  <w:lang w:val="en-US"/>
                </w:rPr>
                <w:footnoteReference w:id="35"/>
              </w:r>
            </w:hyperlink>
          </w:p>
        </w:tc>
      </w:tr>
    </w:tbl>
    <w:p w14:paraId="45ABB106" w14:textId="77777777" w:rsidR="00D33173" w:rsidRPr="00F30EF3" w:rsidRDefault="008F7643" w:rsidP="00E84784">
      <w:pPr>
        <w:pStyle w:val="ListParagraph"/>
        <w:numPr>
          <w:ilvl w:val="2"/>
          <w:numId w:val="10"/>
        </w:numPr>
        <w:tabs>
          <w:tab w:val="left" w:pos="851"/>
        </w:tabs>
        <w:spacing w:after="120" w:line="240" w:lineRule="auto"/>
        <w:ind w:left="432" w:hanging="432"/>
        <w:contextualSpacing w:val="0"/>
        <w:jc w:val="both"/>
        <w:rPr>
          <w:rFonts w:cstheme="minorHAnsi"/>
          <w:i/>
          <w:iCs/>
          <w:rtl/>
        </w:rPr>
      </w:pPr>
      <w:r w:rsidRPr="00F30EF3">
        <w:rPr>
          <w:rFonts w:cstheme="minorHAnsi"/>
          <w:i/>
          <w:iCs/>
          <w:rtl/>
        </w:rPr>
        <w:t>3.1.</w:t>
      </w:r>
      <w:r w:rsidRPr="00F30EF3">
        <w:rPr>
          <w:rFonts w:cstheme="minorHAnsi"/>
          <w:i/>
          <w:iCs/>
        </w:rPr>
        <w:t>X</w:t>
      </w:r>
      <w:r w:rsidRPr="00F30EF3">
        <w:rPr>
          <w:rFonts w:cstheme="minorHAnsi"/>
          <w:i/>
          <w:iCs/>
          <w:rtl/>
        </w:rPr>
        <w:t xml:space="preserve">. </w:t>
      </w:r>
      <w:r w:rsidRPr="00F30EF3">
        <w:rPr>
          <w:rFonts w:cstheme="minorHAnsi"/>
          <w:b/>
          <w:bCs/>
          <w:i/>
          <w:iCs/>
          <w:color w:val="000000" w:themeColor="text1"/>
          <w:rtl/>
        </w:rPr>
        <w:t>حقوق أصحاب حقوق الملكية الفكرية الآخرين.</w:t>
      </w:r>
      <w:r w:rsidRPr="00F30EF3">
        <w:rPr>
          <w:rFonts w:cstheme="minorHAnsi"/>
          <w:i/>
          <w:iCs/>
          <w:rtl/>
        </w:rPr>
        <w:t xml:space="preserve"> تحترم المؤسسة الحقوق الاقتصادية والمعنوية لأصحاب حقوق الملكية الفكرية الآخرين. وينبغي للموظفين والطلاب والزوار، الذين يعتزمون استخدام أي مواد مملوكة أو ملكية فكرية مقدمة من أطراف خارجية أو مملوكة لهم، التأكد من أنهم والمؤسسة مخولون لفعل ذلك.</w:t>
      </w:r>
      <w:r w:rsidRPr="00F30EF3">
        <w:rPr>
          <w:rFonts w:cstheme="minorHAnsi"/>
          <w:rtl/>
        </w:rPr>
        <w:t xml:space="preserve"> </w:t>
      </w:r>
    </w:p>
    <w:p w14:paraId="7E0D0A3A" w14:textId="77777777" w:rsidR="009D4F7B" w:rsidRPr="00F30EF3" w:rsidRDefault="00662C52" w:rsidP="00E84784">
      <w:pPr>
        <w:autoSpaceDE w:val="0"/>
        <w:autoSpaceDN w:val="0"/>
        <w:adjustRightInd w:val="0"/>
        <w:spacing w:after="120" w:line="240" w:lineRule="auto"/>
        <w:ind w:left="432"/>
        <w:jc w:val="both"/>
        <w:rPr>
          <w:rFonts w:cstheme="minorHAnsi"/>
          <w:rtl/>
        </w:rPr>
      </w:pPr>
      <w:r w:rsidRPr="00F30EF3">
        <w:rPr>
          <w:rFonts w:cstheme="minorHAnsi"/>
          <w:rtl/>
        </w:rPr>
        <w:t>ولا ينبغي للمؤسسة التعدي قصداً أو سهواً على حقوق الملكية الفكرية للآخرين. ففي حين أن استخدام التدريس أو البحث قد يندرج في بعض الحالات ضمن الاستثناءات الواردة في قانون الملكية الفكرية الوطني المعني (مثل استثناء البحث والتطوير الذي ينص على أن البحث المُجرى حول موضوع محمي قانوناً لن يشكل انتهاكاً)، فلا ينبغي افتراض أن هذا هو واقع الحال، لأن القانون في هذا الجزئية معقد للغاية. وينبغي للموظفين والطلاب والزائرين طلب الدعم من مكتب إدارة الملكية الفكرية في حالة الشك.</w:t>
      </w:r>
      <w:r w:rsidR="00C96C8E" w:rsidRPr="00F30EF3">
        <w:rPr>
          <w:rStyle w:val="FootnoteReference"/>
          <w:rFonts w:cstheme="minorHAnsi"/>
          <w:rtl/>
          <w:lang w:val="en-US"/>
        </w:rPr>
        <w:footnoteReference w:id="36"/>
      </w:r>
      <w:r w:rsidRPr="00F30EF3">
        <w:rPr>
          <w:rFonts w:cstheme="minorHAnsi"/>
          <w:rtl/>
        </w:rPr>
        <w:t xml:space="preserve">  </w:t>
      </w:r>
    </w:p>
    <w:p w14:paraId="554E4A94" w14:textId="77777777" w:rsidR="00194209" w:rsidRPr="00F30EF3" w:rsidRDefault="00B9654A" w:rsidP="00E84784">
      <w:pPr>
        <w:pStyle w:val="Heading3"/>
        <w:spacing w:before="0" w:after="120"/>
        <w:rPr>
          <w:rFonts w:asciiTheme="minorHAnsi" w:hAnsiTheme="minorHAnsi" w:cstheme="minorHAnsi"/>
          <w:sz w:val="22"/>
          <w:szCs w:val="22"/>
          <w:rtl/>
        </w:rPr>
      </w:pPr>
      <w:bookmarkStart w:id="44" w:name="_Toc494115945"/>
      <w:bookmarkStart w:id="45" w:name="_Toc516160040"/>
      <w:bookmarkStart w:id="46" w:name="_Toc516219383"/>
      <w:bookmarkStart w:id="47" w:name="_Toc516496024"/>
      <w:bookmarkStart w:id="48" w:name="_Toc516829396"/>
      <w:r w:rsidRPr="00F30EF3">
        <w:rPr>
          <w:rFonts w:asciiTheme="minorHAnsi" w:hAnsiTheme="minorHAnsi" w:cstheme="minorHAnsi"/>
          <w:sz w:val="22"/>
          <w:szCs w:val="22"/>
          <w:rtl/>
        </w:rPr>
        <w:t>موارد مفيدة</w:t>
      </w:r>
      <w:bookmarkEnd w:id="44"/>
      <w:r w:rsidRPr="00F30EF3">
        <w:rPr>
          <w:rFonts w:asciiTheme="minorHAnsi" w:hAnsiTheme="minorHAnsi" w:cstheme="minorHAnsi"/>
          <w:sz w:val="22"/>
          <w:szCs w:val="22"/>
          <w:rtl/>
        </w:rPr>
        <w:t xml:space="preserve"> تتعلق بالمادة 1</w:t>
      </w:r>
      <w:bookmarkEnd w:id="45"/>
      <w:bookmarkEnd w:id="46"/>
      <w:bookmarkEnd w:id="47"/>
      <w:bookmarkEnd w:id="48"/>
    </w:p>
    <w:p w14:paraId="3790052E" w14:textId="77777777" w:rsidR="00F20AED" w:rsidRPr="00F30EF3" w:rsidRDefault="009357E9" w:rsidP="00E84784">
      <w:pPr>
        <w:pStyle w:val="ListParagraph"/>
        <w:keepNext/>
        <w:keepLines/>
        <w:numPr>
          <w:ilvl w:val="0"/>
          <w:numId w:val="8"/>
        </w:numPr>
        <w:shd w:val="clear" w:color="auto" w:fill="FFFFFF" w:themeFill="background1"/>
        <w:tabs>
          <w:tab w:val="left" w:pos="426"/>
        </w:tabs>
        <w:autoSpaceDE w:val="0"/>
        <w:autoSpaceDN w:val="0"/>
        <w:adjustRightInd w:val="0"/>
        <w:spacing w:after="120" w:line="240" w:lineRule="auto"/>
        <w:ind w:left="426" w:hanging="426"/>
        <w:contextualSpacing w:val="0"/>
        <w:jc w:val="both"/>
        <w:rPr>
          <w:rFonts w:eastAsiaTheme="minorHAnsi" w:cstheme="minorHAnsi"/>
          <w:rtl/>
        </w:rPr>
      </w:pPr>
      <w:r w:rsidRPr="00F30EF3">
        <w:rPr>
          <w:rFonts w:cstheme="minorHAnsi"/>
          <w:b/>
          <w:bCs/>
          <w:rtl/>
        </w:rPr>
        <w:t>تمهيد</w:t>
      </w:r>
      <w:r w:rsidRPr="00F30EF3">
        <w:rPr>
          <w:rFonts w:cstheme="minorHAnsi"/>
          <w:rtl/>
        </w:rPr>
        <w:t xml:space="preserve">. لمعرفة كيفية صياغة المؤسسات الأخرى لتمهيد سياساتها، ابحث في قاعدة بيانات الويبو لسياسات الملكية الفكرية. </w:t>
      </w:r>
    </w:p>
    <w:p w14:paraId="0C279E57" w14:textId="5A1E3796" w:rsidR="009357E9" w:rsidRPr="00F30EF3" w:rsidRDefault="009357E9" w:rsidP="00E84784">
      <w:pPr>
        <w:pStyle w:val="ListParagraph"/>
        <w:numPr>
          <w:ilvl w:val="0"/>
          <w:numId w:val="8"/>
        </w:numPr>
        <w:shd w:val="clear" w:color="auto" w:fill="FFFFFF" w:themeFill="background1"/>
        <w:tabs>
          <w:tab w:val="left" w:pos="426"/>
        </w:tabs>
        <w:autoSpaceDE w:val="0"/>
        <w:autoSpaceDN w:val="0"/>
        <w:adjustRightInd w:val="0"/>
        <w:spacing w:after="120" w:line="240" w:lineRule="auto"/>
        <w:ind w:left="426" w:hanging="426"/>
        <w:contextualSpacing w:val="0"/>
        <w:jc w:val="both"/>
        <w:rPr>
          <w:rFonts w:eastAsiaTheme="minorHAnsi" w:cstheme="minorHAnsi"/>
          <w:b/>
          <w:bCs/>
          <w:rtl/>
        </w:rPr>
      </w:pPr>
      <w:r w:rsidRPr="00F30EF3">
        <w:rPr>
          <w:rFonts w:cstheme="minorHAnsi"/>
          <w:b/>
          <w:bCs/>
          <w:rtl/>
        </w:rPr>
        <w:t>المبادئ التوجيهية أو مدونات الممارسات الوطنية لإدارة الملكية الفكرية في أنشطة نقل المعرفة.</w:t>
      </w:r>
      <w:r w:rsidRPr="00F30EF3">
        <w:rPr>
          <w:rFonts w:cstheme="minorHAnsi"/>
          <w:rtl/>
        </w:rPr>
        <w:t xml:space="preserve"> وقد وضعت بعض الوكالات أو المجالس الوطنية إرشادات غير ملزمة بشأن ملكية الملكية الفكرية الناتجة عن البحوث التي تجريها مؤسسات </w:t>
      </w:r>
      <w:r w:rsidRPr="00F30EF3">
        <w:rPr>
          <w:rFonts w:cstheme="minorHAnsi"/>
          <w:rtl/>
        </w:rPr>
        <w:lastRenderedPageBreak/>
        <w:t>القطاع العام وتعزيزها ونشرها وتسويقها وحمايتها</w:t>
      </w:r>
      <w:r w:rsidRPr="00F30EF3">
        <w:rPr>
          <w:rStyle w:val="FootnoteReference"/>
          <w:rFonts w:cstheme="minorHAnsi"/>
          <w:rtl/>
          <w:lang w:val="en-US"/>
        </w:rPr>
        <w:footnoteReference w:id="37"/>
      </w:r>
      <w:r w:rsidRPr="00F30EF3">
        <w:rPr>
          <w:rFonts w:cstheme="minorHAnsi"/>
          <w:rtl/>
        </w:rPr>
        <w:t>.  والهدف من هذه المبادئ التوجيهية هو الاستفادة من المعرفة والخبرة الموجودتين ومنع إصدار البراءات والتراخيص التعسفية. فيما يلي بعض الأمثلة (القائمة ليست شاملة).</w:t>
      </w:r>
    </w:p>
    <w:p w14:paraId="66F22E3E" w14:textId="22D9B09F" w:rsidR="00384690" w:rsidRPr="00F30EF3" w:rsidRDefault="00057D3B" w:rsidP="00DA7E04">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0" w:line="240" w:lineRule="auto"/>
        <w:ind w:left="426"/>
        <w:jc w:val="both"/>
        <w:rPr>
          <w:rFonts w:cstheme="minorHAnsi"/>
          <w:rtl/>
        </w:rPr>
      </w:pPr>
      <w:bookmarkStart w:id="49" w:name="Box6"/>
      <w:r w:rsidRPr="00F30EF3">
        <w:rPr>
          <w:rFonts w:cstheme="minorHAnsi"/>
          <w:b/>
          <w:bCs/>
          <w:rtl/>
        </w:rPr>
        <w:t xml:space="preserve">الإطار </w:t>
      </w:r>
      <w:bookmarkEnd w:id="49"/>
      <w:r w:rsidR="007375E6" w:rsidRPr="00F30EF3">
        <w:rPr>
          <w:rFonts w:cstheme="minorHAnsi"/>
          <w:b/>
          <w:bCs/>
        </w:rPr>
        <w:t>.6</w:t>
      </w:r>
      <w:r w:rsidRPr="00F30EF3">
        <w:rPr>
          <w:rFonts w:cstheme="minorHAnsi"/>
          <w:b/>
          <w:bCs/>
          <w:rtl/>
        </w:rPr>
        <w:t xml:space="preserve"> أمثلة على المبادئ التوجيهية أو مدونات الممارسات الوطنية لإدارة الملكية الفكرية</w:t>
      </w:r>
      <w:r w:rsidRPr="00F30EF3">
        <w:rPr>
          <w:rFonts w:cstheme="minorHAnsi"/>
          <w:rtl/>
        </w:rPr>
        <w:t>:</w:t>
      </w:r>
    </w:p>
    <w:p w14:paraId="73E4FB07" w14:textId="77777777" w:rsidR="00384690" w:rsidRPr="00F30EF3" w:rsidRDefault="00384690" w:rsidP="00DA7E04">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rPr>
          <w:rFonts w:cstheme="minorHAnsi"/>
          <w:lang w:val="en-US"/>
        </w:rPr>
      </w:pPr>
    </w:p>
    <w:p w14:paraId="327F3B12" w14:textId="77777777" w:rsidR="00DB518E" w:rsidRPr="00F30EF3"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cstheme="minorHAnsi"/>
          <w:rtl/>
        </w:rPr>
      </w:pPr>
      <w:r w:rsidRPr="00F30EF3">
        <w:rPr>
          <w:rFonts w:cstheme="minorHAnsi"/>
          <w:rtl/>
        </w:rPr>
        <w:t>أستراليا:</w:t>
      </w:r>
      <w:hyperlink r:id="rId18" w:history="1">
        <w:r w:rsidRPr="00F30EF3">
          <w:rPr>
            <w:rFonts w:cstheme="minorHAnsi"/>
            <w:rtl/>
          </w:rPr>
          <w:t xml:space="preserve"> </w:t>
        </w:r>
        <w:r w:rsidRPr="00F30EF3">
          <w:rPr>
            <w:rStyle w:val="Hyperlink"/>
            <w:rFonts w:cstheme="minorHAnsi"/>
            <w:rtl/>
          </w:rPr>
          <w:t>المبادئ الوطنية لإدارة الملكية الفكرية للبحوث الممولة من القطاع العام</w:t>
        </w:r>
      </w:hyperlink>
      <w:r w:rsidRPr="00F30EF3">
        <w:rPr>
          <w:rFonts w:cstheme="minorHAnsi"/>
          <w:rtl/>
        </w:rPr>
        <w:t>. من إعداد مجلس البحوث الأسترالي.</w:t>
      </w:r>
    </w:p>
    <w:p w14:paraId="560A015F" w14:textId="77777777" w:rsidR="00DB518E" w:rsidRPr="00F30EF3"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cstheme="minorHAnsi"/>
          <w:rtl/>
        </w:rPr>
      </w:pPr>
      <w:r w:rsidRPr="00F30EF3">
        <w:rPr>
          <w:rFonts w:cstheme="minorHAnsi"/>
          <w:rtl/>
        </w:rPr>
        <w:t>أوروبا:</w:t>
      </w:r>
      <w:hyperlink r:id="rId19" w:history="1">
        <w:r w:rsidRPr="00F30EF3">
          <w:rPr>
            <w:rFonts w:cstheme="minorHAnsi"/>
            <w:rtl/>
          </w:rPr>
          <w:t xml:space="preserve"> </w:t>
        </w:r>
        <w:r w:rsidRPr="00F30EF3">
          <w:rPr>
            <w:rStyle w:val="Hyperlink"/>
            <w:rFonts w:cstheme="minorHAnsi"/>
            <w:rtl/>
          </w:rPr>
          <w:t>توصية اللجنة بشأن إدارة الملكية الفكرية في أنشطة نقل المعارف ومدونة قواعد الممارسات للجامعات وغيرها من المنظمات البحثية العامة</w:t>
        </w:r>
      </w:hyperlink>
      <w:r w:rsidRPr="00F30EF3">
        <w:rPr>
          <w:rStyle w:val="Hyperlink"/>
          <w:rFonts w:cstheme="minorHAnsi"/>
          <w:rtl/>
        </w:rPr>
        <w:t xml:space="preserve"> </w:t>
      </w:r>
      <w:r w:rsidRPr="00F30EF3">
        <w:rPr>
          <w:rFonts w:cstheme="minorHAnsi"/>
          <w:rtl/>
        </w:rPr>
        <w:t>(2008) التي اعتمدتها المفوضية الأوروبية.</w:t>
      </w:r>
      <w:r w:rsidR="00DB518E" w:rsidRPr="00F30EF3">
        <w:rPr>
          <w:rStyle w:val="FootnoteReference"/>
          <w:rFonts w:cstheme="minorHAnsi"/>
          <w:rtl/>
          <w:lang w:val="en-US"/>
        </w:rPr>
        <w:footnoteReference w:id="38"/>
      </w:r>
    </w:p>
    <w:p w14:paraId="58E37F90" w14:textId="4FDCB901" w:rsidR="00DB518E" w:rsidRPr="00F30EF3" w:rsidRDefault="00DB518E"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cstheme="minorHAnsi"/>
          <w:rtl/>
        </w:rPr>
      </w:pPr>
      <w:r w:rsidRPr="00F30EF3">
        <w:rPr>
          <w:rFonts w:cstheme="minorHAnsi"/>
          <w:rtl/>
        </w:rPr>
        <w:t>أوروبا:</w:t>
      </w:r>
      <w:hyperlink r:id="rId20" w:history="1">
        <w:r w:rsidRPr="00F30EF3">
          <w:rPr>
            <w:rFonts w:cstheme="minorHAnsi"/>
            <w:rtl/>
          </w:rPr>
          <w:t xml:space="preserve"> </w:t>
        </w:r>
        <w:r w:rsidRPr="00F30EF3">
          <w:rPr>
            <w:rStyle w:val="Hyperlink"/>
            <w:rFonts w:cstheme="minorHAnsi"/>
            <w:rtl/>
          </w:rPr>
          <w:t>مبادئ توجيهية لمنطقة البحث الأوروبية بشأن إدارة الملكية الفكرية في اتفاقات التعاون على البحث الدولي لدى الشركاء الأوربيين وغير الأور</w:t>
        </w:r>
        <w:r w:rsidR="00AC3BC2" w:rsidRPr="00F30EF3">
          <w:rPr>
            <w:rStyle w:val="Hyperlink"/>
            <w:rFonts w:cstheme="minorHAnsi" w:hint="cs"/>
            <w:rtl/>
            <w:lang w:bidi="ar-SA"/>
          </w:rPr>
          <w:t>و</w:t>
        </w:r>
        <w:r w:rsidRPr="00F30EF3">
          <w:rPr>
            <w:rStyle w:val="Hyperlink"/>
            <w:rFonts w:cstheme="minorHAnsi"/>
            <w:rtl/>
          </w:rPr>
          <w:t>بيين</w:t>
        </w:r>
      </w:hyperlink>
      <w:r w:rsidRPr="00F30EF3">
        <w:rPr>
          <w:rFonts w:cstheme="minorHAnsi"/>
          <w:rtl/>
        </w:rPr>
        <w:t xml:space="preserve"> (2012). من إعداد اللجنة الخاصة بمنطقة الأبحاث الأوروبية.</w:t>
      </w:r>
    </w:p>
    <w:p w14:paraId="2AA1A04A" w14:textId="77777777" w:rsidR="009357E9" w:rsidRPr="00F30EF3"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cstheme="minorHAnsi"/>
          <w:rtl/>
        </w:rPr>
      </w:pPr>
      <w:r w:rsidRPr="00F30EF3">
        <w:rPr>
          <w:rFonts w:cstheme="minorHAnsi"/>
          <w:rtl/>
        </w:rPr>
        <w:t>أيرلندا:</w:t>
      </w:r>
      <w:hyperlink r:id="rId21" w:history="1">
        <w:r w:rsidRPr="00F30EF3">
          <w:rPr>
            <w:rFonts w:cstheme="minorHAnsi"/>
            <w:rtl/>
          </w:rPr>
          <w:t xml:space="preserve"> </w:t>
        </w:r>
        <w:r w:rsidRPr="00F30EF3">
          <w:rPr>
            <w:rStyle w:val="Hyperlink"/>
            <w:rFonts w:cstheme="minorHAnsi"/>
            <w:rtl/>
          </w:rPr>
          <w:t>مدونة الممارسات الوطنية لإدارة الملكية الفكرية من خلال البحوث الممولة من القطاع العام</w:t>
        </w:r>
      </w:hyperlink>
      <w:r w:rsidRPr="00F30EF3">
        <w:rPr>
          <w:rFonts w:cstheme="minorHAnsi"/>
          <w:rtl/>
        </w:rPr>
        <w:t>. من إعداد المجلس الأيرلندي للعلوم والتكنولوجيا والإبداع.</w:t>
      </w:r>
    </w:p>
    <w:p w14:paraId="158EFCB8" w14:textId="77777777" w:rsidR="009357E9" w:rsidRPr="00F30EF3"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cstheme="minorHAnsi"/>
          <w:rtl/>
        </w:rPr>
      </w:pPr>
      <w:r w:rsidRPr="00F30EF3">
        <w:rPr>
          <w:rFonts w:cstheme="minorHAnsi"/>
          <w:rtl/>
        </w:rPr>
        <w:t>أيرلندا:</w:t>
      </w:r>
      <w:hyperlink r:id="rId22" w:history="1">
        <w:r w:rsidRPr="00F30EF3">
          <w:rPr>
            <w:rFonts w:cstheme="minorHAnsi"/>
            <w:rtl/>
          </w:rPr>
          <w:t xml:space="preserve"> </w:t>
        </w:r>
        <w:r w:rsidRPr="00F30EF3">
          <w:rPr>
            <w:rStyle w:val="Hyperlink"/>
            <w:rFonts w:cstheme="minorHAnsi"/>
            <w:rtl/>
          </w:rPr>
          <w:t>البروتوكول الوطني للملكية الفكرية 2016</w:t>
        </w:r>
      </w:hyperlink>
      <w:r w:rsidRPr="00F30EF3">
        <w:rPr>
          <w:rFonts w:cstheme="minorHAnsi"/>
          <w:rtl/>
        </w:rPr>
        <w:t>. من إعداد مؤسسة نقل المعرفة في أيرلندا.</w:t>
      </w:r>
    </w:p>
    <w:p w14:paraId="2981DD69" w14:textId="77777777" w:rsidR="009357E9" w:rsidRPr="00F30EF3"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cstheme="minorHAnsi"/>
          <w:rtl/>
        </w:rPr>
      </w:pPr>
      <w:r w:rsidRPr="00F30EF3">
        <w:rPr>
          <w:rFonts w:cstheme="minorHAnsi"/>
          <w:rtl/>
        </w:rPr>
        <w:t>المملكة المتحدة:</w:t>
      </w:r>
      <w:hyperlink r:id="rId23" w:history="1">
        <w:r w:rsidRPr="00F30EF3">
          <w:rPr>
            <w:rFonts w:cstheme="minorHAnsi"/>
            <w:rtl/>
          </w:rPr>
          <w:t xml:space="preserve"> </w:t>
        </w:r>
        <w:r w:rsidRPr="00F30EF3">
          <w:rPr>
            <w:rStyle w:val="Hyperlink"/>
            <w:rFonts w:cstheme="minorHAnsi"/>
            <w:rtl/>
          </w:rPr>
          <w:t>إدارة الأصول الفكرية للجامعات</w:t>
        </w:r>
      </w:hyperlink>
      <w:r w:rsidRPr="00F30EF3">
        <w:rPr>
          <w:rFonts w:cstheme="minorHAnsi"/>
          <w:rtl/>
        </w:rPr>
        <w:t>. من إعداد مكتب الملكية الفكرية.</w:t>
      </w:r>
    </w:p>
    <w:p w14:paraId="7617D251" w14:textId="77777777" w:rsidR="009357E9" w:rsidRPr="00F30EF3"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cstheme="minorHAnsi"/>
          <w:rtl/>
        </w:rPr>
      </w:pPr>
      <w:r w:rsidRPr="00F30EF3">
        <w:rPr>
          <w:rFonts w:cstheme="minorHAnsi"/>
          <w:rtl/>
        </w:rPr>
        <w:t>الولايات المتحدة الأمريكية:</w:t>
      </w:r>
      <w:hyperlink r:id="rId24" w:history="1">
        <w:r w:rsidRPr="00F30EF3">
          <w:rPr>
            <w:rFonts w:cstheme="minorHAnsi"/>
            <w:rtl/>
          </w:rPr>
          <w:t xml:space="preserve"> </w:t>
        </w:r>
        <w:r w:rsidRPr="00F30EF3">
          <w:rPr>
            <w:rStyle w:val="Hyperlink"/>
            <w:rFonts w:cstheme="minorHAnsi"/>
            <w:rtl/>
          </w:rPr>
          <w:t>تسع نقاط يجب مراعاتها في ترخيص تكنولوجيات الجامعات</w:t>
        </w:r>
      </w:hyperlink>
      <w:r w:rsidRPr="00F30EF3">
        <w:rPr>
          <w:rStyle w:val="Hyperlink"/>
          <w:rFonts w:cstheme="minorHAnsi"/>
          <w:rtl/>
        </w:rPr>
        <w:t xml:space="preserve"> (2007)</w:t>
      </w:r>
      <w:r w:rsidRPr="00F30EF3">
        <w:rPr>
          <w:rFonts w:cstheme="minorHAnsi"/>
          <w:rtl/>
        </w:rPr>
        <w:t>. من إعداد رؤساء 12 مؤسسة من جميع أنحاء الولايات المتحدة الأمريكية.</w:t>
      </w:r>
    </w:p>
    <w:p w14:paraId="0AEC7114" w14:textId="77777777" w:rsidR="00046148" w:rsidRPr="00F30EF3" w:rsidRDefault="00046148"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cstheme="minorHAnsi"/>
          <w:rtl/>
        </w:rPr>
      </w:pPr>
      <w:r w:rsidRPr="00F30EF3">
        <w:rPr>
          <w:rFonts w:cstheme="minorHAnsi"/>
          <w:rtl/>
        </w:rPr>
        <w:t>الولايات المتحدة:</w:t>
      </w:r>
      <w:hyperlink r:id="rId25" w:history="1">
        <w:r w:rsidRPr="00F30EF3">
          <w:rPr>
            <w:rFonts w:cstheme="minorHAnsi"/>
            <w:rtl/>
          </w:rPr>
          <w:t xml:space="preserve"> </w:t>
        </w:r>
        <w:r w:rsidRPr="00F30EF3">
          <w:rPr>
            <w:rStyle w:val="Hyperlink"/>
            <w:rFonts w:cstheme="minorHAnsi"/>
            <w:rtl/>
          </w:rPr>
          <w:t>إدارة الملكية الفكرية للصالح العام</w:t>
        </w:r>
      </w:hyperlink>
      <w:r w:rsidRPr="00F30EF3">
        <w:rPr>
          <w:rFonts w:cstheme="minorHAnsi"/>
          <w:rtl/>
        </w:rPr>
        <w:t>. من إعداد مجلس البحوث الوطني.</w:t>
      </w:r>
    </w:p>
    <w:p w14:paraId="2BBAC54A" w14:textId="77777777" w:rsidR="00046148" w:rsidRPr="00F30EF3" w:rsidRDefault="00046148"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cstheme="minorHAnsi"/>
          <w:rtl/>
        </w:rPr>
      </w:pPr>
      <w:r w:rsidRPr="00F30EF3">
        <w:rPr>
          <w:rFonts w:cstheme="minorHAnsi"/>
          <w:rtl/>
        </w:rPr>
        <w:t>الولايات المتحدة:</w:t>
      </w:r>
      <w:hyperlink r:id="rId26" w:history="1">
        <w:r w:rsidRPr="00F30EF3">
          <w:rPr>
            <w:rFonts w:cstheme="minorHAnsi"/>
            <w:rtl/>
          </w:rPr>
          <w:t xml:space="preserve"> </w:t>
        </w:r>
        <w:r w:rsidRPr="00F30EF3">
          <w:rPr>
            <w:rStyle w:val="Hyperlink"/>
            <w:rFonts w:cstheme="minorHAnsi"/>
            <w:rtl/>
          </w:rPr>
          <w:t>بيان مبادئ واستراتيجيات النشر العادل للتكنولوجيات الطبية</w:t>
        </w:r>
      </w:hyperlink>
      <w:r w:rsidRPr="00F30EF3">
        <w:rPr>
          <w:rFonts w:cstheme="minorHAnsi"/>
          <w:rtl/>
        </w:rPr>
        <w:t xml:space="preserve"> (2010)</w:t>
      </w:r>
    </w:p>
    <w:p w14:paraId="372F6420" w14:textId="77777777" w:rsidR="006A7745" w:rsidRPr="00F30EF3" w:rsidRDefault="006A7745" w:rsidP="00B7519E">
      <w:pPr>
        <w:pStyle w:val="ListParagraph"/>
        <w:spacing w:line="240" w:lineRule="auto"/>
        <w:ind w:left="426"/>
        <w:jc w:val="both"/>
        <w:rPr>
          <w:rStyle w:val="Hyperlink"/>
          <w:rFonts w:cstheme="minorHAnsi"/>
          <w:color w:val="auto"/>
          <w:u w:val="none"/>
          <w:lang w:val="en-US"/>
        </w:rPr>
      </w:pPr>
    </w:p>
    <w:p w14:paraId="3020FAF7" w14:textId="77777777" w:rsidR="0002456F" w:rsidRPr="00F30EF3" w:rsidRDefault="0002456F" w:rsidP="009D4A54">
      <w:pPr>
        <w:pStyle w:val="ListParagraph"/>
        <w:numPr>
          <w:ilvl w:val="0"/>
          <w:numId w:val="80"/>
        </w:numPr>
        <w:autoSpaceDE w:val="0"/>
        <w:autoSpaceDN w:val="0"/>
        <w:adjustRightInd w:val="0"/>
        <w:spacing w:after="0" w:line="240" w:lineRule="auto"/>
        <w:ind w:left="426" w:hanging="426"/>
        <w:jc w:val="both"/>
        <w:rPr>
          <w:rFonts w:eastAsiaTheme="minorHAnsi" w:cstheme="minorHAnsi"/>
          <w:b/>
          <w:bCs/>
          <w:rtl/>
        </w:rPr>
      </w:pPr>
      <w:r w:rsidRPr="00F30EF3">
        <w:rPr>
          <w:rFonts w:cstheme="minorHAnsi"/>
          <w:b/>
          <w:bCs/>
          <w:rtl/>
        </w:rPr>
        <w:t>التسويق المسؤول اجتماعياً</w:t>
      </w:r>
    </w:p>
    <w:p w14:paraId="7C489950" w14:textId="77777777" w:rsidR="0002456F" w:rsidRPr="00F30EF3" w:rsidRDefault="0002456F" w:rsidP="00721706">
      <w:pPr>
        <w:autoSpaceDE w:val="0"/>
        <w:autoSpaceDN w:val="0"/>
        <w:adjustRightInd w:val="0"/>
        <w:spacing w:after="0" w:line="240" w:lineRule="auto"/>
        <w:ind w:left="720" w:hanging="360"/>
        <w:jc w:val="both"/>
        <w:rPr>
          <w:rFonts w:eastAsiaTheme="minorHAnsi" w:cstheme="minorHAnsi"/>
          <w:rtl/>
        </w:rPr>
      </w:pPr>
      <w:r w:rsidRPr="00F30EF3">
        <w:rPr>
          <w:rFonts w:cstheme="minorHAnsi"/>
          <w:rtl/>
        </w:rPr>
        <w:t xml:space="preserve">-أ. ستيفنز، </w:t>
      </w:r>
      <w:hyperlink r:id="rId27" w:history="1">
        <w:r w:rsidRPr="00F30EF3">
          <w:rPr>
            <w:rStyle w:val="Hyperlink"/>
            <w:rFonts w:cstheme="minorHAnsi"/>
          </w:rPr>
          <w:t>An emerging model for life sciences commercialization</w:t>
        </w:r>
      </w:hyperlink>
      <w:r w:rsidRPr="00F30EF3">
        <w:rPr>
          <w:rFonts w:cstheme="minorHAnsi"/>
          <w:rtl/>
        </w:rPr>
        <w:t xml:space="preserve"> (2017).</w:t>
      </w:r>
    </w:p>
    <w:p w14:paraId="082E8C20" w14:textId="77777777" w:rsidR="00F71527" w:rsidRPr="00F30EF3" w:rsidRDefault="00F71527" w:rsidP="00721706">
      <w:pPr>
        <w:autoSpaceDE w:val="0"/>
        <w:autoSpaceDN w:val="0"/>
        <w:adjustRightInd w:val="0"/>
        <w:spacing w:after="0" w:line="240" w:lineRule="auto"/>
        <w:ind w:left="720" w:hanging="360"/>
        <w:jc w:val="both"/>
        <w:rPr>
          <w:rFonts w:eastAsiaTheme="minorHAnsi" w:cstheme="minorHAnsi"/>
          <w:rtl/>
        </w:rPr>
      </w:pPr>
      <w:r w:rsidRPr="00F30EF3">
        <w:rPr>
          <w:rFonts w:cstheme="minorHAnsi"/>
          <w:rtl/>
        </w:rPr>
        <w:t>-</w:t>
      </w:r>
      <w:r w:rsidRPr="00F30EF3">
        <w:rPr>
          <w:rFonts w:cstheme="minorHAnsi"/>
          <w:rtl/>
        </w:rPr>
        <w:tab/>
      </w:r>
      <w:hyperlink r:id="rId28" w:anchor="Policy" w:history="1">
        <w:r w:rsidRPr="00F30EF3">
          <w:rPr>
            <w:rStyle w:val="Hyperlink"/>
            <w:rFonts w:cstheme="minorHAnsi"/>
          </w:rPr>
          <w:t>IP Advocate</w:t>
        </w:r>
      </w:hyperlink>
    </w:p>
    <w:p w14:paraId="7CC2570D" w14:textId="08B19086" w:rsidR="00721706" w:rsidRPr="00F30EF3" w:rsidRDefault="00721706" w:rsidP="00721706">
      <w:pPr>
        <w:pStyle w:val="ListParagraph"/>
        <w:numPr>
          <w:ilvl w:val="0"/>
          <w:numId w:val="59"/>
        </w:numPr>
        <w:jc w:val="both"/>
        <w:rPr>
          <w:rFonts w:eastAsia="Times New Roman" w:cstheme="minorHAnsi"/>
          <w:b/>
          <w:bCs/>
          <w:rtl/>
        </w:rPr>
      </w:pPr>
      <w:r w:rsidRPr="00F30EF3">
        <w:rPr>
          <w:rFonts w:cstheme="minorHAnsi"/>
          <w:rtl/>
        </w:rPr>
        <w:t xml:space="preserve">ورقة عمل </w:t>
      </w:r>
      <w:hyperlink r:id="rId29" w:history="1">
        <w:r w:rsidRPr="00F30EF3">
          <w:rPr>
            <w:rStyle w:val="Hyperlink"/>
            <w:rFonts w:cstheme="minorHAnsi"/>
            <w:rtl/>
          </w:rPr>
          <w:t>من أجل المصلحة العامة:</w:t>
        </w:r>
      </w:hyperlink>
      <w:r w:rsidR="00F352E2" w:rsidRPr="00F30EF3">
        <w:rPr>
          <w:rStyle w:val="Hyperlink"/>
          <w:rFonts w:cstheme="minorHAnsi"/>
          <w:rtl/>
        </w:rPr>
        <w:t xml:space="preserve"> </w:t>
      </w:r>
      <w:hyperlink r:id="rId30" w:history="1">
        <w:r w:rsidRPr="00F30EF3">
          <w:rPr>
            <w:rStyle w:val="Hyperlink"/>
            <w:rFonts w:cstheme="minorHAnsi"/>
            <w:rtl/>
          </w:rPr>
          <w:t>تسع نقاط يجب مراعاتها في ترخيص تكنولوجيات الجامعات</w:t>
        </w:r>
      </w:hyperlink>
      <w:r w:rsidRPr="00F30EF3">
        <w:rPr>
          <w:rFonts w:cstheme="minorHAnsi"/>
          <w:rtl/>
        </w:rPr>
        <w:t xml:space="preserve">.  وقد شارك في صياغتها 12 مؤسسة واعتمدتها جمعية مديري التكنولوجيا بالجامعات وأكثر من 70 مؤسسة أخرى. كما تحتوي الورقة على مُرفق يتضمن أمثلة للبنود. وانظر أيضاً </w:t>
      </w:r>
      <w:hyperlink w:anchor="Box63" w:history="1">
        <w:r w:rsidRPr="00F30EF3">
          <w:rPr>
            <w:rStyle w:val="Hyperlink"/>
            <w:rFonts w:cstheme="minorHAnsi"/>
            <w:rtl/>
          </w:rPr>
          <w:t>الإطار 63</w:t>
        </w:r>
      </w:hyperlink>
      <w:r w:rsidRPr="00F30EF3">
        <w:rPr>
          <w:rFonts w:cstheme="minorHAnsi"/>
          <w:rtl/>
        </w:rPr>
        <w:t>.</w:t>
      </w:r>
    </w:p>
    <w:p w14:paraId="46928D1A" w14:textId="77777777" w:rsidR="00721706" w:rsidRPr="00F30EF3" w:rsidRDefault="00721706" w:rsidP="00721706">
      <w:pPr>
        <w:pStyle w:val="ListParagraph"/>
        <w:numPr>
          <w:ilvl w:val="0"/>
          <w:numId w:val="59"/>
        </w:numPr>
        <w:jc w:val="both"/>
        <w:rPr>
          <w:rFonts w:eastAsia="Times New Roman" w:cstheme="minorHAnsi"/>
          <w:b/>
          <w:bCs/>
          <w:rtl/>
        </w:rPr>
      </w:pPr>
      <w:r w:rsidRPr="00F30EF3">
        <w:rPr>
          <w:rFonts w:cstheme="minorHAnsi"/>
          <w:rtl/>
        </w:rPr>
        <w:t>مركز إدارة الملكية الفكرية في البحث والتطوير في المجال الصحي (</w:t>
      </w:r>
      <w:r w:rsidRPr="00F30EF3">
        <w:rPr>
          <w:rFonts w:cstheme="minorHAnsi"/>
        </w:rPr>
        <w:t>MIHR</w:t>
      </w:r>
      <w:r w:rsidRPr="00F30EF3">
        <w:rPr>
          <w:rFonts w:cstheme="minorHAnsi"/>
          <w:rtl/>
        </w:rPr>
        <w:t>).</w:t>
      </w:r>
    </w:p>
    <w:p w14:paraId="7F3BF030" w14:textId="77777777" w:rsidR="00664E3C" w:rsidRPr="00F30EF3" w:rsidRDefault="00664E3C" w:rsidP="00664E3C">
      <w:pPr>
        <w:pStyle w:val="ListParagraph"/>
        <w:jc w:val="both"/>
        <w:rPr>
          <w:rFonts w:eastAsia="Times New Roman" w:cstheme="minorHAnsi"/>
          <w:b/>
          <w:bCs/>
          <w:lang w:val="en-US"/>
        </w:rPr>
      </w:pPr>
    </w:p>
    <w:p w14:paraId="397A6829" w14:textId="77777777" w:rsidR="00DF1BDA" w:rsidRPr="00F30EF3" w:rsidRDefault="001F061B" w:rsidP="009D4A54">
      <w:pPr>
        <w:pStyle w:val="ListParagraph"/>
        <w:numPr>
          <w:ilvl w:val="0"/>
          <w:numId w:val="80"/>
        </w:numPr>
        <w:autoSpaceDE w:val="0"/>
        <w:autoSpaceDN w:val="0"/>
        <w:adjustRightInd w:val="0"/>
        <w:spacing w:after="0" w:line="240" w:lineRule="auto"/>
        <w:ind w:left="426" w:hanging="426"/>
        <w:jc w:val="both"/>
        <w:rPr>
          <w:rFonts w:eastAsiaTheme="minorHAnsi" w:cstheme="minorHAnsi"/>
          <w:b/>
          <w:bCs/>
          <w:rtl/>
        </w:rPr>
      </w:pPr>
      <w:r w:rsidRPr="00F30EF3">
        <w:rPr>
          <w:rFonts w:cstheme="minorHAnsi"/>
          <w:b/>
          <w:bCs/>
          <w:rtl/>
        </w:rPr>
        <w:t>توصيات قائمة لإدخال التعليم الخاص بالملكية الفكرية وريادة الأعمال</w:t>
      </w:r>
    </w:p>
    <w:p w14:paraId="27FAB726" w14:textId="77777777" w:rsidR="00DF1BDA" w:rsidRPr="00F30EF3" w:rsidRDefault="001F061B" w:rsidP="009D4A54">
      <w:pPr>
        <w:pStyle w:val="ListParagraph"/>
        <w:numPr>
          <w:ilvl w:val="1"/>
          <w:numId w:val="80"/>
        </w:numPr>
        <w:autoSpaceDE w:val="0"/>
        <w:autoSpaceDN w:val="0"/>
        <w:adjustRightInd w:val="0"/>
        <w:spacing w:after="0" w:line="240" w:lineRule="auto"/>
        <w:ind w:left="851" w:hanging="425"/>
        <w:jc w:val="both"/>
        <w:rPr>
          <w:rFonts w:eastAsiaTheme="minorHAnsi" w:cstheme="minorHAnsi"/>
          <w:b/>
          <w:bCs/>
          <w:rtl/>
        </w:rPr>
      </w:pPr>
      <w:r w:rsidRPr="00F30EF3">
        <w:rPr>
          <w:rFonts w:cstheme="minorHAnsi"/>
          <w:rtl/>
        </w:rPr>
        <w:t xml:space="preserve">أجرت منظمة التعاون والتنمية في الميدان الاقتصادي بحثاً مكثفاً حول دور التعليم العالي في تعزيز ريادة الأعمال. ويقترح كتاب </w:t>
      </w:r>
      <w:hyperlink r:id="rId31" w:history="1">
        <w:r w:rsidRPr="00F30EF3">
          <w:rPr>
            <w:rStyle w:val="Hyperlink"/>
            <w:rFonts w:cstheme="minorHAnsi"/>
            <w:i/>
            <w:iCs/>
          </w:rPr>
          <w:t>Entrepreneurship and Higher Education</w:t>
        </w:r>
      </w:hyperlink>
      <w:r w:rsidRPr="00F30EF3">
        <w:rPr>
          <w:rFonts w:cstheme="minorHAnsi"/>
          <w:rtl/>
        </w:rPr>
        <w:t>، منظمة التعاون والتنمية في الميدان الاقتصادي، 2008، سلسلة من التوصيات لتعزيز عمليات نقل المعرفة وتسويق الأبحاث، بالإضافة إلى توصيات مفيدة لوضع منهج شامل لريادة الأعمال.</w:t>
      </w:r>
    </w:p>
    <w:p w14:paraId="585106DE" w14:textId="1F022B57" w:rsidR="00EF19D6" w:rsidRPr="00F30EF3" w:rsidRDefault="00EF19D6" w:rsidP="009D4A54">
      <w:pPr>
        <w:pStyle w:val="ListParagraph"/>
        <w:numPr>
          <w:ilvl w:val="1"/>
          <w:numId w:val="80"/>
        </w:numPr>
        <w:autoSpaceDE w:val="0"/>
        <w:autoSpaceDN w:val="0"/>
        <w:adjustRightInd w:val="0"/>
        <w:spacing w:after="0" w:line="240" w:lineRule="auto"/>
        <w:ind w:left="851" w:hanging="425"/>
        <w:jc w:val="both"/>
        <w:rPr>
          <w:rFonts w:eastAsiaTheme="minorHAnsi" w:cstheme="minorHAnsi"/>
          <w:b/>
          <w:bCs/>
          <w:rtl/>
        </w:rPr>
      </w:pPr>
      <w:r w:rsidRPr="00F30EF3">
        <w:rPr>
          <w:rFonts w:cstheme="minorHAnsi"/>
          <w:rtl/>
        </w:rPr>
        <w:t xml:space="preserve">أعد </w:t>
      </w:r>
      <w:r w:rsidRPr="00F30EF3">
        <w:rPr>
          <w:rFonts w:cstheme="minorHAnsi"/>
        </w:rPr>
        <w:t>IP-Unilink</w:t>
      </w:r>
      <w:r w:rsidRPr="00F30EF3">
        <w:rPr>
          <w:rStyle w:val="FootnoteReference"/>
          <w:rFonts w:eastAsiaTheme="minorHAnsi" w:cstheme="minorHAnsi"/>
          <w:lang w:val="en-US" w:eastAsia="en-US"/>
        </w:rPr>
        <w:footnoteReference w:id="39"/>
      </w:r>
      <w:r w:rsidRPr="00F30EF3">
        <w:rPr>
          <w:rFonts w:cstheme="minorHAnsi"/>
          <w:rtl/>
        </w:rPr>
        <w:t xml:space="preserve"> تقريراً يحمل اسم </w:t>
      </w:r>
      <w:hyperlink r:id="rId32" w:history="1">
        <w:r w:rsidRPr="00F30EF3">
          <w:rPr>
            <w:rStyle w:val="Hyperlink"/>
            <w:rFonts w:cstheme="minorHAnsi"/>
            <w:i/>
            <w:iCs/>
            <w:rtl/>
          </w:rPr>
          <w:t>كيف يمكن لإدارة الملكية الفكرية الاستباقية تحسين التعاون البحثي</w:t>
        </w:r>
      </w:hyperlink>
      <w:r w:rsidRPr="00F30EF3">
        <w:rPr>
          <w:rFonts w:cstheme="minorHAnsi"/>
          <w:rtl/>
        </w:rPr>
        <w:t xml:space="preserve">. ويحتوي التقرير على أمثلة للممارسات الجيدة في مجال تعليم الملكية الفكرية مأخوذة من دول الاتحاد الأوروبي وبلدان دول البرازيل والاتحاد الروسي والهند والصين مجتمعة ( </w:t>
      </w:r>
      <w:r w:rsidRPr="00F30EF3">
        <w:rPr>
          <w:rFonts w:cstheme="minorHAnsi"/>
        </w:rPr>
        <w:t>BRIC</w:t>
      </w:r>
      <w:r w:rsidRPr="00F30EF3">
        <w:rPr>
          <w:rFonts w:cstheme="minorHAnsi"/>
          <w:rtl/>
        </w:rPr>
        <w:t>).</w:t>
      </w:r>
    </w:p>
    <w:p w14:paraId="3781593A" w14:textId="77777777" w:rsidR="004E3DE4" w:rsidRPr="00F30EF3" w:rsidRDefault="00662C52" w:rsidP="009D4A54">
      <w:pPr>
        <w:pStyle w:val="ListParagraph"/>
        <w:numPr>
          <w:ilvl w:val="1"/>
          <w:numId w:val="80"/>
        </w:numPr>
        <w:autoSpaceDE w:val="0"/>
        <w:autoSpaceDN w:val="0"/>
        <w:adjustRightInd w:val="0"/>
        <w:spacing w:after="0" w:line="240" w:lineRule="auto"/>
        <w:ind w:left="851" w:hanging="425"/>
        <w:jc w:val="both"/>
        <w:rPr>
          <w:rFonts w:eastAsiaTheme="minorHAnsi" w:cstheme="minorHAnsi"/>
          <w:rtl/>
        </w:rPr>
      </w:pPr>
      <w:r w:rsidRPr="00F30EF3">
        <w:rPr>
          <w:rFonts w:cstheme="minorHAnsi"/>
          <w:rtl/>
        </w:rPr>
        <w:t>ريادة الأعمال الجامعية ونقل التكنولوجيا: العملية والتصميم والملكية الفكرية، المجلد 16، الصفحات 241-274 ‏(2005).</w:t>
      </w:r>
    </w:p>
    <w:p w14:paraId="7848D318" w14:textId="4856D2C4" w:rsidR="00EE57E9" w:rsidRPr="00F30EF3" w:rsidRDefault="00EE57E9" w:rsidP="009D4A54">
      <w:pPr>
        <w:pStyle w:val="ListParagraph"/>
        <w:numPr>
          <w:ilvl w:val="1"/>
          <w:numId w:val="80"/>
        </w:numPr>
        <w:autoSpaceDE w:val="0"/>
        <w:autoSpaceDN w:val="0"/>
        <w:adjustRightInd w:val="0"/>
        <w:spacing w:after="0" w:line="240" w:lineRule="auto"/>
        <w:ind w:left="851" w:hanging="425"/>
        <w:jc w:val="both"/>
        <w:rPr>
          <w:rFonts w:eastAsiaTheme="minorHAnsi" w:cstheme="minorHAnsi"/>
          <w:rtl/>
        </w:rPr>
      </w:pPr>
      <w:r w:rsidRPr="00F30EF3">
        <w:rPr>
          <w:rFonts w:cstheme="minorHAnsi"/>
          <w:rtl/>
        </w:rPr>
        <w:t>س. بيفيل وأ. كراتيغر،</w:t>
      </w:r>
      <w:r w:rsidR="00F352E2" w:rsidRPr="00F30EF3">
        <w:rPr>
          <w:rFonts w:cstheme="minorHAnsi"/>
          <w:rtl/>
        </w:rPr>
        <w:t xml:space="preserve"> </w:t>
      </w:r>
      <w:hyperlink r:id="rId33" w:history="1">
        <w:r w:rsidRPr="00F30EF3">
          <w:rPr>
            <w:rFonts w:cstheme="minorHAnsi"/>
            <w:i/>
            <w:iCs/>
            <w:color w:val="231F20"/>
          </w:rPr>
          <w:t xml:space="preserve"> </w:t>
        </w:r>
        <w:r w:rsidRPr="00F30EF3">
          <w:rPr>
            <w:rStyle w:val="Hyperlink"/>
            <w:rFonts w:cstheme="minorHAnsi"/>
            <w:i/>
            <w:iCs/>
          </w:rPr>
          <w:t>Training Staff in IP Management</w:t>
        </w:r>
      </w:hyperlink>
      <w:r w:rsidRPr="00F30EF3">
        <w:rPr>
          <w:rFonts w:cstheme="minorHAnsi"/>
          <w:i/>
          <w:iCs/>
          <w:color w:val="231F20"/>
          <w:rtl/>
        </w:rPr>
        <w:t xml:space="preserve">، </w:t>
      </w:r>
      <w:r w:rsidRPr="00F30EF3">
        <w:rPr>
          <w:rFonts w:cstheme="minorHAnsi"/>
          <w:rtl/>
        </w:rPr>
        <w:t>مأخوذ من: إدارة الملكية الفكرية في الابتكار الصحي والزراعي: دليل أفضل الممارسات.</w:t>
      </w:r>
    </w:p>
    <w:p w14:paraId="639BF059" w14:textId="31456719" w:rsidR="00CB62A1" w:rsidRPr="00F30EF3" w:rsidRDefault="00CB62A1">
      <w:pPr>
        <w:bidi w:val="0"/>
        <w:rPr>
          <w:rFonts w:eastAsiaTheme="minorHAnsi" w:cstheme="minorHAnsi"/>
          <w:rtl/>
          <w:lang w:val="en-US" w:eastAsia="en-US"/>
        </w:rPr>
      </w:pPr>
      <w:r w:rsidRPr="00F30EF3">
        <w:rPr>
          <w:rFonts w:eastAsiaTheme="minorHAnsi" w:cstheme="minorHAnsi"/>
          <w:rtl/>
          <w:lang w:val="en-US" w:eastAsia="en-US"/>
        </w:rPr>
        <w:br w:type="page"/>
      </w:r>
    </w:p>
    <w:p w14:paraId="706068B6" w14:textId="77777777" w:rsidR="00E22076" w:rsidRPr="00F30EF3" w:rsidRDefault="00E22076" w:rsidP="002F3C51">
      <w:pPr>
        <w:pStyle w:val="Heading2"/>
        <w:rPr>
          <w:rFonts w:asciiTheme="minorHAnsi" w:hAnsiTheme="minorHAnsi" w:cstheme="minorHAnsi"/>
          <w:sz w:val="22"/>
          <w:szCs w:val="22"/>
          <w:rtl/>
        </w:rPr>
      </w:pPr>
      <w:bookmarkStart w:id="50" w:name="_Toc490468517"/>
    </w:p>
    <w:p w14:paraId="3D9DFAEA" w14:textId="77777777" w:rsidR="00072F2A" w:rsidRPr="00F30EF3" w:rsidRDefault="00060558" w:rsidP="002F3C51">
      <w:pPr>
        <w:pStyle w:val="Heading2"/>
        <w:rPr>
          <w:rFonts w:asciiTheme="minorHAnsi" w:hAnsiTheme="minorHAnsi" w:cstheme="minorHAnsi"/>
          <w:sz w:val="22"/>
          <w:szCs w:val="22"/>
          <w:rtl/>
        </w:rPr>
      </w:pPr>
      <w:bookmarkStart w:id="51" w:name="_Toc516160041"/>
      <w:bookmarkStart w:id="52" w:name="_Toc516219384"/>
      <w:bookmarkStart w:id="53" w:name="_Toc516496025"/>
      <w:bookmarkStart w:id="54" w:name="_Toc516829397"/>
      <w:bookmarkStart w:id="55" w:name="_Toc178260760"/>
      <w:r w:rsidRPr="00F30EF3">
        <w:rPr>
          <w:rFonts w:asciiTheme="minorHAnsi" w:hAnsiTheme="minorHAnsi" w:cstheme="minorHAnsi"/>
          <w:sz w:val="22"/>
          <w:szCs w:val="22"/>
          <w:rtl/>
        </w:rPr>
        <w:t xml:space="preserve">المادة 2 </w:t>
      </w:r>
      <w:r w:rsidRPr="00F30EF3">
        <w:rPr>
          <w:rFonts w:asciiTheme="minorHAnsi" w:hAnsiTheme="minorHAnsi" w:cstheme="minorHAnsi"/>
          <w:rtl/>
        </w:rPr>
        <w:t>-</w:t>
      </w:r>
      <w:r w:rsidRPr="00F30EF3">
        <w:rPr>
          <w:rFonts w:asciiTheme="minorHAnsi" w:hAnsiTheme="minorHAnsi" w:cstheme="minorHAnsi"/>
          <w:sz w:val="22"/>
          <w:szCs w:val="22"/>
          <w:rtl/>
        </w:rPr>
        <w:t xml:space="preserve"> التعريفات</w:t>
      </w:r>
      <w:bookmarkEnd w:id="50"/>
      <w:bookmarkEnd w:id="51"/>
      <w:bookmarkEnd w:id="52"/>
      <w:bookmarkEnd w:id="53"/>
      <w:bookmarkEnd w:id="54"/>
      <w:bookmarkEnd w:id="55"/>
      <w:r w:rsidRPr="00F30EF3">
        <w:rPr>
          <w:rFonts w:asciiTheme="minorHAnsi" w:hAnsiTheme="minorHAnsi" w:cstheme="minorHAnsi"/>
          <w:sz w:val="22"/>
          <w:szCs w:val="22"/>
          <w:rtl/>
        </w:rPr>
        <w:t xml:space="preserve">  </w:t>
      </w:r>
    </w:p>
    <w:p w14:paraId="70AFB2F4" w14:textId="77777777" w:rsidR="00E22076" w:rsidRPr="00F30EF3" w:rsidRDefault="00E22076" w:rsidP="002F3C51">
      <w:pPr>
        <w:pStyle w:val="Heading2"/>
        <w:rPr>
          <w:rFonts w:asciiTheme="minorHAnsi" w:hAnsiTheme="minorHAnsi" w:cstheme="minorHAnsi"/>
          <w:sz w:val="22"/>
          <w:szCs w:val="22"/>
          <w:lang w:val="en-US"/>
        </w:rPr>
      </w:pPr>
    </w:p>
    <w:p w14:paraId="1F713394" w14:textId="77777777" w:rsidR="00194209" w:rsidRPr="00F30EF3" w:rsidRDefault="0004177B" w:rsidP="00B7519E">
      <w:pPr>
        <w:pStyle w:val="Heading3"/>
        <w:spacing w:before="360"/>
        <w:rPr>
          <w:rFonts w:asciiTheme="minorHAnsi" w:hAnsiTheme="minorHAnsi" w:cstheme="minorHAnsi"/>
          <w:sz w:val="24"/>
          <w:szCs w:val="24"/>
          <w:rtl/>
        </w:rPr>
      </w:pPr>
      <w:bookmarkStart w:id="56" w:name="_Toc516160042"/>
      <w:bookmarkStart w:id="57" w:name="_Toc516219385"/>
      <w:bookmarkStart w:id="58" w:name="_Toc516496026"/>
      <w:bookmarkStart w:id="59" w:name="_Toc516829398"/>
      <w:r w:rsidRPr="00F30EF3">
        <w:rPr>
          <w:rFonts w:asciiTheme="minorHAnsi" w:hAnsiTheme="minorHAnsi" w:cstheme="minorHAnsi"/>
          <w:sz w:val="24"/>
          <w:szCs w:val="24"/>
          <w:rtl/>
        </w:rPr>
        <w:t>مقدمة</w:t>
      </w:r>
      <w:bookmarkEnd w:id="56"/>
      <w:bookmarkEnd w:id="57"/>
      <w:bookmarkEnd w:id="58"/>
      <w:bookmarkEnd w:id="59"/>
    </w:p>
    <w:p w14:paraId="54D46ED6" w14:textId="54ACB02C" w:rsidR="00DE678D" w:rsidRPr="00F30EF3" w:rsidRDefault="00EC5B4C" w:rsidP="000B0442">
      <w:pPr>
        <w:spacing w:after="0" w:line="240" w:lineRule="auto"/>
        <w:jc w:val="both"/>
        <w:rPr>
          <w:rFonts w:cstheme="minorHAnsi"/>
          <w:rtl/>
        </w:rPr>
      </w:pPr>
      <w:r w:rsidRPr="00F30EF3">
        <w:rPr>
          <w:rFonts w:cstheme="minorHAnsi"/>
          <w:rtl/>
        </w:rPr>
        <w:t xml:space="preserve">توفر التعريفات أساساً لتفسير السياسات وتنفيذها بوضوح. وتعتمد التعريفات المقترحة في النموذج على سنوات عديدة من الممارسة في مؤسسات مختلفة حول العالم. وهي مؤلفة لتتسم بالوضوح والبساطة والإيجاز. ولا يلزم تضمين كافة التعريفات المدرجة في النموذج في سياسة الملكية الفكرية. </w:t>
      </w:r>
    </w:p>
    <w:p w14:paraId="74ACD8D0" w14:textId="77777777" w:rsidR="00DE678D" w:rsidRPr="00F30EF3" w:rsidRDefault="00DE678D" w:rsidP="000B0442">
      <w:pPr>
        <w:spacing w:after="0" w:line="240" w:lineRule="auto"/>
        <w:jc w:val="both"/>
        <w:rPr>
          <w:rFonts w:cstheme="minorHAnsi"/>
          <w:lang w:val="en-US"/>
        </w:rPr>
      </w:pPr>
    </w:p>
    <w:p w14:paraId="260691EF" w14:textId="6E3E9EC3" w:rsidR="00DE678D" w:rsidRPr="00F30EF3" w:rsidRDefault="00057D3B"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284"/>
        <w:jc w:val="both"/>
        <w:rPr>
          <w:rFonts w:cstheme="minorHAnsi"/>
          <w:b/>
          <w:bCs/>
          <w:rtl/>
        </w:rPr>
      </w:pPr>
      <w:r w:rsidRPr="00F30EF3">
        <w:rPr>
          <w:rFonts w:cstheme="minorHAnsi"/>
          <w:b/>
          <w:bCs/>
          <w:rtl/>
        </w:rPr>
        <w:t xml:space="preserve">الإطار </w:t>
      </w:r>
      <w:r w:rsidR="00F44430" w:rsidRPr="00F30EF3">
        <w:rPr>
          <w:rFonts w:cstheme="minorHAnsi"/>
          <w:b/>
          <w:bCs/>
          <w:lang w:val="en-US"/>
        </w:rPr>
        <w:t>.7</w:t>
      </w:r>
      <w:r w:rsidRPr="00F30EF3">
        <w:rPr>
          <w:rFonts w:cstheme="minorHAnsi"/>
          <w:b/>
          <w:bCs/>
          <w:rtl/>
        </w:rPr>
        <w:t xml:space="preserve"> نصائح لكتابة التعريفات</w:t>
      </w:r>
    </w:p>
    <w:p w14:paraId="651946BA" w14:textId="77777777" w:rsidR="00730B7B" w:rsidRPr="00F30EF3" w:rsidRDefault="00730B7B"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284"/>
        <w:jc w:val="both"/>
        <w:rPr>
          <w:rFonts w:cstheme="minorHAnsi"/>
          <w:b/>
          <w:bCs/>
          <w:lang w:val="en-US"/>
        </w:rPr>
      </w:pPr>
    </w:p>
    <w:p w14:paraId="15BB43A9" w14:textId="77777777" w:rsidR="00194209" w:rsidRPr="00F30EF3" w:rsidRDefault="00DE678D" w:rsidP="009D4A54">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436"/>
        <w:jc w:val="both"/>
        <w:rPr>
          <w:rFonts w:cstheme="minorHAnsi"/>
          <w:rtl/>
        </w:rPr>
      </w:pPr>
      <w:r w:rsidRPr="00F30EF3">
        <w:rPr>
          <w:rFonts w:cstheme="minorHAnsi"/>
          <w:rtl/>
        </w:rPr>
        <w:t xml:space="preserve">تحديد تعريفاتك وصياغتها لتتوافق مع متطلبات القوانين واللوائح الوطنية المعينة.  </w:t>
      </w:r>
    </w:p>
    <w:p w14:paraId="4C1F680F" w14:textId="77777777" w:rsidR="00DE678D" w:rsidRPr="00F30EF3" w:rsidRDefault="00DE678D" w:rsidP="009D4A54">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436"/>
        <w:jc w:val="both"/>
        <w:rPr>
          <w:rFonts w:cstheme="minorHAnsi"/>
          <w:rtl/>
        </w:rPr>
      </w:pPr>
      <w:r w:rsidRPr="00F30EF3">
        <w:rPr>
          <w:rFonts w:cstheme="minorHAnsi"/>
          <w:rtl/>
        </w:rPr>
        <w:t>الإشارة إلى الوثائق/السياسات الأخرى التي قد تحتوي على مصطلحات مماثلة لضمان استخدام التعريفات المشتركة.</w:t>
      </w:r>
    </w:p>
    <w:p w14:paraId="6BE7F418" w14:textId="77777777" w:rsidR="00072F2A" w:rsidRPr="00F30EF3" w:rsidRDefault="004556EA" w:rsidP="00F44430">
      <w:pPr>
        <w:pStyle w:val="Heading3"/>
        <w:spacing w:before="240" w:after="120"/>
        <w:rPr>
          <w:rFonts w:asciiTheme="minorHAnsi" w:hAnsiTheme="minorHAnsi" w:cstheme="minorHAnsi"/>
          <w:sz w:val="24"/>
          <w:szCs w:val="24"/>
          <w:rtl/>
        </w:rPr>
      </w:pPr>
      <w:bookmarkStart w:id="60" w:name="_Toc494115949"/>
      <w:bookmarkStart w:id="61" w:name="_Toc516160043"/>
      <w:bookmarkStart w:id="62" w:name="_Toc516219386"/>
      <w:bookmarkStart w:id="63" w:name="_Toc516496027"/>
      <w:bookmarkStart w:id="64" w:name="_Toc516829399"/>
      <w:r w:rsidRPr="00F30EF3">
        <w:rPr>
          <w:rFonts w:asciiTheme="minorHAnsi" w:hAnsiTheme="minorHAnsi" w:cstheme="minorHAnsi"/>
          <w:sz w:val="24"/>
          <w:szCs w:val="24"/>
          <w:rtl/>
        </w:rPr>
        <w:t>بعض التعريفات المشروحة</w:t>
      </w:r>
      <w:bookmarkEnd w:id="60"/>
      <w:bookmarkEnd w:id="61"/>
      <w:bookmarkEnd w:id="62"/>
      <w:bookmarkEnd w:id="63"/>
      <w:bookmarkEnd w:id="64"/>
    </w:p>
    <w:p w14:paraId="3C8C2518" w14:textId="77777777" w:rsidR="00B30642" w:rsidRPr="00F30EF3" w:rsidRDefault="008D4889" w:rsidP="00BA15FD">
      <w:pPr>
        <w:spacing w:after="0" w:line="240" w:lineRule="auto"/>
        <w:jc w:val="both"/>
        <w:rPr>
          <w:rFonts w:eastAsia="Times New Roman" w:cstheme="minorHAnsi"/>
          <w:b/>
          <w:bCs/>
          <w:rtl/>
        </w:rPr>
      </w:pPr>
      <w:r w:rsidRPr="00F30EF3">
        <w:rPr>
          <w:rFonts w:cstheme="minorHAnsi"/>
          <w:b/>
          <w:bCs/>
          <w:rtl/>
        </w:rPr>
        <w:t xml:space="preserve">الملكية الفكرية الأساسية.  </w:t>
      </w:r>
    </w:p>
    <w:p w14:paraId="6777E49B" w14:textId="160E3174" w:rsidR="00B30642" w:rsidRPr="00F30EF3" w:rsidRDefault="00827F50" w:rsidP="009D4A54">
      <w:pPr>
        <w:pStyle w:val="ListParagraph"/>
        <w:numPr>
          <w:ilvl w:val="0"/>
          <w:numId w:val="74"/>
        </w:numPr>
        <w:spacing w:after="0" w:line="240" w:lineRule="auto"/>
        <w:ind w:left="426" w:hanging="426"/>
        <w:jc w:val="both"/>
        <w:rPr>
          <w:rFonts w:eastAsia="Times New Roman" w:cstheme="minorHAnsi"/>
          <w:rtl/>
        </w:rPr>
      </w:pPr>
      <w:r w:rsidRPr="00F30EF3">
        <w:rPr>
          <w:rFonts w:cstheme="minorHAnsi"/>
          <w:rtl/>
        </w:rPr>
        <w:t>يُطلق عليه أحياناً "</w:t>
      </w:r>
      <w:r w:rsidRPr="00F30EF3">
        <w:rPr>
          <w:rFonts w:cstheme="minorHAnsi"/>
          <w:b/>
          <w:bCs/>
          <w:rtl/>
        </w:rPr>
        <w:t>الملكية الفكرية السابقة</w:t>
      </w:r>
      <w:r w:rsidRPr="00F30EF3">
        <w:rPr>
          <w:rFonts w:cstheme="minorHAnsi"/>
          <w:rtl/>
        </w:rPr>
        <w:t xml:space="preserve">". البنود التي تتطرق إلى الملكية الفكرية الأساسية سائدة جداً في المشروعات البحثية. وفي هذا السياق، تشير الملكية الفكرية الأساسية عادة إلى الملكية الفكرية "1" المرخصة أو المملوكة من أي طرف في مشروع البحث قبل تدشين المشروع؛ "2" أو الناتجة على نحو مستقل عن المشروع المعين من قبل ذلك الطرف؛ والتي يتم إحضارها أو استخدامها باعتبارها جزءاً من المشروع البحثي. </w:t>
      </w:r>
    </w:p>
    <w:p w14:paraId="7D89F4CF" w14:textId="77777777" w:rsidR="00B30642" w:rsidRPr="00F30EF3" w:rsidRDefault="00827F50" w:rsidP="009D4A54">
      <w:pPr>
        <w:pStyle w:val="ListParagraph"/>
        <w:numPr>
          <w:ilvl w:val="0"/>
          <w:numId w:val="74"/>
        </w:numPr>
        <w:spacing w:after="0" w:line="240" w:lineRule="auto"/>
        <w:ind w:left="426" w:hanging="426"/>
        <w:jc w:val="both"/>
        <w:rPr>
          <w:rFonts w:eastAsia="Times New Roman" w:cstheme="minorHAnsi"/>
          <w:rtl/>
        </w:rPr>
      </w:pPr>
      <w:r w:rsidRPr="00F30EF3">
        <w:rPr>
          <w:rFonts w:cstheme="minorHAnsi"/>
          <w:rtl/>
        </w:rPr>
        <w:t xml:space="preserve">قد تشتمل الملكية الفكرية الأساسية على حقوق ملكية فكرية مسجلة، ولكن يحق للباحثين أيضاً جلب ملكية فكرية أساسية أخرى مثل الدراية العملية والبرمجيات والبيانات الموجودة واستخدامها في علاقة تعاونية. </w:t>
      </w:r>
    </w:p>
    <w:p w14:paraId="3081959F" w14:textId="77777777" w:rsidR="008D4889" w:rsidRPr="00F30EF3" w:rsidRDefault="00827F50" w:rsidP="009D4A54">
      <w:pPr>
        <w:pStyle w:val="ListParagraph"/>
        <w:numPr>
          <w:ilvl w:val="0"/>
          <w:numId w:val="74"/>
        </w:numPr>
        <w:spacing w:after="0" w:line="240" w:lineRule="auto"/>
        <w:ind w:left="426" w:hanging="426"/>
        <w:jc w:val="both"/>
        <w:rPr>
          <w:rFonts w:eastAsia="Times New Roman" w:cstheme="minorHAnsi"/>
          <w:rtl/>
        </w:rPr>
      </w:pPr>
      <w:r w:rsidRPr="00F30EF3">
        <w:rPr>
          <w:rFonts w:cstheme="minorHAnsi"/>
          <w:rtl/>
        </w:rPr>
        <w:t>إذا كانت الملكية الفكرية الأساسية مملوكة لطرف آخر غير مشارك في المشروع، فيُشار إليها عادةً باسم "الملكية الفكرية لدى الغير"، وستحتاج إلى الحصول على التصريح المناسب لاستخدام الملكية الفكرية هذه. </w:t>
      </w:r>
    </w:p>
    <w:p w14:paraId="7655C84E" w14:textId="77777777" w:rsidR="005B53E5" w:rsidRPr="00F30EF3" w:rsidRDefault="00254241" w:rsidP="009D4A54">
      <w:pPr>
        <w:pStyle w:val="ListParagraph"/>
        <w:numPr>
          <w:ilvl w:val="0"/>
          <w:numId w:val="74"/>
        </w:numPr>
        <w:spacing w:after="0" w:line="240" w:lineRule="auto"/>
        <w:ind w:left="426" w:hanging="426"/>
        <w:jc w:val="both"/>
        <w:rPr>
          <w:rFonts w:eastAsia="Times New Roman" w:cstheme="minorHAnsi"/>
          <w:rtl/>
        </w:rPr>
      </w:pPr>
      <w:r w:rsidRPr="00F30EF3">
        <w:rPr>
          <w:rFonts w:cstheme="minorHAnsi"/>
          <w:rtl/>
        </w:rPr>
        <w:t xml:space="preserve">الملكية الفكرية التي تبرز للوجود أثناء تنفيذ مشروع بحثي، تسمى عادة "الملكية الفكرية المستحدثة". </w:t>
      </w:r>
    </w:p>
    <w:p w14:paraId="53F2467B" w14:textId="77777777" w:rsidR="00827F50" w:rsidRPr="00F30EF3" w:rsidRDefault="00827F50" w:rsidP="00BA15FD">
      <w:pPr>
        <w:spacing w:after="0" w:line="240" w:lineRule="auto"/>
        <w:jc w:val="both"/>
        <w:rPr>
          <w:rFonts w:eastAsia="Times New Roman" w:cstheme="minorHAnsi"/>
          <w:b/>
          <w:bCs/>
          <w:lang w:val="en-US"/>
        </w:rPr>
      </w:pPr>
    </w:p>
    <w:p w14:paraId="1086B720" w14:textId="77777777" w:rsidR="003F4283" w:rsidRPr="00F30EF3" w:rsidRDefault="00C36CD1" w:rsidP="00BA15FD">
      <w:pPr>
        <w:spacing w:after="0" w:line="240" w:lineRule="auto"/>
        <w:jc w:val="both"/>
        <w:rPr>
          <w:rFonts w:cstheme="minorHAnsi"/>
          <w:rtl/>
        </w:rPr>
      </w:pPr>
      <w:r w:rsidRPr="00F30EF3">
        <w:rPr>
          <w:rFonts w:cstheme="minorHAnsi"/>
          <w:b/>
          <w:bCs/>
          <w:rtl/>
        </w:rPr>
        <w:t>التسويق</w:t>
      </w:r>
      <w:r w:rsidRPr="00F30EF3">
        <w:rPr>
          <w:rFonts w:cstheme="minorHAnsi"/>
          <w:rtl/>
        </w:rPr>
        <w:t xml:space="preserve">.  </w:t>
      </w:r>
    </w:p>
    <w:p w14:paraId="1B2C0352" w14:textId="77777777" w:rsidR="005B53E5" w:rsidRPr="00F30EF3" w:rsidRDefault="004556EA" w:rsidP="009D4A54">
      <w:pPr>
        <w:pStyle w:val="ListParagraph"/>
        <w:numPr>
          <w:ilvl w:val="0"/>
          <w:numId w:val="35"/>
        </w:numPr>
        <w:spacing w:after="0" w:line="240" w:lineRule="auto"/>
        <w:ind w:left="426" w:hanging="426"/>
        <w:jc w:val="both"/>
        <w:rPr>
          <w:rFonts w:cstheme="minorHAnsi"/>
          <w:rtl/>
        </w:rPr>
      </w:pPr>
      <w:r w:rsidRPr="00F30EF3">
        <w:rPr>
          <w:rFonts w:cstheme="minorHAnsi"/>
          <w:rtl/>
        </w:rPr>
        <w:t xml:space="preserve">ثمة العديد من مسارات التسويق، سواء الربحية أو غير الربحية. وقد تشمل تلك المسارات الترخيص الاستئثاري أو غير الاستئثاري، أو التنازل عن الملكية الفكرية، أو تشكيل شركة ناشئة، أو استخدام شركات إدارة البراءات أو الوكالات الحكومية، أو الاستخدام غير الربحي أو المشروعات المشتركة. انظر أيضاً </w:t>
      </w:r>
      <w:hyperlink w:anchor="_Commercialization_Pathways" w:history="1">
        <w:r w:rsidRPr="00F30EF3">
          <w:rPr>
            <w:rStyle w:val="Hyperlink"/>
            <w:rFonts w:cstheme="minorHAnsi"/>
            <w:rtl/>
          </w:rPr>
          <w:t>المادة 4.9</w:t>
        </w:r>
      </w:hyperlink>
      <w:r w:rsidRPr="00F30EF3">
        <w:rPr>
          <w:rFonts w:cstheme="minorHAnsi"/>
          <w:rtl/>
        </w:rPr>
        <w:t>.</w:t>
      </w:r>
    </w:p>
    <w:p w14:paraId="02881937" w14:textId="77777777" w:rsidR="00BA15FD" w:rsidRPr="00F30EF3" w:rsidRDefault="00BA15FD" w:rsidP="009D4A54">
      <w:pPr>
        <w:pStyle w:val="ListParagraph"/>
        <w:numPr>
          <w:ilvl w:val="0"/>
          <w:numId w:val="35"/>
        </w:numPr>
        <w:spacing w:after="0" w:line="240" w:lineRule="auto"/>
        <w:ind w:left="426" w:hanging="426"/>
        <w:jc w:val="both"/>
        <w:rPr>
          <w:rFonts w:cstheme="minorHAnsi"/>
          <w:rtl/>
        </w:rPr>
      </w:pPr>
      <w:r w:rsidRPr="00F30EF3">
        <w:rPr>
          <w:rFonts w:cstheme="minorHAnsi"/>
          <w:rtl/>
        </w:rPr>
        <w:t>إن استخدام المؤسسة لمواد الدورة التدريبية في برامجها لأغراض التدريس والبحث، لا يشكل عادةً تسويقاً تجارياً للملكية الفكرية.</w:t>
      </w:r>
    </w:p>
    <w:p w14:paraId="2A85F70D" w14:textId="398BECCF" w:rsidR="004E3DE4" w:rsidRPr="00F30EF3" w:rsidRDefault="004E3DE4" w:rsidP="00F44430">
      <w:pPr>
        <w:tabs>
          <w:tab w:val="left" w:pos="993"/>
        </w:tabs>
        <w:spacing w:before="120" w:after="120" w:line="240" w:lineRule="auto"/>
        <w:jc w:val="both"/>
        <w:rPr>
          <w:rFonts w:eastAsia="Times New Roman" w:cstheme="minorHAnsi"/>
          <w:rtl/>
        </w:rPr>
      </w:pPr>
      <w:r w:rsidRPr="00F30EF3">
        <w:rPr>
          <w:rFonts w:cstheme="minorHAnsi"/>
          <w:b/>
          <w:bCs/>
          <w:rtl/>
        </w:rPr>
        <w:t xml:space="preserve">كيان التسويق. </w:t>
      </w:r>
      <w:r w:rsidRPr="00F30EF3">
        <w:rPr>
          <w:rFonts w:cstheme="minorHAnsi"/>
          <w:rtl/>
        </w:rPr>
        <w:t>يمكن أن يكون هذا إما شركة منبثقة/متفرعة أو ناشئة.</w:t>
      </w:r>
    </w:p>
    <w:p w14:paraId="70638550" w14:textId="2D7D971B" w:rsidR="004E3DE4" w:rsidRPr="00F30EF3" w:rsidRDefault="004E3DE4" w:rsidP="00464282">
      <w:pPr>
        <w:pStyle w:val="ListParagraph"/>
        <w:numPr>
          <w:ilvl w:val="0"/>
          <w:numId w:val="9"/>
        </w:numPr>
        <w:tabs>
          <w:tab w:val="left" w:pos="993"/>
        </w:tabs>
        <w:spacing w:after="0" w:line="240" w:lineRule="auto"/>
        <w:ind w:left="426" w:hanging="426"/>
        <w:jc w:val="both"/>
        <w:rPr>
          <w:rFonts w:eastAsia="Times New Roman" w:cstheme="minorHAnsi"/>
          <w:rtl/>
        </w:rPr>
      </w:pPr>
      <w:r w:rsidRPr="00F30EF3">
        <w:rPr>
          <w:rFonts w:cstheme="minorHAnsi"/>
          <w:rtl/>
        </w:rPr>
        <w:t xml:space="preserve">الشركة الناشئة هي شركة جديدة. قد يكون، في سياق سياسة الملكية الفكرية المؤسسية، تم إنشاء شركة ناشئة على يد موظفي المؤسسة أو الطلاب، أو قد تكون شركة جديدة تستحوذ على الملكية الفكرية للمؤسسة وتسعى إلى تسويقها. ولا توجد فترة زمنية محددة لا تُعدّ فيها الشركة المؤلفة حديثاً شركة ناشئة. ومع ذلك، فإن مدة ثمانية عشر إلى أربعة وعشرين شهراً تعتبر فترة معقولة. أي يمكن فيها تشكيل الشركة الناشئة. </w:t>
      </w:r>
    </w:p>
    <w:p w14:paraId="34FE34DD" w14:textId="77777777" w:rsidR="004E3DE4" w:rsidRPr="00F30EF3" w:rsidRDefault="004E3DE4" w:rsidP="00464282">
      <w:pPr>
        <w:pStyle w:val="ListParagraph"/>
        <w:numPr>
          <w:ilvl w:val="0"/>
          <w:numId w:val="9"/>
        </w:numPr>
        <w:tabs>
          <w:tab w:val="left" w:pos="993"/>
        </w:tabs>
        <w:spacing w:after="0" w:line="240" w:lineRule="auto"/>
        <w:ind w:left="426" w:hanging="426"/>
        <w:jc w:val="both"/>
        <w:rPr>
          <w:rFonts w:eastAsia="Times New Roman" w:cstheme="minorHAnsi"/>
          <w:rtl/>
        </w:rPr>
      </w:pPr>
      <w:r w:rsidRPr="00F30EF3">
        <w:rPr>
          <w:rFonts w:cstheme="minorHAnsi"/>
          <w:rtl/>
        </w:rPr>
        <w:t>يشير مصطلح شركة منبثقة (أو متفرعة) إلى شركة ناشئة "تنبثق" أو "تتفرع" عن المؤسسة. وبالتالي فإن الشركة المنبثقة ترتبط دائماً بالمؤسسة.</w:t>
      </w:r>
    </w:p>
    <w:p w14:paraId="173EE438" w14:textId="087AB338" w:rsidR="004E3DE4" w:rsidRPr="00F30EF3" w:rsidRDefault="004E3DE4" w:rsidP="00464282">
      <w:pPr>
        <w:pStyle w:val="ListParagraph"/>
        <w:numPr>
          <w:ilvl w:val="0"/>
          <w:numId w:val="9"/>
        </w:numPr>
        <w:tabs>
          <w:tab w:val="left" w:pos="993"/>
        </w:tabs>
        <w:spacing w:after="0" w:line="240" w:lineRule="auto"/>
        <w:ind w:left="426" w:hanging="426"/>
        <w:jc w:val="both"/>
        <w:rPr>
          <w:rFonts w:eastAsia="Times New Roman" w:cstheme="minorHAnsi"/>
          <w:rtl/>
        </w:rPr>
      </w:pPr>
      <w:r w:rsidRPr="00F30EF3">
        <w:rPr>
          <w:rFonts w:cstheme="minorHAnsi"/>
          <w:rtl/>
        </w:rPr>
        <w:t xml:space="preserve">قد تمتلك المؤسسة الشركات الناشئة أو المنبثقة بشكل جزئي، في بعض الحالات، بموجب عقد ترخيص الملكية الفكرية التي تتقسّم الأسهم المملوكة بموجبه </w:t>
      </w:r>
      <w:r w:rsidRPr="00F30EF3">
        <w:rPr>
          <w:rFonts w:cstheme="minorHAnsi"/>
          <w:i/>
          <w:iCs/>
          <w:rtl/>
        </w:rPr>
        <w:t>بدلاً</w:t>
      </w:r>
      <w:r w:rsidRPr="00F30EF3">
        <w:rPr>
          <w:rFonts w:cstheme="minorHAnsi"/>
          <w:rtl/>
        </w:rPr>
        <w:t xml:space="preserve"> من الإتاوات، على سبيل المثال.</w:t>
      </w:r>
    </w:p>
    <w:p w14:paraId="62C5FB54" w14:textId="77777777" w:rsidR="00F05FF0" w:rsidRPr="00F30EF3" w:rsidRDefault="00F05FF0" w:rsidP="00E73746">
      <w:pPr>
        <w:spacing w:after="0" w:line="240" w:lineRule="auto"/>
        <w:jc w:val="both"/>
        <w:rPr>
          <w:rFonts w:eastAsia="Times New Roman" w:cstheme="minorHAnsi"/>
          <w:b/>
          <w:bCs/>
          <w:lang w:val="en-US"/>
        </w:rPr>
      </w:pPr>
    </w:p>
    <w:p w14:paraId="6047AE30" w14:textId="77777777" w:rsidR="00DA7E04" w:rsidRPr="00F30EF3" w:rsidRDefault="00006582" w:rsidP="0038100C">
      <w:pPr>
        <w:spacing w:after="0" w:line="240" w:lineRule="auto"/>
        <w:jc w:val="both"/>
        <w:rPr>
          <w:rFonts w:cstheme="minorHAnsi"/>
          <w:b/>
          <w:bCs/>
          <w:rtl/>
        </w:rPr>
      </w:pPr>
      <w:r w:rsidRPr="00F30EF3">
        <w:rPr>
          <w:rFonts w:cstheme="minorHAnsi"/>
          <w:b/>
          <w:bCs/>
          <w:rtl/>
        </w:rPr>
        <w:t>مواد الدورة.</w:t>
      </w:r>
      <w:r w:rsidRPr="00F30EF3">
        <w:rPr>
          <w:rFonts w:cstheme="minorHAnsi"/>
          <w:rtl/>
        </w:rPr>
        <w:t xml:space="preserve"> </w:t>
      </w:r>
    </w:p>
    <w:p w14:paraId="38F25E20" w14:textId="77777777" w:rsidR="0038100C" w:rsidRPr="00F30EF3" w:rsidRDefault="004E3DE4" w:rsidP="009D4A54">
      <w:pPr>
        <w:pStyle w:val="ListParagraph"/>
        <w:numPr>
          <w:ilvl w:val="0"/>
          <w:numId w:val="135"/>
        </w:numPr>
        <w:spacing w:after="0" w:line="240" w:lineRule="auto"/>
        <w:ind w:left="426" w:hanging="426"/>
        <w:jc w:val="both"/>
        <w:rPr>
          <w:rFonts w:eastAsia="Times New Roman" w:cstheme="minorHAnsi"/>
          <w:rtl/>
        </w:rPr>
      </w:pPr>
      <w:r w:rsidRPr="00F30EF3">
        <w:rPr>
          <w:rFonts w:cstheme="minorHAnsi"/>
          <w:rtl/>
        </w:rPr>
        <w:t xml:space="preserve">يمكن أن تأتي مواد الدورة على أي شكل من الأشكال، بما في ذلك المواد الرقمية والمطبوعة والفيديو والمواد الرسومية، وقد تشمل ما يلي:  </w:t>
      </w:r>
    </w:p>
    <w:p w14:paraId="4511C0AD" w14:textId="77777777" w:rsidR="0038100C" w:rsidRPr="00F30EF3" w:rsidRDefault="00BA15FD" w:rsidP="009D4A54">
      <w:pPr>
        <w:pStyle w:val="ListParagraph"/>
        <w:numPr>
          <w:ilvl w:val="0"/>
          <w:numId w:val="34"/>
        </w:numPr>
        <w:spacing w:after="0" w:line="240" w:lineRule="auto"/>
        <w:ind w:hanging="294"/>
        <w:jc w:val="both"/>
        <w:rPr>
          <w:rFonts w:eastAsia="Times New Roman" w:cstheme="minorHAnsi"/>
          <w:rtl/>
        </w:rPr>
      </w:pPr>
      <w:r w:rsidRPr="00F30EF3">
        <w:rPr>
          <w:rFonts w:cstheme="minorHAnsi"/>
          <w:rtl/>
        </w:rPr>
        <w:t>أدلة الدورة، ونشراتها، وموادها المتاحة على الإنترنت؛</w:t>
      </w:r>
    </w:p>
    <w:p w14:paraId="55197886" w14:textId="77777777" w:rsidR="0038100C" w:rsidRPr="00F30EF3" w:rsidRDefault="00BA15FD" w:rsidP="009D4A54">
      <w:pPr>
        <w:pStyle w:val="ListParagraph"/>
        <w:numPr>
          <w:ilvl w:val="0"/>
          <w:numId w:val="34"/>
        </w:numPr>
        <w:spacing w:after="0" w:line="240" w:lineRule="auto"/>
        <w:ind w:hanging="294"/>
        <w:jc w:val="both"/>
        <w:rPr>
          <w:rFonts w:eastAsia="Times New Roman" w:cstheme="minorHAnsi"/>
          <w:rtl/>
        </w:rPr>
      </w:pPr>
      <w:r w:rsidRPr="00F30EF3">
        <w:rPr>
          <w:rFonts w:cstheme="minorHAnsi"/>
          <w:rtl/>
        </w:rPr>
        <w:lastRenderedPageBreak/>
        <w:t>ومواد العرض التقديمي (بما في ذلك ملاحظات المحاضرات والصور والشرائح والرسومات وعروض الوسائط المتعددة وبرامج الدورة التدريبية وغيرها من المواد السمعية البصرية)؛</w:t>
      </w:r>
    </w:p>
    <w:p w14:paraId="4D31980D" w14:textId="77777777" w:rsidR="0038100C" w:rsidRPr="00F30EF3" w:rsidRDefault="00BA15FD" w:rsidP="009D4A54">
      <w:pPr>
        <w:pStyle w:val="ListParagraph"/>
        <w:numPr>
          <w:ilvl w:val="0"/>
          <w:numId w:val="34"/>
        </w:numPr>
        <w:spacing w:after="0" w:line="240" w:lineRule="auto"/>
        <w:ind w:hanging="294"/>
        <w:jc w:val="both"/>
        <w:rPr>
          <w:rFonts w:eastAsia="Times New Roman" w:cstheme="minorHAnsi"/>
          <w:rtl/>
        </w:rPr>
      </w:pPr>
      <w:r w:rsidRPr="00F30EF3">
        <w:rPr>
          <w:rFonts w:cstheme="minorHAnsi"/>
          <w:rtl/>
        </w:rPr>
        <w:t>وأدوات التعلّم الافتراضية؛</w:t>
      </w:r>
    </w:p>
    <w:p w14:paraId="02A30FBB" w14:textId="77777777" w:rsidR="0038100C" w:rsidRPr="00F30EF3" w:rsidRDefault="00BA15FD" w:rsidP="009D4A54">
      <w:pPr>
        <w:pStyle w:val="ListParagraph"/>
        <w:numPr>
          <w:ilvl w:val="0"/>
          <w:numId w:val="34"/>
        </w:numPr>
        <w:spacing w:after="0" w:line="240" w:lineRule="auto"/>
        <w:ind w:hanging="294"/>
        <w:jc w:val="both"/>
        <w:rPr>
          <w:rFonts w:eastAsia="Times New Roman" w:cstheme="minorHAnsi"/>
          <w:rtl/>
        </w:rPr>
      </w:pPr>
      <w:r w:rsidRPr="00F30EF3">
        <w:rPr>
          <w:rFonts w:cstheme="minorHAnsi"/>
          <w:rtl/>
        </w:rPr>
        <w:t>وكتب وكتيبات وأدلة التعليمات؛</w:t>
      </w:r>
    </w:p>
    <w:p w14:paraId="449F26B7" w14:textId="77777777" w:rsidR="0038100C" w:rsidRPr="00F30EF3" w:rsidRDefault="007816B9" w:rsidP="009D4A54">
      <w:pPr>
        <w:pStyle w:val="ListParagraph"/>
        <w:numPr>
          <w:ilvl w:val="0"/>
          <w:numId w:val="34"/>
        </w:numPr>
        <w:spacing w:after="0" w:line="240" w:lineRule="auto"/>
        <w:ind w:hanging="294"/>
        <w:jc w:val="both"/>
        <w:rPr>
          <w:rFonts w:eastAsia="Times New Roman" w:cstheme="minorHAnsi"/>
          <w:rtl/>
        </w:rPr>
      </w:pPr>
      <w:r w:rsidRPr="00F30EF3">
        <w:rPr>
          <w:rFonts w:cstheme="minorHAnsi"/>
          <w:rtl/>
        </w:rPr>
        <w:t xml:space="preserve">وأسئلة التقييم والفحص. </w:t>
      </w:r>
    </w:p>
    <w:p w14:paraId="289D13A6" w14:textId="77777777" w:rsidR="003F4283" w:rsidRPr="00F30EF3" w:rsidRDefault="003F4283" w:rsidP="003F4283">
      <w:pPr>
        <w:pStyle w:val="ListParagraph"/>
        <w:spacing w:after="0" w:line="240" w:lineRule="auto"/>
        <w:jc w:val="both"/>
        <w:rPr>
          <w:rFonts w:eastAsia="Times New Roman" w:cstheme="minorHAnsi"/>
          <w:lang w:val="en-US"/>
        </w:rPr>
      </w:pPr>
    </w:p>
    <w:p w14:paraId="2D0797A1" w14:textId="77777777" w:rsidR="00DA7E04" w:rsidRPr="00F30EF3" w:rsidRDefault="00953E35" w:rsidP="00FE304B">
      <w:pPr>
        <w:pStyle w:val="Default"/>
        <w:bidi/>
        <w:jc w:val="both"/>
        <w:rPr>
          <w:rFonts w:asciiTheme="minorHAnsi" w:eastAsia="Times New Roman" w:hAnsiTheme="minorHAnsi" w:cstheme="minorHAnsi"/>
          <w:b/>
          <w:bCs/>
          <w:sz w:val="22"/>
          <w:szCs w:val="22"/>
          <w:rtl/>
        </w:rPr>
      </w:pPr>
      <w:r w:rsidRPr="00F30EF3">
        <w:rPr>
          <w:rFonts w:asciiTheme="minorHAnsi" w:hAnsiTheme="minorHAnsi" w:cstheme="minorHAnsi"/>
          <w:b/>
          <w:bCs/>
          <w:color w:val="auto"/>
          <w:sz w:val="22"/>
          <w:szCs w:val="22"/>
          <w:rtl/>
        </w:rPr>
        <w:t>المبدع.</w:t>
      </w:r>
      <w:r w:rsidRPr="00F30EF3">
        <w:rPr>
          <w:rFonts w:asciiTheme="minorHAnsi" w:hAnsiTheme="minorHAnsi" w:cstheme="minorHAnsi"/>
          <w:sz w:val="22"/>
          <w:szCs w:val="22"/>
          <w:rtl/>
        </w:rPr>
        <w:t xml:space="preserve"> </w:t>
      </w:r>
    </w:p>
    <w:p w14:paraId="1176DBD0" w14:textId="47023EE5" w:rsidR="00165818" w:rsidRPr="00F30EF3" w:rsidRDefault="00FE304B" w:rsidP="00A34B82">
      <w:pPr>
        <w:pStyle w:val="Default"/>
        <w:numPr>
          <w:ilvl w:val="0"/>
          <w:numId w:val="135"/>
        </w:numPr>
        <w:bidi/>
        <w:spacing w:after="120"/>
        <w:ind w:left="426" w:hanging="426"/>
        <w:jc w:val="both"/>
        <w:rPr>
          <w:rFonts w:asciiTheme="minorHAnsi" w:hAnsiTheme="minorHAnsi" w:cstheme="minorHAnsi"/>
          <w:color w:val="auto"/>
          <w:sz w:val="22"/>
          <w:szCs w:val="22"/>
        </w:rPr>
      </w:pPr>
      <w:r w:rsidRPr="00F30EF3">
        <w:rPr>
          <w:rFonts w:asciiTheme="minorHAnsi" w:hAnsiTheme="minorHAnsi" w:cstheme="minorHAnsi"/>
          <w:sz w:val="22"/>
          <w:szCs w:val="22"/>
          <w:rtl/>
        </w:rPr>
        <w:t>يُستخدم هذا المصطلح للإشارة إلى أي موظف أو طالب أو زائر يبتكر ملكية فكرية في المؤسسة.</w:t>
      </w:r>
      <w:r w:rsidRPr="00F30EF3">
        <w:rPr>
          <w:rFonts w:asciiTheme="minorHAnsi" w:hAnsiTheme="minorHAnsi" w:cstheme="minorHAnsi"/>
          <w:b/>
          <w:bCs/>
          <w:sz w:val="22"/>
          <w:szCs w:val="22"/>
          <w:rtl/>
        </w:rPr>
        <w:t xml:space="preserve"> </w:t>
      </w:r>
      <w:r w:rsidRPr="00F30EF3">
        <w:rPr>
          <w:rFonts w:asciiTheme="minorHAnsi" w:hAnsiTheme="minorHAnsi" w:cstheme="minorHAnsi"/>
          <w:sz w:val="22"/>
          <w:szCs w:val="22"/>
          <w:rtl/>
        </w:rPr>
        <w:t xml:space="preserve">ويمكن أن يكون المبدع </w:t>
      </w:r>
      <w:r w:rsidRPr="00F30EF3">
        <w:rPr>
          <w:rFonts w:asciiTheme="minorHAnsi" w:hAnsiTheme="minorHAnsi" w:cstheme="minorHAnsi"/>
          <w:color w:val="auto"/>
          <w:sz w:val="22"/>
          <w:szCs w:val="22"/>
          <w:rtl/>
        </w:rPr>
        <w:t>مخترعاً، أو مؤلفاً، أو فناناً، أو مصمماً، أو مطوراً، أو غير ذلك من مسميات مماثلة على النحو المنصوص عليه في القانون والمستخدم في الممارسة</w:t>
      </w:r>
      <w:r w:rsidRPr="00F30EF3">
        <w:rPr>
          <w:rFonts w:asciiTheme="minorHAnsi" w:hAnsiTheme="minorHAnsi" w:cstheme="minorHAnsi"/>
          <w:sz w:val="22"/>
          <w:szCs w:val="22"/>
          <w:rtl/>
        </w:rPr>
        <w:t xml:space="preserve">. ولكي يعدّ الفرد مبدعاً، يجب اعتباره مبدعاً للملكية الفكرية بموجب القانون المعمول به، أي على سبيل المثال، يكون مخترعاً وفقاً لقانون البراءات، أو مؤلفاً أو مؤلفاً مشاركاً وفقاً لقانون حق المؤلف. ومن المعروف أن الجهد التضافري أو التعاوني قد يشمل العديد من المبدعين. ولغرض نموذج السياسة، </w:t>
      </w:r>
      <w:r w:rsidRPr="00F30EF3">
        <w:rPr>
          <w:rFonts w:asciiTheme="minorHAnsi" w:hAnsiTheme="minorHAnsi" w:cstheme="minorHAnsi"/>
          <w:color w:val="auto"/>
          <w:sz w:val="22"/>
          <w:szCs w:val="22"/>
          <w:rtl/>
        </w:rPr>
        <w:t>يمكن أن يكون المبدع موظفاً أو زائراً أو طالباً.</w:t>
      </w:r>
    </w:p>
    <w:p w14:paraId="17DB7F93" w14:textId="28A2C2F5" w:rsidR="00DA7E04" w:rsidRPr="00F30EF3" w:rsidRDefault="0000497C" w:rsidP="00A34B82">
      <w:pPr>
        <w:autoSpaceDE w:val="0"/>
        <w:autoSpaceDN w:val="0"/>
        <w:adjustRightInd w:val="0"/>
        <w:spacing w:after="120" w:line="240" w:lineRule="auto"/>
        <w:jc w:val="both"/>
        <w:rPr>
          <w:rFonts w:cstheme="minorHAnsi"/>
          <w:b/>
          <w:bCs/>
          <w:rtl/>
        </w:rPr>
      </w:pPr>
      <w:r w:rsidRPr="00F30EF3">
        <w:rPr>
          <w:rFonts w:cstheme="minorHAnsi"/>
          <w:b/>
          <w:bCs/>
          <w:rtl/>
        </w:rPr>
        <w:t xml:space="preserve">المُمكّن. </w:t>
      </w:r>
    </w:p>
    <w:p w14:paraId="292E1F24" w14:textId="3A3DAB83" w:rsidR="0000497C" w:rsidRPr="00F30EF3" w:rsidRDefault="0000497C" w:rsidP="00A34B82">
      <w:pPr>
        <w:pStyle w:val="ListParagraph"/>
        <w:numPr>
          <w:ilvl w:val="0"/>
          <w:numId w:val="135"/>
        </w:numPr>
        <w:autoSpaceDE w:val="0"/>
        <w:autoSpaceDN w:val="0"/>
        <w:adjustRightInd w:val="0"/>
        <w:spacing w:after="240" w:line="240" w:lineRule="auto"/>
        <w:ind w:left="432" w:hanging="432"/>
        <w:contextualSpacing w:val="0"/>
        <w:jc w:val="both"/>
        <w:rPr>
          <w:rFonts w:cstheme="minorHAnsi"/>
        </w:rPr>
      </w:pPr>
      <w:r w:rsidRPr="00F30EF3">
        <w:rPr>
          <w:rFonts w:cstheme="minorHAnsi"/>
          <w:rtl/>
        </w:rPr>
        <w:t>يعد هذا المصطلح هاماً في سياق الحوافز (المادة 10)، لمكافأة من قدموا إسهامات غير مباشرة كذلك في إنتاج الملكية الفكرية (على سبيل المثال، تخصيص حصة من العائدات للإدارة).</w:t>
      </w:r>
    </w:p>
    <w:p w14:paraId="696D813E" w14:textId="071E005B" w:rsidR="00533A10" w:rsidRPr="00F30EF3" w:rsidRDefault="003F4283" w:rsidP="00734F31">
      <w:pPr>
        <w:autoSpaceDE w:val="0"/>
        <w:autoSpaceDN w:val="0"/>
        <w:adjustRightInd w:val="0"/>
        <w:spacing w:after="0" w:line="240" w:lineRule="auto"/>
        <w:jc w:val="both"/>
        <w:rPr>
          <w:rFonts w:cstheme="minorHAnsi"/>
          <w:b/>
          <w:bCs/>
          <w:rtl/>
        </w:rPr>
      </w:pPr>
      <w:r w:rsidRPr="00F30EF3">
        <w:rPr>
          <w:rFonts w:cstheme="minorHAnsi"/>
          <w:b/>
          <w:bCs/>
          <w:rtl/>
        </w:rPr>
        <w:t>الموارد الوراثية (</w:t>
      </w:r>
      <w:r w:rsidRPr="00F30EF3">
        <w:rPr>
          <w:rFonts w:cstheme="minorHAnsi"/>
          <w:b/>
          <w:bCs/>
        </w:rPr>
        <w:t>GRs</w:t>
      </w:r>
      <w:r w:rsidRPr="00F30EF3">
        <w:rPr>
          <w:rFonts w:cstheme="minorHAnsi"/>
          <w:b/>
          <w:bCs/>
          <w:rtl/>
        </w:rPr>
        <w:t xml:space="preserve">). </w:t>
      </w:r>
    </w:p>
    <w:p w14:paraId="29040735" w14:textId="77777777" w:rsidR="00B30642" w:rsidRPr="00F30EF3" w:rsidRDefault="00C43039" w:rsidP="00A34B82">
      <w:pPr>
        <w:pStyle w:val="ListParagraph"/>
        <w:numPr>
          <w:ilvl w:val="0"/>
          <w:numId w:val="73"/>
        </w:numPr>
        <w:autoSpaceDE w:val="0"/>
        <w:autoSpaceDN w:val="0"/>
        <w:adjustRightInd w:val="0"/>
        <w:spacing w:after="120" w:line="240" w:lineRule="auto"/>
        <w:ind w:left="432" w:hanging="432"/>
        <w:contextualSpacing w:val="0"/>
        <w:jc w:val="both"/>
        <w:rPr>
          <w:rFonts w:cstheme="minorHAnsi"/>
          <w:rtl/>
        </w:rPr>
      </w:pPr>
      <w:r w:rsidRPr="00F30EF3">
        <w:rPr>
          <w:rFonts w:cstheme="minorHAnsi"/>
          <w:rtl/>
        </w:rPr>
        <w:t xml:space="preserve">لا تمثل الموارد الوراثية في حد ذاتها، على نحو ما توجد في الطبيعة، ملكية فكرية. فهي ليست من إبداعات العقل البشري، ولذلك لا يمكن حمايتها بشكل مباشر على أنها ملكية فكرية. غير أن الاختراعات التي تقوم على الموارد الوراثية أو تُستنبط باستخدام تلك الموارد مؤهلة للحماية من خلال نظام الملكية الفكرية، إما عن طريق براءة أو من خلال نظام </w:t>
      </w:r>
      <w:r w:rsidRPr="00F30EF3">
        <w:rPr>
          <w:rFonts w:cstheme="minorHAnsi"/>
          <w:i/>
          <w:iCs/>
          <w:rtl/>
        </w:rPr>
        <w:t>خاص</w:t>
      </w:r>
      <w:r w:rsidRPr="00F30EF3">
        <w:rPr>
          <w:rFonts w:cstheme="minorHAnsi"/>
          <w:rtl/>
        </w:rPr>
        <w:t xml:space="preserve"> ينظّم حقوق مستولدي النباتات في حالة البحوث وأنشطة الاستيلاد التي يمكن أن تسفر عن استنباط أصناف نباتية جديدة.</w:t>
      </w:r>
      <w:r w:rsidRPr="00F30EF3">
        <w:rPr>
          <w:rStyle w:val="FootnoteReference"/>
          <w:rFonts w:cstheme="minorHAnsi"/>
          <w:rtl/>
          <w:lang w:val="en-US"/>
        </w:rPr>
        <w:footnoteReference w:id="40"/>
      </w:r>
    </w:p>
    <w:p w14:paraId="1A95545F" w14:textId="77777777" w:rsidR="00C43039" w:rsidRPr="00F30EF3" w:rsidRDefault="00C43039" w:rsidP="00A34B82">
      <w:pPr>
        <w:pStyle w:val="ListParagraph"/>
        <w:numPr>
          <w:ilvl w:val="0"/>
          <w:numId w:val="73"/>
        </w:numPr>
        <w:autoSpaceDE w:val="0"/>
        <w:autoSpaceDN w:val="0"/>
        <w:adjustRightInd w:val="0"/>
        <w:spacing w:after="120" w:line="240" w:lineRule="auto"/>
        <w:ind w:left="432" w:hanging="432"/>
        <w:contextualSpacing w:val="0"/>
        <w:jc w:val="both"/>
        <w:rPr>
          <w:rFonts w:cstheme="minorHAnsi"/>
          <w:rtl/>
        </w:rPr>
      </w:pPr>
      <w:r w:rsidRPr="00F30EF3">
        <w:rPr>
          <w:rFonts w:cstheme="minorHAnsi"/>
          <w:rtl/>
        </w:rPr>
        <w:t xml:space="preserve">تخضع الموارد الوراثية للوائح المتعلقة بالنفاذ وتقاسم المنافع، لاسيما ضمن الأطر القانونية والسياسية الدولية التي تحددها </w:t>
      </w:r>
      <w:r w:rsidRPr="00F30EF3">
        <w:rPr>
          <w:rFonts w:cstheme="minorHAnsi"/>
          <w:i/>
          <w:iCs/>
          <w:rtl/>
        </w:rPr>
        <w:t>اتفاقية التنوع البيولوجي</w:t>
      </w:r>
      <w:r w:rsidRPr="00F30EF3">
        <w:rPr>
          <w:rFonts w:cstheme="minorHAnsi"/>
          <w:rtl/>
        </w:rPr>
        <w:t xml:space="preserve"> (</w:t>
      </w:r>
      <w:r w:rsidRPr="00F30EF3">
        <w:rPr>
          <w:rFonts w:cstheme="minorHAnsi"/>
        </w:rPr>
        <w:t>CBD</w:t>
      </w:r>
      <w:r w:rsidRPr="00F30EF3">
        <w:rPr>
          <w:rFonts w:cstheme="minorHAnsi"/>
          <w:rtl/>
        </w:rPr>
        <w:t xml:space="preserve">) </w:t>
      </w:r>
      <w:r w:rsidRPr="00F30EF3">
        <w:rPr>
          <w:rFonts w:cstheme="minorHAnsi"/>
          <w:i/>
          <w:iCs/>
          <w:rtl/>
        </w:rPr>
        <w:t xml:space="preserve">وبروتوكول ناغويا الخاص بها بشأن النفاذ إلى الموارد الوراثية والتقاسم العادل والمنصف للمنافع الناشئة عن استخدامها، </w:t>
      </w:r>
      <w:r w:rsidRPr="00F30EF3">
        <w:rPr>
          <w:rFonts w:cstheme="minorHAnsi"/>
          <w:rtl/>
        </w:rPr>
        <w:t xml:space="preserve">وكذلك </w:t>
      </w:r>
      <w:r w:rsidRPr="00F30EF3">
        <w:rPr>
          <w:rFonts w:cstheme="minorHAnsi"/>
          <w:i/>
          <w:iCs/>
          <w:rtl/>
        </w:rPr>
        <w:t>المعاهدة الدولية بشأن الموارد الوراثية النباتية للأغذية والزراعة التي وضعتها منظمة الأغذية والزراعة للأمم المتحدة</w:t>
      </w:r>
      <w:r w:rsidRPr="00F30EF3">
        <w:rPr>
          <w:rFonts w:cstheme="minorHAnsi"/>
          <w:rtl/>
        </w:rPr>
        <w:t>.</w:t>
      </w:r>
      <w:r w:rsidRPr="00F30EF3">
        <w:rPr>
          <w:rStyle w:val="FootnoteReference"/>
          <w:rFonts w:cstheme="minorHAnsi"/>
          <w:rtl/>
          <w:lang w:val="en-US"/>
        </w:rPr>
        <w:footnoteReference w:id="41"/>
      </w:r>
    </w:p>
    <w:p w14:paraId="6DD28B5D" w14:textId="1C8ED541" w:rsidR="00B30642" w:rsidRPr="00F30EF3" w:rsidRDefault="00C43039" w:rsidP="00A34B82">
      <w:pPr>
        <w:pStyle w:val="ListParagraph"/>
        <w:numPr>
          <w:ilvl w:val="0"/>
          <w:numId w:val="73"/>
        </w:numPr>
        <w:autoSpaceDE w:val="0"/>
        <w:autoSpaceDN w:val="0"/>
        <w:adjustRightInd w:val="0"/>
        <w:spacing w:after="120" w:line="240" w:lineRule="auto"/>
        <w:ind w:left="432" w:hanging="432"/>
        <w:contextualSpacing w:val="0"/>
        <w:jc w:val="both"/>
        <w:rPr>
          <w:rFonts w:cstheme="minorHAnsi"/>
          <w:rtl/>
        </w:rPr>
      </w:pPr>
      <w:r w:rsidRPr="00F30EF3">
        <w:rPr>
          <w:rFonts w:cstheme="minorHAnsi"/>
          <w:rtl/>
        </w:rPr>
        <w:t>يعد مبدأ الموافقة المسبقة المستنيرة (</w:t>
      </w:r>
      <w:r w:rsidRPr="00F30EF3">
        <w:rPr>
          <w:rFonts w:cstheme="minorHAnsi"/>
        </w:rPr>
        <w:t>PIC</w:t>
      </w:r>
      <w:r w:rsidRPr="00F30EF3">
        <w:rPr>
          <w:rFonts w:cstheme="minorHAnsi"/>
          <w:rtl/>
        </w:rPr>
        <w:t>) فيما يتعلق بالنفاذ إلى الموارد الوراثية أحد الركائز الأساسية لاتفاقية التنوع البيولوجي.</w:t>
      </w:r>
      <w:r w:rsidRPr="00F30EF3">
        <w:rPr>
          <w:rStyle w:val="FootnoteReference"/>
          <w:rFonts w:cstheme="minorHAnsi"/>
          <w:rtl/>
          <w:lang w:val="en-US"/>
        </w:rPr>
        <w:footnoteReference w:id="42"/>
      </w:r>
      <w:r w:rsidRPr="00F30EF3">
        <w:rPr>
          <w:rFonts w:cstheme="minorHAnsi"/>
          <w:rtl/>
        </w:rPr>
        <w:t xml:space="preserve"> وحسب مبدأ الموافقة المسبقة المستنيرة، ينبغي مراجعة أصحاب الحقوق قبل نفاذ أطراف أخرى إلى الموارد الوراثية الخاصة بهم أو استخدامها وينبغي أيضاً التوصل إلى اتفاق بشروط ملائمة، كما ينبغي إعلامهم بجميع عواقب الاستخدام المزمع. ومن الممكن صياغة نطاق الاستخدام المتفق عليه على هيئة عقود أو تراخيص أو اتفاقات، والتي تسمى غالباً اتفاقات النفاذ وتقاسم المنافع، وقد تنص على كيفية تقاسم المنافع الناشئة عن الأنشطة الاقتصادية. </w:t>
      </w:r>
    </w:p>
    <w:p w14:paraId="41395A3C" w14:textId="77777777" w:rsidR="00B30642" w:rsidRPr="00F30EF3" w:rsidRDefault="00C43039" w:rsidP="00A34B82">
      <w:pPr>
        <w:pStyle w:val="ListParagraph"/>
        <w:numPr>
          <w:ilvl w:val="0"/>
          <w:numId w:val="73"/>
        </w:numPr>
        <w:autoSpaceDE w:val="0"/>
        <w:autoSpaceDN w:val="0"/>
        <w:adjustRightInd w:val="0"/>
        <w:spacing w:after="120" w:line="240" w:lineRule="auto"/>
        <w:ind w:left="432" w:hanging="432"/>
        <w:contextualSpacing w:val="0"/>
        <w:jc w:val="both"/>
        <w:rPr>
          <w:rFonts w:cstheme="minorHAnsi"/>
          <w:rtl/>
        </w:rPr>
      </w:pPr>
      <w:r w:rsidRPr="00F30EF3">
        <w:rPr>
          <w:rFonts w:cstheme="minorHAnsi"/>
          <w:rtl/>
        </w:rPr>
        <w:t>غالباً ما يُعبر عن فكرة التوازن العادل للمصالح في قانون الملكية الفكرية على شكل تحقيق توازن بين مصالح أصحاب الحقوق وعموم الجماهير. وحسب هذا المبدأ، يتسلم أصحاب الموارد الوراثية نصيباً منصفاً من المنافع الناجمة عن استخدام الموارد الوراثية، مما قد يصاغ على هيئة منافع مالية أو غير ذلك من منافع غير مالية.</w:t>
      </w:r>
      <w:r w:rsidRPr="00F30EF3">
        <w:rPr>
          <w:rStyle w:val="FootnoteReference"/>
          <w:rFonts w:cstheme="minorHAnsi"/>
          <w:rtl/>
          <w:lang w:val="en-US"/>
        </w:rPr>
        <w:footnoteReference w:id="43"/>
      </w:r>
      <w:r w:rsidRPr="00F30EF3">
        <w:rPr>
          <w:rFonts w:cstheme="minorHAnsi"/>
          <w:rtl/>
        </w:rPr>
        <w:t xml:space="preserve"> </w:t>
      </w:r>
    </w:p>
    <w:p w14:paraId="5047758E" w14:textId="77777777" w:rsidR="003F4283" w:rsidRPr="00F30EF3" w:rsidRDefault="003F4283" w:rsidP="009D4A54">
      <w:pPr>
        <w:pStyle w:val="ListParagraph"/>
        <w:numPr>
          <w:ilvl w:val="0"/>
          <w:numId w:val="73"/>
        </w:numPr>
        <w:autoSpaceDE w:val="0"/>
        <w:autoSpaceDN w:val="0"/>
        <w:adjustRightInd w:val="0"/>
        <w:spacing w:after="0" w:line="240" w:lineRule="auto"/>
        <w:ind w:left="426" w:hanging="426"/>
        <w:jc w:val="both"/>
        <w:rPr>
          <w:rFonts w:cstheme="minorHAnsi"/>
          <w:rtl/>
        </w:rPr>
      </w:pPr>
      <w:r w:rsidRPr="00F30EF3">
        <w:rPr>
          <w:rFonts w:cstheme="minorHAnsi"/>
          <w:rtl/>
        </w:rPr>
        <w:t xml:space="preserve">لمزيد من المعلومات، انظر </w:t>
      </w:r>
      <w:hyperlink r:id="rId34" w:history="1">
        <w:r w:rsidRPr="00F30EF3">
          <w:rPr>
            <w:rStyle w:val="Hyperlink"/>
            <w:rFonts w:cstheme="minorHAnsi"/>
            <w:rtl/>
          </w:rPr>
          <w:t>صفحة الويبو الإلكترونية الخاصة بالموارد الوراثية</w:t>
        </w:r>
      </w:hyperlink>
      <w:r w:rsidRPr="00F30EF3">
        <w:rPr>
          <w:rFonts w:cstheme="minorHAnsi"/>
          <w:rtl/>
        </w:rPr>
        <w:t>.</w:t>
      </w:r>
    </w:p>
    <w:p w14:paraId="6075A68B" w14:textId="77777777" w:rsidR="003F4283" w:rsidRPr="00F30EF3" w:rsidRDefault="003F4283" w:rsidP="00734F31">
      <w:pPr>
        <w:spacing w:after="0" w:line="240" w:lineRule="auto"/>
        <w:jc w:val="both"/>
        <w:rPr>
          <w:rFonts w:cstheme="minorHAnsi"/>
          <w:lang w:val="en-US"/>
        </w:rPr>
      </w:pPr>
    </w:p>
    <w:p w14:paraId="6C8F4D71" w14:textId="77777777" w:rsidR="00DB271B" w:rsidRPr="00F30EF3" w:rsidRDefault="005C3F73" w:rsidP="0090380E">
      <w:pPr>
        <w:keepNext/>
        <w:keepLines/>
        <w:spacing w:after="0" w:line="240" w:lineRule="auto"/>
        <w:jc w:val="both"/>
        <w:rPr>
          <w:rFonts w:cstheme="minorHAnsi"/>
          <w:b/>
          <w:bCs/>
          <w:color w:val="000000" w:themeColor="text1"/>
          <w:rtl/>
        </w:rPr>
      </w:pPr>
      <w:r w:rsidRPr="00F30EF3">
        <w:rPr>
          <w:rFonts w:cstheme="minorHAnsi"/>
          <w:b/>
          <w:bCs/>
          <w:color w:val="000000" w:themeColor="text1"/>
          <w:rtl/>
        </w:rPr>
        <w:lastRenderedPageBreak/>
        <w:t xml:space="preserve">الاختراع.  </w:t>
      </w:r>
    </w:p>
    <w:p w14:paraId="509ACAE1" w14:textId="77777777" w:rsidR="00DB271B" w:rsidRPr="00F30EF3" w:rsidRDefault="00076ADB" w:rsidP="0090380E">
      <w:pPr>
        <w:pStyle w:val="ListParagraph"/>
        <w:keepNext/>
        <w:keepLines/>
        <w:numPr>
          <w:ilvl w:val="0"/>
          <w:numId w:val="36"/>
        </w:numPr>
        <w:spacing w:line="240" w:lineRule="auto"/>
        <w:ind w:left="426" w:hanging="426"/>
        <w:jc w:val="both"/>
        <w:rPr>
          <w:rFonts w:cstheme="minorHAnsi"/>
          <w:rtl/>
        </w:rPr>
      </w:pPr>
      <w:r w:rsidRPr="00F30EF3">
        <w:rPr>
          <w:rFonts w:cstheme="minorHAnsi"/>
          <w:rtl/>
        </w:rPr>
        <w:t xml:space="preserve">يتعيّن تكييف هذا التعريف مع القانون الوطني الذي يتناول البراءات.  تنص العديد من القوانين الوطنية على ما لا يمكن اعتباره اختراعاً ولكنها مع ذلك لا تحدد ماهية الاختراع، إلا ما كان من تحديد المعايير التي يجب أن يمتثل لها الاختراع حتى يصبح مؤهلاً للحماية ببراءة.  </w:t>
      </w:r>
    </w:p>
    <w:p w14:paraId="5D660A0E" w14:textId="77777777" w:rsidR="00F43DEF" w:rsidRPr="00F30EF3" w:rsidRDefault="00DB271B" w:rsidP="009D4A54">
      <w:pPr>
        <w:pStyle w:val="ListParagraph"/>
        <w:numPr>
          <w:ilvl w:val="0"/>
          <w:numId w:val="36"/>
        </w:numPr>
        <w:spacing w:after="0" w:line="240" w:lineRule="auto"/>
        <w:ind w:left="425" w:hanging="425"/>
        <w:jc w:val="both"/>
        <w:rPr>
          <w:rFonts w:cstheme="minorHAnsi"/>
          <w:rtl/>
        </w:rPr>
      </w:pPr>
      <w:r w:rsidRPr="00F30EF3">
        <w:rPr>
          <w:rFonts w:cstheme="minorHAnsi"/>
          <w:rtl/>
        </w:rPr>
        <w:t>يمكن إضافة توضيح لما يشكل "اختراعاً مؤهلاً للحماية ببراءة". وثمة العديد من الشروط التي يجب استيفاؤها بغية الحصول على البراءة، وليس من الممكن تجميع قائمة شاملة قابلة للتطبيق عالمياً. ومع ذلك، فإن بعض الشروط الأساسية تشمل ما يلي:</w:t>
      </w:r>
    </w:p>
    <w:p w14:paraId="2E9C9FA4" w14:textId="77777777" w:rsidR="00F43DEF" w:rsidRPr="00F30EF3" w:rsidRDefault="00F43DEF" w:rsidP="009D4A54">
      <w:pPr>
        <w:numPr>
          <w:ilvl w:val="0"/>
          <w:numId w:val="37"/>
        </w:numPr>
        <w:spacing w:after="0" w:line="240" w:lineRule="auto"/>
        <w:ind w:hanging="294"/>
        <w:jc w:val="both"/>
        <w:rPr>
          <w:rFonts w:cstheme="minorHAnsi"/>
          <w:rtl/>
        </w:rPr>
      </w:pPr>
      <w:r w:rsidRPr="00F30EF3">
        <w:rPr>
          <w:rFonts w:cstheme="minorHAnsi"/>
          <w:rtl/>
        </w:rPr>
        <w:t>يجب أن يكون الاختراع جديداً/متسماً بالجدة، أي يجب أن يظهر بعض الخصائص الجديدة غير المعروفة في مجموعة المعارف المتوافرة في مجاله التقني. وتسمى مجموعة المعارف المتوافرة باسم "حالة التقنية الصناعية السابقة".</w:t>
      </w:r>
    </w:p>
    <w:p w14:paraId="49A52747" w14:textId="77777777" w:rsidR="00F43DEF" w:rsidRPr="00F30EF3" w:rsidRDefault="00F43DEF" w:rsidP="009D4A54">
      <w:pPr>
        <w:numPr>
          <w:ilvl w:val="0"/>
          <w:numId w:val="37"/>
        </w:numPr>
        <w:spacing w:after="0" w:line="240" w:lineRule="auto"/>
        <w:ind w:hanging="294"/>
        <w:jc w:val="both"/>
        <w:rPr>
          <w:rFonts w:cstheme="minorHAnsi"/>
          <w:rtl/>
        </w:rPr>
      </w:pPr>
      <w:r w:rsidRPr="00F30EF3">
        <w:rPr>
          <w:rFonts w:cstheme="minorHAnsi"/>
          <w:rtl/>
        </w:rPr>
        <w:t>يجب أن ينطوي الاختراع على "نشاط ابتكاري" أو يجب أن يكون "غير بديهي"، مما يعني أنه لا يمكن استنتاجه بشكل واضح من قبل شخص لديه مهارة عادية في المجال التقني ذي الصلة.</w:t>
      </w:r>
    </w:p>
    <w:p w14:paraId="5FE09A52" w14:textId="77777777" w:rsidR="00F43DEF" w:rsidRPr="00F30EF3" w:rsidRDefault="00F43DEF" w:rsidP="009D4A54">
      <w:pPr>
        <w:numPr>
          <w:ilvl w:val="0"/>
          <w:numId w:val="37"/>
        </w:numPr>
        <w:spacing w:after="0" w:line="240" w:lineRule="auto"/>
        <w:ind w:hanging="294"/>
        <w:jc w:val="both"/>
        <w:rPr>
          <w:rFonts w:cstheme="minorHAnsi"/>
          <w:rtl/>
        </w:rPr>
      </w:pPr>
      <w:r w:rsidRPr="00F30EF3">
        <w:rPr>
          <w:rFonts w:cstheme="minorHAnsi"/>
          <w:rtl/>
        </w:rPr>
        <w:t>يجب أن يكون الاختراع قابلاً للتطبيق الصناعي، أي يجب أن يكون الاختراع قابلاً للاستخدام لغرض صناعي أو تجاري وليس مجرد ظاهرة نظرية، أو أن يكون مفيداً.</w:t>
      </w:r>
    </w:p>
    <w:p w14:paraId="468D1939" w14:textId="77777777" w:rsidR="00F43DEF" w:rsidRPr="00F30EF3" w:rsidRDefault="00F43DEF" w:rsidP="009D4A54">
      <w:pPr>
        <w:numPr>
          <w:ilvl w:val="0"/>
          <w:numId w:val="37"/>
        </w:numPr>
        <w:spacing w:after="0" w:line="240" w:lineRule="auto"/>
        <w:ind w:hanging="294"/>
        <w:jc w:val="both"/>
        <w:rPr>
          <w:rFonts w:cstheme="minorHAnsi"/>
          <w:rtl/>
        </w:rPr>
      </w:pPr>
      <w:r w:rsidRPr="00F30EF3">
        <w:rPr>
          <w:rFonts w:cstheme="minorHAnsi"/>
          <w:rtl/>
        </w:rPr>
        <w:t>يجب قبول موضوعه على أنه "قابلاً للحماية بموجب براءة" بموجب القانون. وفي العديد من البلدان، تعتبر الاكتشافات والنظريات العلمية والإبداعات الجمالية والطرق الرياضية والأصناف النباتية أو الحيوانية واكتشافات المواد الطبيعية والطرق التجارية وطرق العلاج الطبي (على عكس المنتجات الطبية) أو برامج الحاسوب غير قابلة للحماية بموجب البراءة عموماً.</w:t>
      </w:r>
    </w:p>
    <w:p w14:paraId="2E0D8CF4" w14:textId="77777777" w:rsidR="00F43DEF" w:rsidRPr="00F30EF3" w:rsidRDefault="00F43DEF" w:rsidP="009D4A54">
      <w:pPr>
        <w:numPr>
          <w:ilvl w:val="0"/>
          <w:numId w:val="37"/>
        </w:numPr>
        <w:spacing w:after="0" w:line="240" w:lineRule="auto"/>
        <w:ind w:hanging="294"/>
        <w:jc w:val="both"/>
        <w:rPr>
          <w:rFonts w:cstheme="minorHAnsi"/>
          <w:b/>
          <w:bCs/>
          <w:rtl/>
        </w:rPr>
      </w:pPr>
      <w:r w:rsidRPr="00F30EF3">
        <w:rPr>
          <w:rFonts w:cstheme="minorHAnsi"/>
          <w:rtl/>
        </w:rPr>
        <w:t>يجب أن يُكشَف في الطلب عن الاختراع بطريقة واضحة وكاملة بما يكفي لتمكين أي شخص يتمتع بمستوى مهاريّ عاديّ في المجال التقني ذي الصلة من إعداد نسخة مطابقة من الاختراع.</w:t>
      </w:r>
    </w:p>
    <w:p w14:paraId="58E54009" w14:textId="77777777" w:rsidR="00F43DEF" w:rsidRPr="00F30EF3" w:rsidRDefault="00F43DEF" w:rsidP="00734F31">
      <w:pPr>
        <w:spacing w:after="0" w:line="240" w:lineRule="auto"/>
        <w:jc w:val="both"/>
        <w:rPr>
          <w:rFonts w:cstheme="minorHAnsi"/>
          <w:b/>
          <w:bCs/>
          <w:lang w:val="en-US"/>
        </w:rPr>
      </w:pPr>
    </w:p>
    <w:p w14:paraId="6DD6797A" w14:textId="77777777" w:rsidR="00533105" w:rsidRPr="00F30EF3" w:rsidRDefault="00E91FE4" w:rsidP="00B7519E">
      <w:pPr>
        <w:spacing w:after="0" w:line="240" w:lineRule="auto"/>
        <w:jc w:val="both"/>
        <w:rPr>
          <w:rFonts w:cstheme="minorHAnsi"/>
          <w:b/>
          <w:bCs/>
          <w:rtl/>
        </w:rPr>
      </w:pPr>
      <w:r w:rsidRPr="00F30EF3">
        <w:rPr>
          <w:rFonts w:cstheme="minorHAnsi"/>
          <w:b/>
          <w:bCs/>
          <w:rtl/>
        </w:rPr>
        <w:t xml:space="preserve">المخترع.  </w:t>
      </w:r>
    </w:p>
    <w:p w14:paraId="57FF1FDA" w14:textId="5AD9910A" w:rsidR="00F97422" w:rsidRPr="00F30EF3" w:rsidRDefault="00F97422" w:rsidP="009D4A54">
      <w:pPr>
        <w:pStyle w:val="ListParagraph"/>
        <w:numPr>
          <w:ilvl w:val="0"/>
          <w:numId w:val="75"/>
        </w:numPr>
        <w:spacing w:line="240" w:lineRule="auto"/>
        <w:ind w:left="426" w:hanging="426"/>
        <w:jc w:val="both"/>
        <w:rPr>
          <w:rFonts w:cstheme="minorHAnsi"/>
          <w:rtl/>
        </w:rPr>
      </w:pPr>
      <w:r w:rsidRPr="00F30EF3">
        <w:rPr>
          <w:rFonts w:cstheme="minorHAnsi"/>
          <w:rtl/>
        </w:rPr>
        <w:t xml:space="preserve">"المخترع" هو الشخص الذي </w:t>
      </w:r>
      <w:r w:rsidRPr="00F30EF3">
        <w:rPr>
          <w:rStyle w:val="st1"/>
          <w:rFonts w:cstheme="minorHAnsi"/>
          <w:rtl/>
        </w:rPr>
        <w:t xml:space="preserve">يبتكر أو يطور طريقة أو شكلاً أو جهازاً جديداً أو أي وسيلة مفيدة أخرى تُعرف باسم الاختراع. ويشمل ذلك الشخص الذي ابتكر عنصراً أساسياً للاختراع، مما يجعله مؤهلاً للإقرار به كمخترع في طلب البراءة أو في البراءة. </w:t>
      </w:r>
      <w:r w:rsidRPr="00F30EF3">
        <w:rPr>
          <w:rFonts w:cstheme="minorHAnsi"/>
          <w:rtl/>
        </w:rPr>
        <w:t xml:space="preserve">وهذا يختلف عن </w:t>
      </w:r>
      <w:r w:rsidRPr="00F30EF3">
        <w:rPr>
          <w:rStyle w:val="st1"/>
          <w:rFonts w:cstheme="minorHAnsi"/>
          <w:rtl/>
        </w:rPr>
        <w:t>"صاحب" أو "مالك" البراءة، وهو الشخص الذي مُنِحَت له البراءة. وليس بالضرورة أن يكون المخترع والمالك نفس الجهة. ومع ذلك، يجب أن يتم إدراج المخترع باعتباره المخترع في البراءة، وعدم القيام بذلك يكون سبباً لإلغاء البراءة.</w:t>
      </w:r>
    </w:p>
    <w:p w14:paraId="7175C2A3" w14:textId="77777777" w:rsidR="004E3DE4" w:rsidRPr="00F30EF3" w:rsidRDefault="00CA6AB5" w:rsidP="00B7519E">
      <w:pPr>
        <w:spacing w:after="0" w:line="240" w:lineRule="auto"/>
        <w:jc w:val="both"/>
        <w:rPr>
          <w:rFonts w:cstheme="minorHAnsi"/>
          <w:b/>
          <w:bCs/>
          <w:rtl/>
        </w:rPr>
      </w:pPr>
      <w:r w:rsidRPr="00F30EF3">
        <w:rPr>
          <w:rFonts w:cstheme="minorHAnsi"/>
          <w:b/>
          <w:bCs/>
          <w:rtl/>
        </w:rPr>
        <w:t xml:space="preserve">استمارة الكشف عن الملكية الفكرية.   </w:t>
      </w:r>
    </w:p>
    <w:p w14:paraId="4DB8DC41" w14:textId="77777777" w:rsidR="004E3DE4" w:rsidRPr="00F30EF3" w:rsidRDefault="00CA6AB5" w:rsidP="009D4A54">
      <w:pPr>
        <w:pStyle w:val="ListParagraph"/>
        <w:numPr>
          <w:ilvl w:val="0"/>
          <w:numId w:val="75"/>
        </w:numPr>
        <w:spacing w:line="240" w:lineRule="auto"/>
        <w:ind w:left="426" w:hanging="426"/>
        <w:jc w:val="both"/>
        <w:rPr>
          <w:rFonts w:cstheme="minorHAnsi"/>
          <w:rtl/>
        </w:rPr>
      </w:pPr>
      <w:r w:rsidRPr="00F30EF3">
        <w:rPr>
          <w:rFonts w:cstheme="minorHAnsi"/>
          <w:rtl/>
        </w:rPr>
        <w:t xml:space="preserve">يُطلق عليها أحياناً "استمارة الكشف عن الاختراع" أو "تقرير الكشف عن الاختراع". وثيقة سرية يجب أن يكملها المخترع/المؤلف الرئيسي ويقدمها إلى مكتب إدارة الملكية الفكرية عند تصور أو تطوير شيء جديد له تطبيق تجاري محتمل. </w:t>
      </w:r>
    </w:p>
    <w:p w14:paraId="47E678F6" w14:textId="77777777" w:rsidR="004E3DE4" w:rsidRPr="00F30EF3" w:rsidRDefault="00937604" w:rsidP="009D4A54">
      <w:pPr>
        <w:pStyle w:val="ListParagraph"/>
        <w:numPr>
          <w:ilvl w:val="0"/>
          <w:numId w:val="75"/>
        </w:numPr>
        <w:spacing w:line="240" w:lineRule="auto"/>
        <w:ind w:left="426" w:hanging="426"/>
        <w:jc w:val="both"/>
        <w:rPr>
          <w:rFonts w:cstheme="minorHAnsi"/>
          <w:rtl/>
        </w:rPr>
      </w:pPr>
      <w:r w:rsidRPr="00F30EF3">
        <w:rPr>
          <w:rFonts w:cstheme="minorHAnsi"/>
          <w:rtl/>
        </w:rPr>
        <w:t xml:space="preserve">الغرض من هذه الاستمارة هو تسجيل ما تم اختراعه والسماح بتقييم أهلية الحماية بموجب براءة/الحماية المحتملة للملكية الفكرية.  </w:t>
      </w:r>
    </w:p>
    <w:p w14:paraId="6FBB5CEA" w14:textId="77777777" w:rsidR="00937604" w:rsidRPr="00F30EF3" w:rsidRDefault="00E25ABF" w:rsidP="009D4A54">
      <w:pPr>
        <w:pStyle w:val="ListParagraph"/>
        <w:numPr>
          <w:ilvl w:val="0"/>
          <w:numId w:val="75"/>
        </w:numPr>
        <w:spacing w:line="240" w:lineRule="auto"/>
        <w:ind w:left="426" w:hanging="426"/>
        <w:jc w:val="both"/>
        <w:rPr>
          <w:rFonts w:cstheme="minorHAnsi"/>
          <w:rtl/>
        </w:rPr>
      </w:pPr>
      <w:r w:rsidRPr="00F30EF3">
        <w:rPr>
          <w:rFonts w:cstheme="minorHAnsi"/>
          <w:rtl/>
        </w:rPr>
        <w:t>تحتوي استمارة الكشف عن الملكية الفكرية عادة على بعض المعلومات الأساسية التي تشير إلى البت في أهلية الحماية بموجب براءة، وكذلك معلومات عن مصادر التمويل المتعددة.</w:t>
      </w:r>
    </w:p>
    <w:p w14:paraId="01E87E43" w14:textId="77777777" w:rsidR="004E3DE4" w:rsidRPr="00F30EF3" w:rsidRDefault="003F4283" w:rsidP="00734F31">
      <w:pPr>
        <w:spacing w:after="0" w:line="240" w:lineRule="auto"/>
        <w:jc w:val="both"/>
        <w:rPr>
          <w:rFonts w:eastAsia="Times New Roman" w:cstheme="minorHAnsi"/>
          <w:b/>
          <w:bCs/>
          <w:rtl/>
        </w:rPr>
      </w:pPr>
      <w:r w:rsidRPr="00F30EF3">
        <w:rPr>
          <w:rFonts w:cstheme="minorHAnsi"/>
          <w:b/>
          <w:bCs/>
          <w:rtl/>
        </w:rPr>
        <w:t>مصروفات الملكية الفكرية.</w:t>
      </w:r>
      <w:r w:rsidRPr="00F30EF3">
        <w:rPr>
          <w:rFonts w:cstheme="minorHAnsi"/>
          <w:rtl/>
        </w:rPr>
        <w:t xml:space="preserve"> </w:t>
      </w:r>
    </w:p>
    <w:p w14:paraId="4F40908E" w14:textId="679E1861" w:rsidR="004E3DE4" w:rsidRPr="00F30EF3" w:rsidRDefault="003F4283" w:rsidP="009D4A54">
      <w:pPr>
        <w:pStyle w:val="ListParagraph"/>
        <w:numPr>
          <w:ilvl w:val="0"/>
          <w:numId w:val="122"/>
        </w:numPr>
        <w:spacing w:after="0" w:line="240" w:lineRule="auto"/>
        <w:ind w:left="426" w:hanging="426"/>
        <w:jc w:val="both"/>
        <w:rPr>
          <w:rFonts w:cstheme="minorHAnsi"/>
          <w:rtl/>
        </w:rPr>
      </w:pPr>
      <w:r w:rsidRPr="00F30EF3">
        <w:rPr>
          <w:rFonts w:cstheme="minorHAnsi"/>
          <w:rtl/>
        </w:rPr>
        <w:t>يُستخدم مصطلح "مصروفات الملكية الفكرية" لحساب إيرادات الملكية الفكرية (الإتاوات، وما إلى ذلك) التي سيتم توزيعها بين أصحاب المصلحة المعنيين. والممارسة الأكثر شيوعاً للمؤسسة هي أن تسترد جميع مصروفات الملكية الفكرية (الأموال المدفوعة إلى كيانات خارجية) أولاً، ثم يتم بعد ذلك تقاسم الأموال الناتجة، (المعروفة باسم "صافي الإيرادات")، بين المخترعين أو أصحاب المصلحة المعنيين الآخرين.</w:t>
      </w:r>
      <w:r w:rsidR="004652EC" w:rsidRPr="00F30EF3">
        <w:rPr>
          <w:rStyle w:val="FootnoteReference"/>
          <w:rFonts w:cstheme="minorHAnsi"/>
          <w:rtl/>
          <w:lang w:val="en-US"/>
        </w:rPr>
        <w:footnoteReference w:id="44"/>
      </w:r>
      <w:r w:rsidRPr="00F30EF3">
        <w:rPr>
          <w:rFonts w:cstheme="minorHAnsi"/>
          <w:rtl/>
        </w:rPr>
        <w:t xml:space="preserve">  </w:t>
      </w:r>
    </w:p>
    <w:p w14:paraId="7AF6649C" w14:textId="77777777" w:rsidR="004652EC" w:rsidRPr="00F30EF3" w:rsidRDefault="004652EC" w:rsidP="009D4A54">
      <w:pPr>
        <w:pStyle w:val="ListParagraph"/>
        <w:numPr>
          <w:ilvl w:val="0"/>
          <w:numId w:val="122"/>
        </w:numPr>
        <w:spacing w:after="0" w:line="240" w:lineRule="auto"/>
        <w:ind w:left="426" w:hanging="426"/>
        <w:jc w:val="both"/>
        <w:rPr>
          <w:rFonts w:cstheme="minorHAnsi"/>
          <w:rtl/>
        </w:rPr>
      </w:pPr>
      <w:r w:rsidRPr="00F30EF3">
        <w:rPr>
          <w:rFonts w:cstheme="minorHAnsi"/>
          <w:rtl/>
        </w:rPr>
        <w:t>هناك عدد من الاختلافات المهمة حول ما تعتبره المؤسسة عادةً "مصروفات ملكية فكرية" ومن المهم تقديم تعريف مفصل للمصطلح.</w:t>
      </w:r>
    </w:p>
    <w:p w14:paraId="597EC163" w14:textId="77777777" w:rsidR="004652EC" w:rsidRPr="00F30EF3" w:rsidRDefault="004652EC" w:rsidP="00734F31">
      <w:pPr>
        <w:spacing w:after="0" w:line="240" w:lineRule="auto"/>
        <w:jc w:val="both"/>
        <w:rPr>
          <w:rFonts w:cstheme="minorHAnsi"/>
          <w:lang w:val="en-US"/>
        </w:rPr>
      </w:pPr>
    </w:p>
    <w:p w14:paraId="6ECDD199" w14:textId="77777777" w:rsidR="00DA7E04" w:rsidRPr="00F30EF3" w:rsidRDefault="008B5D9D" w:rsidP="00734F31">
      <w:pPr>
        <w:spacing w:after="0" w:line="240" w:lineRule="auto"/>
        <w:jc w:val="both"/>
        <w:rPr>
          <w:rFonts w:eastAsia="Times New Roman" w:cstheme="minorHAnsi"/>
          <w:b/>
          <w:bCs/>
          <w:rtl/>
        </w:rPr>
      </w:pPr>
      <w:r w:rsidRPr="00F30EF3">
        <w:rPr>
          <w:rFonts w:cstheme="minorHAnsi"/>
          <w:b/>
          <w:bCs/>
          <w:color w:val="000000" w:themeColor="text1"/>
          <w:rtl/>
        </w:rPr>
        <w:t>لجنة الملكية الفكرية</w:t>
      </w:r>
      <w:r w:rsidRPr="00F30EF3">
        <w:rPr>
          <w:rFonts w:cstheme="minorHAnsi"/>
          <w:b/>
          <w:bCs/>
          <w:rtl/>
        </w:rPr>
        <w:t>.</w:t>
      </w:r>
      <w:r w:rsidRPr="00F30EF3">
        <w:rPr>
          <w:rFonts w:cstheme="minorHAnsi"/>
          <w:rtl/>
        </w:rPr>
        <w:t xml:space="preserve"> </w:t>
      </w:r>
    </w:p>
    <w:p w14:paraId="68EEC43B" w14:textId="77777777" w:rsidR="0046513B" w:rsidRPr="00F30EF3" w:rsidRDefault="00DB4710" w:rsidP="009D4A54">
      <w:pPr>
        <w:pStyle w:val="ListParagraph"/>
        <w:numPr>
          <w:ilvl w:val="0"/>
          <w:numId w:val="136"/>
        </w:numPr>
        <w:spacing w:after="0" w:line="240" w:lineRule="auto"/>
        <w:ind w:left="426" w:hanging="426"/>
        <w:jc w:val="both"/>
        <w:rPr>
          <w:rFonts w:cstheme="minorHAnsi"/>
          <w:rtl/>
        </w:rPr>
      </w:pPr>
      <w:r w:rsidRPr="00F30EF3">
        <w:rPr>
          <w:rFonts w:cstheme="minorHAnsi"/>
          <w:rtl/>
        </w:rPr>
        <w:t xml:space="preserve">استخدم المصطلح الذي اختارته مؤسستك للجنة الملكية الفكرية. وقد يكون هذا فرداً (على سبيل المثال، الرئيس، نائب الرئيس، نائب المستشار، نائب مدير الجامعة)، ولكنه عادة ما يكون لجنة أو مجلس إدارة أو هيئة، والتي غالباً ما يشار إليها باسم اللجنة التوجيهية أو الهيئة الاستشارية للملكية الفكرية.  </w:t>
      </w:r>
    </w:p>
    <w:p w14:paraId="2AEAE9C5" w14:textId="12BDB872" w:rsidR="00DB4710" w:rsidRPr="00F30EF3" w:rsidRDefault="00DB4710" w:rsidP="009D4A54">
      <w:pPr>
        <w:pStyle w:val="ListParagraph"/>
        <w:numPr>
          <w:ilvl w:val="0"/>
          <w:numId w:val="136"/>
        </w:numPr>
        <w:spacing w:after="0" w:line="240" w:lineRule="auto"/>
        <w:ind w:left="426" w:hanging="426"/>
        <w:jc w:val="both"/>
        <w:rPr>
          <w:rFonts w:cstheme="minorHAnsi"/>
          <w:rtl/>
        </w:rPr>
      </w:pPr>
      <w:r w:rsidRPr="00F30EF3">
        <w:rPr>
          <w:rFonts w:cstheme="minorHAnsi"/>
          <w:rtl/>
        </w:rPr>
        <w:t xml:space="preserve">وتتألف لجنة الملكية الفكرية بوجه عام من كبير الموظفين المسؤولين، وعمداء الكليات الرئيسية، والممثل القانوني للمؤسسة، وممثل مكتب إدارة الملكية الفكرية، وشخص واحد غالباً أو أكثر من الأشخاص الخارجيين الخبراء في الملكية الفكرية، أو الذين لديهم بعض الاختصاصات الأخرى ذات الصلة للمساعدة في إدارة الملكية الفكرية وقرارات التسويق. انظر أيضاً </w:t>
      </w:r>
      <w:hyperlink w:anchor="_Article_4.1_-" w:history="1">
        <w:r w:rsidRPr="00F30EF3">
          <w:rPr>
            <w:rStyle w:val="Hyperlink"/>
            <w:rFonts w:cstheme="minorHAnsi"/>
            <w:rtl/>
          </w:rPr>
          <w:t>المادة 1.4</w:t>
        </w:r>
      </w:hyperlink>
      <w:r w:rsidRPr="00F30EF3">
        <w:rPr>
          <w:rFonts w:cstheme="minorHAnsi"/>
          <w:rtl/>
        </w:rPr>
        <w:t xml:space="preserve">. </w:t>
      </w:r>
    </w:p>
    <w:p w14:paraId="1116F858" w14:textId="77777777" w:rsidR="00DB4710" w:rsidRPr="00F30EF3" w:rsidRDefault="00DB4710" w:rsidP="00734F31">
      <w:pPr>
        <w:spacing w:after="0" w:line="240" w:lineRule="auto"/>
        <w:jc w:val="both"/>
        <w:rPr>
          <w:rFonts w:eastAsia="Times New Roman" w:cstheme="minorHAnsi"/>
          <w:b/>
          <w:bCs/>
          <w:lang w:val="en-US"/>
        </w:rPr>
      </w:pPr>
    </w:p>
    <w:p w14:paraId="39421046" w14:textId="77777777" w:rsidR="00DA7E04" w:rsidRPr="00F30EF3" w:rsidRDefault="00625FEC" w:rsidP="00734F31">
      <w:pPr>
        <w:spacing w:after="0" w:line="240" w:lineRule="auto"/>
        <w:jc w:val="both"/>
        <w:rPr>
          <w:rFonts w:eastAsia="Times New Roman" w:cstheme="minorHAnsi"/>
          <w:b/>
          <w:bCs/>
          <w:rtl/>
        </w:rPr>
      </w:pPr>
      <w:r w:rsidRPr="00F30EF3">
        <w:rPr>
          <w:rFonts w:cstheme="minorHAnsi"/>
          <w:b/>
          <w:bCs/>
          <w:rtl/>
        </w:rPr>
        <w:t>مكتب إدارة الملكية الفكرية</w:t>
      </w:r>
      <w:r w:rsidRPr="00F30EF3">
        <w:rPr>
          <w:rFonts w:cstheme="minorHAnsi"/>
          <w:rtl/>
        </w:rPr>
        <w:t>.</w:t>
      </w:r>
      <w:r w:rsidRPr="00F30EF3">
        <w:rPr>
          <w:rFonts w:cstheme="minorHAnsi"/>
          <w:b/>
          <w:bCs/>
          <w:rtl/>
        </w:rPr>
        <w:t xml:space="preserve">  </w:t>
      </w:r>
    </w:p>
    <w:p w14:paraId="36773222" w14:textId="60BB57AC" w:rsidR="003F4283" w:rsidRPr="00F30EF3" w:rsidRDefault="003F4283" w:rsidP="009D4A54">
      <w:pPr>
        <w:pStyle w:val="ListParagraph"/>
        <w:numPr>
          <w:ilvl w:val="0"/>
          <w:numId w:val="136"/>
        </w:numPr>
        <w:spacing w:after="0" w:line="240" w:lineRule="auto"/>
        <w:ind w:left="426" w:hanging="426"/>
        <w:jc w:val="both"/>
        <w:rPr>
          <w:rFonts w:eastAsia="Times New Roman" w:cstheme="minorHAnsi"/>
          <w:rtl/>
        </w:rPr>
      </w:pPr>
      <w:r w:rsidRPr="00F30EF3">
        <w:rPr>
          <w:rFonts w:cstheme="minorHAnsi"/>
          <w:rtl/>
        </w:rPr>
        <w:t>استخدم المصطلح الذي اختارته مؤسستك. ومن الأسماء الأخرى المستخدمة لذلك مكتب نقل التكنولوجيا، ومكتب إدارة الملكية الفكرية والتكنولوجيا، ومكتب إدارة التراخيص. في بعض الحالات، تتولى مهام مكتب إدارة الملكية الفكرية شركة منفصلة مملوكة بالكامل للمؤسسة، والتي يمكن أن تحمل اسماً يعكس مهام إدارة الملكية الفكرية وتسويقها. انظر أيضا المادة</w:t>
      </w:r>
      <w:r w:rsidR="007C7786" w:rsidRPr="00F30EF3">
        <w:rPr>
          <w:rFonts w:cstheme="minorHAnsi" w:hint="cs"/>
          <w:rtl/>
        </w:rPr>
        <w:t> </w:t>
      </w:r>
      <w:r w:rsidRPr="00F30EF3">
        <w:rPr>
          <w:rFonts w:cstheme="minorHAnsi"/>
          <w:rtl/>
        </w:rPr>
        <w:t>2.4.</w:t>
      </w:r>
    </w:p>
    <w:p w14:paraId="15CB20FD" w14:textId="77777777" w:rsidR="003F4283" w:rsidRPr="00F30EF3" w:rsidRDefault="003F4283" w:rsidP="00734F31">
      <w:pPr>
        <w:spacing w:after="0" w:line="240" w:lineRule="auto"/>
        <w:jc w:val="both"/>
        <w:rPr>
          <w:rFonts w:eastAsia="Times New Roman" w:cstheme="minorHAnsi"/>
          <w:lang w:val="en-US"/>
        </w:rPr>
      </w:pPr>
    </w:p>
    <w:p w14:paraId="2CBD4D33" w14:textId="77777777" w:rsidR="004E3DE4" w:rsidRPr="00F30EF3" w:rsidRDefault="00C724C8" w:rsidP="00B7519E">
      <w:pPr>
        <w:autoSpaceDE w:val="0"/>
        <w:autoSpaceDN w:val="0"/>
        <w:adjustRightInd w:val="0"/>
        <w:spacing w:after="0" w:line="240" w:lineRule="auto"/>
        <w:jc w:val="both"/>
        <w:rPr>
          <w:rFonts w:eastAsia="Times New Roman" w:cstheme="minorHAnsi"/>
          <w:b/>
          <w:bCs/>
          <w:rtl/>
        </w:rPr>
      </w:pPr>
      <w:r w:rsidRPr="00F30EF3">
        <w:rPr>
          <w:rFonts w:cstheme="minorHAnsi"/>
          <w:b/>
          <w:bCs/>
          <w:rtl/>
        </w:rPr>
        <w:t xml:space="preserve">[الخيار:] نقل المعارف.  </w:t>
      </w:r>
    </w:p>
    <w:p w14:paraId="75475559" w14:textId="77777777" w:rsidR="00090CCB" w:rsidRPr="00F30EF3" w:rsidRDefault="00090CCB" w:rsidP="009D4A54">
      <w:pPr>
        <w:pStyle w:val="ListParagraph"/>
        <w:numPr>
          <w:ilvl w:val="0"/>
          <w:numId w:val="123"/>
        </w:numPr>
        <w:autoSpaceDE w:val="0"/>
        <w:autoSpaceDN w:val="0"/>
        <w:adjustRightInd w:val="0"/>
        <w:spacing w:after="0" w:line="240" w:lineRule="auto"/>
        <w:ind w:left="426" w:hanging="426"/>
        <w:jc w:val="both"/>
        <w:rPr>
          <w:rFonts w:eastAsia="Times New Roman" w:cstheme="minorHAnsi"/>
          <w:rtl/>
        </w:rPr>
      </w:pPr>
      <w:r w:rsidRPr="00F30EF3">
        <w:rPr>
          <w:rFonts w:cstheme="minorHAnsi"/>
          <w:rtl/>
        </w:rPr>
        <w:t xml:space="preserve">يتم تقديم العديد من التعريفات في المصادر الأكاديمية المرموقة والمواقع الإلكترونية الشهيرة، على سبيل المثال: </w:t>
      </w:r>
    </w:p>
    <w:p w14:paraId="4CA21D89" w14:textId="77777777" w:rsidR="0046513B" w:rsidRPr="00F30EF3" w:rsidRDefault="0046513B" w:rsidP="0046513B">
      <w:pPr>
        <w:pStyle w:val="ListParagraph"/>
        <w:autoSpaceDE w:val="0"/>
        <w:autoSpaceDN w:val="0"/>
        <w:adjustRightInd w:val="0"/>
        <w:spacing w:after="0" w:line="240" w:lineRule="auto"/>
        <w:ind w:left="426"/>
        <w:jc w:val="both"/>
        <w:rPr>
          <w:rFonts w:eastAsia="Times New Roman" w:cstheme="minorHAnsi"/>
          <w:lang w:val="en-US"/>
        </w:rPr>
      </w:pPr>
    </w:p>
    <w:p w14:paraId="0253E152" w14:textId="77777777" w:rsidR="00090CCB" w:rsidRPr="00F30EF3" w:rsidRDefault="00693502" w:rsidP="00C60DE4">
      <w:pPr>
        <w:autoSpaceDE w:val="0"/>
        <w:autoSpaceDN w:val="0"/>
        <w:adjustRightInd w:val="0"/>
        <w:spacing w:after="0" w:line="240" w:lineRule="auto"/>
        <w:ind w:left="1134"/>
        <w:jc w:val="both"/>
        <w:rPr>
          <w:rFonts w:eastAsia="Times New Roman" w:cstheme="minorHAnsi"/>
          <w:rtl/>
        </w:rPr>
      </w:pPr>
      <w:r w:rsidRPr="00F30EF3">
        <w:rPr>
          <w:rFonts w:cstheme="minorHAnsi"/>
          <w:rtl/>
        </w:rPr>
        <w:t>"</w:t>
      </w:r>
      <w:r w:rsidRPr="00F30EF3">
        <w:rPr>
          <w:rFonts w:cstheme="minorHAnsi"/>
          <w:i/>
          <w:iCs/>
          <w:rtl/>
        </w:rPr>
        <w:t>ينطوي نقل المعرفة على عمليات استخلاص وجمع وتبادل المعارف الصريحة والضمنية، بما في ذلك المهارات والكفاءات. ويشمل كلا من الأنشطة التجارية وغير التجارية مثل التعاون البحثي، والاستشارات، ومنح الترخيص، وإنشاء الشركات المنبثقة، وتنقل الباحثين، والنشر، وما إلى ذلك، وبينما ينصب التركيز على المعارف العلمية والتكنولوجية، فإنه يشمل أيضاً مجالات أخرى مثل العمليات التجارية القائمة على التكنولوجيا</w:t>
      </w:r>
      <w:r w:rsidRPr="00F30EF3">
        <w:rPr>
          <w:rFonts w:cstheme="minorHAnsi"/>
          <w:rtl/>
        </w:rPr>
        <w:t>."</w:t>
      </w:r>
      <w:r w:rsidRPr="00F30EF3">
        <w:rPr>
          <w:rStyle w:val="FootnoteReference"/>
          <w:rFonts w:cstheme="minorHAnsi"/>
          <w:rtl/>
          <w:lang w:val="en-US"/>
        </w:rPr>
        <w:footnoteReference w:id="45"/>
      </w:r>
      <w:r w:rsidRPr="00F30EF3">
        <w:rPr>
          <w:rFonts w:cstheme="minorHAnsi"/>
          <w:rtl/>
        </w:rPr>
        <w:t xml:space="preserve">  </w:t>
      </w:r>
    </w:p>
    <w:p w14:paraId="66F7C461" w14:textId="77777777" w:rsidR="00090CCB" w:rsidRPr="00F30EF3" w:rsidRDefault="00090CCB" w:rsidP="00C60DE4">
      <w:pPr>
        <w:autoSpaceDE w:val="0"/>
        <w:autoSpaceDN w:val="0"/>
        <w:adjustRightInd w:val="0"/>
        <w:spacing w:after="0" w:line="240" w:lineRule="auto"/>
        <w:ind w:left="1134"/>
        <w:jc w:val="both"/>
        <w:rPr>
          <w:rFonts w:eastAsia="Times New Roman" w:cstheme="minorHAnsi"/>
          <w:lang w:val="en-US"/>
        </w:rPr>
      </w:pPr>
    </w:p>
    <w:p w14:paraId="4A35A2EB" w14:textId="0E1F5122" w:rsidR="00F97422" w:rsidRPr="00F30EF3" w:rsidRDefault="00F97422" w:rsidP="009D4A54">
      <w:pPr>
        <w:pStyle w:val="ListParagraph"/>
        <w:numPr>
          <w:ilvl w:val="0"/>
          <w:numId w:val="124"/>
        </w:numPr>
        <w:autoSpaceDE w:val="0"/>
        <w:autoSpaceDN w:val="0"/>
        <w:adjustRightInd w:val="0"/>
        <w:spacing w:after="0" w:line="240" w:lineRule="auto"/>
        <w:ind w:left="426" w:hanging="426"/>
        <w:jc w:val="both"/>
        <w:rPr>
          <w:rFonts w:cstheme="minorHAnsi"/>
          <w:rtl/>
        </w:rPr>
      </w:pPr>
      <w:r w:rsidRPr="00F30EF3">
        <w:rPr>
          <w:rFonts w:cstheme="minorHAnsi"/>
          <w:rtl/>
        </w:rPr>
        <w:t>وفي نطاق النموذج، يعد نقل المعارف مصطلحاً جماعياً لنقل الاختراعات والإبداعات والاكتشافات والابتكارات والعمليات والمعارف والأفكار والخبرات الجديدة، والتي تأتي نتاجاً لأبحاث يتم إجراؤها في المؤسسة، إلى بيئة تجارية بغرض الاستخدام. ووفقاً لجامعة كامبريدج</w:t>
      </w:r>
      <w:r w:rsidRPr="00F30EF3">
        <w:rPr>
          <w:rStyle w:val="FootnoteReference"/>
          <w:rFonts w:cstheme="minorHAnsi"/>
          <w:rtl/>
          <w:lang w:val="en-US"/>
        </w:rPr>
        <w:footnoteReference w:id="46"/>
      </w:r>
      <w:r w:rsidRPr="00F30EF3">
        <w:rPr>
          <w:rFonts w:cstheme="minorHAnsi"/>
          <w:rtl/>
        </w:rPr>
        <w:t>، فإن نقل المعارف "</w:t>
      </w:r>
      <w:r w:rsidRPr="00F30EF3">
        <w:rPr>
          <w:rFonts w:cstheme="minorHAnsi"/>
          <w:i/>
          <w:iCs/>
          <w:color w:val="121212"/>
          <w:rtl/>
        </w:rPr>
        <w:t>يتعلق بنقل الملكية الملموسة والفكرية والخبرة والتعلم والمهارات بين الأوساط الأكاديمية والمجتمع غير الأكاديمي. كما أنه يحظى باعتراف جيد من قبل الحكومة والممولين باعتباره عائداً مهماً على استثمار المملكة المتحدة في البحث الأكاديمي، وهو عائد يوفر قوة دافعة كبيرة لتعزيز النمو الاقتصادي والرفاهية المجتمعية. بالنسبة إلى الأكاديميين، يمكن أن يكون نقل المعارف وسيلة لاكتساب وجهات نظر جديدة حول الاتجاهات والأساليب الممكنة للبحث. تلك الطبيعة المتبادلة لنقل المعارف أمر أساسي للتعاون الناجح والمستدام</w:t>
      </w:r>
      <w:r w:rsidRPr="00F30EF3">
        <w:rPr>
          <w:rFonts w:cstheme="minorHAnsi"/>
          <w:color w:val="121212"/>
          <w:rtl/>
        </w:rPr>
        <w:t>".</w:t>
      </w:r>
    </w:p>
    <w:p w14:paraId="06B7EE83" w14:textId="77777777" w:rsidR="00F97422" w:rsidRPr="00F30EF3" w:rsidRDefault="00F97422" w:rsidP="00B7519E">
      <w:pPr>
        <w:pStyle w:val="ListParagraph"/>
        <w:autoSpaceDE w:val="0"/>
        <w:autoSpaceDN w:val="0"/>
        <w:adjustRightInd w:val="0"/>
        <w:spacing w:after="0" w:line="240" w:lineRule="auto"/>
        <w:ind w:left="284"/>
        <w:jc w:val="both"/>
        <w:rPr>
          <w:rFonts w:cstheme="minorHAnsi"/>
          <w:lang w:val="en-US"/>
        </w:rPr>
      </w:pPr>
    </w:p>
    <w:p w14:paraId="5945C299" w14:textId="77777777" w:rsidR="004E3DE4" w:rsidRPr="00F30EF3" w:rsidRDefault="00EB2508" w:rsidP="00734F31">
      <w:pPr>
        <w:spacing w:after="0" w:line="240" w:lineRule="auto"/>
        <w:jc w:val="both"/>
        <w:rPr>
          <w:rFonts w:cstheme="minorHAnsi"/>
          <w:b/>
          <w:bCs/>
          <w:rtl/>
        </w:rPr>
      </w:pPr>
      <w:r w:rsidRPr="00F30EF3">
        <w:rPr>
          <w:rFonts w:cstheme="minorHAnsi"/>
          <w:b/>
          <w:bCs/>
          <w:rtl/>
        </w:rPr>
        <w:t>[الخيار] البراءة</w:t>
      </w:r>
      <w:r w:rsidRPr="00F30EF3">
        <w:rPr>
          <w:rFonts w:cstheme="minorHAnsi"/>
          <w:rtl/>
        </w:rPr>
        <w:t>.</w:t>
      </w:r>
      <w:r w:rsidRPr="00F30EF3">
        <w:rPr>
          <w:rFonts w:cstheme="minorHAnsi"/>
          <w:b/>
          <w:bCs/>
          <w:rtl/>
        </w:rPr>
        <w:t xml:space="preserve">  </w:t>
      </w:r>
    </w:p>
    <w:p w14:paraId="64474B76" w14:textId="77777777" w:rsidR="004E3DE4" w:rsidRPr="00F30EF3" w:rsidRDefault="004E3DE4" w:rsidP="009D4A54">
      <w:pPr>
        <w:pStyle w:val="ListParagraph"/>
        <w:numPr>
          <w:ilvl w:val="0"/>
          <w:numId w:val="124"/>
        </w:numPr>
        <w:spacing w:after="0" w:line="240" w:lineRule="auto"/>
        <w:ind w:left="426" w:hanging="426"/>
        <w:jc w:val="both"/>
        <w:rPr>
          <w:rFonts w:cstheme="minorHAnsi"/>
          <w:rtl/>
        </w:rPr>
      </w:pPr>
      <w:r w:rsidRPr="00F30EF3">
        <w:rPr>
          <w:rFonts w:cstheme="minorHAnsi"/>
          <w:rtl/>
        </w:rPr>
        <w:t xml:space="preserve">ويمكن إضافة تعريف "البراءة"، بعد تكييفه مع قانون البراءات الوطني. البراءة هي مجموعة استئثارية من الحقوق يكفلها القانون لمودعي طلبات اختراعات تتسم بالجدة وعدم البداهة والقابلية للتطبيق التجاري. </w:t>
      </w:r>
    </w:p>
    <w:p w14:paraId="1E26CC94" w14:textId="62782B30" w:rsidR="004E3DE4" w:rsidRPr="00F30EF3" w:rsidRDefault="004E3DE4" w:rsidP="009D4A54">
      <w:pPr>
        <w:pStyle w:val="ListParagraph"/>
        <w:numPr>
          <w:ilvl w:val="0"/>
          <w:numId w:val="124"/>
        </w:numPr>
        <w:spacing w:after="0" w:line="240" w:lineRule="auto"/>
        <w:ind w:left="426" w:hanging="426"/>
        <w:jc w:val="both"/>
        <w:rPr>
          <w:rFonts w:cstheme="minorHAnsi"/>
          <w:rtl/>
        </w:rPr>
      </w:pPr>
      <w:r w:rsidRPr="00F30EF3">
        <w:rPr>
          <w:rFonts w:cstheme="minorHAnsi"/>
          <w:rtl/>
        </w:rPr>
        <w:t>وتسري البراءة لفترة زمنية محدودة (20 عاماً في العادة من تاريخ إيداع الاتفاقية)، ويمكن لأصحاب البراءة خلال هذه الفترة استغلال اختراعاتهم تجارياً على أساس استئثاري. لا يمكن إنفاذ حقوق صاحب براءة الاختراع إلا بعد منح طلب البراءة.</w:t>
      </w:r>
    </w:p>
    <w:p w14:paraId="51831405" w14:textId="77777777" w:rsidR="004E3DE4" w:rsidRPr="00F30EF3" w:rsidRDefault="004E3DE4" w:rsidP="009D4A54">
      <w:pPr>
        <w:pStyle w:val="ListParagraph"/>
        <w:numPr>
          <w:ilvl w:val="0"/>
          <w:numId w:val="124"/>
        </w:numPr>
        <w:spacing w:after="0" w:line="240" w:lineRule="auto"/>
        <w:ind w:left="426" w:hanging="426"/>
        <w:jc w:val="both"/>
        <w:rPr>
          <w:rFonts w:cstheme="minorHAnsi"/>
          <w:rtl/>
        </w:rPr>
      </w:pPr>
      <w:r w:rsidRPr="00F30EF3">
        <w:rPr>
          <w:rFonts w:cstheme="minorHAnsi"/>
          <w:rtl/>
        </w:rPr>
        <w:t xml:space="preserve">وفي المقابل، يُلزَم المودعون بالكشف عن اختراعاتهم للجمهور بطريقة تمكِّن الغير من أهل المهنة من نسخ الاختراع، وهو ما يُعرف بأساس </w:t>
      </w:r>
      <w:r w:rsidRPr="00F30EF3">
        <w:rPr>
          <w:rFonts w:cstheme="minorHAnsi"/>
          <w:i/>
          <w:iCs/>
          <w:rtl/>
        </w:rPr>
        <w:t>الكشف مقابل الحماية</w:t>
      </w:r>
      <w:r w:rsidRPr="00F30EF3">
        <w:rPr>
          <w:rFonts w:cstheme="minorHAnsi"/>
          <w:rtl/>
        </w:rPr>
        <w:t xml:space="preserve">.  </w:t>
      </w:r>
    </w:p>
    <w:p w14:paraId="2CA3DDE2" w14:textId="77777777" w:rsidR="00F43DEF" w:rsidRPr="00F30EF3" w:rsidRDefault="00F43DEF" w:rsidP="00734F31">
      <w:pPr>
        <w:spacing w:after="0" w:line="240" w:lineRule="auto"/>
        <w:jc w:val="both"/>
        <w:rPr>
          <w:rFonts w:cstheme="minorHAnsi"/>
          <w:lang w:val="en-US"/>
        </w:rPr>
      </w:pPr>
    </w:p>
    <w:p w14:paraId="2583E751" w14:textId="77777777" w:rsidR="00D346B9" w:rsidRPr="00F30EF3" w:rsidRDefault="00E733C0" w:rsidP="00734F31">
      <w:pPr>
        <w:pStyle w:val="CommentText"/>
        <w:spacing w:after="0"/>
        <w:jc w:val="both"/>
        <w:rPr>
          <w:rFonts w:cstheme="minorHAnsi"/>
          <w:b/>
          <w:bCs/>
          <w:sz w:val="22"/>
          <w:szCs w:val="22"/>
          <w:rtl/>
        </w:rPr>
      </w:pPr>
      <w:r w:rsidRPr="00F30EF3">
        <w:rPr>
          <w:rFonts w:cstheme="minorHAnsi"/>
          <w:b/>
          <w:bCs/>
          <w:sz w:val="22"/>
          <w:szCs w:val="22"/>
          <w:rtl/>
        </w:rPr>
        <w:t>الأصناف النباتية.</w:t>
      </w:r>
      <w:r w:rsidRPr="00F30EF3">
        <w:rPr>
          <w:rFonts w:cstheme="minorHAnsi"/>
          <w:sz w:val="22"/>
          <w:szCs w:val="22"/>
          <w:rtl/>
        </w:rPr>
        <w:t xml:space="preserve"> </w:t>
      </w:r>
    </w:p>
    <w:p w14:paraId="504DDB74" w14:textId="4BC8B04C" w:rsidR="00573347" w:rsidRPr="00F30EF3" w:rsidRDefault="002616B9" w:rsidP="00464282">
      <w:pPr>
        <w:pStyle w:val="ListParagraph"/>
        <w:numPr>
          <w:ilvl w:val="0"/>
          <w:numId w:val="6"/>
        </w:numPr>
        <w:spacing w:line="240" w:lineRule="auto"/>
        <w:ind w:left="426" w:hanging="426"/>
        <w:jc w:val="both"/>
        <w:rPr>
          <w:rFonts w:cstheme="minorHAnsi"/>
          <w:rtl/>
        </w:rPr>
      </w:pPr>
      <w:r w:rsidRPr="00F30EF3">
        <w:rPr>
          <w:rFonts w:cstheme="minorHAnsi"/>
          <w:rtl/>
        </w:rPr>
        <w:t>تُجري العديد من الجامعات والمؤسسات البحثية أبحاثاً في مجالات مثل إنتاج المحاصيل، والثروة الحيوانية والصحة الحيوانية، والغابات، ومصايد الأسماك، وتخزين المحاصيل. وتؤدي الجهود البحثية في هذه المجالات إلى عدد من الإنجازات المحددة، مثل أصناف من العديد من المحاصيل، تكون قادرة على إنتاج غلات عالية، وتكون أفضل ملاءمة لأنظمة زراعية محددة، وأفضل مقاومة وتحمُّل للأمراض والآفات الرئيسية، إلخ، وتتاح هذه الأصناف للمزارعين من خلال خدمات البذور القائمة. وتتوفر أيضاً بيانات وصفية لكل صنف. وهي تعطي وصفاً موجزاً للصنف: الأصل (الفئة، النسب، الاسم الشائع، إلخ)، والخصائص الزراعية (نظام الزراعة، الدورة الخضرية، القدرة على التكيف مع عوامل الإجهاد الحيوي و/أو اللاحيوي)، والمحصول، وجودة الحبوب، إلخ، وتعمل هذه البيانات على تيسير اختيار صنف معين لنوع نظام الزراعة المناسب.</w:t>
      </w:r>
    </w:p>
    <w:p w14:paraId="55E8C07D" w14:textId="77777777" w:rsidR="00573347" w:rsidRPr="00F30EF3" w:rsidRDefault="00573347" w:rsidP="00464282">
      <w:pPr>
        <w:pStyle w:val="ListParagraph"/>
        <w:numPr>
          <w:ilvl w:val="0"/>
          <w:numId w:val="6"/>
        </w:numPr>
        <w:shd w:val="clear" w:color="auto" w:fill="FFFFFF"/>
        <w:spacing w:after="0" w:line="240" w:lineRule="auto"/>
        <w:ind w:left="426" w:hanging="426"/>
        <w:jc w:val="both"/>
        <w:rPr>
          <w:rFonts w:cstheme="minorHAnsi"/>
          <w:rtl/>
        </w:rPr>
      </w:pPr>
      <w:r w:rsidRPr="00F30EF3">
        <w:rPr>
          <w:rFonts w:cstheme="minorHAnsi"/>
          <w:rtl/>
        </w:rPr>
        <w:t xml:space="preserve">يمثل الصنف النباتي مجموعة محددة بدقة أكبر من النباتات منتقاة من داخل النوع، مع مجموعة مشتركة من الخصائص. وبموجب </w:t>
      </w:r>
      <w:hyperlink r:id="rId35" w:history="1">
        <w:r w:rsidRPr="00F30EF3">
          <w:rPr>
            <w:rStyle w:val="Hyperlink"/>
            <w:rFonts w:cstheme="minorHAnsi"/>
            <w:color w:val="auto"/>
            <w:rtl/>
          </w:rPr>
          <w:t>الاتفاقية الدولية لحماية الأصناف النباتية الجديدة</w:t>
        </w:r>
        <w:r w:rsidRPr="00F30EF3">
          <w:rPr>
            <w:rStyle w:val="FootnoteReference"/>
            <w:rFonts w:cstheme="minorHAnsi"/>
            <w:u w:val="single"/>
            <w:rtl/>
            <w:lang w:val="en-US"/>
          </w:rPr>
          <w:footnoteReference w:id="47"/>
        </w:r>
      </w:hyperlink>
      <w:r w:rsidRPr="00F30EF3">
        <w:rPr>
          <w:rFonts w:cstheme="minorHAnsi"/>
          <w:rtl/>
        </w:rPr>
        <w:t xml:space="preserve"> ("اتفاقية الأوبوف")، و</w:t>
      </w:r>
      <w:hyperlink r:id="rId36" w:history="1">
        <w:r w:rsidRPr="00F30EF3">
          <w:rPr>
            <w:rStyle w:val="Hyperlink"/>
            <w:rFonts w:cstheme="minorHAnsi"/>
            <w:color w:val="auto"/>
            <w:rtl/>
          </w:rPr>
          <w:t>اتفاقية البراءات الأوروبية</w:t>
        </w:r>
      </w:hyperlink>
      <w:r w:rsidRPr="00F30EF3">
        <w:rPr>
          <w:rStyle w:val="Hyperlink"/>
          <w:rFonts w:cstheme="minorHAnsi"/>
          <w:color w:val="auto"/>
          <w:u w:val="none"/>
          <w:rtl/>
        </w:rPr>
        <w:t xml:space="preserve">، </w:t>
      </w:r>
      <w:r w:rsidRPr="00F30EF3">
        <w:rPr>
          <w:rFonts w:cstheme="minorHAnsi"/>
          <w:rtl/>
        </w:rPr>
        <w:t xml:space="preserve">يُستخدم التعريف التالي: </w:t>
      </w:r>
    </w:p>
    <w:p w14:paraId="5D2D62F6" w14:textId="77777777" w:rsidR="00573347" w:rsidRPr="00F30EF3" w:rsidRDefault="00573347" w:rsidP="00B7519E">
      <w:pPr>
        <w:pStyle w:val="ListParagraph"/>
        <w:shd w:val="clear" w:color="auto" w:fill="FFFFFF" w:themeFill="background1"/>
        <w:spacing w:after="0" w:line="240" w:lineRule="auto"/>
        <w:ind w:left="426"/>
        <w:jc w:val="both"/>
        <w:rPr>
          <w:rFonts w:cstheme="minorHAnsi"/>
          <w:lang w:val="en-US"/>
        </w:rPr>
      </w:pPr>
    </w:p>
    <w:p w14:paraId="313A5242" w14:textId="77777777" w:rsidR="00573347" w:rsidRPr="00F30EF3" w:rsidRDefault="00573347" w:rsidP="00B7519E">
      <w:pPr>
        <w:pStyle w:val="ListParagraph"/>
        <w:shd w:val="clear" w:color="auto" w:fill="FFFFFF" w:themeFill="background1"/>
        <w:spacing w:after="0" w:line="240" w:lineRule="auto"/>
        <w:ind w:left="1134"/>
        <w:jc w:val="both"/>
        <w:rPr>
          <w:rFonts w:cstheme="minorHAnsi"/>
          <w:i/>
          <w:iCs/>
          <w:rtl/>
        </w:rPr>
      </w:pPr>
      <w:r w:rsidRPr="00F30EF3">
        <w:rPr>
          <w:rFonts w:cstheme="minorHAnsi"/>
          <w:i/>
          <w:iCs/>
          <w:rtl/>
        </w:rPr>
        <w:t xml:space="preserve">"الصنف" هو مجموعة نباتية تندرج في تصنيف نباتي واحد من أدنى المرتبات المعروفة، وهذه المجموعة، بغض النظر عن الاستيفاء الكامل لشروط منح حق مستولدي النباتات، يمكن "1" تحديدها من خلال التعبير عن الخصائص الناجمة عن تركيب وراثي معيّن أو مجموعة معيّنة من التراكيب الوراثية، "2" وتمييزها عن أي مجموعة </w:t>
      </w:r>
      <w:r w:rsidRPr="00F30EF3">
        <w:rPr>
          <w:rFonts w:cstheme="minorHAnsi"/>
          <w:i/>
          <w:iCs/>
          <w:rtl/>
        </w:rPr>
        <w:lastRenderedPageBreak/>
        <w:t>نباتية أخرى بواحدة على الأقل من الخصائص المذكورة، "3" واعتبارها وحدة نظراً إلى قدرتها على التكاثر دون أي تغيير؛</w:t>
      </w:r>
    </w:p>
    <w:p w14:paraId="25726E1E" w14:textId="77777777" w:rsidR="000B5B31" w:rsidRPr="00F30EF3" w:rsidRDefault="000B5B31" w:rsidP="00B7519E">
      <w:pPr>
        <w:pStyle w:val="ListParagraph"/>
        <w:shd w:val="clear" w:color="auto" w:fill="FFFFFF" w:themeFill="background1"/>
        <w:spacing w:after="0" w:line="240" w:lineRule="auto"/>
        <w:ind w:left="1134"/>
        <w:jc w:val="both"/>
        <w:rPr>
          <w:rFonts w:cstheme="minorHAnsi"/>
          <w:i/>
          <w:iCs/>
          <w:lang w:val="en-US"/>
        </w:rPr>
      </w:pPr>
    </w:p>
    <w:p w14:paraId="31F73AF5" w14:textId="77B89449" w:rsidR="002616B9" w:rsidRPr="00F30EF3" w:rsidRDefault="002616B9" w:rsidP="00464282">
      <w:pPr>
        <w:pStyle w:val="ListParagraph"/>
        <w:numPr>
          <w:ilvl w:val="0"/>
          <w:numId w:val="6"/>
        </w:numPr>
        <w:spacing w:line="240" w:lineRule="auto"/>
        <w:ind w:left="426" w:hanging="426"/>
        <w:jc w:val="both"/>
        <w:rPr>
          <w:rFonts w:cstheme="minorHAnsi"/>
          <w:rtl/>
        </w:rPr>
      </w:pPr>
      <w:r w:rsidRPr="00F30EF3">
        <w:rPr>
          <w:rFonts w:cstheme="minorHAnsi"/>
          <w:rtl/>
        </w:rPr>
        <w:t>يمكن منح حماية الصنف النباتي، والتي تسمى أيضاً "حق مستولد النباتات"، إلى مستولد نباتات إذا كان الصنف الذي تم الحصول عليه يعتبر جديداً ومتميزاً وموحداً ومستقراً وله تسمية مناسبة. وبموجب هذا الحق، تتطلب بعض القوانين المتعلقة باستغلال الصنف المحمي الحصول على ترخيص مسبق من مستولد النباتات.</w:t>
      </w:r>
      <w:r w:rsidRPr="00F30EF3">
        <w:rPr>
          <w:rStyle w:val="FootnoteReference"/>
          <w:rFonts w:cstheme="minorHAnsi"/>
          <w:rtl/>
          <w:lang w:val="en-US"/>
        </w:rPr>
        <w:footnoteReference w:id="48"/>
      </w:r>
    </w:p>
    <w:p w14:paraId="749D9C79" w14:textId="21A96AB6" w:rsidR="0034174F" w:rsidRPr="00F30EF3" w:rsidRDefault="0034174F" w:rsidP="00464282">
      <w:pPr>
        <w:pStyle w:val="ListParagraph"/>
        <w:numPr>
          <w:ilvl w:val="0"/>
          <w:numId w:val="6"/>
        </w:numPr>
        <w:spacing w:line="240" w:lineRule="auto"/>
        <w:ind w:left="426" w:hanging="426"/>
        <w:jc w:val="both"/>
        <w:rPr>
          <w:rFonts w:cstheme="minorHAnsi"/>
          <w:rtl/>
        </w:rPr>
      </w:pPr>
      <w:r w:rsidRPr="00F30EF3">
        <w:rPr>
          <w:rFonts w:cstheme="minorHAnsi"/>
          <w:rtl/>
        </w:rPr>
        <w:t>قد تُشكّل الأصناف النباتية الجديدة التي يتم تكوينها بعد التعديل الوراثي موضوعاً لحق مستولد النباتات. وبالإضافة إلى ذلك، فإن هذا النوع من النباتات المعدلة وراثياً قد يجد الحماية من خلال قانون البراءات.</w:t>
      </w:r>
    </w:p>
    <w:p w14:paraId="5D88B522" w14:textId="77777777" w:rsidR="006D0CFD" w:rsidRPr="00F30EF3" w:rsidRDefault="00CE6392" w:rsidP="00734F31">
      <w:pPr>
        <w:pStyle w:val="CommentText"/>
        <w:spacing w:after="0"/>
        <w:jc w:val="both"/>
        <w:rPr>
          <w:rFonts w:cstheme="minorHAnsi"/>
          <w:b/>
          <w:bCs/>
          <w:sz w:val="22"/>
          <w:szCs w:val="22"/>
          <w:rtl/>
        </w:rPr>
      </w:pPr>
      <w:r w:rsidRPr="00F30EF3">
        <w:rPr>
          <w:rFonts w:cstheme="minorHAnsi"/>
          <w:b/>
          <w:bCs/>
          <w:sz w:val="22"/>
          <w:szCs w:val="22"/>
          <w:rtl/>
        </w:rPr>
        <w:t xml:space="preserve">الكشف العام.  </w:t>
      </w:r>
    </w:p>
    <w:p w14:paraId="6099B7D6" w14:textId="7B6F8495" w:rsidR="00CE6392" w:rsidRPr="00F30EF3" w:rsidRDefault="00CE6392" w:rsidP="00464282">
      <w:pPr>
        <w:pStyle w:val="ListParagraph"/>
        <w:numPr>
          <w:ilvl w:val="0"/>
          <w:numId w:val="6"/>
        </w:numPr>
        <w:spacing w:line="240" w:lineRule="auto"/>
        <w:ind w:left="426" w:hanging="426"/>
        <w:jc w:val="both"/>
        <w:rPr>
          <w:rFonts w:cstheme="minorHAnsi"/>
          <w:rtl/>
        </w:rPr>
      </w:pPr>
      <w:r w:rsidRPr="00F30EF3">
        <w:rPr>
          <w:rFonts w:cstheme="minorHAnsi"/>
          <w:rtl/>
        </w:rPr>
        <w:t xml:space="preserve">في مجال حق المؤلف، قد يعني "الكشف" جعل المصنف متاح للجمهور لأول مرة. والنشر الأول للمصنفات هو شكل من أشكال الكشف، دون أن يكون شكله الوحيد الممكن، حيث يمكن أيضاً الكشف عن المصنفات من خلال أفعال غير النسخ، مثل الأداء العلني والبث للجمهور بواسطة الكابل (النقل السلكي). وبناء على بعض القوانين الوطنية، فإن "الحق في الكشف" حق معنوي. </w:t>
      </w:r>
    </w:p>
    <w:p w14:paraId="042E6875" w14:textId="003E3860" w:rsidR="00CE6392" w:rsidRPr="00F30EF3" w:rsidRDefault="00BF3887" w:rsidP="00464282">
      <w:pPr>
        <w:pStyle w:val="ListParagraph"/>
        <w:numPr>
          <w:ilvl w:val="0"/>
          <w:numId w:val="6"/>
        </w:numPr>
        <w:spacing w:line="240" w:lineRule="auto"/>
        <w:ind w:left="426" w:hanging="426"/>
        <w:jc w:val="both"/>
        <w:rPr>
          <w:rFonts w:cstheme="minorHAnsi"/>
          <w:rtl/>
        </w:rPr>
      </w:pPr>
      <w:r w:rsidRPr="00F30EF3">
        <w:rPr>
          <w:rFonts w:cstheme="minorHAnsi"/>
          <w:rtl/>
        </w:rPr>
        <w:t>وفي مجال البراءات، "الكشف" هو مبدأ أساسي من مبادئ قانون البراءات. ويفرض قانون البراءات واجباً عاماً على مودعي طلبات البراءات، كما تشير إلى ذلك المادة 5 من معاهدة التعاون بشأن البراءات على النحو التالي "</w:t>
      </w:r>
      <w:r w:rsidRPr="00F30EF3">
        <w:rPr>
          <w:rFonts w:cstheme="minorHAnsi"/>
          <w:i/>
          <w:iCs/>
          <w:rtl/>
        </w:rPr>
        <w:t>يجب الكشف عن الاختراع بطريقة واضحة وكاملة بما فيه الكفاية، لكي يتمكَّن أي شخص من أهل المهنة من تنفيذ الاختراع</w:t>
      </w:r>
      <w:r w:rsidRPr="00F30EF3">
        <w:rPr>
          <w:rFonts w:cstheme="minorHAnsi"/>
          <w:rtl/>
        </w:rPr>
        <w:t xml:space="preserve">".  </w:t>
      </w:r>
    </w:p>
    <w:p w14:paraId="036A1092" w14:textId="77777777" w:rsidR="00561A54" w:rsidRPr="00F30EF3" w:rsidRDefault="00561A54" w:rsidP="00464282">
      <w:pPr>
        <w:pStyle w:val="ListParagraph"/>
        <w:numPr>
          <w:ilvl w:val="0"/>
          <w:numId w:val="6"/>
        </w:numPr>
        <w:spacing w:line="240" w:lineRule="auto"/>
        <w:ind w:left="426" w:hanging="426"/>
        <w:jc w:val="both"/>
        <w:rPr>
          <w:rFonts w:cstheme="minorHAnsi"/>
          <w:rtl/>
        </w:rPr>
      </w:pPr>
      <w:r w:rsidRPr="00F30EF3">
        <w:rPr>
          <w:rFonts w:cstheme="minorHAnsi"/>
          <w:rtl/>
        </w:rPr>
        <w:t>قد تؤدي بعض إجراءات الكشف إلى فقدان الحقوق في بعض حقوق الملكية الفكرية أو كلها (من السهل بشكل خاص المساس بحقوق البراءات الخاصة بالفرد عن غير قصد). ولذلك، ينبغي وضع ضوابط للحفاظ على سرية الاختراعات الجديدة لفترة محدودة للسماح لمكتب إدارة الملكية الفكرية بإجراء تقييم للحالة في الوقت المناسب، بما في ذلك تقييم أهلية الحماية بموجب براءة.</w:t>
      </w:r>
    </w:p>
    <w:p w14:paraId="170A7022" w14:textId="77777777" w:rsidR="00691142" w:rsidRPr="00F30EF3" w:rsidRDefault="009D08AE" w:rsidP="00734F31">
      <w:pPr>
        <w:tabs>
          <w:tab w:val="left" w:pos="993"/>
        </w:tabs>
        <w:spacing w:after="0" w:line="240" w:lineRule="auto"/>
        <w:jc w:val="both"/>
        <w:rPr>
          <w:rFonts w:cstheme="minorHAnsi"/>
          <w:b/>
          <w:bCs/>
          <w:rtl/>
        </w:rPr>
      </w:pPr>
      <w:r w:rsidRPr="00F30EF3">
        <w:rPr>
          <w:rFonts w:cstheme="minorHAnsi"/>
          <w:b/>
          <w:bCs/>
          <w:rtl/>
        </w:rPr>
        <w:t xml:space="preserve">الملك العام.  </w:t>
      </w:r>
    </w:p>
    <w:p w14:paraId="067C7995" w14:textId="77777777" w:rsidR="007429A0" w:rsidRPr="00F30EF3" w:rsidRDefault="00691D5F" w:rsidP="009D4A54">
      <w:pPr>
        <w:pStyle w:val="ListParagraph"/>
        <w:numPr>
          <w:ilvl w:val="0"/>
          <w:numId w:val="125"/>
        </w:numPr>
        <w:tabs>
          <w:tab w:val="left" w:pos="993"/>
        </w:tabs>
        <w:spacing w:after="0" w:line="240" w:lineRule="auto"/>
        <w:ind w:left="426" w:hanging="426"/>
        <w:jc w:val="both"/>
        <w:rPr>
          <w:rFonts w:eastAsia="Times New Roman" w:cstheme="minorHAnsi"/>
          <w:rtl/>
        </w:rPr>
      </w:pPr>
      <w:r w:rsidRPr="00F30EF3">
        <w:rPr>
          <w:rFonts w:cstheme="minorHAnsi"/>
          <w:rtl/>
        </w:rPr>
        <w:t>بصفة عامة، يعتبر أي مصنف جزءاً من الملك العام إذا لم يكن من قيود قانونية على انتفاع الجمهور به.</w:t>
      </w:r>
    </w:p>
    <w:p w14:paraId="70510991" w14:textId="77777777" w:rsidR="007429A0" w:rsidRPr="00F30EF3" w:rsidRDefault="009D08AE" w:rsidP="00464282">
      <w:pPr>
        <w:pStyle w:val="ListParagraph"/>
        <w:numPr>
          <w:ilvl w:val="0"/>
          <w:numId w:val="7"/>
        </w:numPr>
        <w:tabs>
          <w:tab w:val="left" w:pos="993"/>
        </w:tabs>
        <w:spacing w:after="0" w:line="240" w:lineRule="auto"/>
        <w:ind w:left="426" w:hanging="426"/>
        <w:jc w:val="both"/>
        <w:rPr>
          <w:rFonts w:cstheme="minorHAnsi"/>
          <w:rtl/>
        </w:rPr>
      </w:pPr>
      <w:r w:rsidRPr="00F30EF3">
        <w:rPr>
          <w:rFonts w:cstheme="minorHAnsi"/>
          <w:rtl/>
        </w:rPr>
        <w:t xml:space="preserve">وقد عُرّف الملك العام </w:t>
      </w:r>
      <w:r w:rsidRPr="00F30EF3">
        <w:rPr>
          <w:rFonts w:cstheme="minorHAnsi"/>
          <w:b/>
          <w:bCs/>
          <w:rtl/>
        </w:rPr>
        <w:t>في ميدان حق المؤلف</w:t>
      </w:r>
      <w:r w:rsidRPr="00F30EF3">
        <w:rPr>
          <w:rFonts w:cstheme="minorHAnsi"/>
          <w:rtl/>
        </w:rPr>
        <w:t xml:space="preserve"> </w:t>
      </w:r>
      <w:r w:rsidRPr="00F30EF3">
        <w:rPr>
          <w:rFonts w:cstheme="minorHAnsi"/>
          <w:b/>
          <w:bCs/>
          <w:rtl/>
        </w:rPr>
        <w:t>والحقوق المجاورة</w:t>
      </w:r>
      <w:r w:rsidRPr="00F30EF3">
        <w:rPr>
          <w:rFonts w:cstheme="minorHAnsi"/>
          <w:rtl/>
        </w:rPr>
        <w:t xml:space="preserve"> بأنه "</w:t>
      </w:r>
      <w:r w:rsidRPr="00F30EF3">
        <w:rPr>
          <w:rFonts w:cstheme="minorHAnsi"/>
          <w:i/>
          <w:iCs/>
          <w:rtl/>
        </w:rPr>
        <w:t>نطاق تلك المصنفات والمواد المحمية بالحقوق المجاورة التي يمكن لأي شخص الانتفاع بها أو استغلالها دون تصريح ودون الالتزام بسداد مكافآت لأصحاب حق المؤلف والحقوق المجاورة المعنيين – وكقاعدة، يعزى ذلك إلى انقضاء فترة الحماية بموجب تلك الحقوق أو غياب معاهدة دولية تكفل الحماية لتلك الأعمال والمواد في البلد المعين</w:t>
      </w:r>
      <w:r w:rsidRPr="00F30EF3">
        <w:rPr>
          <w:rFonts w:cstheme="minorHAnsi"/>
          <w:rtl/>
        </w:rPr>
        <w:t>.</w:t>
      </w:r>
      <w:r w:rsidR="00BF3887" w:rsidRPr="00F30EF3">
        <w:rPr>
          <w:rStyle w:val="FootnoteReference"/>
          <w:rFonts w:cstheme="minorHAnsi"/>
          <w:rtl/>
          <w:lang w:val="en-US"/>
        </w:rPr>
        <w:footnoteReference w:id="49"/>
      </w:r>
      <w:r w:rsidRPr="00F30EF3">
        <w:rPr>
          <w:rFonts w:cstheme="minorHAnsi"/>
          <w:rtl/>
        </w:rPr>
        <w:t>"</w:t>
      </w:r>
    </w:p>
    <w:p w14:paraId="6FE8E19B" w14:textId="77777777" w:rsidR="009D08AE" w:rsidRPr="00F30EF3" w:rsidRDefault="009D08AE" w:rsidP="00464282">
      <w:pPr>
        <w:pStyle w:val="ListParagraph"/>
        <w:numPr>
          <w:ilvl w:val="0"/>
          <w:numId w:val="7"/>
        </w:numPr>
        <w:tabs>
          <w:tab w:val="left" w:pos="993"/>
        </w:tabs>
        <w:spacing w:after="0" w:line="240" w:lineRule="auto"/>
        <w:ind w:left="426" w:hanging="426"/>
        <w:jc w:val="both"/>
        <w:rPr>
          <w:rFonts w:cstheme="minorHAnsi"/>
          <w:rtl/>
        </w:rPr>
      </w:pPr>
      <w:r w:rsidRPr="00F30EF3">
        <w:rPr>
          <w:rFonts w:cstheme="minorHAnsi"/>
          <w:rtl/>
        </w:rPr>
        <w:t xml:space="preserve">ويتكون الملك العام </w:t>
      </w:r>
      <w:r w:rsidRPr="00F30EF3">
        <w:rPr>
          <w:rFonts w:cstheme="minorHAnsi"/>
          <w:b/>
          <w:bCs/>
          <w:rtl/>
        </w:rPr>
        <w:t>فيما يتعلق بقانون البراءة</w:t>
      </w:r>
      <w:r w:rsidRPr="00F30EF3">
        <w:rPr>
          <w:rFonts w:cstheme="minorHAnsi"/>
          <w:rtl/>
        </w:rPr>
        <w:t xml:space="preserve"> من المعارف والأفكار والابتكارات التي لا يملك فيها شخص أو مؤسسة أي حقوق للملكية. وتكون تلك المعارف والأفكار والابتكارات جزءاً من الملك العام في حال عدم وجود قيود قانونية على استخدامها (وتختلف تلك القيود من تشريع لآخر، وهكذا فإن الملك العام يختلف باختلاف التشريعات)، بعد انقضاء فترة سريان البراءات (20 سنة عموماً)، نتيجة لعدم التجديد /الحقوق المنقضية، بعد الإلغاء وبعد إبطال البراءات</w:t>
      </w:r>
      <w:r w:rsidR="00BF3887" w:rsidRPr="00F30EF3">
        <w:rPr>
          <w:rStyle w:val="FootnoteReference"/>
          <w:rFonts w:cstheme="minorHAnsi"/>
          <w:rtl/>
          <w:lang w:val="en-US"/>
        </w:rPr>
        <w:footnoteReference w:id="50"/>
      </w:r>
      <w:r w:rsidRPr="00F30EF3">
        <w:rPr>
          <w:rFonts w:cstheme="minorHAnsi"/>
          <w:rtl/>
        </w:rPr>
        <w:t xml:space="preserve">. </w:t>
      </w:r>
    </w:p>
    <w:p w14:paraId="5423E0BB" w14:textId="77777777" w:rsidR="00AF62DE" w:rsidRPr="00F30EF3" w:rsidRDefault="00AF62DE" w:rsidP="00734F31">
      <w:pPr>
        <w:tabs>
          <w:tab w:val="left" w:pos="993"/>
        </w:tabs>
        <w:spacing w:after="0" w:line="240" w:lineRule="auto"/>
        <w:jc w:val="both"/>
        <w:rPr>
          <w:rFonts w:cstheme="minorHAnsi"/>
          <w:b/>
          <w:bCs/>
          <w:lang w:val="en-US"/>
        </w:rPr>
      </w:pPr>
    </w:p>
    <w:p w14:paraId="7F7155A6" w14:textId="77777777" w:rsidR="00DA7E04" w:rsidRPr="00F30EF3" w:rsidRDefault="00AF62DE" w:rsidP="00734F31">
      <w:pPr>
        <w:tabs>
          <w:tab w:val="left" w:pos="993"/>
        </w:tabs>
        <w:spacing w:after="0" w:line="240" w:lineRule="auto"/>
        <w:jc w:val="both"/>
        <w:rPr>
          <w:rFonts w:cstheme="minorHAnsi"/>
          <w:b/>
          <w:bCs/>
          <w:rtl/>
        </w:rPr>
      </w:pPr>
      <w:r w:rsidRPr="00F30EF3">
        <w:rPr>
          <w:rFonts w:cstheme="minorHAnsi"/>
          <w:b/>
          <w:bCs/>
          <w:rtl/>
        </w:rPr>
        <w:t xml:space="preserve">البحث.  </w:t>
      </w:r>
    </w:p>
    <w:p w14:paraId="39EFBAD7" w14:textId="77777777" w:rsidR="009D08AE" w:rsidRPr="00F30EF3" w:rsidRDefault="00AF62DE" w:rsidP="009D4A54">
      <w:pPr>
        <w:pStyle w:val="ListParagraph"/>
        <w:numPr>
          <w:ilvl w:val="0"/>
          <w:numId w:val="137"/>
        </w:numPr>
        <w:tabs>
          <w:tab w:val="left" w:pos="993"/>
        </w:tabs>
        <w:spacing w:after="0" w:line="240" w:lineRule="auto"/>
        <w:ind w:left="426" w:hanging="426"/>
        <w:jc w:val="both"/>
        <w:rPr>
          <w:rFonts w:cstheme="minorHAnsi"/>
          <w:b/>
          <w:bCs/>
          <w:rtl/>
        </w:rPr>
      </w:pPr>
      <w:r w:rsidRPr="00F30EF3">
        <w:rPr>
          <w:rFonts w:cstheme="minorHAnsi"/>
          <w:rtl/>
        </w:rPr>
        <w:t>يشتمل البحث على ثلاثة أنشطة: البحث الأساسي والبحث التطبيقي والتطوير التجريبي؛ حيث إن</w:t>
      </w:r>
    </w:p>
    <w:p w14:paraId="3CDF958F" w14:textId="77777777" w:rsidR="00AF62DE" w:rsidRPr="00F30EF3" w:rsidRDefault="00AF62DE" w:rsidP="009D4A54">
      <w:pPr>
        <w:pStyle w:val="ListParagraph"/>
        <w:numPr>
          <w:ilvl w:val="2"/>
          <w:numId w:val="71"/>
        </w:numPr>
        <w:tabs>
          <w:tab w:val="left" w:pos="993"/>
        </w:tabs>
        <w:spacing w:after="0" w:line="240" w:lineRule="auto"/>
        <w:ind w:left="709" w:hanging="283"/>
        <w:jc w:val="both"/>
        <w:rPr>
          <w:rFonts w:eastAsia="Times New Roman" w:cstheme="minorHAnsi"/>
          <w:color w:val="000000" w:themeColor="text1"/>
          <w:rtl/>
        </w:rPr>
      </w:pPr>
      <w:r w:rsidRPr="00F30EF3">
        <w:rPr>
          <w:rFonts w:cstheme="minorHAnsi"/>
          <w:color w:val="0070C0"/>
          <w:rtl/>
        </w:rPr>
        <w:t xml:space="preserve">البحث الأساسي </w:t>
      </w:r>
      <w:r w:rsidRPr="00F30EF3">
        <w:rPr>
          <w:rFonts w:cstheme="minorHAnsi"/>
          <w:color w:val="000000" w:themeColor="text1"/>
          <w:rtl/>
        </w:rPr>
        <w:t>هو عمل تجريبي أو نظري يُجرى في المقام الأول لاكتساب معرفة جديدة حول المبادئ الأساسية للظواهر والحقائق التي يمكن ملاحظتها، دون أي تطبيق عملي محدد أو استخدام مقصود في الاعتبار؛</w:t>
      </w:r>
      <w:r w:rsidRPr="00F30EF3">
        <w:rPr>
          <w:rFonts w:cstheme="minorHAnsi"/>
          <w:rtl/>
        </w:rPr>
        <w:t xml:space="preserve"> </w:t>
      </w:r>
    </w:p>
    <w:p w14:paraId="6879656A" w14:textId="77777777" w:rsidR="00AF62DE" w:rsidRPr="00F30EF3" w:rsidRDefault="00AF62DE" w:rsidP="009D4A54">
      <w:pPr>
        <w:pStyle w:val="ListParagraph"/>
        <w:numPr>
          <w:ilvl w:val="2"/>
          <w:numId w:val="71"/>
        </w:numPr>
        <w:tabs>
          <w:tab w:val="left" w:pos="993"/>
        </w:tabs>
        <w:spacing w:after="0" w:line="240" w:lineRule="auto"/>
        <w:ind w:left="709" w:hanging="283"/>
        <w:jc w:val="both"/>
        <w:rPr>
          <w:rFonts w:eastAsia="Times New Roman" w:cstheme="minorHAnsi"/>
          <w:color w:val="000000" w:themeColor="text1"/>
          <w:rtl/>
        </w:rPr>
      </w:pPr>
      <w:r w:rsidRPr="00F30EF3">
        <w:rPr>
          <w:rFonts w:cstheme="minorHAnsi"/>
          <w:color w:val="0070C0"/>
          <w:rtl/>
        </w:rPr>
        <w:t>البحث التطبيقي</w:t>
      </w:r>
      <w:r w:rsidRPr="00F30EF3">
        <w:rPr>
          <w:rFonts w:cstheme="minorHAnsi"/>
          <w:color w:val="000000" w:themeColor="text1"/>
          <w:rtl/>
        </w:rPr>
        <w:t xml:space="preserve"> هو أيضاً تحقيق أصلي يتم إجراؤه من أجل اكتساب معرفة جديدة. ومع ذلك، فهو موجه في المقام الأول نحو هدف أو غرض عملي محدد؛</w:t>
      </w:r>
    </w:p>
    <w:p w14:paraId="143484E1" w14:textId="77777777" w:rsidR="00AF62DE" w:rsidRPr="00F30EF3" w:rsidRDefault="00AF62DE" w:rsidP="009D4A54">
      <w:pPr>
        <w:pStyle w:val="ListParagraph"/>
        <w:numPr>
          <w:ilvl w:val="2"/>
          <w:numId w:val="71"/>
        </w:numPr>
        <w:tabs>
          <w:tab w:val="left" w:pos="993"/>
        </w:tabs>
        <w:spacing w:after="0" w:line="240" w:lineRule="auto"/>
        <w:ind w:left="709" w:hanging="283"/>
        <w:jc w:val="both"/>
        <w:rPr>
          <w:rFonts w:eastAsia="Times New Roman" w:cstheme="minorHAnsi"/>
          <w:color w:val="000000" w:themeColor="text1"/>
          <w:rtl/>
        </w:rPr>
      </w:pPr>
      <w:r w:rsidRPr="00F30EF3">
        <w:rPr>
          <w:rFonts w:cstheme="minorHAnsi"/>
          <w:color w:val="0070C0"/>
          <w:rtl/>
        </w:rPr>
        <w:t>التطوير التجريبي</w:t>
      </w:r>
      <w:r w:rsidRPr="00F30EF3">
        <w:rPr>
          <w:rFonts w:cstheme="minorHAnsi"/>
          <w:color w:val="000000" w:themeColor="text1"/>
          <w:rtl/>
        </w:rPr>
        <w:t xml:space="preserve"> هو عمل منهجي، يعتمد على المعرفة الحالية المكتسبة من البحث و/أو الخبرة العملية، والذي يتم توجيهه لإنتاج مواد أو منتجات أو أجهزة جديدة، أو لتثبيت عمليات وأنظمة وخدمات جديدة، أو لتحسين تلك التي تم إنتاجها أو تركيبها بالفعل بشكل كبير.</w:t>
      </w:r>
      <w:r w:rsidR="0034174F" w:rsidRPr="00F30EF3">
        <w:rPr>
          <w:rStyle w:val="FootnoteReference"/>
          <w:rFonts w:eastAsia="Times New Roman" w:cstheme="minorHAnsi"/>
          <w:color w:val="000000" w:themeColor="text1"/>
          <w:rtl/>
          <w:lang w:val="en-US"/>
        </w:rPr>
        <w:footnoteReference w:id="51"/>
      </w:r>
      <w:r w:rsidRPr="00F30EF3">
        <w:rPr>
          <w:rFonts w:cstheme="minorHAnsi"/>
          <w:rtl/>
        </w:rPr>
        <w:t xml:space="preserve"> </w:t>
      </w:r>
    </w:p>
    <w:p w14:paraId="3DDA5865" w14:textId="77777777" w:rsidR="00AF62DE" w:rsidRPr="00F30EF3" w:rsidRDefault="00AF62DE" w:rsidP="00734F31">
      <w:pPr>
        <w:spacing w:after="0" w:line="240" w:lineRule="auto"/>
        <w:jc w:val="both"/>
        <w:rPr>
          <w:rFonts w:eastAsia="Times New Roman" w:cstheme="minorHAnsi"/>
          <w:b/>
          <w:bCs/>
          <w:lang w:val="en-US"/>
        </w:rPr>
      </w:pPr>
    </w:p>
    <w:p w14:paraId="7C7DFE6B" w14:textId="77777777" w:rsidR="006D0CFD" w:rsidRPr="00F30EF3" w:rsidRDefault="00014D53" w:rsidP="0090380E">
      <w:pPr>
        <w:keepNext/>
        <w:keepLines/>
        <w:spacing w:after="0" w:line="240" w:lineRule="auto"/>
        <w:jc w:val="both"/>
        <w:rPr>
          <w:rFonts w:eastAsia="Times New Roman" w:cstheme="minorHAnsi"/>
          <w:b/>
          <w:bCs/>
          <w:rtl/>
        </w:rPr>
      </w:pPr>
      <w:r w:rsidRPr="00F30EF3">
        <w:rPr>
          <w:rFonts w:cstheme="minorHAnsi"/>
          <w:b/>
          <w:bCs/>
          <w:rtl/>
        </w:rPr>
        <w:lastRenderedPageBreak/>
        <w:t xml:space="preserve">المصنفات العلمية.  </w:t>
      </w:r>
    </w:p>
    <w:p w14:paraId="08964603" w14:textId="77777777" w:rsidR="006D0CFD" w:rsidRPr="00F30EF3" w:rsidRDefault="006D0CFD" w:rsidP="0090380E">
      <w:pPr>
        <w:pStyle w:val="ListParagraph"/>
        <w:keepNext/>
        <w:keepLines/>
        <w:numPr>
          <w:ilvl w:val="0"/>
          <w:numId w:val="38"/>
        </w:numPr>
        <w:spacing w:after="0" w:line="240" w:lineRule="auto"/>
        <w:ind w:left="426" w:hanging="426"/>
        <w:jc w:val="both"/>
        <w:rPr>
          <w:rFonts w:eastAsia="Times New Roman" w:cstheme="minorHAnsi"/>
          <w:rtl/>
        </w:rPr>
      </w:pPr>
      <w:r w:rsidRPr="00F30EF3">
        <w:rPr>
          <w:rFonts w:cstheme="minorHAnsi"/>
          <w:rtl/>
        </w:rPr>
        <w:t>قد تشمل المصنفات العلمية، على سبيل المثال لا الحصر، المنشورات العلمية، ومقالات المجلات الأكاديمية، ونشرات الأبحاث، والدراسات، والكتب، وأوراق المؤتمرات والعروض التقديمية ذات الصلة، والمسرحيات، والقصائد، والمقطوعات الموسيقية، والتسجيلات الصوتية، ومواد الفيديو أو الأفلام، ومصنفات الوسائط المتعددة، والصور الفوتوغرافية، وغيرها من المصنفات الإبداعية.</w:t>
      </w:r>
    </w:p>
    <w:p w14:paraId="08088D60" w14:textId="77777777" w:rsidR="006D0CFD" w:rsidRPr="00F30EF3" w:rsidRDefault="006D0CFD" w:rsidP="009D4A54">
      <w:pPr>
        <w:pStyle w:val="ListParagraph"/>
        <w:numPr>
          <w:ilvl w:val="0"/>
          <w:numId w:val="38"/>
        </w:numPr>
        <w:spacing w:after="0" w:line="240" w:lineRule="auto"/>
        <w:ind w:left="426" w:hanging="426"/>
        <w:jc w:val="both"/>
        <w:rPr>
          <w:rFonts w:eastAsia="Times New Roman" w:cstheme="minorHAnsi"/>
          <w:rtl/>
        </w:rPr>
      </w:pPr>
      <w:r w:rsidRPr="00F30EF3">
        <w:rPr>
          <w:rFonts w:cstheme="minorHAnsi"/>
          <w:rtl/>
        </w:rPr>
        <w:t xml:space="preserve">يمتلك أعضاء فريق العمل عادة حقوق الملكية الفكرية في مصنفاتهم العلمية (انظر نموذج </w:t>
      </w:r>
      <w:hyperlink w:anchor="_Article_5.1_–" w:history="1">
        <w:r w:rsidRPr="00F30EF3">
          <w:rPr>
            <w:rStyle w:val="Hyperlink"/>
            <w:rFonts w:cstheme="minorHAnsi"/>
            <w:rtl/>
          </w:rPr>
          <w:t>المادة 2.1.5</w:t>
        </w:r>
      </w:hyperlink>
      <w:r w:rsidRPr="00F30EF3">
        <w:rPr>
          <w:rFonts w:cstheme="minorHAnsi"/>
          <w:rtl/>
        </w:rPr>
        <w:t xml:space="preserve">. ).  </w:t>
      </w:r>
    </w:p>
    <w:p w14:paraId="4B245CC3" w14:textId="77777777" w:rsidR="00BF3887" w:rsidRPr="00F30EF3" w:rsidRDefault="006D0CFD" w:rsidP="009D4A54">
      <w:pPr>
        <w:pStyle w:val="ListParagraph"/>
        <w:numPr>
          <w:ilvl w:val="0"/>
          <w:numId w:val="38"/>
        </w:numPr>
        <w:tabs>
          <w:tab w:val="left" w:pos="993"/>
        </w:tabs>
        <w:spacing w:after="0" w:line="240" w:lineRule="auto"/>
        <w:ind w:left="426" w:hanging="426"/>
        <w:jc w:val="both"/>
        <w:rPr>
          <w:rFonts w:eastAsia="Times New Roman" w:cstheme="minorHAnsi"/>
          <w:b/>
          <w:bCs/>
          <w:rtl/>
        </w:rPr>
      </w:pPr>
      <w:r w:rsidRPr="00F30EF3">
        <w:rPr>
          <w:rFonts w:cstheme="minorHAnsi"/>
          <w:rtl/>
        </w:rPr>
        <w:t>تستبعد بعض المؤسسات برامج الكمبيوتر وقواعد البيانات.</w:t>
      </w:r>
    </w:p>
    <w:p w14:paraId="4D078A38" w14:textId="77777777" w:rsidR="00E97F0E" w:rsidRPr="00F30EF3" w:rsidRDefault="00E97F0E" w:rsidP="00734F31">
      <w:pPr>
        <w:tabs>
          <w:tab w:val="left" w:pos="993"/>
        </w:tabs>
        <w:spacing w:after="0" w:line="240" w:lineRule="auto"/>
        <w:jc w:val="both"/>
        <w:rPr>
          <w:rFonts w:eastAsia="Times New Roman" w:cstheme="minorHAnsi"/>
          <w:b/>
          <w:bCs/>
          <w:lang w:val="en-US"/>
        </w:rPr>
      </w:pPr>
    </w:p>
    <w:p w14:paraId="354E56F8" w14:textId="77777777" w:rsidR="00DA7E04" w:rsidRPr="00F30EF3" w:rsidRDefault="000B4F38" w:rsidP="00734F31">
      <w:pPr>
        <w:tabs>
          <w:tab w:val="left" w:pos="426"/>
          <w:tab w:val="left" w:pos="993"/>
        </w:tabs>
        <w:spacing w:after="0" w:line="240" w:lineRule="auto"/>
        <w:jc w:val="both"/>
        <w:rPr>
          <w:rFonts w:eastAsia="Times New Roman" w:cstheme="minorHAnsi"/>
          <w:rtl/>
        </w:rPr>
      </w:pPr>
      <w:r w:rsidRPr="00F30EF3">
        <w:rPr>
          <w:rFonts w:cstheme="minorHAnsi"/>
          <w:b/>
          <w:bCs/>
          <w:rtl/>
        </w:rPr>
        <w:t>موظف مسؤول رفيع المستوى.</w:t>
      </w:r>
      <w:r w:rsidRPr="00F30EF3">
        <w:rPr>
          <w:rFonts w:cstheme="minorHAnsi"/>
          <w:rtl/>
        </w:rPr>
        <w:t xml:space="preserve"> </w:t>
      </w:r>
    </w:p>
    <w:p w14:paraId="196B2CA8" w14:textId="5D91DBA2" w:rsidR="000B4F38" w:rsidRPr="00F30EF3" w:rsidRDefault="000B4F38" w:rsidP="009D4A54">
      <w:pPr>
        <w:pStyle w:val="ListParagraph"/>
        <w:numPr>
          <w:ilvl w:val="0"/>
          <w:numId w:val="138"/>
        </w:numPr>
        <w:tabs>
          <w:tab w:val="left" w:pos="426"/>
          <w:tab w:val="left" w:pos="993"/>
        </w:tabs>
        <w:spacing w:after="0" w:line="240" w:lineRule="auto"/>
        <w:ind w:left="426" w:hanging="426"/>
        <w:jc w:val="both"/>
        <w:rPr>
          <w:rFonts w:eastAsia="Times New Roman" w:cstheme="minorHAnsi"/>
          <w:rtl/>
        </w:rPr>
      </w:pPr>
      <w:r w:rsidRPr="00F30EF3">
        <w:rPr>
          <w:rFonts w:cstheme="minorHAnsi"/>
          <w:rtl/>
        </w:rPr>
        <w:t xml:space="preserve">يجوز للموظف المسؤول رفيع المستوى تعيين شخص ينوب عنه لممارسة بعض جوانب هذه السلطة. في حالة الجامعات، غالباً ما يكون هذا الشخص أحد نواب رئيس الجامعة، وعادة ما يكون المسؤول عن البحث أو الشؤون الأكاديمية؛ وفي حالة المنظمات البحثية، قد يكون هذا نائب الرئيس أو المسؤول التنفيذي الذي يقدم تقاريره إلى الرئيس التنفيذي أو رئيس المنظمة. </w:t>
      </w:r>
    </w:p>
    <w:p w14:paraId="3F9CE43A" w14:textId="77777777" w:rsidR="00BE639C" w:rsidRPr="00F30EF3" w:rsidRDefault="00BE639C" w:rsidP="00734F31">
      <w:pPr>
        <w:tabs>
          <w:tab w:val="left" w:pos="993"/>
        </w:tabs>
        <w:spacing w:after="0" w:line="240" w:lineRule="auto"/>
        <w:jc w:val="both"/>
        <w:rPr>
          <w:rFonts w:eastAsia="Times New Roman" w:cstheme="minorHAnsi"/>
          <w:lang w:val="en-US"/>
        </w:rPr>
      </w:pPr>
    </w:p>
    <w:p w14:paraId="00EC4B95" w14:textId="77777777" w:rsidR="00DA7E04" w:rsidRPr="00F30EF3" w:rsidRDefault="003707A0" w:rsidP="00734F31">
      <w:pPr>
        <w:spacing w:after="0" w:line="240" w:lineRule="auto"/>
        <w:jc w:val="both"/>
        <w:rPr>
          <w:rFonts w:cstheme="minorHAnsi"/>
          <w:b/>
          <w:bCs/>
          <w:rtl/>
        </w:rPr>
      </w:pPr>
      <w:r w:rsidRPr="00F30EF3">
        <w:rPr>
          <w:rFonts w:cstheme="minorHAnsi"/>
          <w:b/>
          <w:bCs/>
          <w:rtl/>
        </w:rPr>
        <w:t xml:space="preserve">أعضاء هيئة التدريس.  </w:t>
      </w:r>
    </w:p>
    <w:p w14:paraId="041C43B0" w14:textId="77777777" w:rsidR="003707A0" w:rsidRPr="00F30EF3" w:rsidRDefault="003707A0" w:rsidP="009D4A54">
      <w:pPr>
        <w:pStyle w:val="ListParagraph"/>
        <w:numPr>
          <w:ilvl w:val="0"/>
          <w:numId w:val="138"/>
        </w:numPr>
        <w:spacing w:after="0" w:line="240" w:lineRule="auto"/>
        <w:ind w:left="426" w:hanging="426"/>
        <w:jc w:val="both"/>
        <w:rPr>
          <w:rFonts w:cstheme="minorHAnsi"/>
          <w:rtl/>
        </w:rPr>
      </w:pPr>
      <w:r w:rsidRPr="00F30EF3">
        <w:rPr>
          <w:rFonts w:cstheme="minorHAnsi"/>
          <w:rtl/>
        </w:rPr>
        <w:t>المصطلحات البديلة هي: "الموظفون"؛ "الكادر الأكاديمي"</w:t>
      </w:r>
      <w:r w:rsidRPr="00F30EF3">
        <w:rPr>
          <w:rStyle w:val="FootnoteReference"/>
          <w:rFonts w:cstheme="minorHAnsi"/>
          <w:rtl/>
          <w:lang w:val="en-US"/>
        </w:rPr>
        <w:footnoteReference w:id="52"/>
      </w:r>
      <w:r w:rsidRPr="00F30EF3">
        <w:rPr>
          <w:rFonts w:cstheme="minorHAnsi"/>
          <w:rtl/>
        </w:rPr>
        <w:t>؛ "أعضاء هيئة التدريس والموظفين"</w:t>
      </w:r>
      <w:r w:rsidRPr="00F30EF3">
        <w:rPr>
          <w:rStyle w:val="FootnoteReference"/>
          <w:rFonts w:cstheme="minorHAnsi"/>
          <w:rtl/>
          <w:lang w:val="en-US"/>
        </w:rPr>
        <w:footnoteReference w:id="53"/>
      </w:r>
      <w:r w:rsidRPr="00F30EF3">
        <w:rPr>
          <w:rFonts w:cstheme="minorHAnsi"/>
          <w:rtl/>
        </w:rPr>
        <w:t>؛ "الأكاديميون"</w:t>
      </w:r>
      <w:r w:rsidRPr="00F30EF3">
        <w:rPr>
          <w:rStyle w:val="FootnoteReference"/>
          <w:rFonts w:cstheme="minorHAnsi"/>
          <w:rtl/>
          <w:lang w:val="en-US"/>
        </w:rPr>
        <w:footnoteReference w:id="54"/>
      </w:r>
      <w:r w:rsidRPr="00F30EF3">
        <w:rPr>
          <w:rFonts w:cstheme="minorHAnsi"/>
          <w:rtl/>
        </w:rPr>
        <w:t xml:space="preserve">، إلخ.   </w:t>
      </w:r>
    </w:p>
    <w:p w14:paraId="4B5D5F06" w14:textId="77777777" w:rsidR="003707A0" w:rsidRPr="00F30EF3" w:rsidRDefault="003707A0" w:rsidP="00734F31">
      <w:pPr>
        <w:spacing w:after="0" w:line="240" w:lineRule="auto"/>
        <w:jc w:val="both"/>
        <w:rPr>
          <w:rFonts w:cstheme="minorHAnsi"/>
          <w:lang w:val="en-US"/>
        </w:rPr>
      </w:pPr>
    </w:p>
    <w:p w14:paraId="58135555" w14:textId="77777777" w:rsidR="00CB4125" w:rsidRPr="00F30EF3" w:rsidRDefault="007429A0" w:rsidP="002F3C51">
      <w:pPr>
        <w:spacing w:after="0" w:line="240" w:lineRule="auto"/>
        <w:jc w:val="both"/>
        <w:rPr>
          <w:rFonts w:cstheme="minorHAnsi"/>
          <w:rtl/>
        </w:rPr>
      </w:pPr>
      <w:r w:rsidRPr="00F30EF3">
        <w:rPr>
          <w:rFonts w:cstheme="minorHAnsi"/>
          <w:b/>
          <w:bCs/>
          <w:rtl/>
        </w:rPr>
        <w:t xml:space="preserve">الطالب.  </w:t>
      </w:r>
    </w:p>
    <w:p w14:paraId="78BD8AE5" w14:textId="77777777" w:rsidR="00CB4125" w:rsidRPr="00F30EF3" w:rsidRDefault="007E7F43" w:rsidP="009D4A54">
      <w:pPr>
        <w:pStyle w:val="ListParagraph"/>
        <w:numPr>
          <w:ilvl w:val="0"/>
          <w:numId w:val="39"/>
        </w:numPr>
        <w:tabs>
          <w:tab w:val="left" w:pos="567"/>
        </w:tabs>
        <w:spacing w:after="0" w:line="240" w:lineRule="auto"/>
        <w:ind w:left="426" w:hanging="426"/>
        <w:jc w:val="both"/>
        <w:rPr>
          <w:rFonts w:cstheme="minorHAnsi"/>
          <w:color w:val="000000" w:themeColor="text1"/>
          <w:rtl/>
        </w:rPr>
      </w:pPr>
      <w:r w:rsidRPr="00F30EF3">
        <w:rPr>
          <w:rFonts w:cstheme="minorHAnsi"/>
          <w:rtl/>
        </w:rPr>
        <w:t xml:space="preserve">تغطي سياسة الملكية الفكرية الطلاب الذين لديهم موعد (في هذه الحالة يكونون زائرين) والطلاب الذين لديهم عقد عمل (في هذه الحالة يكونون أعضاء في هيئة التدريس). </w:t>
      </w:r>
    </w:p>
    <w:p w14:paraId="1A867E69" w14:textId="77777777" w:rsidR="003E5F02" w:rsidRPr="00F30EF3" w:rsidRDefault="003E5F02" w:rsidP="009D4A54">
      <w:pPr>
        <w:pStyle w:val="ListParagraph"/>
        <w:numPr>
          <w:ilvl w:val="0"/>
          <w:numId w:val="39"/>
        </w:numPr>
        <w:tabs>
          <w:tab w:val="left" w:pos="567"/>
        </w:tabs>
        <w:spacing w:after="0" w:line="240" w:lineRule="auto"/>
        <w:ind w:left="426" w:hanging="426"/>
        <w:jc w:val="both"/>
        <w:rPr>
          <w:rFonts w:cstheme="minorHAnsi"/>
          <w:i/>
          <w:iCs/>
          <w:rtl/>
        </w:rPr>
      </w:pPr>
      <w:r w:rsidRPr="00F30EF3">
        <w:rPr>
          <w:rFonts w:cstheme="minorHAnsi"/>
          <w:rtl/>
        </w:rPr>
        <w:t>بالإضافة إلى ذلك، فإن السياسة لها آثار على الطلاب الذين تشكل أبحاثهم جزءاً من المشروعات البحثية للمؤسسة (نموذج المادة 3.2.5) أو عقود البحث (نموذج المادة 4.2.5). ).</w:t>
      </w:r>
    </w:p>
    <w:p w14:paraId="34AC4881" w14:textId="77777777" w:rsidR="00AC7693" w:rsidRPr="00F30EF3" w:rsidRDefault="003E5F02" w:rsidP="009D4A54">
      <w:pPr>
        <w:pStyle w:val="ListParagraph"/>
        <w:numPr>
          <w:ilvl w:val="0"/>
          <w:numId w:val="39"/>
        </w:numPr>
        <w:tabs>
          <w:tab w:val="left" w:pos="567"/>
        </w:tabs>
        <w:spacing w:after="0" w:line="240" w:lineRule="auto"/>
        <w:ind w:left="426" w:hanging="426"/>
        <w:jc w:val="both"/>
        <w:rPr>
          <w:rFonts w:cstheme="minorHAnsi"/>
          <w:rtl/>
        </w:rPr>
      </w:pPr>
      <w:r w:rsidRPr="00F30EF3">
        <w:rPr>
          <w:rFonts w:cstheme="minorHAnsi"/>
          <w:rtl/>
        </w:rPr>
        <w:t xml:space="preserve">لاحظ أنه في بعض البلدان يعتبر حامل درجة الدكتوراه طالباً (وهو كذلك في الوضع قانوني)، بينما في بلدان أخرى يعتبر حامل درجة الدكتوراه موظفاً (عضواً في هيئة التدريس). في بعض البلدان، مثل هولندا، يمكن لحامل الدكتوراه اختيار أن يكون طالباً أو موظفاً. </w:t>
      </w:r>
    </w:p>
    <w:p w14:paraId="506645D8" w14:textId="77777777" w:rsidR="00AC7693" w:rsidRPr="00F30EF3" w:rsidRDefault="00AC7693" w:rsidP="00734F31">
      <w:pPr>
        <w:spacing w:after="0" w:line="240" w:lineRule="auto"/>
        <w:jc w:val="both"/>
        <w:rPr>
          <w:rFonts w:cstheme="minorHAnsi"/>
          <w:lang w:val="en-US"/>
        </w:rPr>
      </w:pPr>
    </w:p>
    <w:p w14:paraId="7E924628" w14:textId="77777777" w:rsidR="00274DFD" w:rsidRPr="00F30EF3" w:rsidRDefault="001D7A14" w:rsidP="00734F31">
      <w:pPr>
        <w:spacing w:after="0" w:line="240" w:lineRule="auto"/>
        <w:jc w:val="both"/>
        <w:rPr>
          <w:rFonts w:eastAsia="Times New Roman" w:cstheme="minorHAnsi"/>
          <w:rtl/>
        </w:rPr>
      </w:pPr>
      <w:r w:rsidRPr="00F30EF3">
        <w:rPr>
          <w:rFonts w:cstheme="minorHAnsi"/>
          <w:b/>
          <w:bCs/>
          <w:rtl/>
        </w:rPr>
        <w:t>[الخيار:] الملكية البحثية الملموسة.</w:t>
      </w:r>
      <w:r w:rsidRPr="00F30EF3">
        <w:rPr>
          <w:rFonts w:cstheme="minorHAnsi"/>
          <w:rtl/>
        </w:rPr>
        <w:t xml:space="preserve">  </w:t>
      </w:r>
    </w:p>
    <w:p w14:paraId="4C9A72CD" w14:textId="77777777" w:rsidR="00A27D46" w:rsidRPr="00F30EF3" w:rsidRDefault="00A27D46" w:rsidP="009D4A54">
      <w:pPr>
        <w:pStyle w:val="ListParagraph"/>
        <w:numPr>
          <w:ilvl w:val="0"/>
          <w:numId w:val="40"/>
        </w:numPr>
        <w:shd w:val="clear" w:color="auto" w:fill="FFFFFF"/>
        <w:spacing w:after="0" w:line="240" w:lineRule="auto"/>
        <w:ind w:left="425" w:hanging="425"/>
        <w:jc w:val="both"/>
        <w:rPr>
          <w:rFonts w:eastAsia="Times New Roman" w:cstheme="minorHAnsi"/>
          <w:b/>
          <w:bCs/>
          <w:rtl/>
        </w:rPr>
      </w:pPr>
      <w:r w:rsidRPr="00F30EF3">
        <w:rPr>
          <w:rFonts w:cstheme="minorHAnsi"/>
          <w:rtl/>
        </w:rPr>
        <w:t xml:space="preserve">المواد المادية، بما في ذلك جميع المواد البيولوجية مثل النباتات والحيوانات الكاملة، والمزارع الميكروبية، والبذور والشتلات، والحمض النووي، والجزيئات البيولوجية الأخرى. </w:t>
      </w:r>
    </w:p>
    <w:p w14:paraId="5C330F7E" w14:textId="77777777" w:rsidR="00274DFD" w:rsidRPr="00F30EF3" w:rsidRDefault="001D7A14" w:rsidP="009D4A54">
      <w:pPr>
        <w:pStyle w:val="ListParagraph"/>
        <w:numPr>
          <w:ilvl w:val="0"/>
          <w:numId w:val="40"/>
        </w:numPr>
        <w:spacing w:after="0" w:line="240" w:lineRule="auto"/>
        <w:ind w:left="426" w:hanging="426"/>
        <w:jc w:val="both"/>
        <w:rPr>
          <w:rFonts w:eastAsia="Times New Roman" w:cstheme="minorHAnsi"/>
          <w:rtl/>
        </w:rPr>
      </w:pPr>
      <w:r w:rsidRPr="00F30EF3">
        <w:rPr>
          <w:rFonts w:cstheme="minorHAnsi"/>
          <w:rtl/>
        </w:rPr>
        <w:t>المادة الفيزيائية، بما في ذلك المواد البيولوجية (مثل سلالات الخلايا، والكائنات الحية، والبروتينات، والبلازميدات، والحمض النووي/الحمض النووي الريبوزي</w:t>
      </w:r>
      <w:r w:rsidRPr="00F30EF3">
        <w:rPr>
          <w:rStyle w:val="FootnoteReference"/>
          <w:rFonts w:eastAsia="Times New Roman" w:cstheme="minorHAnsi"/>
          <w:rtl/>
          <w:lang w:val="en-US"/>
        </w:rPr>
        <w:footnoteReference w:id="55"/>
      </w:r>
      <w:r w:rsidRPr="00F30EF3">
        <w:rPr>
          <w:rFonts w:cstheme="minorHAnsi"/>
          <w:rtl/>
        </w:rPr>
        <w:t>، والمركبات الكيميائية الحيوية، والحيوانات المعدلة وراثياً)، ورقائق الدوائر المتكاملة، وأجهزة النماذج الأولية، ودوائر لوحات التجارب، والمعدات. قد تكون الملكية البحثية الملموسة، أو لا تكون، مؤهلة للحماية بموجب براءة وتكون منفصلة ومميزة عن الملكية الفكرية. يمكن أن تتواجد الملكية البحثية الملموسة والملكية الفكرية في وقت واحد على نفس التقنية.</w:t>
      </w:r>
    </w:p>
    <w:p w14:paraId="2DE639A1" w14:textId="77777777" w:rsidR="00490EC3" w:rsidRPr="00F30EF3" w:rsidRDefault="00490EC3" w:rsidP="009D4A54">
      <w:pPr>
        <w:pStyle w:val="ListParagraph"/>
        <w:numPr>
          <w:ilvl w:val="0"/>
          <w:numId w:val="40"/>
        </w:numPr>
        <w:spacing w:after="0" w:line="240" w:lineRule="auto"/>
        <w:ind w:left="426" w:hanging="426"/>
        <w:jc w:val="both"/>
        <w:rPr>
          <w:rFonts w:eastAsia="Times New Roman" w:cstheme="minorHAnsi"/>
          <w:rtl/>
        </w:rPr>
      </w:pPr>
      <w:r w:rsidRPr="00F30EF3">
        <w:rPr>
          <w:rFonts w:cstheme="minorHAnsi"/>
          <w:rtl/>
        </w:rPr>
        <w:t>نتائج البحوث هذه التي تكون في شكل ملموس، تختلف عن الممتلكات غير الملموسة. قد تشمل أمثلة الملكية البحثية الملموسة، على سبيل المثال لا الحصر: رقائق الدوائر المتكاملة، وبرامج الكمبيوتر، وقواعد بيانات الكمبيوتر، والمواد البيولوجية، والنماذج الهندسية الأولية، والرسومات الهندسية، وغيرها من الممتلكات، والتي يمكن توزيعها مادياً. قد تكون الملكية البحثية الملموسة في كثير من الأحيان مرتبطة بحقوق الملكية غير الملموسة. ​</w:t>
      </w:r>
    </w:p>
    <w:p w14:paraId="743D9BB1" w14:textId="1FEE227C" w:rsidR="001D7A14" w:rsidRPr="00F30EF3" w:rsidRDefault="001D7A14" w:rsidP="009D4A54">
      <w:pPr>
        <w:pStyle w:val="ListParagraph"/>
        <w:numPr>
          <w:ilvl w:val="0"/>
          <w:numId w:val="40"/>
        </w:numPr>
        <w:spacing w:after="0" w:line="240" w:lineRule="auto"/>
        <w:ind w:left="426" w:hanging="426"/>
        <w:jc w:val="both"/>
        <w:rPr>
          <w:rFonts w:eastAsia="Times New Roman" w:cstheme="minorHAnsi"/>
          <w:rtl/>
        </w:rPr>
      </w:pPr>
      <w:r w:rsidRPr="00F30EF3">
        <w:rPr>
          <w:rFonts w:cstheme="minorHAnsi"/>
          <w:rtl/>
        </w:rPr>
        <w:t>هذا النوع من الملكية شائع في أبحاث علوم الحياة. ومن المهم ملاحظة أن الممتلكات الملموسة متميزة ومختلفة عن الملكية الفكرية غير الملموسة. وتغطيها قواعد قانونية وولايات قضائية مختلفة جداً. يمكن أن تتواجد الملكية الفكرية والملكية البحثية الملموسة في نفس الوقت لنفس التقنية.</w:t>
      </w:r>
    </w:p>
    <w:p w14:paraId="7A8ADD11" w14:textId="77777777" w:rsidR="001D7A14" w:rsidRPr="00F30EF3" w:rsidRDefault="001D7A14" w:rsidP="00734F31">
      <w:pPr>
        <w:pStyle w:val="ListParagraph"/>
        <w:tabs>
          <w:tab w:val="left" w:pos="993"/>
        </w:tabs>
        <w:spacing w:after="0" w:line="240" w:lineRule="auto"/>
        <w:jc w:val="both"/>
        <w:rPr>
          <w:rFonts w:eastAsia="Times New Roman" w:cstheme="minorHAnsi"/>
          <w:lang w:val="en-US"/>
        </w:rPr>
      </w:pPr>
    </w:p>
    <w:p w14:paraId="3C4FDA79" w14:textId="77777777" w:rsidR="00B500E6" w:rsidRPr="00F30EF3" w:rsidRDefault="00B53D31" w:rsidP="00734F31">
      <w:pPr>
        <w:spacing w:after="0" w:line="240" w:lineRule="auto"/>
        <w:jc w:val="both"/>
        <w:rPr>
          <w:rFonts w:cstheme="minorHAnsi"/>
          <w:rtl/>
        </w:rPr>
      </w:pPr>
      <w:r w:rsidRPr="00F30EF3">
        <w:rPr>
          <w:rFonts w:cstheme="minorHAnsi"/>
          <w:b/>
          <w:bCs/>
          <w:rtl/>
        </w:rPr>
        <w:t>الأسرار التجارية.</w:t>
      </w:r>
      <w:r w:rsidRPr="00F30EF3">
        <w:rPr>
          <w:rFonts w:cstheme="minorHAnsi"/>
          <w:rtl/>
        </w:rPr>
        <w:t xml:space="preserve">  </w:t>
      </w:r>
    </w:p>
    <w:p w14:paraId="5E7D3330" w14:textId="77777777" w:rsidR="0034174F" w:rsidRPr="00F30EF3" w:rsidRDefault="0034174F" w:rsidP="00464282">
      <w:pPr>
        <w:pStyle w:val="ListParagraph"/>
        <w:numPr>
          <w:ilvl w:val="0"/>
          <w:numId w:val="11"/>
        </w:numPr>
        <w:spacing w:line="240" w:lineRule="auto"/>
        <w:ind w:left="426" w:hanging="426"/>
        <w:jc w:val="both"/>
        <w:rPr>
          <w:rFonts w:cstheme="minorHAnsi"/>
          <w:rtl/>
        </w:rPr>
      </w:pPr>
      <w:r w:rsidRPr="00F30EF3">
        <w:rPr>
          <w:rFonts w:cstheme="minorHAnsi"/>
          <w:rtl/>
        </w:rPr>
        <w:t>هي شكل من أشكال المعلومات السرية، وقد يُشار إليها أحياناً باسم "</w:t>
      </w:r>
      <w:r w:rsidRPr="00F30EF3">
        <w:rPr>
          <w:rFonts w:cstheme="minorHAnsi"/>
          <w:b/>
          <w:bCs/>
          <w:rtl/>
        </w:rPr>
        <w:t>الدراية</w:t>
      </w:r>
      <w:r w:rsidRPr="00F30EF3">
        <w:rPr>
          <w:rFonts w:cstheme="minorHAnsi"/>
          <w:rtl/>
        </w:rPr>
        <w:t>".</w:t>
      </w:r>
    </w:p>
    <w:p w14:paraId="0421B379" w14:textId="77777777" w:rsidR="00C60DE4" w:rsidRPr="00F30EF3" w:rsidRDefault="0034174F" w:rsidP="00464282">
      <w:pPr>
        <w:pStyle w:val="ListParagraph"/>
        <w:numPr>
          <w:ilvl w:val="0"/>
          <w:numId w:val="11"/>
        </w:numPr>
        <w:spacing w:line="240" w:lineRule="auto"/>
        <w:ind w:left="426" w:hanging="426"/>
        <w:jc w:val="both"/>
        <w:rPr>
          <w:rFonts w:cstheme="minorHAnsi"/>
          <w:rtl/>
        </w:rPr>
      </w:pPr>
      <w:r w:rsidRPr="00F30EF3">
        <w:rPr>
          <w:rFonts w:cstheme="minorHAnsi"/>
          <w:rtl/>
        </w:rPr>
        <w:t>التعريف العام للسر التجاري هو شيء "</w:t>
      </w:r>
      <w:r w:rsidRPr="00F30EF3">
        <w:rPr>
          <w:rFonts w:cstheme="minorHAnsi"/>
          <w:i/>
          <w:iCs/>
          <w:rtl/>
        </w:rPr>
        <w:t>غير معروف بشكل عام للجمهور، ويقدم بعض الفوائد لصاحب السر نتيجة لكونه غير معروف، وأن صاحب السر ينتهج العناية المعقولة للحيلولة دون أن يصبح معروفاً بشكل عام</w:t>
      </w:r>
      <w:r w:rsidRPr="00F30EF3">
        <w:rPr>
          <w:rFonts w:cstheme="minorHAnsi"/>
          <w:rtl/>
        </w:rPr>
        <w:t xml:space="preserve">". </w:t>
      </w:r>
    </w:p>
    <w:p w14:paraId="1BEEE62D" w14:textId="77777777" w:rsidR="0034174F" w:rsidRPr="00F30EF3" w:rsidRDefault="0034174F" w:rsidP="00464282">
      <w:pPr>
        <w:pStyle w:val="ListParagraph"/>
        <w:numPr>
          <w:ilvl w:val="0"/>
          <w:numId w:val="11"/>
        </w:numPr>
        <w:spacing w:line="240" w:lineRule="auto"/>
        <w:ind w:left="426" w:hanging="426"/>
        <w:jc w:val="both"/>
        <w:rPr>
          <w:rFonts w:cstheme="minorHAnsi"/>
          <w:rtl/>
        </w:rPr>
      </w:pPr>
      <w:r w:rsidRPr="00F30EF3">
        <w:rPr>
          <w:rFonts w:cstheme="minorHAnsi"/>
          <w:rtl/>
        </w:rPr>
        <w:lastRenderedPageBreak/>
        <w:t>قد تشمل الأسرار التجارية على سبيل المثال:</w:t>
      </w:r>
    </w:p>
    <w:p w14:paraId="37010F2F" w14:textId="77777777" w:rsidR="0034174F" w:rsidRPr="00F30EF3" w:rsidRDefault="0034174F" w:rsidP="009D4A54">
      <w:pPr>
        <w:pStyle w:val="ListParagraph"/>
        <w:numPr>
          <w:ilvl w:val="0"/>
          <w:numId w:val="41"/>
        </w:numPr>
        <w:autoSpaceDE w:val="0"/>
        <w:autoSpaceDN w:val="0"/>
        <w:adjustRightInd w:val="0"/>
        <w:spacing w:after="0" w:line="240" w:lineRule="auto"/>
        <w:ind w:hanging="294"/>
        <w:jc w:val="both"/>
        <w:rPr>
          <w:rFonts w:cstheme="minorHAnsi"/>
          <w:rtl/>
        </w:rPr>
      </w:pPr>
      <w:r w:rsidRPr="00F30EF3">
        <w:rPr>
          <w:rFonts w:cstheme="minorHAnsi"/>
          <w:rtl/>
        </w:rPr>
        <w:t>المعلومات العلمية والتقنية السرية (على سبيل المثال، نتائج الأبحاث</w:t>
      </w:r>
      <w:r w:rsidRPr="00F30EF3">
        <w:rPr>
          <w:rFonts w:cstheme="minorHAnsi"/>
          <w:vertAlign w:val="superscript"/>
          <w:rtl/>
          <w:lang w:val="en-US"/>
        </w:rPr>
        <w:footnoteReference w:id="56"/>
      </w:r>
      <w:r w:rsidRPr="00F30EF3">
        <w:rPr>
          <w:rFonts w:cstheme="minorHAnsi"/>
          <w:rtl/>
        </w:rPr>
        <w:t xml:space="preserve"> في دفاتر الملاحظات المختبرية أو تقارير الكشف عن الاختراعات، والمصدر غير المنشور ولغة الآلة للبرامج، والرسومات الفنية، وما إلى ذلك)؛</w:t>
      </w:r>
    </w:p>
    <w:p w14:paraId="3EB058D0" w14:textId="77777777" w:rsidR="0034174F" w:rsidRPr="00F30EF3" w:rsidRDefault="0034174F" w:rsidP="009D4A54">
      <w:pPr>
        <w:pStyle w:val="ListParagraph"/>
        <w:numPr>
          <w:ilvl w:val="0"/>
          <w:numId w:val="41"/>
        </w:numPr>
        <w:autoSpaceDE w:val="0"/>
        <w:autoSpaceDN w:val="0"/>
        <w:adjustRightInd w:val="0"/>
        <w:spacing w:after="0" w:line="240" w:lineRule="auto"/>
        <w:ind w:hanging="294"/>
        <w:jc w:val="both"/>
        <w:rPr>
          <w:rFonts w:cstheme="minorHAnsi"/>
          <w:rtl/>
        </w:rPr>
      </w:pPr>
      <w:r w:rsidRPr="00F30EF3">
        <w:rPr>
          <w:rFonts w:cstheme="minorHAnsi"/>
          <w:rtl/>
        </w:rPr>
        <w:t>الاختراع قبل إيداع طلب البراءة؛</w:t>
      </w:r>
    </w:p>
    <w:p w14:paraId="0E4BFC22" w14:textId="5E4F72BE" w:rsidR="0034174F" w:rsidRPr="00F30EF3" w:rsidRDefault="0034174F" w:rsidP="009D4A54">
      <w:pPr>
        <w:pStyle w:val="ListParagraph"/>
        <w:numPr>
          <w:ilvl w:val="0"/>
          <w:numId w:val="41"/>
        </w:numPr>
        <w:autoSpaceDE w:val="0"/>
        <w:autoSpaceDN w:val="0"/>
        <w:adjustRightInd w:val="0"/>
        <w:spacing w:after="0" w:line="240" w:lineRule="auto"/>
        <w:ind w:hanging="294"/>
        <w:jc w:val="both"/>
        <w:rPr>
          <w:rFonts w:cstheme="minorHAnsi"/>
          <w:rtl/>
        </w:rPr>
      </w:pPr>
      <w:r w:rsidRPr="00F30EF3">
        <w:rPr>
          <w:rFonts w:cstheme="minorHAnsi"/>
          <w:rtl/>
        </w:rPr>
        <w:t>المعرفة التجارية القيمة الجديدة التي تم حذفها عمداً من طلب البراءة، ولا يتم حمايتها مطلقاً بموجب براءة ممنوحة، وذلك، على سبيل المثال، للحد من مخاطر الهندسة العكسية؛</w:t>
      </w:r>
    </w:p>
    <w:p w14:paraId="14144C4B" w14:textId="77777777" w:rsidR="0034174F" w:rsidRPr="00F30EF3" w:rsidRDefault="0034174F" w:rsidP="009D4A54">
      <w:pPr>
        <w:pStyle w:val="ListParagraph"/>
        <w:numPr>
          <w:ilvl w:val="0"/>
          <w:numId w:val="41"/>
        </w:numPr>
        <w:autoSpaceDE w:val="0"/>
        <w:autoSpaceDN w:val="0"/>
        <w:adjustRightInd w:val="0"/>
        <w:spacing w:after="0" w:line="240" w:lineRule="auto"/>
        <w:ind w:hanging="294"/>
        <w:jc w:val="both"/>
        <w:rPr>
          <w:rFonts w:cstheme="minorHAnsi"/>
          <w:rtl/>
        </w:rPr>
      </w:pPr>
      <w:r w:rsidRPr="00F30EF3">
        <w:rPr>
          <w:rFonts w:cstheme="minorHAnsi"/>
          <w:rtl/>
        </w:rPr>
        <w:t>المواد البحثية، بما في ذلك المواد البيولوجية والبيانات؛</w:t>
      </w:r>
    </w:p>
    <w:p w14:paraId="69BF859A" w14:textId="77777777" w:rsidR="0034174F" w:rsidRPr="00F30EF3" w:rsidRDefault="0034174F" w:rsidP="009D4A54">
      <w:pPr>
        <w:pStyle w:val="ListParagraph"/>
        <w:numPr>
          <w:ilvl w:val="0"/>
          <w:numId w:val="41"/>
        </w:numPr>
        <w:autoSpaceDE w:val="0"/>
        <w:autoSpaceDN w:val="0"/>
        <w:adjustRightInd w:val="0"/>
        <w:spacing w:after="0" w:line="240" w:lineRule="auto"/>
        <w:ind w:hanging="294"/>
        <w:jc w:val="both"/>
        <w:rPr>
          <w:rFonts w:cstheme="minorHAnsi"/>
          <w:rtl/>
        </w:rPr>
      </w:pPr>
      <w:r w:rsidRPr="00F30EF3">
        <w:rPr>
          <w:rFonts w:cstheme="minorHAnsi"/>
          <w:rtl/>
        </w:rPr>
        <w:t>المعلومات الحساسة تجارياً مثل التقارير السرية والمعلومات المالية غير المعروفة للعامة؛</w:t>
      </w:r>
    </w:p>
    <w:p w14:paraId="73755329" w14:textId="77777777" w:rsidR="00BD6696" w:rsidRPr="00F30EF3" w:rsidRDefault="00BD6696" w:rsidP="00464282">
      <w:pPr>
        <w:pStyle w:val="ListParagraph"/>
        <w:numPr>
          <w:ilvl w:val="0"/>
          <w:numId w:val="11"/>
        </w:numPr>
        <w:spacing w:line="240" w:lineRule="auto"/>
        <w:ind w:left="426" w:hanging="426"/>
        <w:jc w:val="both"/>
        <w:rPr>
          <w:rFonts w:cstheme="minorHAnsi"/>
          <w:rtl/>
        </w:rPr>
      </w:pPr>
      <w:r w:rsidRPr="00F30EF3">
        <w:rPr>
          <w:rFonts w:cstheme="minorHAnsi"/>
          <w:rtl/>
        </w:rPr>
        <w:t>قد تكون لمعلومات الأسرار التجارية قيمة كبيرة في حد ذاتها، وبالاقتران مع براءة أو أشكال أخرى من الملكية الفكرية (على سبيل المثال، الأسرار التجارية في شكل الدراية غالباً ما تكون ضرورية لعمل الاختراعات المشمولة ببراءات).</w:t>
      </w:r>
    </w:p>
    <w:p w14:paraId="77045383" w14:textId="77777777" w:rsidR="00072818" w:rsidRPr="00F30EF3" w:rsidRDefault="00072818" w:rsidP="00464282">
      <w:pPr>
        <w:pStyle w:val="ListParagraph"/>
        <w:numPr>
          <w:ilvl w:val="0"/>
          <w:numId w:val="11"/>
        </w:numPr>
        <w:spacing w:line="240" w:lineRule="auto"/>
        <w:ind w:left="426" w:hanging="426"/>
        <w:jc w:val="both"/>
        <w:rPr>
          <w:rFonts w:cstheme="minorHAnsi"/>
          <w:rtl/>
        </w:rPr>
      </w:pPr>
      <w:r w:rsidRPr="00F30EF3">
        <w:rPr>
          <w:rFonts w:cstheme="minorHAnsi"/>
          <w:rtl/>
        </w:rPr>
        <w:t xml:space="preserve">ومن أجل الحماية بموجب القانون، يجب الحفاظ على "سرية" السر التجاري من خلال الإجراءات الإدارية المستمرة. والتي منها الحفاظ على المعلومات في مكان آمن وأن يقتصر النفاذ إلى المعلومات على الأشخاص الذين يحتاجون إلى معرفتها فقط، والتحكم في عدد الوثائق المخرجة، والخضوع لالتزامات عدم الكشف المناسبة (بموجب اتفاق سرية).  </w:t>
      </w:r>
    </w:p>
    <w:p w14:paraId="7C04C019" w14:textId="77777777" w:rsidR="00F21230" w:rsidRPr="00F30EF3" w:rsidRDefault="00691D5F" w:rsidP="00327970">
      <w:pPr>
        <w:spacing w:after="0" w:line="240" w:lineRule="auto"/>
        <w:jc w:val="both"/>
        <w:rPr>
          <w:rFonts w:eastAsia="Times New Roman" w:cstheme="minorHAnsi"/>
          <w:b/>
          <w:bCs/>
          <w:rtl/>
        </w:rPr>
      </w:pPr>
      <w:r w:rsidRPr="00F30EF3">
        <w:rPr>
          <w:rFonts w:cstheme="minorHAnsi"/>
          <w:b/>
          <w:bCs/>
          <w:rtl/>
        </w:rPr>
        <w:t>المعارف التقليدية.</w:t>
      </w:r>
      <w:r w:rsidR="00EC5B4C" w:rsidRPr="00F30EF3">
        <w:rPr>
          <w:rStyle w:val="FootnoteReference"/>
          <w:rFonts w:eastAsia="Times New Roman" w:cstheme="minorHAnsi"/>
          <w:rtl/>
          <w:lang w:val="en-US"/>
        </w:rPr>
        <w:footnoteReference w:id="57"/>
      </w:r>
      <w:r w:rsidRPr="00F30EF3">
        <w:rPr>
          <w:rFonts w:cstheme="minorHAnsi"/>
          <w:rtl/>
        </w:rPr>
        <w:t xml:space="preserve"> </w:t>
      </w:r>
    </w:p>
    <w:p w14:paraId="5D4A747E" w14:textId="77777777" w:rsidR="009B0088" w:rsidRPr="00F30EF3" w:rsidRDefault="009B0088" w:rsidP="009D4A54">
      <w:pPr>
        <w:pStyle w:val="ListParagraph"/>
        <w:numPr>
          <w:ilvl w:val="0"/>
          <w:numId w:val="76"/>
        </w:numPr>
        <w:spacing w:after="0" w:line="240" w:lineRule="auto"/>
        <w:ind w:left="426" w:hanging="426"/>
        <w:jc w:val="both"/>
        <w:rPr>
          <w:rFonts w:cstheme="minorHAnsi"/>
          <w:rtl/>
        </w:rPr>
      </w:pPr>
      <w:r w:rsidRPr="00F30EF3">
        <w:rPr>
          <w:rFonts w:cstheme="minorHAnsi"/>
          <w:rtl/>
        </w:rPr>
        <w:t>بالنظر إلى العلاقة الوثيقة بين الموارد الوراثية وبعض أشكال المعارف التقليدية، يتم تطبيق مبادئ الموافقة المسبقة عن علم وتقاسم المنافع في عدد من القوانين الوطنية في العديد من القوانين الوطنية التي تحكم النفاذ إلى المعارف التقليدية والانتفاع بها.</w:t>
      </w:r>
    </w:p>
    <w:p w14:paraId="0C63F7E5" w14:textId="77777777" w:rsidR="009B0088" w:rsidRPr="00F30EF3" w:rsidRDefault="009B0088" w:rsidP="009D4A54">
      <w:pPr>
        <w:pStyle w:val="ListParagraph"/>
        <w:numPr>
          <w:ilvl w:val="0"/>
          <w:numId w:val="76"/>
        </w:numPr>
        <w:spacing w:after="0" w:line="240" w:lineRule="auto"/>
        <w:ind w:left="426" w:hanging="426"/>
        <w:jc w:val="both"/>
        <w:rPr>
          <w:rFonts w:eastAsia="Times New Roman" w:cstheme="minorHAnsi"/>
          <w:rtl/>
        </w:rPr>
      </w:pPr>
      <w:r w:rsidRPr="00F30EF3">
        <w:rPr>
          <w:rFonts w:cstheme="minorHAnsi"/>
          <w:rtl/>
        </w:rPr>
        <w:t xml:space="preserve">يمكن أن تشمل أمثلة المعارف التقليدية ما يلي: </w:t>
      </w:r>
    </w:p>
    <w:p w14:paraId="7229B1CD" w14:textId="77777777" w:rsidR="009B0088" w:rsidRPr="00F30EF3" w:rsidRDefault="009B0088" w:rsidP="009D4A54">
      <w:pPr>
        <w:pStyle w:val="ListParagraph"/>
        <w:numPr>
          <w:ilvl w:val="0"/>
          <w:numId w:val="41"/>
        </w:numPr>
        <w:spacing w:after="0" w:line="240" w:lineRule="auto"/>
        <w:ind w:hanging="294"/>
        <w:jc w:val="both"/>
        <w:rPr>
          <w:rFonts w:eastAsia="Times New Roman" w:cstheme="minorHAnsi"/>
          <w:rtl/>
        </w:rPr>
      </w:pPr>
      <w:r w:rsidRPr="00F30EF3">
        <w:rPr>
          <w:rFonts w:cstheme="minorHAnsi"/>
          <w:rtl/>
        </w:rPr>
        <w:t xml:space="preserve">معرفة بأدوية شعبية؛ </w:t>
      </w:r>
    </w:p>
    <w:p w14:paraId="44970CB8" w14:textId="77777777" w:rsidR="009B0088" w:rsidRPr="00F30EF3" w:rsidRDefault="009B0088" w:rsidP="009D4A54">
      <w:pPr>
        <w:pStyle w:val="ListParagraph"/>
        <w:numPr>
          <w:ilvl w:val="0"/>
          <w:numId w:val="41"/>
        </w:numPr>
        <w:spacing w:after="0" w:line="240" w:lineRule="auto"/>
        <w:ind w:hanging="294"/>
        <w:jc w:val="both"/>
        <w:rPr>
          <w:rFonts w:eastAsia="Times New Roman" w:cstheme="minorHAnsi"/>
          <w:rtl/>
        </w:rPr>
      </w:pPr>
      <w:r w:rsidRPr="00F30EF3">
        <w:rPr>
          <w:rFonts w:cstheme="minorHAnsi"/>
          <w:rtl/>
        </w:rPr>
        <w:t>أساليب صيد بري أو بحري تقليدية؛</w:t>
      </w:r>
    </w:p>
    <w:p w14:paraId="71CFC36F" w14:textId="77777777" w:rsidR="009B0088" w:rsidRPr="00F30EF3" w:rsidRDefault="009B0088" w:rsidP="009D4A54">
      <w:pPr>
        <w:pStyle w:val="ListParagraph"/>
        <w:numPr>
          <w:ilvl w:val="0"/>
          <w:numId w:val="41"/>
        </w:numPr>
        <w:spacing w:after="0" w:line="240" w:lineRule="auto"/>
        <w:ind w:hanging="294"/>
        <w:jc w:val="both"/>
        <w:rPr>
          <w:rFonts w:eastAsia="Times New Roman" w:cstheme="minorHAnsi"/>
          <w:rtl/>
        </w:rPr>
      </w:pPr>
      <w:r w:rsidRPr="00F30EF3">
        <w:rPr>
          <w:rFonts w:cstheme="minorHAnsi"/>
          <w:rtl/>
        </w:rPr>
        <w:t>معرفة بأنماط هجرة حيوانات أو إدارة المياه.</w:t>
      </w:r>
    </w:p>
    <w:p w14:paraId="4A897C4C" w14:textId="77777777" w:rsidR="009B0088" w:rsidRPr="00F30EF3" w:rsidRDefault="009B0088" w:rsidP="009D4A54">
      <w:pPr>
        <w:pStyle w:val="ListParagraph"/>
        <w:numPr>
          <w:ilvl w:val="0"/>
          <w:numId w:val="77"/>
        </w:numPr>
        <w:spacing w:after="0" w:line="240" w:lineRule="auto"/>
        <w:ind w:left="426" w:hanging="426"/>
        <w:jc w:val="both"/>
        <w:rPr>
          <w:rFonts w:eastAsia="Times New Roman" w:cstheme="minorHAnsi"/>
          <w:rtl/>
        </w:rPr>
      </w:pPr>
      <w:r w:rsidRPr="00F30EF3">
        <w:rPr>
          <w:rFonts w:cstheme="minorHAnsi"/>
          <w:rtl/>
        </w:rPr>
        <w:t xml:space="preserve">"المعارف التقليدية </w:t>
      </w:r>
      <w:r w:rsidRPr="00F30EF3">
        <w:rPr>
          <w:rFonts w:cstheme="minorHAnsi"/>
          <w:i/>
          <w:iCs/>
          <w:rtl/>
        </w:rPr>
        <w:t>بمعناها الواسع</w:t>
      </w:r>
      <w:r w:rsidRPr="00F30EF3">
        <w:rPr>
          <w:rFonts w:cstheme="minorHAnsi"/>
          <w:rtl/>
        </w:rPr>
        <w:t xml:space="preserve">" تشمل التراث الثقافي الفكري وغير المادي، والممارسات ونظم المعرفة للشعوب الأصلية والمجتمعات المحلية؛ وبعبارة أخرى، فهي تشمل المعرفة والتعبير عن المعرفة. و"المعارف التقليدية </w:t>
      </w:r>
      <w:r w:rsidRPr="00F30EF3">
        <w:rPr>
          <w:rFonts w:cstheme="minorHAnsi"/>
          <w:i/>
          <w:iCs/>
          <w:rtl/>
        </w:rPr>
        <w:t>بمعناها الضيق</w:t>
      </w:r>
      <w:r w:rsidRPr="00F30EF3">
        <w:rPr>
          <w:rFonts w:cstheme="minorHAnsi"/>
          <w:rtl/>
        </w:rPr>
        <w:t xml:space="preserve">" تشير إلى المعارف في حد ذاتها، لا سيما المعارف التقنية والعلمية الناتجة عن نشاط فكري في سياق تقليدي. وفي هذه المبادئ التوجيهية، نشير إلى المعارف التقليدية </w:t>
      </w:r>
      <w:r w:rsidRPr="00F30EF3">
        <w:rPr>
          <w:rFonts w:cstheme="minorHAnsi"/>
          <w:i/>
          <w:iCs/>
          <w:rtl/>
        </w:rPr>
        <w:t>بمعناها الضيق</w:t>
      </w:r>
      <w:r w:rsidRPr="00F30EF3">
        <w:rPr>
          <w:rFonts w:cstheme="minorHAnsi"/>
          <w:rtl/>
        </w:rPr>
        <w:t xml:space="preserve">. </w:t>
      </w:r>
    </w:p>
    <w:p w14:paraId="17725CEF" w14:textId="77777777" w:rsidR="00691D5F" w:rsidRPr="00F30EF3" w:rsidRDefault="009B0088" w:rsidP="009B0088">
      <w:pPr>
        <w:tabs>
          <w:tab w:val="left" w:pos="993"/>
        </w:tabs>
        <w:spacing w:after="0" w:line="240" w:lineRule="auto"/>
        <w:jc w:val="both"/>
        <w:rPr>
          <w:rFonts w:eastAsia="Times New Roman" w:cstheme="minorHAnsi"/>
          <w:i/>
          <w:iCs/>
          <w:color w:val="943634" w:themeColor="accent2" w:themeShade="BF"/>
          <w:rtl/>
        </w:rPr>
      </w:pPr>
      <w:r w:rsidRPr="00F30EF3">
        <w:rPr>
          <w:rFonts w:cstheme="minorHAnsi"/>
          <w:rtl/>
        </w:rPr>
        <w:t xml:space="preserve"> </w:t>
      </w:r>
    </w:p>
    <w:p w14:paraId="1963F0D4" w14:textId="77777777" w:rsidR="00DA7E04" w:rsidRPr="00F30EF3" w:rsidRDefault="006F7E19" w:rsidP="006F7E19">
      <w:pPr>
        <w:spacing w:after="0" w:line="240" w:lineRule="auto"/>
        <w:jc w:val="both"/>
        <w:rPr>
          <w:rFonts w:cstheme="minorHAnsi"/>
          <w:b/>
          <w:bCs/>
          <w:rtl/>
        </w:rPr>
      </w:pPr>
      <w:bookmarkStart w:id="65" w:name="_Toc494115950"/>
      <w:r w:rsidRPr="00F30EF3">
        <w:rPr>
          <w:rFonts w:cstheme="minorHAnsi"/>
          <w:b/>
          <w:bCs/>
          <w:rtl/>
        </w:rPr>
        <w:t xml:space="preserve">الزائر.  </w:t>
      </w:r>
    </w:p>
    <w:p w14:paraId="2A1AAABE" w14:textId="77777777" w:rsidR="006F7E19" w:rsidRPr="00F30EF3" w:rsidRDefault="006F7E19" w:rsidP="009D4A54">
      <w:pPr>
        <w:pStyle w:val="ListParagraph"/>
        <w:numPr>
          <w:ilvl w:val="0"/>
          <w:numId w:val="77"/>
        </w:numPr>
        <w:spacing w:after="0" w:line="240" w:lineRule="auto"/>
        <w:ind w:left="426" w:hanging="426"/>
        <w:jc w:val="both"/>
        <w:rPr>
          <w:rFonts w:cstheme="minorHAnsi"/>
          <w:rtl/>
        </w:rPr>
      </w:pPr>
      <w:r w:rsidRPr="00F30EF3">
        <w:rPr>
          <w:rFonts w:cstheme="minorHAnsi"/>
          <w:rtl/>
        </w:rPr>
        <w:t>تستخدم بعض المؤسسات مصطلح "المُعيَّن" أو "الباحث الزائر" أو "المُنتَسَب" أو مصطلحات مشابهة.  ومن أشكال الزائرين أيضاً الإعارات والإجازات بغرض البحث.</w:t>
      </w:r>
    </w:p>
    <w:p w14:paraId="5C14F790" w14:textId="77777777" w:rsidR="00194209" w:rsidRPr="00F30EF3" w:rsidRDefault="000534B1" w:rsidP="00C3547C">
      <w:pPr>
        <w:pStyle w:val="Heading3"/>
        <w:spacing w:before="120" w:after="120"/>
        <w:rPr>
          <w:rFonts w:asciiTheme="minorHAnsi" w:hAnsiTheme="minorHAnsi" w:cstheme="minorHAnsi"/>
          <w:sz w:val="22"/>
          <w:szCs w:val="22"/>
          <w:rtl/>
        </w:rPr>
      </w:pPr>
      <w:bookmarkStart w:id="66" w:name="_Toc516160044"/>
      <w:bookmarkStart w:id="67" w:name="_Toc516219387"/>
      <w:bookmarkStart w:id="68" w:name="_Toc516496028"/>
      <w:bookmarkStart w:id="69" w:name="_Toc516829400"/>
      <w:r w:rsidRPr="00F30EF3">
        <w:rPr>
          <w:rFonts w:asciiTheme="minorHAnsi" w:hAnsiTheme="minorHAnsi" w:cstheme="minorHAnsi"/>
          <w:sz w:val="22"/>
          <w:szCs w:val="22"/>
          <w:rtl/>
        </w:rPr>
        <w:t>موارد مفيدة</w:t>
      </w:r>
      <w:bookmarkEnd w:id="65"/>
      <w:r w:rsidRPr="00F30EF3">
        <w:rPr>
          <w:rFonts w:asciiTheme="minorHAnsi" w:hAnsiTheme="minorHAnsi" w:cstheme="minorHAnsi"/>
          <w:sz w:val="22"/>
          <w:szCs w:val="22"/>
          <w:rtl/>
        </w:rPr>
        <w:t xml:space="preserve"> تتعلق بالمادة 2</w:t>
      </w:r>
      <w:bookmarkEnd w:id="66"/>
      <w:bookmarkEnd w:id="67"/>
      <w:bookmarkEnd w:id="68"/>
      <w:bookmarkEnd w:id="69"/>
    </w:p>
    <w:p w14:paraId="2B6A4686" w14:textId="77777777" w:rsidR="00210BFB" w:rsidRPr="00F30EF3" w:rsidRDefault="001F4AA6"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cstheme="minorHAnsi"/>
          <w:rtl/>
        </w:rPr>
      </w:pPr>
      <w:r w:rsidRPr="00F30EF3">
        <w:rPr>
          <w:rFonts w:cstheme="minorHAnsi"/>
          <w:b/>
          <w:bCs/>
          <w:rtl/>
        </w:rPr>
        <w:t>تعريفات ذات صلة بالملكية الفكرية</w:t>
      </w:r>
      <w:r w:rsidRPr="00F30EF3">
        <w:rPr>
          <w:rFonts w:cstheme="minorHAnsi"/>
          <w:rtl/>
        </w:rPr>
        <w:t>. توفر الويبو مجموعة من المسارد والأسئلة المتكررة:</w:t>
      </w:r>
    </w:p>
    <w:p w14:paraId="27205C25" w14:textId="77777777" w:rsidR="00210BFB" w:rsidRPr="00F30EF3" w:rsidRDefault="00D3795B"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Fonts w:cstheme="minorHAnsi"/>
          <w:rtl/>
        </w:rPr>
      </w:pPr>
      <w:hyperlink r:id="rId37" w:history="1">
        <w:r w:rsidR="00372C70" w:rsidRPr="00F30EF3">
          <w:rPr>
            <w:rStyle w:val="Hyperlink"/>
            <w:rFonts w:cstheme="minorHAnsi"/>
            <w:rtl/>
          </w:rPr>
          <w:t>الأسئلة المتكررة المتعلقة بالبراءات</w:t>
        </w:r>
      </w:hyperlink>
      <w:r w:rsidR="00372C70" w:rsidRPr="00F30EF3">
        <w:rPr>
          <w:rFonts w:cstheme="minorHAnsi"/>
          <w:rtl/>
        </w:rPr>
        <w:t>.</w:t>
      </w:r>
    </w:p>
    <w:p w14:paraId="1F7BCCA3" w14:textId="77777777" w:rsidR="00210BFB" w:rsidRPr="00F30EF3" w:rsidRDefault="00D3795B"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Style w:val="Hyperlink"/>
          <w:rFonts w:cstheme="minorHAnsi"/>
          <w:rtl/>
        </w:rPr>
      </w:pPr>
      <w:hyperlink r:id="rId38" w:history="1">
        <w:r w:rsidR="00372C70" w:rsidRPr="00F30EF3">
          <w:rPr>
            <w:rStyle w:val="Hyperlink"/>
            <w:rFonts w:cstheme="minorHAnsi"/>
            <w:rtl/>
          </w:rPr>
          <w:t>مسرد معاهدة التعاون بشأن البراءات</w:t>
        </w:r>
      </w:hyperlink>
    </w:p>
    <w:p w14:paraId="6B6650D8" w14:textId="77777777" w:rsidR="00210BFB" w:rsidRPr="00F30EF3" w:rsidRDefault="00D3795B"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Style w:val="Hyperlink"/>
          <w:rFonts w:cstheme="minorHAnsi"/>
          <w:rtl/>
        </w:rPr>
      </w:pPr>
      <w:hyperlink r:id="rId39" w:history="1">
        <w:r w:rsidR="00372C70" w:rsidRPr="00F30EF3">
          <w:rPr>
            <w:rStyle w:val="Hyperlink"/>
            <w:rFonts w:cstheme="minorHAnsi"/>
            <w:rtl/>
          </w:rPr>
          <w:t>مسرد حول الملكية الفكرية والموارد الوراثية و أشكال التعبير الثقافي التقليدي؛</w:t>
        </w:r>
      </w:hyperlink>
    </w:p>
    <w:p w14:paraId="4F38612F" w14:textId="77777777" w:rsidR="00210BFB" w:rsidRPr="00F30EF3" w:rsidRDefault="00D3795B"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Style w:val="Hyperlink"/>
          <w:rFonts w:cstheme="minorHAnsi"/>
          <w:rtl/>
        </w:rPr>
      </w:pPr>
      <w:hyperlink r:id="rId40" w:history="1">
        <w:r w:rsidR="00372C70" w:rsidRPr="00F30EF3">
          <w:rPr>
            <w:rStyle w:val="Hyperlink"/>
            <w:rFonts w:cstheme="minorHAnsi"/>
            <w:rtl/>
          </w:rPr>
          <w:t>مسرد ويبو لكس</w:t>
        </w:r>
      </w:hyperlink>
    </w:p>
    <w:p w14:paraId="40F52583" w14:textId="77777777" w:rsidR="00210BFB" w:rsidRPr="00F30EF3" w:rsidRDefault="00D3795B"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Style w:val="Hyperlink"/>
          <w:rFonts w:cstheme="minorHAnsi"/>
          <w:rtl/>
        </w:rPr>
      </w:pPr>
      <w:hyperlink r:id="rId41" w:history="1">
        <w:r w:rsidR="00372C70" w:rsidRPr="00F30EF3">
          <w:rPr>
            <w:rStyle w:val="Hyperlink"/>
            <w:rFonts w:cstheme="minorHAnsi"/>
            <w:rtl/>
          </w:rPr>
          <w:t>مسرد إحصاءات الملكية الصناعية</w:t>
        </w:r>
      </w:hyperlink>
    </w:p>
    <w:p w14:paraId="17ACD97A" w14:textId="77777777" w:rsidR="00F53E69" w:rsidRPr="00F30EF3" w:rsidRDefault="00F53E69" w:rsidP="00B7519E">
      <w:pPr>
        <w:pStyle w:val="ListParagraph"/>
        <w:shd w:val="clear" w:color="auto" w:fill="FFFFFF" w:themeFill="background1"/>
        <w:autoSpaceDE w:val="0"/>
        <w:autoSpaceDN w:val="0"/>
        <w:adjustRightInd w:val="0"/>
        <w:spacing w:after="0" w:line="240" w:lineRule="auto"/>
        <w:ind w:left="851"/>
        <w:jc w:val="both"/>
        <w:rPr>
          <w:rStyle w:val="Hyperlink"/>
          <w:rFonts w:cstheme="minorHAnsi"/>
          <w:color w:val="auto"/>
          <w:lang w:val="en-US"/>
        </w:rPr>
      </w:pPr>
    </w:p>
    <w:p w14:paraId="0F6CBE26" w14:textId="258C61D7" w:rsidR="00C3547C" w:rsidRPr="00F30EF3" w:rsidRDefault="00F53E69" w:rsidP="00C3547C">
      <w:pPr>
        <w:pStyle w:val="ListParagraph"/>
        <w:numPr>
          <w:ilvl w:val="0"/>
          <w:numId w:val="3"/>
        </w:numPr>
        <w:shd w:val="clear" w:color="auto" w:fill="FFFFFF" w:themeFill="background1"/>
        <w:autoSpaceDE w:val="0"/>
        <w:autoSpaceDN w:val="0"/>
        <w:adjustRightInd w:val="0"/>
        <w:spacing w:after="120" w:line="240" w:lineRule="auto"/>
        <w:ind w:left="432" w:hanging="432"/>
        <w:contextualSpacing w:val="0"/>
        <w:jc w:val="both"/>
        <w:rPr>
          <w:rFonts w:cstheme="minorHAnsi"/>
          <w:rtl/>
        </w:rPr>
      </w:pPr>
      <w:r w:rsidRPr="00F30EF3">
        <w:rPr>
          <w:rFonts w:cstheme="minorHAnsi"/>
          <w:b/>
          <w:bCs/>
          <w:rtl/>
        </w:rPr>
        <w:t>تعريفات ذات صلة بالبحث</w:t>
      </w:r>
      <w:r w:rsidRPr="00F30EF3">
        <w:rPr>
          <w:rFonts w:cstheme="minorHAnsi"/>
          <w:rtl/>
        </w:rPr>
        <w:t xml:space="preserve">. يقدم دليل فراسكاتي </w:t>
      </w:r>
      <w:hyperlink r:id="rId42" w:history="1">
        <w:r w:rsidRPr="00F30EF3">
          <w:rPr>
            <w:rStyle w:val="Hyperlink"/>
            <w:rFonts w:cstheme="minorHAnsi"/>
            <w:rtl/>
          </w:rPr>
          <w:t>مسرداً للمصطلحات</w:t>
        </w:r>
      </w:hyperlink>
      <w:r w:rsidRPr="00F30EF3">
        <w:rPr>
          <w:rFonts w:cstheme="minorHAnsi"/>
          <w:rtl/>
        </w:rPr>
        <w:t xml:space="preserve"> بما في ذلك تعريفات البحث والتطوير ومكوناته.</w:t>
      </w:r>
      <w:bookmarkStart w:id="70" w:name="_Toc494115951"/>
      <w:bookmarkStart w:id="71" w:name="_Toc490468518"/>
      <w:bookmarkEnd w:id="70"/>
    </w:p>
    <w:p w14:paraId="0962921F" w14:textId="33955761" w:rsidR="00BE113E" w:rsidRPr="00F30EF3" w:rsidRDefault="00C3547C" w:rsidP="00C3547C">
      <w:pPr>
        <w:bidi w:val="0"/>
        <w:rPr>
          <w:rFonts w:cstheme="minorHAnsi"/>
          <w:lang w:val="en-US"/>
        </w:rPr>
      </w:pPr>
      <w:r w:rsidRPr="00F30EF3">
        <w:rPr>
          <w:rFonts w:cstheme="minorHAnsi"/>
          <w:rtl/>
        </w:rPr>
        <w:br w:type="page"/>
      </w:r>
    </w:p>
    <w:p w14:paraId="59C77F83" w14:textId="77777777" w:rsidR="00664E3C" w:rsidRPr="00F30EF3" w:rsidRDefault="00664E3C" w:rsidP="002F3C51">
      <w:pPr>
        <w:pStyle w:val="Heading2"/>
        <w:rPr>
          <w:rFonts w:asciiTheme="minorHAnsi" w:hAnsiTheme="minorHAnsi" w:cstheme="minorHAnsi"/>
          <w:sz w:val="22"/>
          <w:szCs w:val="22"/>
          <w:rtl/>
        </w:rPr>
      </w:pPr>
      <w:bookmarkStart w:id="72" w:name="_Toc516160045"/>
      <w:bookmarkStart w:id="73" w:name="_Toc516219388"/>
      <w:bookmarkStart w:id="74" w:name="_Toc516496029"/>
      <w:bookmarkStart w:id="75" w:name="_Toc516829401"/>
    </w:p>
    <w:p w14:paraId="557397E9" w14:textId="77777777" w:rsidR="00072F2A" w:rsidRPr="00F30EF3" w:rsidRDefault="00664E3C" w:rsidP="002F3C51">
      <w:pPr>
        <w:pStyle w:val="Heading2"/>
        <w:rPr>
          <w:rFonts w:asciiTheme="minorHAnsi" w:hAnsiTheme="minorHAnsi" w:cstheme="minorHAnsi"/>
          <w:rtl/>
        </w:rPr>
      </w:pPr>
      <w:bookmarkStart w:id="76" w:name="_Toc178260761"/>
      <w:r w:rsidRPr="00F30EF3">
        <w:rPr>
          <w:rFonts w:asciiTheme="minorHAnsi" w:hAnsiTheme="minorHAnsi" w:cstheme="minorHAnsi"/>
          <w:rtl/>
        </w:rPr>
        <w:t xml:space="preserve">المادة 3– </w:t>
      </w:r>
      <w:bookmarkEnd w:id="71"/>
      <w:r w:rsidRPr="00F30EF3">
        <w:rPr>
          <w:rFonts w:asciiTheme="minorHAnsi" w:hAnsiTheme="minorHAnsi" w:cstheme="minorHAnsi"/>
          <w:rtl/>
        </w:rPr>
        <w:t>نطاق السياسة</w:t>
      </w:r>
      <w:bookmarkEnd w:id="72"/>
      <w:bookmarkEnd w:id="73"/>
      <w:bookmarkEnd w:id="74"/>
      <w:bookmarkEnd w:id="75"/>
      <w:bookmarkEnd w:id="76"/>
      <w:r w:rsidRPr="00F30EF3">
        <w:rPr>
          <w:rFonts w:asciiTheme="minorHAnsi" w:hAnsiTheme="minorHAnsi" w:cstheme="minorHAnsi"/>
          <w:rtl/>
        </w:rPr>
        <w:t xml:space="preserve">  </w:t>
      </w:r>
    </w:p>
    <w:p w14:paraId="4E979EE2" w14:textId="77777777" w:rsidR="00E22076" w:rsidRPr="00F30EF3" w:rsidRDefault="00E22076" w:rsidP="002F3C51">
      <w:pPr>
        <w:pStyle w:val="Heading2"/>
        <w:rPr>
          <w:rFonts w:asciiTheme="minorHAnsi" w:hAnsiTheme="minorHAnsi" w:cstheme="minorHAnsi"/>
          <w:sz w:val="22"/>
          <w:szCs w:val="22"/>
          <w:lang w:val="en-US"/>
        </w:rPr>
      </w:pPr>
    </w:p>
    <w:p w14:paraId="29B72AC1" w14:textId="77777777" w:rsidR="00A924CD" w:rsidRPr="00F30EF3" w:rsidRDefault="00A924CD" w:rsidP="00B7519E">
      <w:pPr>
        <w:pStyle w:val="Heading3"/>
        <w:spacing w:after="200"/>
        <w:jc w:val="both"/>
        <w:rPr>
          <w:rFonts w:asciiTheme="minorHAnsi" w:eastAsiaTheme="minorEastAsia" w:hAnsiTheme="minorHAnsi" w:cstheme="minorHAnsi"/>
          <w:b w:val="0"/>
          <w:bCs w:val="0"/>
          <w:color w:val="000000"/>
          <w:sz w:val="22"/>
          <w:szCs w:val="22"/>
          <w:rtl/>
        </w:rPr>
      </w:pPr>
      <w:bookmarkStart w:id="77" w:name="_Toc516160046"/>
      <w:bookmarkStart w:id="78" w:name="_Toc516219389"/>
      <w:bookmarkStart w:id="79" w:name="_Toc516496030"/>
      <w:bookmarkStart w:id="80" w:name="_Toc516829402"/>
      <w:bookmarkStart w:id="81" w:name="_Toc494115953"/>
      <w:r w:rsidRPr="00F30EF3">
        <w:rPr>
          <w:rFonts w:asciiTheme="minorHAnsi" w:hAnsiTheme="minorHAnsi" w:cstheme="minorHAnsi"/>
          <w:b w:val="0"/>
          <w:bCs w:val="0"/>
          <w:color w:val="000000"/>
          <w:sz w:val="22"/>
          <w:szCs w:val="22"/>
          <w:rtl/>
        </w:rPr>
        <w:t>قد يشمل النطاق المجموعات (الموظفين والطلاب والزائرين) التي تتعلق بها السياسة، وأنواع الملكية الفكرية المشمولة، والبيانات الأخرى المتعلقة بالفترات الزمنية والأموال وما إلى ذلك.</w:t>
      </w:r>
      <w:bookmarkEnd w:id="77"/>
      <w:bookmarkEnd w:id="78"/>
      <w:bookmarkEnd w:id="79"/>
      <w:bookmarkEnd w:id="80"/>
    </w:p>
    <w:p w14:paraId="72F0021B" w14:textId="77777777" w:rsidR="001929CD" w:rsidRPr="00F30EF3" w:rsidRDefault="001929CD" w:rsidP="00B7519E">
      <w:pPr>
        <w:pStyle w:val="Heading3"/>
        <w:spacing w:before="360"/>
        <w:rPr>
          <w:rFonts w:asciiTheme="minorHAnsi" w:hAnsiTheme="minorHAnsi" w:cstheme="minorHAnsi"/>
          <w:sz w:val="24"/>
          <w:szCs w:val="24"/>
          <w:rtl/>
        </w:rPr>
      </w:pPr>
      <w:bookmarkStart w:id="82" w:name="_Toc516160047"/>
      <w:bookmarkStart w:id="83" w:name="_Toc516219390"/>
      <w:bookmarkStart w:id="84" w:name="_Toc516496031"/>
      <w:bookmarkStart w:id="85" w:name="_Toc516829403"/>
      <w:bookmarkStart w:id="86" w:name="_Toc494115954"/>
      <w:bookmarkEnd w:id="81"/>
      <w:r w:rsidRPr="00F30EF3">
        <w:rPr>
          <w:rFonts w:asciiTheme="minorHAnsi" w:hAnsiTheme="minorHAnsi" w:cstheme="minorHAnsi"/>
          <w:sz w:val="24"/>
          <w:szCs w:val="24"/>
          <w:rtl/>
        </w:rPr>
        <w:t>المادة 2.3 - الملكية الفكرية الأساسية</w:t>
      </w:r>
      <w:bookmarkEnd w:id="82"/>
      <w:bookmarkEnd w:id="83"/>
      <w:bookmarkEnd w:id="84"/>
      <w:bookmarkEnd w:id="85"/>
    </w:p>
    <w:p w14:paraId="7C8DB766" w14:textId="77777777" w:rsidR="008742F5" w:rsidRPr="00F30EF3" w:rsidRDefault="00356495" w:rsidP="00C3547C">
      <w:pPr>
        <w:pStyle w:val="Default"/>
        <w:numPr>
          <w:ilvl w:val="0"/>
          <w:numId w:val="81"/>
        </w:numPr>
        <w:bidi/>
        <w:spacing w:after="120"/>
        <w:ind w:left="432" w:hanging="432"/>
        <w:jc w:val="both"/>
        <w:rPr>
          <w:rFonts w:asciiTheme="minorHAnsi" w:hAnsiTheme="minorHAnsi" w:cstheme="minorHAnsi"/>
          <w:sz w:val="22"/>
          <w:szCs w:val="22"/>
          <w:rtl/>
        </w:rPr>
      </w:pPr>
      <w:r w:rsidRPr="00F30EF3">
        <w:rPr>
          <w:rFonts w:asciiTheme="minorHAnsi" w:hAnsiTheme="minorHAnsi" w:cstheme="minorHAnsi"/>
          <w:sz w:val="22"/>
          <w:szCs w:val="22"/>
          <w:rtl/>
        </w:rPr>
        <w:t xml:space="preserve">من المستحسن أن يحدد الموظفون والطلاب والزائرون المحتملون بوضوح، وكتابياً، أي ملكية فكرية أساسية لديهم مصلحة ملكية فيه </w:t>
      </w:r>
      <w:r w:rsidRPr="00F30EF3">
        <w:rPr>
          <w:rFonts w:asciiTheme="minorHAnsi" w:hAnsiTheme="minorHAnsi" w:cstheme="minorHAnsi"/>
          <w:i/>
          <w:iCs/>
          <w:sz w:val="22"/>
          <w:szCs w:val="22"/>
          <w:rtl/>
        </w:rPr>
        <w:t>قبل</w:t>
      </w:r>
      <w:r w:rsidRPr="00F30EF3">
        <w:rPr>
          <w:rFonts w:asciiTheme="minorHAnsi" w:hAnsiTheme="minorHAnsi" w:cstheme="minorHAnsi"/>
          <w:sz w:val="22"/>
          <w:szCs w:val="22"/>
          <w:rtl/>
        </w:rPr>
        <w:t xml:space="preserve"> بدء عملهم أو تسجيلهم. وبفعل ذلك في بداية العلاقة، فإنك تتخذ خطوات استباقية لمنع النزاعات المحتملة حول الملكية لاحقاً.</w:t>
      </w:r>
    </w:p>
    <w:p w14:paraId="17EF93A1" w14:textId="77777777" w:rsidR="00730B7B" w:rsidRPr="00F30EF3" w:rsidRDefault="00F326F0" w:rsidP="00C3547C">
      <w:pPr>
        <w:pStyle w:val="Default"/>
        <w:numPr>
          <w:ilvl w:val="0"/>
          <w:numId w:val="81"/>
        </w:numPr>
        <w:bidi/>
        <w:spacing w:after="120"/>
        <w:ind w:left="432" w:hanging="432"/>
        <w:jc w:val="both"/>
        <w:rPr>
          <w:rFonts w:asciiTheme="minorHAnsi" w:hAnsiTheme="minorHAnsi" w:cstheme="minorHAnsi"/>
          <w:sz w:val="22"/>
          <w:szCs w:val="22"/>
          <w:rtl/>
        </w:rPr>
      </w:pPr>
      <w:r w:rsidRPr="00F30EF3">
        <w:rPr>
          <w:rFonts w:asciiTheme="minorHAnsi" w:hAnsiTheme="minorHAnsi" w:cstheme="minorHAnsi"/>
          <w:sz w:val="22"/>
          <w:szCs w:val="22"/>
          <w:rtl/>
        </w:rPr>
        <w:t>ويُوجه الإخطار عادة إلى نائب الرئيس؛ ويمكن أن يكون</w:t>
      </w:r>
      <w:r w:rsidRPr="00F30EF3">
        <w:rPr>
          <w:rFonts w:asciiTheme="minorHAnsi" w:hAnsiTheme="minorHAnsi" w:cstheme="minorHAnsi"/>
          <w:b/>
          <w:bCs/>
          <w:sz w:val="22"/>
          <w:szCs w:val="22"/>
          <w:rtl/>
        </w:rPr>
        <w:t xml:space="preserve"> </w:t>
      </w:r>
      <w:r w:rsidRPr="00F30EF3">
        <w:rPr>
          <w:rFonts w:asciiTheme="minorHAnsi" w:hAnsiTheme="minorHAnsi" w:cstheme="minorHAnsi"/>
          <w:sz w:val="22"/>
          <w:szCs w:val="22"/>
          <w:rtl/>
        </w:rPr>
        <w:t xml:space="preserve">نموذج الإخطار الخاص بالملكية الفكرية الأساسية مفيداً لهذه الأغراض. وبعد ذلك، عادةً ما يجري مكتب إدارة الملكية الفكرية تقييماً لطبيعة هذه الملكية الفكرية، ويقدم تقريراً. وستجري المؤسسة معاينة وستخطر الموظف، أو الطالب، أو الزائر بالنتائج. </w:t>
      </w:r>
    </w:p>
    <w:p w14:paraId="46608915" w14:textId="77777777" w:rsidR="009A4E40" w:rsidRPr="00F30EF3" w:rsidRDefault="009A4E40" w:rsidP="009D4A54">
      <w:pPr>
        <w:pStyle w:val="Default"/>
        <w:numPr>
          <w:ilvl w:val="0"/>
          <w:numId w:val="81"/>
        </w:numPr>
        <w:bidi/>
        <w:ind w:left="426" w:hanging="426"/>
        <w:jc w:val="both"/>
        <w:rPr>
          <w:rFonts w:asciiTheme="minorHAnsi" w:hAnsiTheme="minorHAnsi" w:cstheme="minorHAnsi"/>
          <w:sz w:val="22"/>
          <w:szCs w:val="22"/>
          <w:rtl/>
        </w:rPr>
      </w:pPr>
      <w:r w:rsidRPr="00F30EF3">
        <w:rPr>
          <w:rFonts w:asciiTheme="minorHAnsi" w:hAnsiTheme="minorHAnsi" w:cstheme="minorHAnsi"/>
          <w:sz w:val="22"/>
          <w:szCs w:val="22"/>
          <w:rtl/>
        </w:rPr>
        <w:t xml:space="preserve">يجب أن يحتفظ مكتب إدارة الملكية الفكرية بسجل سري للملكية الفكرية الأساسية، والذي سيؤخذ في الاعتبار عند وضع الملكية الفكرية الجديدة من قِبل الموظف/ الطالب/ الزائر المعني أثناء عمله أو تسجيله أو تعيينه في المؤسسة. </w:t>
      </w:r>
    </w:p>
    <w:p w14:paraId="0077D33C" w14:textId="77777777" w:rsidR="00194209" w:rsidRPr="00F30EF3" w:rsidRDefault="000B248A" w:rsidP="00B7519E">
      <w:pPr>
        <w:pStyle w:val="Heading3"/>
        <w:spacing w:before="360"/>
        <w:rPr>
          <w:rFonts w:asciiTheme="minorHAnsi" w:hAnsiTheme="minorHAnsi" w:cstheme="minorHAnsi"/>
          <w:sz w:val="24"/>
          <w:szCs w:val="24"/>
          <w:rtl/>
        </w:rPr>
      </w:pPr>
      <w:bookmarkStart w:id="87" w:name="_Toc516160048"/>
      <w:bookmarkStart w:id="88" w:name="_Toc516219391"/>
      <w:bookmarkStart w:id="89" w:name="_Toc516496032"/>
      <w:bookmarkStart w:id="90" w:name="_Toc516829404"/>
      <w:r w:rsidRPr="00F30EF3">
        <w:rPr>
          <w:rFonts w:asciiTheme="minorHAnsi" w:hAnsiTheme="minorHAnsi" w:cstheme="minorHAnsi"/>
          <w:sz w:val="24"/>
          <w:szCs w:val="24"/>
          <w:rtl/>
        </w:rPr>
        <w:t>المادة 3.3 - قابلية التطبيق</w:t>
      </w:r>
      <w:bookmarkEnd w:id="86"/>
      <w:bookmarkEnd w:id="87"/>
      <w:bookmarkEnd w:id="88"/>
      <w:bookmarkEnd w:id="89"/>
      <w:bookmarkEnd w:id="90"/>
      <w:r w:rsidRPr="00F30EF3">
        <w:rPr>
          <w:rFonts w:asciiTheme="minorHAnsi" w:hAnsiTheme="minorHAnsi" w:cstheme="minorHAnsi"/>
          <w:sz w:val="24"/>
          <w:szCs w:val="24"/>
          <w:rtl/>
        </w:rPr>
        <w:t xml:space="preserve"> </w:t>
      </w:r>
    </w:p>
    <w:p w14:paraId="0FEF47CB" w14:textId="5F192AF8" w:rsidR="007B2484" w:rsidRPr="00F30EF3" w:rsidRDefault="007424E4" w:rsidP="0054678D">
      <w:pPr>
        <w:pStyle w:val="ListParagraph"/>
        <w:numPr>
          <w:ilvl w:val="0"/>
          <w:numId w:val="25"/>
        </w:numPr>
        <w:spacing w:after="120" w:line="240" w:lineRule="auto"/>
        <w:ind w:left="432" w:hanging="432"/>
        <w:contextualSpacing w:val="0"/>
        <w:jc w:val="both"/>
        <w:rPr>
          <w:rFonts w:cstheme="minorHAnsi"/>
          <w:rtl/>
        </w:rPr>
      </w:pPr>
      <w:r w:rsidRPr="00F30EF3">
        <w:rPr>
          <w:rFonts w:cstheme="minorHAnsi"/>
          <w:b/>
          <w:bCs/>
          <w:i/>
          <w:iCs/>
          <w:rtl/>
        </w:rPr>
        <w:t>تنطبق</w:t>
      </w:r>
      <w:r w:rsidRPr="00F30EF3">
        <w:rPr>
          <w:rFonts w:cstheme="minorHAnsi"/>
          <w:rtl/>
        </w:rPr>
        <w:t xml:space="preserve"> </w:t>
      </w:r>
      <w:r w:rsidRPr="00F30EF3">
        <w:rPr>
          <w:rFonts w:cstheme="minorHAnsi"/>
          <w:b/>
          <w:bCs/>
          <w:i/>
          <w:iCs/>
          <w:rtl/>
        </w:rPr>
        <w:t xml:space="preserve">على جميع الموظفين والطلاب والزائرين: </w:t>
      </w:r>
      <w:r w:rsidRPr="00F30EF3">
        <w:rPr>
          <w:rFonts w:cstheme="minorHAnsi"/>
          <w:rtl/>
        </w:rPr>
        <w:t>تُحدِّد سياسات الملكية الفكرية عادةً مجموعات الأشخاص الذين تنطبق عليهم السياسة. وفي معظم الحالات، يشمل ذلك أعضاء هيئة التدريس والموظفين والطلاب والزائرين وغيرهم من المشاركين في البرامج البحثية للمؤسسة. ومع ذلك، سيتم عادةً تطبيق قواعد وحقوق ملكية والتزامات مختلفة على أعضاء هيئة التدريس (الموظفين) والطلاب (غير الموظفين) والزائرين.</w:t>
      </w:r>
    </w:p>
    <w:p w14:paraId="02A39565" w14:textId="77777777" w:rsidR="001929CD" w:rsidRPr="00F30EF3" w:rsidRDefault="00C351D0" w:rsidP="0054678D">
      <w:pPr>
        <w:pStyle w:val="ListParagraph"/>
        <w:numPr>
          <w:ilvl w:val="0"/>
          <w:numId w:val="25"/>
        </w:numPr>
        <w:spacing w:after="120" w:line="240" w:lineRule="auto"/>
        <w:ind w:left="432" w:hanging="432"/>
        <w:contextualSpacing w:val="0"/>
        <w:jc w:val="both"/>
        <w:rPr>
          <w:rFonts w:cstheme="minorHAnsi"/>
          <w:rtl/>
        </w:rPr>
      </w:pPr>
      <w:r w:rsidRPr="00F30EF3">
        <w:rPr>
          <w:rFonts w:cstheme="minorHAnsi"/>
          <w:color w:val="000000" w:themeColor="text1"/>
          <w:rtl/>
        </w:rPr>
        <w:t xml:space="preserve">ينبغي اختيار الأشخاص الذين تنطبق عليهم سياسة الملكية الفكرية بعناية مع مراعاة التقاليد والعدالة والأخلاق والمسائل العملية وممارسات الإدارة الجيدة التي تم تعلمها على مدى عقود. لقد صُمِّم النموذج مع أخذ كل هذه العوامل في الاعتبار.  </w:t>
      </w:r>
    </w:p>
    <w:p w14:paraId="61DBF977" w14:textId="17BCF60C" w:rsidR="00730B7B" w:rsidRPr="00F30EF3" w:rsidRDefault="00730B7B" w:rsidP="007B2484">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284"/>
        <w:jc w:val="both"/>
        <w:rPr>
          <w:rFonts w:cstheme="minorHAnsi"/>
          <w:b/>
          <w:bCs/>
          <w:rtl/>
        </w:rPr>
      </w:pPr>
      <w:r w:rsidRPr="00F30EF3">
        <w:rPr>
          <w:rFonts w:cstheme="minorHAnsi"/>
          <w:b/>
          <w:bCs/>
          <w:rtl/>
        </w:rPr>
        <w:t xml:space="preserve">الإطار </w:t>
      </w:r>
      <w:r w:rsidR="0054678D" w:rsidRPr="00F30EF3">
        <w:rPr>
          <w:rFonts w:cstheme="minorHAnsi"/>
          <w:b/>
          <w:bCs/>
        </w:rPr>
        <w:t>.8</w:t>
      </w:r>
      <w:r w:rsidRPr="00F30EF3">
        <w:rPr>
          <w:rFonts w:cstheme="minorHAnsi"/>
          <w:b/>
          <w:bCs/>
          <w:rtl/>
        </w:rPr>
        <w:t xml:space="preserve"> نصائح لتحديد النطاق</w:t>
      </w:r>
    </w:p>
    <w:p w14:paraId="4EFE28A4" w14:textId="77777777" w:rsidR="005662A9" w:rsidRPr="00F30EF3" w:rsidRDefault="005662A9" w:rsidP="007B2484">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284"/>
        <w:jc w:val="both"/>
        <w:rPr>
          <w:rFonts w:cstheme="minorHAnsi"/>
          <w:lang w:val="en-US"/>
        </w:rPr>
      </w:pPr>
    </w:p>
    <w:p w14:paraId="0769F053" w14:textId="77777777" w:rsidR="005662A9" w:rsidRPr="00F30EF3" w:rsidRDefault="00730B7B" w:rsidP="009D4A54">
      <w:pPr>
        <w:pStyle w:val="ListParagraph"/>
        <w:numPr>
          <w:ilvl w:val="0"/>
          <w:numId w:val="44"/>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hanging="436"/>
        <w:jc w:val="both"/>
        <w:rPr>
          <w:rFonts w:cstheme="minorHAnsi"/>
          <w:rtl/>
        </w:rPr>
      </w:pPr>
      <w:r w:rsidRPr="00F30EF3">
        <w:rPr>
          <w:rFonts w:cstheme="minorHAnsi"/>
          <w:rtl/>
        </w:rPr>
        <w:t>فكِّر بعناية في كل فئة من الأشخاص المنتسبين إلى مؤسستك وما إذا كان ينبغي أن يندرجوا ضمن هذه السياسة أم خارجها.</w:t>
      </w:r>
    </w:p>
    <w:p w14:paraId="06356457" w14:textId="77777777" w:rsidR="005662A9" w:rsidRPr="00F30EF3" w:rsidRDefault="00730B7B" w:rsidP="009D4A54">
      <w:pPr>
        <w:pStyle w:val="ListParagraph"/>
        <w:numPr>
          <w:ilvl w:val="0"/>
          <w:numId w:val="44"/>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284" w:firstLine="0"/>
        <w:jc w:val="both"/>
        <w:rPr>
          <w:rFonts w:cstheme="minorHAnsi"/>
          <w:rtl/>
        </w:rPr>
      </w:pPr>
      <w:r w:rsidRPr="00F30EF3">
        <w:rPr>
          <w:rFonts w:cstheme="minorHAnsi"/>
          <w:rtl/>
        </w:rPr>
        <w:t xml:space="preserve">تحديد كيفية التزام كل فئة بالسياسة (انظر </w:t>
      </w:r>
      <w:hyperlink w:anchor="_Article_3.4_–" w:history="1">
        <w:r w:rsidRPr="00F30EF3">
          <w:rPr>
            <w:rStyle w:val="Hyperlink"/>
            <w:rFonts w:cstheme="minorHAnsi"/>
            <w:rtl/>
          </w:rPr>
          <w:t>المادة 4.3</w:t>
        </w:r>
      </w:hyperlink>
      <w:r w:rsidRPr="00F30EF3">
        <w:rPr>
          <w:rFonts w:cstheme="minorHAnsi"/>
          <w:rtl/>
        </w:rPr>
        <w:t>).</w:t>
      </w:r>
    </w:p>
    <w:p w14:paraId="49571C52" w14:textId="77777777" w:rsidR="00BE113E" w:rsidRPr="00F30EF3" w:rsidRDefault="00730B7B" w:rsidP="009D4A54">
      <w:pPr>
        <w:pStyle w:val="ListParagraph"/>
        <w:numPr>
          <w:ilvl w:val="0"/>
          <w:numId w:val="44"/>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284" w:firstLine="0"/>
        <w:jc w:val="both"/>
        <w:rPr>
          <w:rFonts w:cstheme="minorHAnsi"/>
          <w:rtl/>
        </w:rPr>
      </w:pPr>
      <w:r w:rsidRPr="00F30EF3">
        <w:rPr>
          <w:rFonts w:cstheme="minorHAnsi"/>
          <w:rtl/>
        </w:rPr>
        <w:t xml:space="preserve">ثم ضع في اعتبارك كيفية التعامل مع كل نوع مختلف من أنواع الملكية الفكرية التي قد ينشؤونها.  </w:t>
      </w:r>
    </w:p>
    <w:p w14:paraId="2DE650E7" w14:textId="77777777" w:rsidR="00EC4C0C" w:rsidRPr="00F30EF3" w:rsidRDefault="00EC4C0C">
      <w:pPr>
        <w:pStyle w:val="ListParagraph"/>
        <w:spacing w:line="240" w:lineRule="auto"/>
        <w:ind w:left="0"/>
        <w:jc w:val="both"/>
        <w:rPr>
          <w:rFonts w:cstheme="minorHAnsi"/>
          <w:lang w:val="en-US"/>
        </w:rPr>
      </w:pPr>
    </w:p>
    <w:p w14:paraId="77BA82F5" w14:textId="77777777" w:rsidR="00356495" w:rsidRPr="00F30EF3" w:rsidRDefault="001929CD" w:rsidP="009D4A54">
      <w:pPr>
        <w:pStyle w:val="ListParagraph"/>
        <w:numPr>
          <w:ilvl w:val="0"/>
          <w:numId w:val="43"/>
        </w:numPr>
        <w:spacing w:line="240" w:lineRule="auto"/>
        <w:ind w:left="426" w:hanging="426"/>
        <w:jc w:val="both"/>
        <w:rPr>
          <w:rFonts w:cstheme="minorHAnsi"/>
          <w:rtl/>
        </w:rPr>
      </w:pPr>
      <w:r w:rsidRPr="00F30EF3">
        <w:rPr>
          <w:rFonts w:cstheme="minorHAnsi"/>
          <w:b/>
          <w:bCs/>
          <w:i/>
          <w:iCs/>
          <w:rtl/>
        </w:rPr>
        <w:t>من يشارك في المشروع البحثي</w:t>
      </w:r>
      <w:r w:rsidRPr="00F30EF3">
        <w:rPr>
          <w:rFonts w:cstheme="minorHAnsi"/>
          <w:rtl/>
        </w:rPr>
        <w:t xml:space="preserve">: ينطبق النموذج على الأفراد المشاركين في مشروعات بحثية مع الأخذ في الاعتبار الالتزامات التي تتحملها المؤسسة بشكل عام تجاه الأطراف الخارجية التي تمول مثل هذه المشروعات. </w:t>
      </w:r>
    </w:p>
    <w:p w14:paraId="493EF76D" w14:textId="77777777" w:rsidR="00EC4C0C" w:rsidRPr="00F30EF3" w:rsidRDefault="00EC4C0C" w:rsidP="00B7519E">
      <w:pPr>
        <w:pStyle w:val="ListParagraph"/>
        <w:spacing w:line="240" w:lineRule="auto"/>
        <w:ind w:left="426"/>
        <w:jc w:val="both"/>
        <w:rPr>
          <w:rFonts w:cstheme="minorHAnsi"/>
          <w:lang w:val="en-US"/>
        </w:rPr>
      </w:pPr>
    </w:p>
    <w:p w14:paraId="0FA6E558" w14:textId="77777777" w:rsidR="007424E4" w:rsidRPr="00F30EF3" w:rsidRDefault="008742F5" w:rsidP="009D4A54">
      <w:pPr>
        <w:pStyle w:val="ListParagraph"/>
        <w:numPr>
          <w:ilvl w:val="0"/>
          <w:numId w:val="43"/>
        </w:numPr>
        <w:spacing w:line="240" w:lineRule="auto"/>
        <w:ind w:left="426" w:hanging="426"/>
        <w:jc w:val="both"/>
        <w:rPr>
          <w:rFonts w:cstheme="minorHAnsi"/>
          <w:rtl/>
        </w:rPr>
      </w:pPr>
      <w:bookmarkStart w:id="91" w:name="_Toc494115955"/>
      <w:r w:rsidRPr="00F30EF3">
        <w:rPr>
          <w:rFonts w:cstheme="minorHAnsi"/>
          <w:b/>
          <w:bCs/>
          <w:i/>
          <w:iCs/>
          <w:rtl/>
        </w:rPr>
        <w:t>تظل الحقوق والالتزامات سارية بعد إنهاء التوظيف:</w:t>
      </w:r>
      <w:r w:rsidRPr="00F30EF3">
        <w:rPr>
          <w:rFonts w:cstheme="minorHAnsi"/>
          <w:rtl/>
        </w:rPr>
        <w:t xml:space="preserve"> وفي حالة أن الشخص الذي يشارك أو شارك في إبداع الملكية الفكرية ترك مؤسستك بغية الانضمام إلى مؤسسة أو شركة أخرى، فإنه يجب عليك التأكد من وجود اتفاق مكتوب سارٍ يحدد حالة ملكية الملكية الفكرية. إذا تم اعتبار الموظف أو الطالب أو الزائر مخترعاً/مؤلفاً، فإن الفوائد التي تتراكم من تسويق الملكية الفكرية ستكون مستحقة للمخترع/المؤلف بعد انتهاء توظيفه.</w:t>
      </w:r>
    </w:p>
    <w:p w14:paraId="10B92528" w14:textId="77777777" w:rsidR="00356495" w:rsidRPr="00F30EF3" w:rsidRDefault="00356495" w:rsidP="00B7519E">
      <w:pPr>
        <w:pStyle w:val="ListParagraph"/>
        <w:spacing w:line="240" w:lineRule="auto"/>
        <w:ind w:left="426"/>
        <w:jc w:val="both"/>
        <w:rPr>
          <w:rFonts w:cstheme="minorHAnsi"/>
          <w:lang w:val="en-US"/>
        </w:rPr>
      </w:pPr>
    </w:p>
    <w:p w14:paraId="29D32E3F" w14:textId="77777777" w:rsidR="00504973" w:rsidRPr="00F30EF3" w:rsidRDefault="0066706C" w:rsidP="00A00BFF">
      <w:pPr>
        <w:pStyle w:val="Heading3"/>
        <w:rPr>
          <w:rFonts w:asciiTheme="minorHAnsi" w:hAnsiTheme="minorHAnsi" w:cstheme="minorHAnsi"/>
          <w:sz w:val="22"/>
          <w:szCs w:val="22"/>
          <w:rtl/>
        </w:rPr>
      </w:pPr>
      <w:bookmarkStart w:id="92" w:name="_Article_3.4_–"/>
      <w:bookmarkStart w:id="93" w:name="_Toc516160049"/>
      <w:bookmarkStart w:id="94" w:name="_Toc516219392"/>
      <w:bookmarkStart w:id="95" w:name="_Toc516496033"/>
      <w:bookmarkStart w:id="96" w:name="_Toc516829405"/>
      <w:bookmarkEnd w:id="92"/>
      <w:r w:rsidRPr="00F30EF3">
        <w:rPr>
          <w:rFonts w:asciiTheme="minorHAnsi" w:hAnsiTheme="minorHAnsi" w:cstheme="minorHAnsi"/>
          <w:sz w:val="22"/>
          <w:szCs w:val="22"/>
          <w:rtl/>
        </w:rPr>
        <w:lastRenderedPageBreak/>
        <w:t>المادة 4.3 – التأثير الملزم للسياسة</w:t>
      </w:r>
      <w:bookmarkEnd w:id="91"/>
      <w:bookmarkEnd w:id="93"/>
      <w:bookmarkEnd w:id="94"/>
      <w:bookmarkEnd w:id="95"/>
      <w:bookmarkEnd w:id="96"/>
    </w:p>
    <w:p w14:paraId="25A20200" w14:textId="77777777" w:rsidR="000A4F79" w:rsidRPr="00F30EF3" w:rsidRDefault="004950E6" w:rsidP="00A00BFF">
      <w:pPr>
        <w:keepNext/>
        <w:keepLines/>
        <w:spacing w:after="0" w:line="240" w:lineRule="auto"/>
        <w:jc w:val="both"/>
        <w:rPr>
          <w:rFonts w:cstheme="minorHAnsi"/>
          <w:b/>
          <w:bCs/>
          <w:color w:val="0070C0"/>
          <w:rtl/>
        </w:rPr>
      </w:pPr>
      <w:r w:rsidRPr="00F30EF3">
        <w:rPr>
          <w:rFonts w:cstheme="minorHAnsi"/>
          <w:b/>
          <w:bCs/>
          <w:color w:val="0070C0"/>
          <w:rtl/>
        </w:rPr>
        <w:t>متى تكون سياسة الملكية الفكرية ملزمة قانوناً؟</w:t>
      </w:r>
    </w:p>
    <w:p w14:paraId="53338F0B" w14:textId="77777777" w:rsidR="000A4F79" w:rsidRPr="00F30EF3" w:rsidRDefault="000A4F79" w:rsidP="00A00BFF">
      <w:pPr>
        <w:keepNext/>
        <w:keepLines/>
        <w:spacing w:after="0" w:line="240" w:lineRule="auto"/>
        <w:jc w:val="both"/>
        <w:rPr>
          <w:rFonts w:cstheme="minorHAnsi"/>
          <w:color w:val="000000" w:themeColor="text1"/>
          <w:lang w:val="en-US"/>
        </w:rPr>
      </w:pPr>
    </w:p>
    <w:p w14:paraId="7C03790D" w14:textId="7A22A7B4" w:rsidR="004670EC" w:rsidRPr="00F30EF3" w:rsidRDefault="00EA3030" w:rsidP="00A00BFF">
      <w:pPr>
        <w:keepNext/>
        <w:keepLines/>
        <w:spacing w:line="240" w:lineRule="auto"/>
        <w:jc w:val="both"/>
        <w:rPr>
          <w:rFonts w:cstheme="minorHAnsi"/>
          <w:rtl/>
        </w:rPr>
      </w:pPr>
      <w:r w:rsidRPr="00F30EF3">
        <w:rPr>
          <w:rFonts w:cstheme="minorHAnsi"/>
          <w:rtl/>
        </w:rPr>
        <w:t xml:space="preserve">إن سياسة الملكية الفكرية هي مجرد سياسة في صورة وثيقة أحادية صاغتها المؤسسة، وليست وثيقة توافقية. ومن ثمَّ، فإن السياسة ليست قانوناً، بل مسار عمل مقترح. ولذلك لا يمكن </w:t>
      </w:r>
      <w:r w:rsidRPr="00F30EF3">
        <w:rPr>
          <w:rFonts w:cstheme="minorHAnsi"/>
          <w:i/>
          <w:iCs/>
          <w:rtl/>
        </w:rPr>
        <w:t>الافتراض</w:t>
      </w:r>
      <w:r w:rsidRPr="00F30EF3">
        <w:rPr>
          <w:rFonts w:cstheme="minorHAnsi"/>
          <w:rtl/>
        </w:rPr>
        <w:t xml:space="preserve"> أن سياسة الملكية الفكرية ملزمة قانوناً. ثمة حاجة إلى ما هو أكثر من ذلك كي يكون هذا هو الحال. </w:t>
      </w:r>
    </w:p>
    <w:p w14:paraId="2C47E2AE" w14:textId="77777777" w:rsidR="006630A0" w:rsidRPr="00F30EF3" w:rsidRDefault="006630A0" w:rsidP="007323E2">
      <w:pPr>
        <w:spacing w:line="240" w:lineRule="auto"/>
        <w:jc w:val="both"/>
        <w:rPr>
          <w:rFonts w:cstheme="minorHAnsi"/>
          <w:rtl/>
        </w:rPr>
      </w:pPr>
      <w:r w:rsidRPr="00F30EF3">
        <w:rPr>
          <w:rFonts w:cstheme="minorHAnsi"/>
          <w:rtl/>
        </w:rPr>
        <w:t xml:space="preserve">لكي تكون سياسة الملكية الفكرية قابلة للتنفيذ أو ملزمة قانوناً، يجب أن تكون لها قوة تشريعية، أو أن تشكل جزءاً من عقد ملزم قانوناً. ولا بد من تحليل كلا المتطلبين بموجب القانون المطبق في البلد. </w:t>
      </w:r>
    </w:p>
    <w:p w14:paraId="5CD009E5" w14:textId="77777777" w:rsidR="00A62617" w:rsidRPr="00F30EF3" w:rsidRDefault="00455CCB" w:rsidP="005701DC">
      <w:pPr>
        <w:pStyle w:val="ListParagraph"/>
        <w:numPr>
          <w:ilvl w:val="0"/>
          <w:numId w:val="43"/>
        </w:numPr>
        <w:spacing w:after="120" w:line="240" w:lineRule="auto"/>
        <w:ind w:left="426" w:hanging="426"/>
        <w:contextualSpacing w:val="0"/>
        <w:jc w:val="both"/>
        <w:rPr>
          <w:rFonts w:cstheme="minorHAnsi"/>
          <w:rtl/>
        </w:rPr>
      </w:pPr>
      <w:r w:rsidRPr="00F30EF3">
        <w:rPr>
          <w:rFonts w:cstheme="minorHAnsi"/>
          <w:color w:val="0070C0"/>
          <w:rtl/>
        </w:rPr>
        <w:t>سياسة الملكية الفكرية ذات القوة التشريعية في حد ذاتها</w:t>
      </w:r>
      <w:r w:rsidRPr="00F30EF3">
        <w:rPr>
          <w:rFonts w:cstheme="minorHAnsi"/>
          <w:rtl/>
        </w:rPr>
        <w:t>- في بعض البلدان، يمكن أن تكون سياسة الملكية الفكرية قانوناً، إذا كانت إما نظاماً أساسياً لسلطة تشريعية (تشريعاً أولياً) أو تشريعاً فرعياً</w:t>
      </w:r>
      <w:r w:rsidR="00790567" w:rsidRPr="00F30EF3">
        <w:rPr>
          <w:rStyle w:val="FootnoteReference"/>
          <w:rFonts w:cstheme="minorHAnsi"/>
          <w:rtl/>
          <w:lang w:val="en-US"/>
        </w:rPr>
        <w:footnoteReference w:id="58"/>
      </w:r>
      <w:r w:rsidRPr="00F30EF3">
        <w:rPr>
          <w:rFonts w:cstheme="minorHAnsi"/>
          <w:rtl/>
        </w:rPr>
        <w:t xml:space="preserve"> مصرحاً به بموجب نظام أساسي لسلطة تشريعية (مثل لائحة أو مدونة أو قانون فرعي). وبهذه الطريقة، يُنظر إلى سياسات الملكية الفكرية بالعديد من الجامعات الحكومية في الولايات المتحدة، وكذلك سياسات الملكية الفكرية لبعض الجامعات في المملكة المتحدة، على أنها قوانين. وغالباً ما تكون المؤسسة نفسها هي التي تضع التشريعات الفرعية. </w:t>
      </w:r>
    </w:p>
    <w:p w14:paraId="2C8566ED" w14:textId="77777777" w:rsidR="00EC062C" w:rsidRPr="00F30EF3" w:rsidRDefault="00455CCB" w:rsidP="005701DC">
      <w:pPr>
        <w:pStyle w:val="ListParagraph"/>
        <w:numPr>
          <w:ilvl w:val="0"/>
          <w:numId w:val="67"/>
        </w:numPr>
        <w:spacing w:after="120" w:line="240" w:lineRule="auto"/>
        <w:ind w:left="426" w:hanging="426"/>
        <w:contextualSpacing w:val="0"/>
        <w:jc w:val="both"/>
        <w:rPr>
          <w:rFonts w:cstheme="minorHAnsi"/>
          <w:rtl/>
        </w:rPr>
      </w:pPr>
      <w:r w:rsidRPr="00F30EF3">
        <w:rPr>
          <w:rFonts w:cstheme="minorHAnsi"/>
          <w:color w:val="0070C0"/>
          <w:rtl/>
        </w:rPr>
        <w:t xml:space="preserve">سياسة الملكية الفكرية التي تعكس مبدأ قانونياً للقانون الوطني </w:t>
      </w:r>
      <w:r w:rsidRPr="00F30EF3">
        <w:rPr>
          <w:rFonts w:cstheme="minorHAnsi"/>
          <w:rtl/>
        </w:rPr>
        <w:t>-</w:t>
      </w:r>
      <w:r w:rsidRPr="00F30EF3">
        <w:rPr>
          <w:rFonts w:cstheme="minorHAnsi"/>
          <w:color w:val="0070C0"/>
          <w:rtl/>
        </w:rPr>
        <w:t xml:space="preserve"> </w:t>
      </w:r>
      <w:r w:rsidRPr="00F30EF3">
        <w:rPr>
          <w:rFonts w:cstheme="minorHAnsi"/>
          <w:rtl/>
        </w:rPr>
        <w:t>غالباً ما تعكس سياسات الملكية الفكرية المؤسسية قواعد القانون الوطني</w:t>
      </w:r>
      <w:r w:rsidRPr="00F30EF3">
        <w:rPr>
          <w:rFonts w:cstheme="minorHAnsi"/>
          <w:color w:val="0070C0"/>
          <w:rtl/>
        </w:rPr>
        <w:t xml:space="preserve"> </w:t>
      </w:r>
      <w:r w:rsidRPr="00F30EF3">
        <w:rPr>
          <w:rFonts w:cstheme="minorHAnsi"/>
          <w:rtl/>
        </w:rPr>
        <w:t>التي تنطبق بشكل مستقل عن سياسة الملكية الفكرية. على سبيل المثال، قد تنص سياسة الملكية الفكرية على أن المؤسسة تمتلك الملكية الفكرية التي أنشأها موظف أثناء أداء واجباته، وقد تكون هذه أيضاً القاعدة العامة المنصوص عليها في قانون بلد المؤسسة.</w:t>
      </w:r>
    </w:p>
    <w:p w14:paraId="35004355" w14:textId="77777777" w:rsidR="00455CCB" w:rsidRPr="00F30EF3" w:rsidRDefault="00455CCB" w:rsidP="009D4A54">
      <w:pPr>
        <w:pStyle w:val="ListParagraph"/>
        <w:numPr>
          <w:ilvl w:val="0"/>
          <w:numId w:val="43"/>
        </w:numPr>
        <w:spacing w:after="0" w:line="240" w:lineRule="auto"/>
        <w:ind w:left="426" w:hanging="426"/>
        <w:jc w:val="both"/>
        <w:rPr>
          <w:rFonts w:cstheme="minorHAnsi"/>
          <w:rtl/>
        </w:rPr>
      </w:pPr>
      <w:r w:rsidRPr="00F30EF3">
        <w:rPr>
          <w:rFonts w:cstheme="minorHAnsi"/>
          <w:color w:val="0070C0"/>
          <w:rtl/>
        </w:rPr>
        <w:t xml:space="preserve">سياسة الملكية الفكرية التي تكون جزءاً من عقد ملزم قانوناً </w:t>
      </w:r>
      <w:r w:rsidRPr="00F30EF3">
        <w:rPr>
          <w:rFonts w:cstheme="minorHAnsi"/>
          <w:rtl/>
        </w:rPr>
        <w:t>-</w:t>
      </w:r>
      <w:r w:rsidRPr="00F30EF3">
        <w:rPr>
          <w:rFonts w:cstheme="minorHAnsi"/>
          <w:color w:val="0070C0"/>
          <w:rtl/>
        </w:rPr>
        <w:t xml:space="preserve"> </w:t>
      </w:r>
      <w:r w:rsidRPr="00F30EF3">
        <w:rPr>
          <w:rFonts w:cstheme="minorHAnsi"/>
          <w:rtl/>
        </w:rPr>
        <w:t xml:space="preserve">إذا تم تضمين أحكام سياسة الملكية الفكرية في عقد ملزم قانوناً، فإن سياسة الملكية الفكرية تصبح واجبة الإنفاذ على جميع الأطراف المتعاقدة.  </w:t>
      </w:r>
    </w:p>
    <w:p w14:paraId="6623F67C" w14:textId="77777777" w:rsidR="00455CCB" w:rsidRPr="00F30EF3" w:rsidRDefault="00455CCB" w:rsidP="00B7519E">
      <w:pPr>
        <w:spacing w:after="0" w:line="240" w:lineRule="auto"/>
        <w:jc w:val="both"/>
        <w:rPr>
          <w:rFonts w:cstheme="minorHAnsi"/>
          <w:lang w:val="en-US"/>
        </w:rPr>
      </w:pPr>
    </w:p>
    <w:p w14:paraId="0CB3CE63" w14:textId="77777777" w:rsidR="007424E4" w:rsidRPr="00F30EF3" w:rsidRDefault="00C60DE4" w:rsidP="007424E4">
      <w:pPr>
        <w:rPr>
          <w:rFonts w:cstheme="minorHAnsi"/>
          <w:b/>
          <w:bCs/>
          <w:color w:val="0070C0"/>
          <w:rtl/>
        </w:rPr>
      </w:pPr>
      <w:r w:rsidRPr="00F30EF3">
        <w:rPr>
          <w:rFonts w:cstheme="minorHAnsi"/>
          <w:b/>
          <w:bCs/>
          <w:color w:val="0070C0"/>
          <w:rtl/>
        </w:rPr>
        <w:t>المادة 1.4.3 - قضايا خاصة تتعلق بالموظفين</w:t>
      </w:r>
      <w:r w:rsidRPr="00F30EF3">
        <w:rPr>
          <w:rFonts w:cstheme="minorHAnsi"/>
          <w:rtl/>
        </w:rPr>
        <w:t xml:space="preserve"> </w:t>
      </w:r>
    </w:p>
    <w:p w14:paraId="69016F8C" w14:textId="6EFAE160" w:rsidR="007424E4" w:rsidRPr="00F30EF3" w:rsidRDefault="007424E4" w:rsidP="009D4A54">
      <w:pPr>
        <w:pStyle w:val="ListParagraph"/>
        <w:numPr>
          <w:ilvl w:val="0"/>
          <w:numId w:val="67"/>
        </w:numPr>
        <w:spacing w:line="240" w:lineRule="auto"/>
        <w:ind w:left="426" w:hanging="426"/>
        <w:jc w:val="both"/>
        <w:rPr>
          <w:rFonts w:cstheme="minorHAnsi"/>
          <w:rtl/>
        </w:rPr>
      </w:pPr>
      <w:r w:rsidRPr="00F30EF3">
        <w:rPr>
          <w:rFonts w:cstheme="minorHAnsi"/>
          <w:b/>
          <w:bCs/>
          <w:rtl/>
        </w:rPr>
        <w:t xml:space="preserve">المادة 1.4.3، </w:t>
      </w:r>
      <w:r w:rsidRPr="00F30EF3">
        <w:rPr>
          <w:rFonts w:cstheme="minorHAnsi"/>
          <w:b/>
          <w:bCs/>
          <w:i/>
          <w:iCs/>
          <w:rtl/>
        </w:rPr>
        <w:t>التأكد من أن عقد التوظيف [...] يتضمن حكماً يضع الموظفين ضمن نطاق هذه السياسة</w:t>
      </w:r>
      <w:r w:rsidRPr="00F30EF3">
        <w:rPr>
          <w:rFonts w:cstheme="minorHAnsi"/>
          <w:rtl/>
        </w:rPr>
        <w:t>: ملاحظة للتحذير: عادةً ما يتم تضمين سياسات الملكية الفكرية المؤسسية "بالإحالة" في عقود العمل، وذلك ببساطة لتجنب نسخ النص الكامل للسياسة. على سبيل المثال، يمكن أن ينص عقد الموظف على ما يلي: "</w:t>
      </w:r>
      <w:r w:rsidRPr="00F30EF3">
        <w:rPr>
          <w:rFonts w:cstheme="minorHAnsi"/>
          <w:i/>
          <w:iCs/>
          <w:rtl/>
        </w:rPr>
        <w:t>تلتزم جين سميث بسياسة الملكية الفكرية الخاصة بالجامعة، والتي تعتبر أحكامها مدمجة بالإحالة في هذا الاتفاق"</w:t>
      </w:r>
      <w:r w:rsidRPr="00F30EF3">
        <w:rPr>
          <w:rFonts w:cstheme="minorHAnsi"/>
          <w:rtl/>
        </w:rPr>
        <w:t>.</w:t>
      </w:r>
    </w:p>
    <w:p w14:paraId="772147EA" w14:textId="77777777" w:rsidR="009D7CD4" w:rsidRPr="00F30EF3" w:rsidRDefault="00DA4011" w:rsidP="00B7519E">
      <w:pPr>
        <w:shd w:val="clear" w:color="auto" w:fill="FFFFFF" w:themeFill="background1"/>
        <w:spacing w:after="0" w:line="240" w:lineRule="auto"/>
        <w:ind w:left="426"/>
        <w:jc w:val="both"/>
        <w:rPr>
          <w:rFonts w:cstheme="minorHAnsi"/>
          <w:rtl/>
        </w:rPr>
      </w:pPr>
      <w:r w:rsidRPr="00F30EF3">
        <w:rPr>
          <w:rFonts w:cstheme="minorHAnsi"/>
          <w:rtl/>
        </w:rPr>
        <w:t>في حين أن معظم البلدان تقبل مبدأ "التضمين بالإحالة"</w:t>
      </w:r>
      <w:r w:rsidR="00340057" w:rsidRPr="00F30EF3">
        <w:rPr>
          <w:rStyle w:val="FootnoteReference"/>
          <w:rFonts w:cstheme="minorHAnsi"/>
          <w:rtl/>
          <w:lang w:val="en-US"/>
        </w:rPr>
        <w:footnoteReference w:id="59"/>
      </w:r>
      <w:r w:rsidRPr="00F30EF3">
        <w:rPr>
          <w:rFonts w:cstheme="minorHAnsi"/>
          <w:rtl/>
        </w:rPr>
        <w:t>، فإن هذا التضمين يجب أن يتوافق مع المتطلبات القانونية الصارمة كي يكون سارياً. وعادةً ما تنطبق المتطلبات التالية:</w:t>
      </w:r>
    </w:p>
    <w:p w14:paraId="52D0D817" w14:textId="77777777" w:rsidR="009D7CD4" w:rsidRPr="00F30EF3" w:rsidRDefault="009D7CD4" w:rsidP="009D4A54">
      <w:pPr>
        <w:pStyle w:val="ListParagraph"/>
        <w:numPr>
          <w:ilvl w:val="0"/>
          <w:numId w:val="66"/>
        </w:numPr>
        <w:shd w:val="clear" w:color="auto" w:fill="FFFFFF" w:themeFill="background1"/>
        <w:spacing w:after="0" w:line="240" w:lineRule="auto"/>
        <w:ind w:left="709" w:hanging="283"/>
        <w:jc w:val="both"/>
        <w:rPr>
          <w:rFonts w:cstheme="minorHAnsi"/>
          <w:rtl/>
        </w:rPr>
      </w:pPr>
      <w:r w:rsidRPr="00F30EF3">
        <w:rPr>
          <w:rFonts w:cstheme="minorHAnsi"/>
          <w:rtl/>
        </w:rPr>
        <w:t>يجب أن تكون الإحالة إلى سياسة الملكية الفكرية واضحة ولا لبس فيها؛</w:t>
      </w:r>
    </w:p>
    <w:p w14:paraId="30FEBC67" w14:textId="77777777" w:rsidR="009D7CD4" w:rsidRPr="00F30EF3" w:rsidRDefault="009D7CD4" w:rsidP="009D4A54">
      <w:pPr>
        <w:pStyle w:val="ListParagraph"/>
        <w:numPr>
          <w:ilvl w:val="0"/>
          <w:numId w:val="66"/>
        </w:numPr>
        <w:shd w:val="clear" w:color="auto" w:fill="FFFFFF" w:themeFill="background1"/>
        <w:spacing w:after="0" w:line="240" w:lineRule="auto"/>
        <w:ind w:left="709" w:hanging="283"/>
        <w:jc w:val="both"/>
        <w:rPr>
          <w:rFonts w:cstheme="minorHAnsi"/>
          <w:rtl/>
        </w:rPr>
      </w:pPr>
      <w:r w:rsidRPr="00F30EF3">
        <w:rPr>
          <w:rFonts w:cstheme="minorHAnsi"/>
          <w:rtl/>
        </w:rPr>
        <w:t>يجب لفت انتباه الموظف (أو الطالب) إلى الإحالة؛</w:t>
      </w:r>
    </w:p>
    <w:p w14:paraId="378E9149" w14:textId="77777777" w:rsidR="009D7CD4" w:rsidRPr="00F30EF3" w:rsidRDefault="009D7CD4" w:rsidP="009D4A54">
      <w:pPr>
        <w:pStyle w:val="ListParagraph"/>
        <w:numPr>
          <w:ilvl w:val="0"/>
          <w:numId w:val="66"/>
        </w:numPr>
        <w:shd w:val="clear" w:color="auto" w:fill="FFFFFF" w:themeFill="background1"/>
        <w:spacing w:after="0" w:line="240" w:lineRule="auto"/>
        <w:ind w:left="709" w:hanging="283"/>
        <w:jc w:val="both"/>
        <w:rPr>
          <w:rFonts w:cstheme="minorHAnsi"/>
          <w:rtl/>
        </w:rPr>
      </w:pPr>
      <w:r w:rsidRPr="00F30EF3">
        <w:rPr>
          <w:rFonts w:cstheme="minorHAnsi"/>
          <w:rtl/>
        </w:rPr>
        <w:t>يجب أن يكون الموظف (أو الطالب) قد وافق على سياسة الملكية الفكرية، مما يعني أنه يجب أن تتاح للموظف (أو الطالب) فرصة قراءتها والاطلاع على محتوياتها؛</w:t>
      </w:r>
    </w:p>
    <w:p w14:paraId="73687D80" w14:textId="77777777" w:rsidR="009D7CD4" w:rsidRPr="00F30EF3" w:rsidRDefault="009D7CD4" w:rsidP="009D4A54">
      <w:pPr>
        <w:pStyle w:val="ListParagraph"/>
        <w:numPr>
          <w:ilvl w:val="0"/>
          <w:numId w:val="66"/>
        </w:numPr>
        <w:shd w:val="clear" w:color="auto" w:fill="FFFFFF" w:themeFill="background1"/>
        <w:spacing w:after="0" w:line="240" w:lineRule="auto"/>
        <w:ind w:left="709" w:hanging="283"/>
        <w:jc w:val="both"/>
        <w:rPr>
          <w:rFonts w:cstheme="minorHAnsi"/>
          <w:rtl/>
        </w:rPr>
      </w:pPr>
      <w:r w:rsidRPr="00F30EF3">
        <w:rPr>
          <w:rFonts w:cstheme="minorHAnsi"/>
          <w:rtl/>
        </w:rPr>
        <w:t>ويجب أن تكون شروط سياسة الملكية الفكرية إما: (أ) معروفة بالفعل للموظف (أو الطالب)، أو (ب) تكون متاحة بسهولة للموظف (أو الطالب).</w:t>
      </w:r>
    </w:p>
    <w:p w14:paraId="3F2B1B25" w14:textId="77777777" w:rsidR="00724FB7" w:rsidRPr="00F30EF3" w:rsidRDefault="00724FB7" w:rsidP="00327970">
      <w:pPr>
        <w:shd w:val="clear" w:color="auto" w:fill="FFFFFF" w:themeFill="background1"/>
        <w:spacing w:after="0" w:line="240" w:lineRule="auto"/>
        <w:jc w:val="both"/>
        <w:rPr>
          <w:rFonts w:cstheme="minorHAnsi"/>
          <w:b/>
          <w:bCs/>
          <w:lang w:val="en-US"/>
        </w:rPr>
      </w:pPr>
    </w:p>
    <w:p w14:paraId="73BD2105" w14:textId="42EC2B06" w:rsidR="00455CCB" w:rsidRPr="00F30EF3" w:rsidRDefault="00455CCB" w:rsidP="007323E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cstheme="minorHAnsi"/>
          <w:b/>
          <w:bCs/>
          <w:rtl/>
        </w:rPr>
      </w:pPr>
      <w:r w:rsidRPr="00F30EF3">
        <w:rPr>
          <w:rFonts w:cstheme="minorHAnsi"/>
          <w:b/>
          <w:bCs/>
          <w:rtl/>
        </w:rPr>
        <w:t xml:space="preserve">الإطار </w:t>
      </w:r>
      <w:r w:rsidR="00587F7F" w:rsidRPr="00F30EF3">
        <w:rPr>
          <w:rFonts w:cstheme="minorHAnsi"/>
          <w:b/>
          <w:bCs/>
        </w:rPr>
        <w:t>.9</w:t>
      </w:r>
      <w:r w:rsidRPr="00F30EF3">
        <w:rPr>
          <w:rFonts w:cstheme="minorHAnsi"/>
          <w:b/>
          <w:bCs/>
          <w:rtl/>
        </w:rPr>
        <w:t xml:space="preserve">  نصائح لتضمين سياسة الملكية الفكرية بالإحالة</w:t>
      </w:r>
    </w:p>
    <w:p w14:paraId="39A8C111" w14:textId="77777777" w:rsidR="00455CCB" w:rsidRPr="00F30EF3" w:rsidRDefault="00455CCB" w:rsidP="007323E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cstheme="minorHAnsi"/>
          <w:b/>
          <w:bCs/>
          <w:lang w:val="en-US"/>
        </w:rPr>
      </w:pPr>
    </w:p>
    <w:p w14:paraId="1A037395" w14:textId="77777777" w:rsidR="009D7CD4" w:rsidRPr="00F30EF3" w:rsidRDefault="003F61C4" w:rsidP="007323E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cstheme="minorHAnsi"/>
          <w:rtl/>
        </w:rPr>
      </w:pPr>
      <w:r w:rsidRPr="00F30EF3">
        <w:rPr>
          <w:rFonts w:cstheme="minorHAnsi"/>
          <w:rtl/>
        </w:rPr>
        <w:t xml:space="preserve">إذا رغبت مؤسسة ما في تضمين سياستها للملكية الفكرية في عقد عمل الموظف، فيجب عليها: </w:t>
      </w:r>
    </w:p>
    <w:p w14:paraId="1175DCC5" w14:textId="77777777" w:rsidR="00D31570" w:rsidRPr="00F30EF3" w:rsidRDefault="008E2328" w:rsidP="009D4A54">
      <w:pPr>
        <w:pStyle w:val="ListParagraph"/>
        <w:numPr>
          <w:ilvl w:val="0"/>
          <w:numId w:val="68"/>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294"/>
        <w:jc w:val="both"/>
        <w:rPr>
          <w:rFonts w:cstheme="minorHAnsi"/>
          <w:rtl/>
        </w:rPr>
      </w:pPr>
      <w:r w:rsidRPr="00F30EF3">
        <w:rPr>
          <w:rFonts w:cstheme="minorHAnsi"/>
          <w:rtl/>
        </w:rPr>
        <w:t>تحديد (فئة) الموظفين الذين من المفترض أن تنطبق عليهم سياسة الملكية الفكرية؛</w:t>
      </w:r>
    </w:p>
    <w:p w14:paraId="71A32989" w14:textId="77777777" w:rsidR="008E2328" w:rsidRPr="00F30EF3" w:rsidRDefault="008E2328" w:rsidP="009D4A54">
      <w:pPr>
        <w:pStyle w:val="ListParagraph"/>
        <w:numPr>
          <w:ilvl w:val="0"/>
          <w:numId w:val="68"/>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cstheme="minorHAnsi"/>
          <w:rtl/>
        </w:rPr>
      </w:pPr>
      <w:r w:rsidRPr="00F30EF3">
        <w:rPr>
          <w:rFonts w:cstheme="minorHAnsi"/>
          <w:rtl/>
        </w:rPr>
        <w:t>تضمين بند مشابه لمثال "جين سميث" في عقود العمل المكتوبة الخاصة بهم؛</w:t>
      </w:r>
    </w:p>
    <w:p w14:paraId="1B7D60E9" w14:textId="77777777" w:rsidR="008E2328" w:rsidRPr="00F30EF3" w:rsidRDefault="008E2328" w:rsidP="009D4A54">
      <w:pPr>
        <w:pStyle w:val="ListParagraph"/>
        <w:numPr>
          <w:ilvl w:val="0"/>
          <w:numId w:val="68"/>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294"/>
        <w:jc w:val="both"/>
        <w:rPr>
          <w:rFonts w:cstheme="minorHAnsi"/>
          <w:rtl/>
        </w:rPr>
      </w:pPr>
      <w:r w:rsidRPr="00F30EF3">
        <w:rPr>
          <w:rFonts w:cstheme="minorHAnsi"/>
          <w:rtl/>
        </w:rPr>
        <w:lastRenderedPageBreak/>
        <w:t xml:space="preserve">إرسال العقد بالبريد الإلكتروني إلى الموظف المستهدف تعيينه، والتأكد من تسليط الضوء في البريد الإلكتروني على ما يلي: "1" لفت الانتباه إلى البند؛ و"2" تضمين رابط إلى عنوان </w:t>
      </w:r>
      <w:r w:rsidRPr="00F30EF3">
        <w:rPr>
          <w:rFonts w:cstheme="minorHAnsi"/>
        </w:rPr>
        <w:t>URL</w:t>
      </w:r>
      <w:r w:rsidRPr="00F30EF3">
        <w:rPr>
          <w:rFonts w:cstheme="minorHAnsi"/>
          <w:rtl/>
        </w:rPr>
        <w:t xml:space="preserve"> المحدث لسياسة الملكية الفكرية؛ و"3" حث متلقي الرسالة على قراءة السياسة بعناية؛</w:t>
      </w:r>
    </w:p>
    <w:p w14:paraId="33FB931A" w14:textId="77777777" w:rsidR="009D7CD4" w:rsidRPr="00F30EF3" w:rsidRDefault="008E2328" w:rsidP="009D4A54">
      <w:pPr>
        <w:pStyle w:val="ListParagraph"/>
        <w:numPr>
          <w:ilvl w:val="0"/>
          <w:numId w:val="68"/>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294"/>
        <w:jc w:val="both"/>
        <w:rPr>
          <w:rFonts w:cstheme="minorHAnsi"/>
          <w:rtl/>
        </w:rPr>
      </w:pPr>
      <w:r w:rsidRPr="00F30EF3">
        <w:rPr>
          <w:rFonts w:cstheme="minorHAnsi"/>
          <w:rtl/>
        </w:rPr>
        <w:t>التأكد من مرور يومين على الأقل (أو يفضل أكثر) قبل أن يوقع المستلم على العقد، لإزالة أي شك في أنه قد أتيحت له الفرصة لمراجعة سياسة الملكية الفكرية.</w:t>
      </w:r>
    </w:p>
    <w:p w14:paraId="554718B9" w14:textId="793B6F80" w:rsidR="00587F7F" w:rsidRPr="00F30EF3" w:rsidRDefault="00587F7F">
      <w:pPr>
        <w:bidi w:val="0"/>
        <w:rPr>
          <w:rFonts w:cstheme="minorHAnsi"/>
          <w:b/>
          <w:bCs/>
          <w:color w:val="0070C0"/>
          <w:rtl/>
          <w:lang w:val="en-US"/>
        </w:rPr>
      </w:pPr>
      <w:r w:rsidRPr="00F30EF3">
        <w:rPr>
          <w:rFonts w:cstheme="minorHAnsi"/>
          <w:b/>
          <w:bCs/>
          <w:color w:val="0070C0"/>
          <w:rtl/>
          <w:lang w:val="en-US"/>
        </w:rPr>
        <w:br w:type="page"/>
      </w:r>
    </w:p>
    <w:p w14:paraId="57A3A2FB" w14:textId="77777777" w:rsidR="00CD1670" w:rsidRPr="00F30EF3" w:rsidRDefault="00C60DE4" w:rsidP="00B7519E">
      <w:pPr>
        <w:rPr>
          <w:rFonts w:cstheme="minorHAnsi"/>
          <w:b/>
          <w:bCs/>
          <w:color w:val="0070C0"/>
          <w:sz w:val="24"/>
          <w:szCs w:val="24"/>
          <w:rtl/>
        </w:rPr>
      </w:pPr>
      <w:r w:rsidRPr="00F30EF3">
        <w:rPr>
          <w:rFonts w:cstheme="minorHAnsi"/>
          <w:b/>
          <w:bCs/>
          <w:color w:val="0070C0"/>
          <w:sz w:val="24"/>
          <w:szCs w:val="24"/>
          <w:rtl/>
        </w:rPr>
        <w:lastRenderedPageBreak/>
        <w:t>المادة 2.4.3 - قضايا خاصة تتعلق بالطلاب</w:t>
      </w:r>
      <w:r w:rsidRPr="00F30EF3">
        <w:rPr>
          <w:rFonts w:cstheme="minorHAnsi"/>
          <w:sz w:val="24"/>
          <w:szCs w:val="24"/>
          <w:rtl/>
        </w:rPr>
        <w:t xml:space="preserve"> </w:t>
      </w:r>
    </w:p>
    <w:p w14:paraId="3BB04E53" w14:textId="0A618E0D" w:rsidR="00B5600C" w:rsidRPr="00F30EF3" w:rsidRDefault="00BD24F3" w:rsidP="009D4A54">
      <w:pPr>
        <w:pStyle w:val="ListParagraph"/>
        <w:numPr>
          <w:ilvl w:val="0"/>
          <w:numId w:val="69"/>
        </w:numPr>
        <w:spacing w:after="0" w:line="240" w:lineRule="auto"/>
        <w:ind w:left="426" w:hanging="426"/>
        <w:jc w:val="both"/>
        <w:rPr>
          <w:rFonts w:cstheme="minorHAnsi"/>
          <w:rtl/>
        </w:rPr>
      </w:pPr>
      <w:r w:rsidRPr="00F30EF3">
        <w:rPr>
          <w:rFonts w:cstheme="minorHAnsi"/>
          <w:b/>
          <w:bCs/>
          <w:rtl/>
        </w:rPr>
        <w:t xml:space="preserve">المادة 2.4.3، </w:t>
      </w:r>
      <w:r w:rsidRPr="00F30EF3">
        <w:rPr>
          <w:rFonts w:cstheme="minorHAnsi"/>
          <w:b/>
          <w:bCs/>
          <w:i/>
          <w:iCs/>
          <w:rtl/>
        </w:rPr>
        <w:t>تضمن المؤسسة توقيع الطلاب المشاركين في مشروع بحثي على اتفاق</w:t>
      </w:r>
      <w:r w:rsidRPr="00F30EF3">
        <w:rPr>
          <w:rFonts w:cstheme="minorHAnsi"/>
          <w:rtl/>
        </w:rPr>
        <w:t xml:space="preserve">: نقطة البداية هي أن الطلاب يمتلكون أي ملكية فكرية </w:t>
      </w:r>
      <w:r w:rsidR="00F2662A" w:rsidRPr="00F30EF3">
        <w:rPr>
          <w:rFonts w:cstheme="minorHAnsi" w:hint="cs"/>
          <w:rtl/>
        </w:rPr>
        <w:t>ينشئونها</w:t>
      </w:r>
      <w:r w:rsidRPr="00F30EF3">
        <w:rPr>
          <w:rFonts w:cstheme="minorHAnsi"/>
          <w:rtl/>
        </w:rPr>
        <w:t xml:space="preserve">. ومع ذلك، هناك اعتبارات يمكن أن تبرر المطالبة بالملكية المؤسسية. ويتضمن ذلك الحالات التي يتلقى فيها الطلاب التمويل من قطاع صناعي أو العمل في مشروعات بحثية خاصة بالمؤسسة (انظر لمزيد من المعلومات، المادة 2.5). وفي تلك الحالات، من المقبول للمؤسسة أن تطلب من الطالب الدخول في اتفاق ملزم مع المؤسسة، وبموجبه يوافق الطالب على التنازل عن أي ملكية فكرية يبدعها ضمن إطار هذا المشروع البحثي، بحيث يمكن للمؤسسة تسويق الحزمة الكاملة للملكية الفكرية الناشئة عن برنامج البحث. وفي المقابل، يحق للجامعة الموافقة على معاملة الطالب كموظف لأغراض سياسة تقاسم إيرادات الجامعة للمخترعين الأكاديميين. </w:t>
      </w:r>
    </w:p>
    <w:p w14:paraId="75B9A981" w14:textId="77777777" w:rsidR="00B5600C" w:rsidRPr="00F30EF3" w:rsidRDefault="00B5600C" w:rsidP="00B7519E">
      <w:pPr>
        <w:pStyle w:val="ListParagraph"/>
        <w:spacing w:after="0" w:line="240" w:lineRule="auto"/>
        <w:ind w:left="426"/>
        <w:jc w:val="both"/>
        <w:rPr>
          <w:rFonts w:cstheme="minorHAnsi"/>
          <w:lang w:val="en-US"/>
        </w:rPr>
      </w:pPr>
    </w:p>
    <w:p w14:paraId="6EA8B485" w14:textId="77777777" w:rsidR="00B5600C" w:rsidRPr="00F30EF3" w:rsidRDefault="00B5600C" w:rsidP="009D4A54">
      <w:pPr>
        <w:pStyle w:val="ListParagraph"/>
        <w:numPr>
          <w:ilvl w:val="0"/>
          <w:numId w:val="69"/>
        </w:numPr>
        <w:autoSpaceDE w:val="0"/>
        <w:autoSpaceDN w:val="0"/>
        <w:adjustRightInd w:val="0"/>
        <w:spacing w:after="0" w:line="240" w:lineRule="auto"/>
        <w:ind w:left="426" w:hanging="426"/>
        <w:jc w:val="both"/>
        <w:rPr>
          <w:rFonts w:cstheme="minorHAnsi"/>
          <w:rtl/>
        </w:rPr>
      </w:pPr>
      <w:r w:rsidRPr="00F30EF3">
        <w:rPr>
          <w:rFonts w:cstheme="minorHAnsi"/>
          <w:b/>
          <w:bCs/>
          <w:rtl/>
        </w:rPr>
        <w:t xml:space="preserve">المادة 2.4.3، </w:t>
      </w:r>
      <w:r w:rsidRPr="00F30EF3">
        <w:rPr>
          <w:rFonts w:cstheme="minorHAnsi"/>
          <w:b/>
          <w:bCs/>
          <w:i/>
          <w:iCs/>
          <w:rtl/>
        </w:rPr>
        <w:t>قبل البدء بالمشروع</w:t>
      </w:r>
      <w:r w:rsidRPr="00F30EF3">
        <w:rPr>
          <w:rFonts w:cstheme="minorHAnsi"/>
          <w:rtl/>
        </w:rPr>
        <w:t xml:space="preserve">: تحتاج المؤسسة إلى إبرام هذا الاتفاق الملزم قبل إبداع الطالب أي ملكية فكرية، حتى تتمكن المؤسسة بدورها من الدخول في اتفاقات ملزمة مع الجهات الراعية والمرخص لهم لتسويق حزمة الملكية الفكرية. </w:t>
      </w:r>
    </w:p>
    <w:p w14:paraId="5922397E" w14:textId="77777777" w:rsidR="00B5600C" w:rsidRPr="00F30EF3" w:rsidRDefault="00B5600C" w:rsidP="00B7519E">
      <w:pPr>
        <w:spacing w:after="0" w:line="240" w:lineRule="auto"/>
        <w:jc w:val="both"/>
        <w:rPr>
          <w:rFonts w:cstheme="minorHAnsi"/>
          <w:lang w:val="en-US"/>
        </w:rPr>
      </w:pPr>
    </w:p>
    <w:p w14:paraId="11047543" w14:textId="77777777" w:rsidR="00CD1670" w:rsidRPr="00F30EF3" w:rsidRDefault="004229FD" w:rsidP="00464282">
      <w:pPr>
        <w:pStyle w:val="ListParagraph"/>
        <w:numPr>
          <w:ilvl w:val="0"/>
          <w:numId w:val="11"/>
        </w:numPr>
        <w:spacing w:line="240" w:lineRule="auto"/>
        <w:ind w:left="426" w:hanging="426"/>
        <w:jc w:val="both"/>
        <w:rPr>
          <w:rFonts w:cstheme="minorHAnsi"/>
          <w:rtl/>
        </w:rPr>
      </w:pPr>
      <w:r w:rsidRPr="00F30EF3">
        <w:rPr>
          <w:rFonts w:cstheme="minorHAnsi"/>
          <w:rtl/>
        </w:rPr>
        <w:t xml:space="preserve">أصدرت العديد من المؤسسات </w:t>
      </w:r>
      <w:r w:rsidRPr="00F30EF3">
        <w:rPr>
          <w:rFonts w:cstheme="minorHAnsi"/>
          <w:b/>
          <w:bCs/>
          <w:rtl/>
        </w:rPr>
        <w:t>سياسة منفصلة للملكية الفكرية للطلاب</w:t>
      </w:r>
      <w:r w:rsidRPr="00F30EF3">
        <w:rPr>
          <w:rFonts w:cstheme="minorHAnsi"/>
          <w:rtl/>
        </w:rPr>
        <w:t xml:space="preserve"> و/أو </w:t>
      </w:r>
      <w:r w:rsidRPr="00F30EF3">
        <w:rPr>
          <w:rFonts w:cstheme="minorHAnsi"/>
          <w:b/>
          <w:bCs/>
          <w:rtl/>
        </w:rPr>
        <w:t>مبادئ توجيهية حول موضوع الملكية الفكرية التي أبدعها الطلاب</w:t>
      </w:r>
      <w:r w:rsidRPr="00F30EF3">
        <w:rPr>
          <w:rFonts w:cstheme="minorHAnsi"/>
          <w:rtl/>
        </w:rPr>
        <w:t>، مما قد يسهل الفهم على الطلاب.</w:t>
      </w:r>
      <w:r w:rsidR="00B5600C" w:rsidRPr="00F30EF3">
        <w:rPr>
          <w:rStyle w:val="FootnoteReference"/>
          <w:rFonts w:cstheme="minorHAnsi"/>
          <w:rtl/>
          <w:lang w:val="en-US"/>
        </w:rPr>
        <w:footnoteReference w:id="60"/>
      </w:r>
      <w:r w:rsidRPr="00F30EF3">
        <w:rPr>
          <w:rFonts w:cstheme="minorHAnsi"/>
          <w:rtl/>
        </w:rPr>
        <w:t xml:space="preserve">   تستبعد المؤسسات الأخرى الطلاب على وجه التحديد من نطاق سياسة الملكية الفكرية الخاصة بها (انظر، على سبيل المثال، جامعة جنوب أفريقيا</w:t>
      </w:r>
      <w:r w:rsidR="00CD1670" w:rsidRPr="00F30EF3">
        <w:rPr>
          <w:rFonts w:cstheme="minorHAnsi"/>
          <w:vertAlign w:val="superscript"/>
          <w:rtl/>
          <w:lang w:val="en-US"/>
        </w:rPr>
        <w:footnoteReference w:id="61"/>
      </w:r>
      <w:r w:rsidRPr="00F30EF3">
        <w:rPr>
          <w:rFonts w:cstheme="minorHAnsi"/>
          <w:rtl/>
        </w:rPr>
        <w:t>).</w:t>
      </w:r>
    </w:p>
    <w:p w14:paraId="731340B0" w14:textId="47DACEBA" w:rsidR="00B5600C" w:rsidRPr="00F30EF3" w:rsidRDefault="00B5600C" w:rsidP="00B5600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cstheme="minorHAnsi"/>
          <w:b/>
          <w:bCs/>
          <w:rtl/>
        </w:rPr>
      </w:pPr>
      <w:r w:rsidRPr="00F30EF3">
        <w:rPr>
          <w:rFonts w:cstheme="minorHAnsi"/>
          <w:b/>
          <w:bCs/>
          <w:rtl/>
        </w:rPr>
        <w:t>الإطار</w:t>
      </w:r>
      <w:r w:rsidR="00F2662A" w:rsidRPr="00F30EF3">
        <w:rPr>
          <w:rFonts w:cstheme="minorHAnsi"/>
          <w:b/>
          <w:bCs/>
        </w:rPr>
        <w:t xml:space="preserve"> .10 </w:t>
      </w:r>
      <w:r w:rsidRPr="00F30EF3">
        <w:rPr>
          <w:rFonts w:cstheme="minorHAnsi"/>
          <w:b/>
          <w:bCs/>
          <w:rtl/>
        </w:rPr>
        <w:t xml:space="preserve"> نصائح للتعامل مع الملكية الفكرية للطالب</w:t>
      </w:r>
    </w:p>
    <w:p w14:paraId="44A5865D" w14:textId="77777777" w:rsidR="00B5600C" w:rsidRPr="00F30EF3" w:rsidRDefault="00B5600C" w:rsidP="00B5600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cstheme="minorHAnsi"/>
          <w:b/>
          <w:bCs/>
          <w:lang w:val="en-US"/>
        </w:rPr>
      </w:pPr>
    </w:p>
    <w:p w14:paraId="1D208351" w14:textId="09957887" w:rsidR="002329FB" w:rsidRPr="00F30EF3" w:rsidRDefault="002329FB"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cstheme="minorHAnsi"/>
          <w:rtl/>
        </w:rPr>
      </w:pPr>
      <w:r w:rsidRPr="00F30EF3">
        <w:rPr>
          <w:rFonts w:cstheme="minorHAnsi"/>
          <w:rtl/>
        </w:rPr>
        <w:t>هناك حالات يجب أن تمتلك فيها المؤسسة الملكية الفكرية التي أبدعها الطلاب، بحيث يمكن تسويق حزمة أكبر من الملكية الفكرية للمؤسسة. في هذه الحالات، اتخذ الخطوات اللازمة للتأكد من ملكيتك للملكية الفكرية:</w:t>
      </w:r>
    </w:p>
    <w:p w14:paraId="035A72A0" w14:textId="77777777" w:rsidR="002329FB" w:rsidRPr="00F30EF3" w:rsidRDefault="002329FB" w:rsidP="009D4A54">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cstheme="minorHAnsi"/>
          <w:rtl/>
        </w:rPr>
      </w:pPr>
      <w:r w:rsidRPr="00F30EF3">
        <w:rPr>
          <w:rFonts w:cstheme="minorHAnsi"/>
          <w:rtl/>
        </w:rPr>
        <w:t>وجود سياسة مناسبة للملكية الفكرية للطلاب</w:t>
      </w:r>
    </w:p>
    <w:p w14:paraId="3FEC2071" w14:textId="77777777" w:rsidR="00B5600C" w:rsidRPr="00F30EF3" w:rsidRDefault="002329FB" w:rsidP="009D4A54">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cstheme="minorHAnsi"/>
          <w:rtl/>
        </w:rPr>
      </w:pPr>
      <w:r w:rsidRPr="00F30EF3">
        <w:rPr>
          <w:rFonts w:cstheme="minorHAnsi"/>
          <w:rtl/>
        </w:rPr>
        <w:t>الحصول على الوثائق التعاقدية (المهام) المناسبة لتفعيل السياسة؛</w:t>
      </w:r>
    </w:p>
    <w:p w14:paraId="60A5715B" w14:textId="77777777" w:rsidR="002329FB" w:rsidRPr="00F30EF3" w:rsidRDefault="002329FB" w:rsidP="009D4A54">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cstheme="minorHAnsi"/>
          <w:rtl/>
        </w:rPr>
      </w:pPr>
      <w:r w:rsidRPr="00F30EF3">
        <w:rPr>
          <w:rFonts w:cstheme="minorHAnsi"/>
          <w:rtl/>
        </w:rPr>
        <w:t>وجود إجراءات مناسبة لضمان توقيع الوثائق؛</w:t>
      </w:r>
    </w:p>
    <w:p w14:paraId="45FA95E3" w14:textId="77777777" w:rsidR="002329FB" w:rsidRPr="00F30EF3" w:rsidRDefault="002329FB" w:rsidP="009D4A54">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cstheme="minorHAnsi"/>
          <w:rtl/>
        </w:rPr>
      </w:pPr>
      <w:r w:rsidRPr="00F30EF3">
        <w:rPr>
          <w:rFonts w:cstheme="minorHAnsi"/>
          <w:rtl/>
        </w:rPr>
        <w:t>اطلب المشورة القانونية للتأكد من أن تكليفات الملكية الفكرية قابلة للتنفيذ قانوناً</w:t>
      </w:r>
      <w:r w:rsidR="00AE23BF" w:rsidRPr="00F30EF3">
        <w:rPr>
          <w:rStyle w:val="FootnoteReference"/>
          <w:rFonts w:cstheme="minorHAnsi"/>
          <w:rtl/>
          <w:lang w:val="en-US"/>
        </w:rPr>
        <w:footnoteReference w:id="62"/>
      </w:r>
      <w:r w:rsidRPr="00F30EF3">
        <w:rPr>
          <w:rFonts w:cstheme="minorHAnsi"/>
          <w:rtl/>
        </w:rPr>
        <w:t>.</w:t>
      </w:r>
    </w:p>
    <w:p w14:paraId="3954F989" w14:textId="77777777" w:rsidR="00455CCB" w:rsidRPr="00F30EF3" w:rsidRDefault="00455CCB" w:rsidP="00455CCB">
      <w:pPr>
        <w:spacing w:after="0" w:line="240" w:lineRule="auto"/>
        <w:jc w:val="both"/>
        <w:rPr>
          <w:rFonts w:cstheme="minorHAnsi"/>
          <w:lang w:val="en-US"/>
        </w:rPr>
      </w:pPr>
    </w:p>
    <w:p w14:paraId="0BF5CEF8" w14:textId="6526F769" w:rsidR="00F407FC" w:rsidRPr="00F30EF3"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300" w:lineRule="atLeast"/>
        <w:ind w:left="284"/>
        <w:jc w:val="both"/>
        <w:textAlignment w:val="baseline"/>
        <w:rPr>
          <w:rFonts w:cstheme="minorHAnsi"/>
          <w:b/>
          <w:bCs/>
          <w:rtl/>
        </w:rPr>
      </w:pPr>
      <w:r w:rsidRPr="00F30EF3">
        <w:rPr>
          <w:rFonts w:cstheme="minorHAnsi"/>
          <w:b/>
          <w:bCs/>
          <w:rtl/>
        </w:rPr>
        <w:t xml:space="preserve">الإطار </w:t>
      </w:r>
      <w:r w:rsidR="001D240F" w:rsidRPr="00F30EF3">
        <w:rPr>
          <w:rFonts w:cstheme="minorHAnsi"/>
          <w:b/>
          <w:bCs/>
        </w:rPr>
        <w:t xml:space="preserve"> .11</w:t>
      </w:r>
      <w:r w:rsidRPr="00F30EF3">
        <w:rPr>
          <w:rFonts w:cstheme="minorHAnsi"/>
          <w:b/>
          <w:bCs/>
          <w:rtl/>
        </w:rPr>
        <w:t>متى تظهر مسألة الملكية الفكرية للطلاب؟</w:t>
      </w:r>
    </w:p>
    <w:p w14:paraId="7011BD88" w14:textId="77777777" w:rsidR="00F407FC" w:rsidRPr="00F30EF3"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300" w:lineRule="atLeast"/>
        <w:ind w:left="284"/>
        <w:jc w:val="both"/>
        <w:textAlignment w:val="baseline"/>
        <w:rPr>
          <w:rFonts w:cstheme="minorHAnsi"/>
          <w:b/>
          <w:bCs/>
          <w:lang w:val="en-US"/>
        </w:rPr>
      </w:pPr>
    </w:p>
    <w:p w14:paraId="73A10882" w14:textId="77777777" w:rsidR="00F407FC" w:rsidRPr="00F30EF3"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cstheme="minorHAnsi"/>
          <w:rtl/>
        </w:rPr>
      </w:pPr>
      <w:r w:rsidRPr="00F30EF3">
        <w:rPr>
          <w:rFonts w:cstheme="minorHAnsi"/>
          <w:rtl/>
        </w:rPr>
        <w:t>يتم التركيز بشدة على موضوع الملكية الفكرية التي يبدعها الطلاب عندما يحاول مكتب إدارة الملكية الفكرية تسويق حزمة من الملكية الفكرية للمؤسسة ويُكتَشَف أن الطالب قد يمتلك بعضاً من الملكية الفكرية. على سبيل المثال:</w:t>
      </w:r>
    </w:p>
    <w:p w14:paraId="03D0580B" w14:textId="77777777" w:rsidR="00F407FC" w:rsidRPr="00F30EF3"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cstheme="minorHAnsi"/>
          <w:lang w:val="en-US"/>
        </w:rPr>
      </w:pPr>
    </w:p>
    <w:p w14:paraId="6ACE585D" w14:textId="77777777" w:rsidR="00F407FC" w:rsidRPr="00F30EF3" w:rsidRDefault="00F407FC" w:rsidP="009D4A54">
      <w:pPr>
        <w:pStyle w:val="ListParagraph"/>
        <w:widowControl w:val="0"/>
        <w:numPr>
          <w:ilvl w:val="2"/>
          <w:numId w:val="86"/>
        </w:numPr>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567" w:hanging="283"/>
        <w:jc w:val="both"/>
        <w:textAlignment w:val="baseline"/>
        <w:rPr>
          <w:rFonts w:cstheme="minorHAnsi"/>
          <w:rtl/>
        </w:rPr>
      </w:pPr>
      <w:r w:rsidRPr="00F30EF3">
        <w:rPr>
          <w:rFonts w:cstheme="minorHAnsi"/>
          <w:rtl/>
        </w:rPr>
        <w:t>أدى مشروع بحث أكاديمي أجرته المؤسسة إلى اختراع مناسب لحماية البراءة. والاختراع لديه من الممكن استغلاله تجارياً. إذا شارك الطالب في إبداع الاختراع أو تطويره، فقد يكون له حقوق في الاختراع؛</w:t>
      </w:r>
    </w:p>
    <w:p w14:paraId="0920D4BC" w14:textId="77777777" w:rsidR="00F407FC" w:rsidRPr="00F30EF3" w:rsidRDefault="00F407FC" w:rsidP="009D4A54">
      <w:pPr>
        <w:pStyle w:val="ListParagraph"/>
        <w:widowControl w:val="0"/>
        <w:numPr>
          <w:ilvl w:val="2"/>
          <w:numId w:val="86"/>
        </w:numPr>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567" w:hanging="283"/>
        <w:jc w:val="both"/>
        <w:textAlignment w:val="baseline"/>
        <w:rPr>
          <w:rFonts w:cstheme="minorHAnsi"/>
          <w:rtl/>
        </w:rPr>
      </w:pPr>
      <w:r w:rsidRPr="00F30EF3">
        <w:rPr>
          <w:rFonts w:cstheme="minorHAnsi"/>
          <w:rtl/>
        </w:rPr>
        <w:t xml:space="preserve">حصلت المؤسسة على رعاية من قِبل منظمة تجارية لإجراء مشروع بحثي. يحتاج الأكاديمي المشرف على المشروع إلى العديد من الطلاب للمساهمة في المشروع البحثي. يمكن للطلاب إبداع أو إنشاء ملكية فكرية، إما بمفردهم أو بالتعاون مع آخرين. قد تتطلب أحكام اتفاق البحث أن تكون الملكية الفكرية التي تم إبداعها أثناء البحث مملوكة للجهة الراعية. </w:t>
      </w:r>
    </w:p>
    <w:p w14:paraId="4B8DE7F8" w14:textId="77777777" w:rsidR="00F407FC" w:rsidRPr="00F30EF3"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cstheme="minorHAnsi"/>
          <w:lang w:val="en-US"/>
        </w:rPr>
      </w:pPr>
    </w:p>
    <w:p w14:paraId="1E08ED5D" w14:textId="77777777" w:rsidR="00F407FC" w:rsidRPr="00F30EF3"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cstheme="minorHAnsi"/>
          <w:rtl/>
        </w:rPr>
      </w:pPr>
      <w:r w:rsidRPr="00F30EF3">
        <w:rPr>
          <w:rFonts w:cstheme="minorHAnsi"/>
          <w:rtl/>
        </w:rPr>
        <w:t>وسيرغب مكتب إدارة الملكية الفكرية في مثل هذه الحالات في التأكد من أن الملكية الفكرية التي أنشأها الطالب تنتمي إلى المؤسسة و/أو الجهة الراعية للبحث. ومع ذلك، إذا لم تتم معالجة الموضوع حتى هذه اللحظة، فقد يكون من الصعب على مكتب إدارة الملكية الفكرية أن يكون لها حيازة "نظيفة" للملكية الفكرية للمؤسسة. ومن العوامل التي قد تخلق مثل هذه الصعوبة ما يلي:</w:t>
      </w:r>
    </w:p>
    <w:p w14:paraId="5786BB36" w14:textId="77777777" w:rsidR="00F407FC" w:rsidRPr="00F30EF3" w:rsidRDefault="00F407FC" w:rsidP="009D4A54">
      <w:pPr>
        <w:pStyle w:val="ListParagraph"/>
        <w:widowControl w:val="0"/>
        <w:numPr>
          <w:ilvl w:val="2"/>
          <w:numId w:val="86"/>
        </w:numPr>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567" w:hanging="283"/>
        <w:jc w:val="both"/>
        <w:textAlignment w:val="baseline"/>
        <w:rPr>
          <w:rFonts w:cstheme="minorHAnsi"/>
          <w:rtl/>
        </w:rPr>
      </w:pPr>
      <w:r w:rsidRPr="00F30EF3">
        <w:rPr>
          <w:rFonts w:cstheme="minorHAnsi"/>
          <w:rtl/>
        </w:rPr>
        <w:t>بحلول الوقت الذي يتم فيه النظر في مسألة حيازة الملكية الفكرية (على سبيل المثال عند التقدم بطلب للحصول على البراءات أو عند القيام بالعناية الواجبة فيما يتعلق بمعاملة منبثقة محتملة)، قد يكون الطالب قد غادر المؤسسة بالفعل، مما يجعل من الصعب تحديد موقعه؛</w:t>
      </w:r>
    </w:p>
    <w:p w14:paraId="66C8E9D2" w14:textId="77777777" w:rsidR="00F407FC" w:rsidRPr="00F30EF3" w:rsidRDefault="00F407FC" w:rsidP="001D240F">
      <w:pPr>
        <w:pStyle w:val="ListParagraph"/>
        <w:widowControl w:val="0"/>
        <w:numPr>
          <w:ilvl w:val="2"/>
          <w:numId w:val="86"/>
        </w:numPr>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120" w:line="240" w:lineRule="auto"/>
        <w:ind w:left="567" w:hanging="283"/>
        <w:contextualSpacing w:val="0"/>
        <w:jc w:val="both"/>
        <w:textAlignment w:val="baseline"/>
        <w:rPr>
          <w:rFonts w:cstheme="minorHAnsi"/>
          <w:rtl/>
        </w:rPr>
      </w:pPr>
      <w:r w:rsidRPr="00F30EF3">
        <w:rPr>
          <w:rFonts w:cstheme="minorHAnsi"/>
          <w:rtl/>
        </w:rPr>
        <w:lastRenderedPageBreak/>
        <w:t>أو قد يبالغ الطالب في تقدير قيمة مساهمته في الملكية الفكرية، مما يجعل من الصعب التوصل إلى ترتيب مقبول لتقاسم الإيرادات، لا سيما عندما يشارك العديد من المخترعين/ المبدعين.</w:t>
      </w:r>
    </w:p>
    <w:p w14:paraId="6FEFDE11" w14:textId="77777777" w:rsidR="00F407FC" w:rsidRPr="00F30EF3" w:rsidRDefault="00F407FC" w:rsidP="001D240F">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120" w:line="240" w:lineRule="auto"/>
        <w:ind w:left="284"/>
        <w:jc w:val="both"/>
        <w:textAlignment w:val="baseline"/>
        <w:rPr>
          <w:rFonts w:cstheme="minorHAnsi"/>
          <w:rtl/>
        </w:rPr>
      </w:pPr>
      <w:r w:rsidRPr="00F30EF3">
        <w:rPr>
          <w:rFonts w:cstheme="minorHAnsi"/>
          <w:rtl/>
        </w:rPr>
        <w:t>ولهذا السبب، ولأسباب أخرى، سيرغب مكتب إدارة الملكية الفكرية في التعامل موضوع الملكية الفكرية للطالب قبل وجود الملكية الفكرية.</w:t>
      </w:r>
    </w:p>
    <w:p w14:paraId="5A4BCA6A" w14:textId="77777777" w:rsidR="00A554DB" w:rsidRPr="00F30EF3" w:rsidRDefault="00A554DB"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cstheme="minorHAnsi"/>
          <w:i/>
          <w:iCs/>
          <w:rtl/>
        </w:rPr>
      </w:pPr>
      <w:r w:rsidRPr="00F30EF3">
        <w:rPr>
          <w:rFonts w:cstheme="minorHAnsi"/>
          <w:i/>
          <w:iCs/>
          <w:rtl/>
        </w:rPr>
        <w:t xml:space="preserve">المصدر: مقتبس من </w:t>
      </w:r>
      <w:hyperlink r:id="rId43" w:history="1">
        <w:r w:rsidRPr="00F30EF3">
          <w:rPr>
            <w:rStyle w:val="Hyperlink"/>
            <w:rFonts w:cstheme="minorHAnsi"/>
            <w:i/>
            <w:iCs/>
          </w:rPr>
          <w:t>UNICO Practical Guides – Commercialization Agreements – Students and IP</w:t>
        </w:r>
      </w:hyperlink>
    </w:p>
    <w:p w14:paraId="28A13880" w14:textId="77777777" w:rsidR="00934945" w:rsidRPr="00F30EF3" w:rsidRDefault="00934945" w:rsidP="00897C14">
      <w:pPr>
        <w:spacing w:line="240" w:lineRule="auto"/>
        <w:jc w:val="both"/>
        <w:rPr>
          <w:rFonts w:cstheme="minorHAnsi"/>
          <w:lang w:val="en-US"/>
        </w:rPr>
      </w:pPr>
    </w:p>
    <w:p w14:paraId="4C0140DE" w14:textId="77777777" w:rsidR="00897C14" w:rsidRPr="00F30EF3" w:rsidRDefault="00C60DE4" w:rsidP="00897C14">
      <w:pPr>
        <w:spacing w:line="240" w:lineRule="auto"/>
        <w:jc w:val="both"/>
        <w:rPr>
          <w:rFonts w:cstheme="minorHAnsi"/>
          <w:sz w:val="24"/>
          <w:szCs w:val="24"/>
          <w:rtl/>
        </w:rPr>
      </w:pPr>
      <w:r w:rsidRPr="00F30EF3">
        <w:rPr>
          <w:rFonts w:cstheme="minorHAnsi"/>
          <w:b/>
          <w:bCs/>
          <w:color w:val="0070C0"/>
          <w:sz w:val="24"/>
          <w:szCs w:val="24"/>
          <w:rtl/>
        </w:rPr>
        <w:t>المادة 3.4.3 - قضايا خاصة تتعلق بالزائرين</w:t>
      </w:r>
      <w:r w:rsidRPr="00F30EF3">
        <w:rPr>
          <w:rFonts w:cstheme="minorHAnsi"/>
          <w:sz w:val="24"/>
          <w:szCs w:val="24"/>
          <w:rtl/>
        </w:rPr>
        <w:t xml:space="preserve"> </w:t>
      </w:r>
    </w:p>
    <w:p w14:paraId="67227198" w14:textId="77777777" w:rsidR="00665EF3" w:rsidRPr="00F30EF3" w:rsidRDefault="00665EF3" w:rsidP="009D4A54">
      <w:pPr>
        <w:pStyle w:val="ListParagraph"/>
        <w:numPr>
          <w:ilvl w:val="0"/>
          <w:numId w:val="29"/>
        </w:numPr>
        <w:spacing w:line="240" w:lineRule="auto"/>
        <w:ind w:left="426" w:hanging="426"/>
        <w:jc w:val="both"/>
        <w:rPr>
          <w:rFonts w:cstheme="minorHAnsi"/>
          <w:rtl/>
        </w:rPr>
      </w:pPr>
      <w:r w:rsidRPr="00F30EF3">
        <w:rPr>
          <w:rFonts w:cstheme="minorHAnsi"/>
          <w:rtl/>
        </w:rPr>
        <w:t>الزائر أو العالم الزائر هو فرد يعمل لدى إحدى المؤسسات، والذي يزور مؤسسة أخرى ويجري الأبحاث فيها. تنص سياسات الملكية الفكرية غالباً على أن تمتلك المؤسسة المضيفة الملكية الفكرية التي أبدعها الزائر.</w:t>
      </w:r>
    </w:p>
    <w:p w14:paraId="2F6CB21B" w14:textId="77777777" w:rsidR="00665EF3" w:rsidRPr="00F30EF3" w:rsidRDefault="00665EF3" w:rsidP="007323E2">
      <w:pPr>
        <w:spacing w:line="240" w:lineRule="auto"/>
        <w:ind w:left="426"/>
        <w:jc w:val="both"/>
        <w:rPr>
          <w:rFonts w:cstheme="minorHAnsi"/>
          <w:rtl/>
        </w:rPr>
      </w:pPr>
      <w:r w:rsidRPr="00F30EF3">
        <w:rPr>
          <w:rFonts w:cstheme="minorHAnsi"/>
          <w:rtl/>
        </w:rPr>
        <w:t>ومع ذلك:</w:t>
      </w:r>
    </w:p>
    <w:p w14:paraId="77F98022" w14:textId="77777777" w:rsidR="00665EF3" w:rsidRPr="00F30EF3" w:rsidRDefault="00665EF3" w:rsidP="009D4A54">
      <w:pPr>
        <w:pStyle w:val="ListParagraph"/>
        <w:numPr>
          <w:ilvl w:val="0"/>
          <w:numId w:val="70"/>
        </w:numPr>
        <w:spacing w:line="240" w:lineRule="auto"/>
        <w:ind w:hanging="294"/>
        <w:jc w:val="both"/>
        <w:rPr>
          <w:rFonts w:cstheme="minorHAnsi"/>
          <w:rtl/>
        </w:rPr>
      </w:pPr>
      <w:r w:rsidRPr="00F30EF3">
        <w:rPr>
          <w:rFonts w:cstheme="minorHAnsi"/>
          <w:rtl/>
        </w:rPr>
        <w:t>إذا واصل الزائر في المؤسسة المضيفة البحث في مشروع ينشأ من المؤسسة التي يعمل لديها للزائر، فلن ترغب المؤسسة التي يعمل لديها الزائر في أن تكون الملكية الفكرية من مشروعها مملوكة للمؤسسة المضيفة. ويثمر هذا عن تجزئة الملكية مما قد يعرقل التسويق.</w:t>
      </w:r>
    </w:p>
    <w:p w14:paraId="39B59FBF" w14:textId="77777777" w:rsidR="00665EF3" w:rsidRPr="00F30EF3" w:rsidRDefault="00D22145" w:rsidP="009D4A54">
      <w:pPr>
        <w:pStyle w:val="ListParagraph"/>
        <w:numPr>
          <w:ilvl w:val="0"/>
          <w:numId w:val="70"/>
        </w:numPr>
        <w:spacing w:line="240" w:lineRule="auto"/>
        <w:ind w:hanging="294"/>
        <w:jc w:val="both"/>
        <w:rPr>
          <w:rFonts w:cstheme="minorHAnsi"/>
          <w:rtl/>
        </w:rPr>
      </w:pPr>
      <w:r w:rsidRPr="00F30EF3">
        <w:rPr>
          <w:rFonts w:cstheme="minorHAnsi"/>
          <w:rtl/>
        </w:rPr>
        <w:t>وعلى غرار ذلك، إذا أجرى الزائر في المؤسسة المضيفة البحث في مشروع ينشأ من مؤسسة مضيفة، فلن ترغب المؤسسة المضيفة في أن تكون الملكية الفكرية من مشروعها مملوكة للمؤسسة التي يعمل لديها الزائر.</w:t>
      </w:r>
    </w:p>
    <w:p w14:paraId="07BE44EC" w14:textId="77777777" w:rsidR="00517D34" w:rsidRPr="00F30EF3" w:rsidRDefault="00517D34" w:rsidP="00B7519E">
      <w:pPr>
        <w:pStyle w:val="ListParagraph"/>
        <w:spacing w:line="240" w:lineRule="auto"/>
        <w:jc w:val="both"/>
        <w:rPr>
          <w:rFonts w:cstheme="minorHAnsi"/>
          <w:lang w:val="en-US"/>
        </w:rPr>
      </w:pPr>
    </w:p>
    <w:p w14:paraId="2966BFBE" w14:textId="5FD64D37" w:rsidR="00517D34" w:rsidRPr="00F30EF3" w:rsidRDefault="00517D34" w:rsidP="009D4A54">
      <w:pPr>
        <w:pStyle w:val="ListParagraph"/>
        <w:numPr>
          <w:ilvl w:val="0"/>
          <w:numId w:val="69"/>
        </w:numPr>
        <w:autoSpaceDE w:val="0"/>
        <w:autoSpaceDN w:val="0"/>
        <w:adjustRightInd w:val="0"/>
        <w:spacing w:after="0" w:line="240" w:lineRule="auto"/>
        <w:ind w:left="426" w:hanging="426"/>
        <w:jc w:val="both"/>
        <w:rPr>
          <w:rFonts w:cstheme="minorHAnsi"/>
          <w:rtl/>
        </w:rPr>
      </w:pPr>
      <w:r w:rsidRPr="00F30EF3">
        <w:rPr>
          <w:rFonts w:cstheme="minorHAnsi"/>
          <w:b/>
          <w:bCs/>
          <w:rtl/>
        </w:rPr>
        <w:t xml:space="preserve">المادة 3.4.3، </w:t>
      </w:r>
      <w:r w:rsidRPr="00F30EF3">
        <w:rPr>
          <w:rFonts w:cstheme="minorHAnsi"/>
          <w:b/>
          <w:bCs/>
          <w:i/>
          <w:iCs/>
          <w:rtl/>
        </w:rPr>
        <w:t>تضمن المؤسسة توقيع الزائرين على اتفاقية تعيين قبل البدء في أي نشاط في المؤسسة:</w:t>
      </w:r>
      <w:r w:rsidRPr="00F30EF3">
        <w:rPr>
          <w:rFonts w:cstheme="minorHAnsi"/>
          <w:rtl/>
        </w:rPr>
        <w:t xml:space="preserve"> ولمعالجة المشكلات المذكورة أعلاه، من المهم إدارة ملكية الملكية الفكرية التي يبدعها الزائر بشكل واضح عن طريق اتفاق مناسب. تحتاج المؤسسة إلى إبرام هذا الاتفاق قبل الشروع في أي عمل. يجب أن يضع الاتفاق الزائر ضمن نطاق سياسة الملكية الفكرية، ولكن يخضع ذلك للترتيبات المتفق عليها على أساس كل حالة على حدة (انظر </w:t>
      </w:r>
      <w:hyperlink w:anchor="_Article_5.3_–" w:history="1">
        <w:r w:rsidRPr="00F30EF3">
          <w:rPr>
            <w:rStyle w:val="Hyperlink"/>
            <w:rFonts w:cstheme="minorHAnsi"/>
            <w:rtl/>
          </w:rPr>
          <w:t>المادة 3.5</w:t>
        </w:r>
      </w:hyperlink>
      <w:r w:rsidRPr="00F30EF3">
        <w:rPr>
          <w:rFonts w:cstheme="minorHAnsi"/>
          <w:rtl/>
        </w:rPr>
        <w:t xml:space="preserve">). </w:t>
      </w:r>
    </w:p>
    <w:p w14:paraId="65D6A3BA" w14:textId="77777777" w:rsidR="00BD26BF" w:rsidRPr="00F30EF3" w:rsidRDefault="00BD26BF" w:rsidP="000C1792">
      <w:pPr>
        <w:pStyle w:val="ListParagraph"/>
        <w:autoSpaceDE w:val="0"/>
        <w:autoSpaceDN w:val="0"/>
        <w:adjustRightInd w:val="0"/>
        <w:spacing w:after="0" w:line="240" w:lineRule="auto"/>
        <w:ind w:left="426"/>
        <w:jc w:val="both"/>
        <w:rPr>
          <w:rFonts w:cstheme="minorHAnsi"/>
          <w:lang w:val="en-US"/>
        </w:rPr>
      </w:pPr>
    </w:p>
    <w:p w14:paraId="76541040" w14:textId="0DCF2BF7" w:rsidR="004C0E3E" w:rsidRPr="00F30EF3" w:rsidRDefault="00237162"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300" w:lineRule="atLeast"/>
        <w:ind w:left="284"/>
        <w:jc w:val="both"/>
        <w:textAlignment w:val="baseline"/>
        <w:rPr>
          <w:rFonts w:cstheme="minorHAnsi"/>
          <w:b/>
          <w:bCs/>
          <w:rtl/>
        </w:rPr>
      </w:pPr>
      <w:r w:rsidRPr="00F30EF3">
        <w:rPr>
          <w:rFonts w:cstheme="minorHAnsi"/>
          <w:b/>
          <w:bCs/>
          <w:rtl/>
        </w:rPr>
        <w:t xml:space="preserve">الإطار </w:t>
      </w:r>
      <w:r w:rsidR="001D240F" w:rsidRPr="00F30EF3">
        <w:rPr>
          <w:rFonts w:cstheme="minorHAnsi"/>
          <w:b/>
          <w:bCs/>
        </w:rPr>
        <w:t>.12</w:t>
      </w:r>
      <w:r w:rsidRPr="00F30EF3">
        <w:rPr>
          <w:rFonts w:cstheme="minorHAnsi"/>
          <w:b/>
          <w:bCs/>
          <w:rtl/>
        </w:rPr>
        <w:t xml:space="preserve">  مثال - بنود الملكية الفكرية التي تتعامل مع الزائرين</w:t>
      </w:r>
      <w:r w:rsidRPr="00F30EF3">
        <w:rPr>
          <w:rFonts w:cstheme="minorHAnsi"/>
          <w:rtl/>
        </w:rPr>
        <w:t xml:space="preserve"> </w:t>
      </w:r>
    </w:p>
    <w:p w14:paraId="120066DB" w14:textId="77777777" w:rsidR="004C0E3E" w:rsidRPr="00F30EF3" w:rsidRDefault="004C0E3E"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300" w:lineRule="atLeast"/>
        <w:ind w:left="284"/>
        <w:jc w:val="both"/>
        <w:textAlignment w:val="baseline"/>
        <w:rPr>
          <w:rFonts w:cstheme="minorHAnsi"/>
          <w:b/>
          <w:bCs/>
          <w:lang w:val="en-US"/>
        </w:rPr>
      </w:pPr>
    </w:p>
    <w:p w14:paraId="34769FEC" w14:textId="77777777" w:rsidR="004E5669" w:rsidRPr="00F30EF3" w:rsidRDefault="004E5669"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cstheme="minorHAnsi"/>
          <w:rtl/>
        </w:rPr>
      </w:pPr>
      <w:r w:rsidRPr="00F30EF3">
        <w:rPr>
          <w:rFonts w:cstheme="minorHAnsi"/>
          <w:u w:val="single"/>
          <w:rtl/>
        </w:rPr>
        <w:t>كلية الطب ديوك بجامعة سنغافورة الوطنية</w:t>
      </w:r>
      <w:r w:rsidRPr="00F30EF3">
        <w:rPr>
          <w:rFonts w:cstheme="minorHAnsi"/>
          <w:rtl/>
        </w:rPr>
        <w:t>:</w:t>
      </w:r>
    </w:p>
    <w:p w14:paraId="45E1FBB3" w14:textId="77777777" w:rsidR="004E5669" w:rsidRPr="00F30EF3" w:rsidRDefault="004E5669"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cstheme="minorHAnsi"/>
          <w:rtl/>
        </w:rPr>
      </w:pPr>
      <w:r w:rsidRPr="00F30EF3">
        <w:rPr>
          <w:rFonts w:cstheme="minorHAnsi"/>
          <w:rtl/>
        </w:rPr>
        <w:t>"</w:t>
      </w:r>
      <w:r w:rsidRPr="00F30EF3">
        <w:rPr>
          <w:rFonts w:cstheme="minorHAnsi"/>
          <w:i/>
          <w:iCs/>
          <w:rtl/>
        </w:rPr>
        <w:t>يجب أن يلتزم الزائرون بهذه السياسة ما لم يتم استثناؤها أو تغييرها على وجه التحديد بموجب اتفاق مكتوب مع كلية ديوك بجامعة سنغافورة الوطنية. لذا، على الزائر الكشف عن أي اختراع أبدعه أو طوره أثناء وجوده في كلية ديوك بجامعة سنغافورة الوطنية. سيتم التفاوض على تسويق هذا الاختراع وتقاسم أي مزايا تجارية صافية على أساس كل حالة على حدة مع الزائر وجهة العمل التي يعمل لديها الزائر وأي طرف آخر ذي صلة. تعترف كلية ديوك بجامعة سنغافورة الوطنية بحقوق النشر الخاصة بالزائرين، مع مراعاة أي ضرورة تجارية مهمة</w:t>
      </w:r>
      <w:r w:rsidRPr="00F30EF3">
        <w:rPr>
          <w:rFonts w:cstheme="minorHAnsi"/>
          <w:rtl/>
        </w:rPr>
        <w:t>."</w:t>
      </w:r>
    </w:p>
    <w:p w14:paraId="0981C923" w14:textId="77777777" w:rsidR="006E2C88" w:rsidRPr="00F30EF3" w:rsidRDefault="006E2C88"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cstheme="minorHAnsi"/>
          <w:lang w:val="en-US"/>
        </w:rPr>
      </w:pPr>
    </w:p>
    <w:p w14:paraId="530E05A7" w14:textId="77777777" w:rsidR="006E2C88" w:rsidRPr="00F30EF3" w:rsidRDefault="006E2C88"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cstheme="minorHAnsi"/>
          <w:u w:val="single"/>
          <w:rtl/>
        </w:rPr>
      </w:pPr>
      <w:r w:rsidRPr="00F30EF3">
        <w:rPr>
          <w:rFonts w:cstheme="minorHAnsi"/>
          <w:u w:val="single"/>
          <w:rtl/>
        </w:rPr>
        <w:t>جامعة كيب تاون:</w:t>
      </w:r>
    </w:p>
    <w:p w14:paraId="231232EC" w14:textId="3063546B" w:rsidR="00664E3C" w:rsidRPr="00F30EF3" w:rsidRDefault="006E2C88" w:rsidP="00DB4CC0">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cstheme="minorHAnsi"/>
          <w:lang w:val="en-US"/>
        </w:rPr>
      </w:pPr>
      <w:r w:rsidRPr="00F30EF3">
        <w:rPr>
          <w:rFonts w:cstheme="minorHAnsi"/>
          <w:rtl/>
        </w:rPr>
        <w:t>"</w:t>
      </w:r>
      <w:r w:rsidRPr="00F30EF3">
        <w:rPr>
          <w:rFonts w:cstheme="minorHAnsi"/>
          <w:i/>
          <w:iCs/>
          <w:rtl/>
        </w:rPr>
        <w:t>يجب على الموظفين الذين يسمحون للزائرين بالنفاذ إلى موارد جامعة كيب تاون التأكد من إخطار الزائر بهذه السياسة والحصول على إقرار كتابي من الزائر بأنه على دراية بأنه ملتزم بهذه السياسة في حالة عدم وجود أي اتفاق مكتوب ينص على خلاف ذلك"</w:t>
      </w:r>
    </w:p>
    <w:p w14:paraId="0C383A51" w14:textId="77777777" w:rsidR="00237162" w:rsidRPr="00F30EF3" w:rsidRDefault="00C60DE4" w:rsidP="00DB4CC0">
      <w:pPr>
        <w:spacing w:before="120" w:after="240" w:line="240" w:lineRule="auto"/>
        <w:jc w:val="both"/>
        <w:rPr>
          <w:rFonts w:cstheme="minorHAnsi"/>
          <w:b/>
          <w:bCs/>
          <w:color w:val="0070C0"/>
          <w:sz w:val="24"/>
          <w:szCs w:val="24"/>
          <w:rtl/>
        </w:rPr>
      </w:pPr>
      <w:r w:rsidRPr="00F30EF3">
        <w:rPr>
          <w:rFonts w:cstheme="minorHAnsi"/>
          <w:b/>
          <w:bCs/>
          <w:color w:val="0070C0"/>
          <w:sz w:val="24"/>
          <w:szCs w:val="24"/>
          <w:rtl/>
        </w:rPr>
        <w:t>المادة 4.4.3 الموافقة المستنيرة</w:t>
      </w:r>
      <w:r w:rsidRPr="00F30EF3">
        <w:rPr>
          <w:rFonts w:cstheme="minorHAnsi"/>
          <w:sz w:val="24"/>
          <w:szCs w:val="24"/>
          <w:rtl/>
        </w:rPr>
        <w:t xml:space="preserve"> </w:t>
      </w:r>
    </w:p>
    <w:p w14:paraId="6421D9D7" w14:textId="77777777" w:rsidR="00237162" w:rsidRPr="00F30EF3" w:rsidRDefault="00EA10E9" w:rsidP="00044D45">
      <w:pPr>
        <w:pStyle w:val="ListParagraph"/>
        <w:numPr>
          <w:ilvl w:val="0"/>
          <w:numId w:val="29"/>
        </w:numPr>
        <w:spacing w:after="120" w:line="240" w:lineRule="auto"/>
        <w:ind w:left="432" w:hanging="426"/>
        <w:contextualSpacing w:val="0"/>
        <w:jc w:val="both"/>
        <w:rPr>
          <w:rFonts w:cstheme="minorHAnsi"/>
          <w:rtl/>
        </w:rPr>
      </w:pPr>
      <w:r w:rsidRPr="00F30EF3">
        <w:rPr>
          <w:rFonts w:cstheme="minorHAnsi"/>
          <w:rtl/>
        </w:rPr>
        <w:t>إذا لم يكن الموظفون أو الطلاب أو الزائرين على علم بسياسة الملكية الفكرية الخاصة بمؤسستهم ولكنهم وافقوا عليها طوعاً على أي حال، فإن السياسة قد لا تكون ملزمة قانوناً إلزاماً كاملاً. وللحد من هذا الخطر، فإن التوعية الفعالة أمر لا غنى عنه. تعد الحاجة إلى التوثيق الصريح والموافقة المستنيرة ذات أهمية خاصة عندما يتعلق الأمر بالطلاب.</w:t>
      </w:r>
      <w:r w:rsidR="00717723" w:rsidRPr="00F30EF3">
        <w:rPr>
          <w:rStyle w:val="FootnoteReference"/>
          <w:rFonts w:cstheme="minorHAnsi"/>
          <w:rtl/>
          <w:lang w:val="en-US"/>
        </w:rPr>
        <w:footnoteReference w:id="63"/>
      </w:r>
    </w:p>
    <w:p w14:paraId="2F76D139" w14:textId="77777777" w:rsidR="00717723" w:rsidRPr="00F30EF3" w:rsidRDefault="00717723" w:rsidP="00044D45">
      <w:pPr>
        <w:pStyle w:val="ListParagraph"/>
        <w:numPr>
          <w:ilvl w:val="0"/>
          <w:numId w:val="29"/>
        </w:numPr>
        <w:spacing w:after="120" w:line="240" w:lineRule="auto"/>
        <w:ind w:left="432" w:hanging="426"/>
        <w:contextualSpacing w:val="0"/>
        <w:jc w:val="both"/>
        <w:rPr>
          <w:rFonts w:cstheme="minorHAnsi"/>
          <w:rtl/>
        </w:rPr>
      </w:pPr>
      <w:r w:rsidRPr="00F30EF3">
        <w:rPr>
          <w:rFonts w:cstheme="minorHAnsi"/>
          <w:b/>
          <w:bCs/>
          <w:rtl/>
        </w:rPr>
        <w:t xml:space="preserve">المادة 4.4.3.، </w:t>
      </w:r>
      <w:r w:rsidRPr="00F30EF3">
        <w:rPr>
          <w:rFonts w:cstheme="minorHAnsi"/>
          <w:b/>
          <w:bCs/>
          <w:i/>
          <w:iCs/>
          <w:rtl/>
        </w:rPr>
        <w:t>يجب إدراج السياسة […] في الموقع الإلكتروني للمؤسسة</w:t>
      </w:r>
      <w:r w:rsidRPr="00F30EF3">
        <w:rPr>
          <w:rFonts w:cstheme="minorHAnsi"/>
          <w:rtl/>
        </w:rPr>
        <w:t xml:space="preserve">:  من الممارسات الجيدة أن تتم صياغة السياسة ونشرها على الموقع الإلكتروني للمؤسسة لأعضاء هيئة التدريس والطلاب والزائرين والمتعاونين من الأطراف الأخرى لتوضيح كيفية تعامل المؤسسة مع كل فرد منهم فيما يتعلق بالملكية الفكرية. يجب على مكتب إدارة الملكية الفكرية التأكد من أن </w:t>
      </w:r>
      <w:r w:rsidRPr="00F30EF3">
        <w:rPr>
          <w:rFonts w:cstheme="minorHAnsi"/>
          <w:rtl/>
        </w:rPr>
        <w:lastRenderedPageBreak/>
        <w:t xml:space="preserve">جميع الأفراد المعنيين المشاركين في البحث على دراية بكيفية النفاذ إلى هذه المعلومات، والتأكد من وصولهم للمعلومات وقراءتها، وأنه بالفعل يوافقون على الأحكام. </w:t>
      </w:r>
    </w:p>
    <w:p w14:paraId="7C45475B" w14:textId="31A0F565" w:rsidR="004950E6" w:rsidRPr="00F30EF3" w:rsidRDefault="00237162"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cstheme="minorHAnsi"/>
          <w:b/>
          <w:bCs/>
          <w:rtl/>
        </w:rPr>
      </w:pPr>
      <w:r w:rsidRPr="00F30EF3">
        <w:rPr>
          <w:rFonts w:cstheme="minorHAnsi"/>
          <w:b/>
          <w:bCs/>
          <w:rtl/>
        </w:rPr>
        <w:t xml:space="preserve">الإطار </w:t>
      </w:r>
      <w:r w:rsidR="00155140" w:rsidRPr="00F30EF3">
        <w:rPr>
          <w:rFonts w:cstheme="minorHAnsi"/>
          <w:b/>
          <w:bCs/>
        </w:rPr>
        <w:t>.13</w:t>
      </w:r>
      <w:r w:rsidRPr="00F30EF3">
        <w:rPr>
          <w:rFonts w:cstheme="minorHAnsi"/>
          <w:b/>
          <w:bCs/>
          <w:rtl/>
        </w:rPr>
        <w:t xml:space="preserve">  نصائح للتأكد من أن سياسة الملكية الفكرية الخاصة بك ملزمة قانوناً</w:t>
      </w:r>
    </w:p>
    <w:p w14:paraId="08CF6220" w14:textId="77777777" w:rsidR="00237162" w:rsidRPr="00F30EF3" w:rsidRDefault="00237162"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cstheme="minorHAnsi"/>
          <w:b/>
          <w:bCs/>
          <w:lang w:val="en-US"/>
        </w:rPr>
      </w:pPr>
    </w:p>
    <w:p w14:paraId="16F4270A" w14:textId="77777777" w:rsidR="00237162" w:rsidRPr="00F30EF3" w:rsidRDefault="00852B17" w:rsidP="009D4A54">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cstheme="minorHAnsi"/>
          <w:rtl/>
        </w:rPr>
      </w:pPr>
      <w:r w:rsidRPr="00F30EF3">
        <w:rPr>
          <w:rFonts w:cstheme="minorHAnsi"/>
          <w:rtl/>
        </w:rPr>
        <w:t>ادعم سياسة الملكية الفكرية الخاصة بك من خلال اتفاقات مكتوبة مناسبة، معترف بها ومُوافَق عليها من قِبل جميع الأفراد المشاركين في البحث:</w:t>
      </w:r>
    </w:p>
    <w:p w14:paraId="2F8A7410" w14:textId="77777777" w:rsidR="00E4378C" w:rsidRPr="00F30EF3" w:rsidRDefault="00E4378C" w:rsidP="00B7519E">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cstheme="minorHAnsi"/>
          <w:lang w:val="en-US"/>
        </w:rPr>
      </w:pPr>
    </w:p>
    <w:p w14:paraId="6D9363F3" w14:textId="77777777" w:rsidR="00852B17" w:rsidRPr="00F30EF3" w:rsidRDefault="00852B17" w:rsidP="00C60DE4">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993" w:hanging="567"/>
        <w:jc w:val="both"/>
        <w:rPr>
          <w:rFonts w:cstheme="minorHAnsi"/>
          <w:rtl/>
        </w:rPr>
      </w:pPr>
      <w:r w:rsidRPr="00F30EF3">
        <w:rPr>
          <w:rFonts w:cstheme="minorHAnsi"/>
          <w:rtl/>
        </w:rPr>
        <w:t xml:space="preserve">-   </w:t>
      </w:r>
      <w:r w:rsidRPr="00F30EF3">
        <w:rPr>
          <w:rFonts w:cstheme="minorHAnsi"/>
          <w:rtl/>
        </w:rPr>
        <w:tab/>
        <w:t>للموظفين:  في عقد التوظيف؛</w:t>
      </w:r>
    </w:p>
    <w:p w14:paraId="4A6E4ED2" w14:textId="77777777" w:rsidR="00E4378C" w:rsidRPr="00F30EF3" w:rsidRDefault="00E4378C" w:rsidP="00C60DE4">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993" w:hanging="567"/>
        <w:jc w:val="both"/>
        <w:rPr>
          <w:rFonts w:cstheme="minorHAnsi"/>
          <w:rtl/>
        </w:rPr>
      </w:pPr>
      <w:r w:rsidRPr="00F30EF3">
        <w:rPr>
          <w:rFonts w:cstheme="minorHAnsi"/>
          <w:rtl/>
        </w:rPr>
        <w:t xml:space="preserve">-  </w:t>
      </w:r>
      <w:r w:rsidRPr="00F30EF3">
        <w:rPr>
          <w:rFonts w:cstheme="minorHAnsi"/>
          <w:rtl/>
        </w:rPr>
        <w:tab/>
        <w:t>للطلاب: في تكليف تنازل تكون منصفة في أحكامها، والتي يوقع عليها الطالب من خلال عملية تضمن عدم وجود إجحاف أو عدم إنصاف؛</w:t>
      </w:r>
    </w:p>
    <w:p w14:paraId="04D2BDB6" w14:textId="77777777" w:rsidR="00EA10E9" w:rsidRPr="00F30EF3" w:rsidRDefault="00E4378C" w:rsidP="00C60DE4">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993" w:hanging="567"/>
        <w:jc w:val="both"/>
        <w:rPr>
          <w:rFonts w:cstheme="minorHAnsi"/>
          <w:rtl/>
        </w:rPr>
      </w:pPr>
      <w:r w:rsidRPr="00F30EF3">
        <w:rPr>
          <w:rFonts w:cstheme="minorHAnsi"/>
          <w:rtl/>
        </w:rPr>
        <w:t xml:space="preserve">-  </w:t>
      </w:r>
      <w:r w:rsidRPr="00F30EF3">
        <w:rPr>
          <w:rFonts w:cstheme="minorHAnsi"/>
          <w:rtl/>
        </w:rPr>
        <w:tab/>
        <w:t>للزائرين: في اتفاق تعيين ينظم حيازة الملكية الفكرية التي سيبدعها الزائر.</w:t>
      </w:r>
    </w:p>
    <w:p w14:paraId="23C4A66B" w14:textId="77777777" w:rsidR="00EA10E9" w:rsidRPr="00F30EF3" w:rsidRDefault="00EA10E9"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cstheme="minorHAnsi"/>
          <w:lang w:val="en-US"/>
        </w:rPr>
      </w:pPr>
    </w:p>
    <w:p w14:paraId="4A310C4B" w14:textId="77777777" w:rsidR="00EA10E9" w:rsidRPr="00F30EF3" w:rsidRDefault="00EA10E9" w:rsidP="009D4A54">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cstheme="minorHAnsi"/>
          <w:rtl/>
        </w:rPr>
      </w:pPr>
      <w:r w:rsidRPr="00F30EF3">
        <w:rPr>
          <w:rFonts w:cstheme="minorHAnsi"/>
          <w:rtl/>
        </w:rPr>
        <w:t>يجب أن تتناول مثل هذه الاتفاقات حيازة الملكية الفكرية والتزامات السرية ومدى قدرة الأطراف على استخدام الملكية الفكرية وتسويقها.</w:t>
      </w:r>
    </w:p>
    <w:p w14:paraId="56B186A4" w14:textId="77777777" w:rsidR="00EA10E9" w:rsidRPr="00F30EF3" w:rsidRDefault="00EA10E9"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cstheme="minorHAnsi"/>
          <w:lang w:val="en-US"/>
        </w:rPr>
      </w:pPr>
    </w:p>
    <w:p w14:paraId="738722E8" w14:textId="77777777" w:rsidR="00EA10E9" w:rsidRPr="00F30EF3" w:rsidRDefault="00EA10E9" w:rsidP="009D4A54">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cstheme="minorHAnsi"/>
          <w:rtl/>
        </w:rPr>
      </w:pPr>
      <w:r w:rsidRPr="00F30EF3">
        <w:rPr>
          <w:rFonts w:cstheme="minorHAnsi"/>
          <w:rtl/>
        </w:rPr>
        <w:t>يجب أيضاً على الكيانات الخارجية المشاركة في إنشاء الملكية الفكرية، مثل الشركات أو المؤسسات الأخرى التي تضطلع بأعمال التعاقد من الباطن، أن تبرم اتفاقات مكتوبة تتناول قضايا حيازة الملكية الفكرية، والتزامات السرية وحقوق الاستخدام.</w:t>
      </w:r>
    </w:p>
    <w:p w14:paraId="22531C9D" w14:textId="77777777" w:rsidR="00E4378C" w:rsidRPr="00F30EF3" w:rsidRDefault="00E4378C"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cstheme="minorHAnsi"/>
          <w:lang w:val="en-US"/>
        </w:rPr>
      </w:pPr>
    </w:p>
    <w:p w14:paraId="697D7019" w14:textId="77777777" w:rsidR="004950E6" w:rsidRPr="00F30EF3" w:rsidRDefault="00EA10E9" w:rsidP="009D4A54">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cstheme="minorHAnsi"/>
          <w:rtl/>
        </w:rPr>
      </w:pPr>
      <w:r w:rsidRPr="00F30EF3">
        <w:rPr>
          <w:rFonts w:cstheme="minorHAnsi"/>
          <w:rtl/>
        </w:rPr>
        <w:t>انشر سياسة الملكية الفكرية الخاصة بك لنشر الوعي الموضوعي حول السياسة.</w:t>
      </w:r>
    </w:p>
    <w:p w14:paraId="6BEAB2BB" w14:textId="77777777" w:rsidR="00194209" w:rsidRPr="00F30EF3" w:rsidRDefault="005E4411" w:rsidP="00044D45">
      <w:pPr>
        <w:pStyle w:val="Heading3"/>
        <w:spacing w:after="120"/>
        <w:rPr>
          <w:rFonts w:asciiTheme="minorHAnsi" w:hAnsiTheme="minorHAnsi" w:cstheme="minorHAnsi"/>
          <w:sz w:val="24"/>
          <w:szCs w:val="24"/>
          <w:rtl/>
        </w:rPr>
      </w:pPr>
      <w:bookmarkStart w:id="97" w:name="_Toc494115956"/>
      <w:bookmarkStart w:id="98" w:name="_Toc516160050"/>
      <w:bookmarkStart w:id="99" w:name="_Toc516219393"/>
      <w:bookmarkStart w:id="100" w:name="_Toc516496034"/>
      <w:bookmarkStart w:id="101" w:name="_Toc516829406"/>
      <w:r w:rsidRPr="00F30EF3">
        <w:rPr>
          <w:rFonts w:asciiTheme="minorHAnsi" w:hAnsiTheme="minorHAnsi" w:cstheme="minorHAnsi"/>
          <w:sz w:val="24"/>
          <w:szCs w:val="24"/>
          <w:rtl/>
        </w:rPr>
        <w:t>موارد مفيدة</w:t>
      </w:r>
      <w:bookmarkEnd w:id="97"/>
      <w:r w:rsidRPr="00F30EF3">
        <w:rPr>
          <w:rFonts w:asciiTheme="minorHAnsi" w:hAnsiTheme="minorHAnsi" w:cstheme="minorHAnsi"/>
          <w:sz w:val="24"/>
          <w:szCs w:val="24"/>
          <w:rtl/>
        </w:rPr>
        <w:t xml:space="preserve"> تتعلق بالمادة 3</w:t>
      </w:r>
      <w:bookmarkEnd w:id="98"/>
      <w:bookmarkEnd w:id="99"/>
      <w:bookmarkEnd w:id="100"/>
      <w:bookmarkEnd w:id="101"/>
    </w:p>
    <w:p w14:paraId="25D7AE1D" w14:textId="77777777" w:rsidR="005E449B" w:rsidRPr="00F30EF3" w:rsidRDefault="005E449B" w:rsidP="009D4A54">
      <w:pPr>
        <w:pStyle w:val="ListParagraph"/>
        <w:numPr>
          <w:ilvl w:val="0"/>
          <w:numId w:val="18"/>
        </w:numPr>
        <w:spacing w:line="240" w:lineRule="auto"/>
        <w:ind w:left="426" w:hanging="426"/>
        <w:jc w:val="both"/>
        <w:rPr>
          <w:rFonts w:cstheme="minorHAnsi"/>
          <w:rtl/>
        </w:rPr>
      </w:pPr>
      <w:r w:rsidRPr="00F30EF3">
        <w:rPr>
          <w:rFonts w:cstheme="minorHAnsi"/>
          <w:b/>
          <w:bCs/>
          <w:rtl/>
        </w:rPr>
        <w:t>الأساس القانوني لسياسات الملكية الفكرية</w:t>
      </w:r>
      <w:r w:rsidRPr="00F30EF3">
        <w:rPr>
          <w:rFonts w:cstheme="minorHAnsi"/>
          <w:rtl/>
        </w:rPr>
        <w:t xml:space="preserve">. </w:t>
      </w:r>
    </w:p>
    <w:p w14:paraId="5E3F63E1" w14:textId="77777777" w:rsidR="00211343" w:rsidRPr="00F30EF3" w:rsidRDefault="005E449B" w:rsidP="009D4A54">
      <w:pPr>
        <w:pStyle w:val="ListParagraph"/>
        <w:numPr>
          <w:ilvl w:val="1"/>
          <w:numId w:val="45"/>
        </w:numPr>
        <w:spacing w:line="240" w:lineRule="auto"/>
        <w:ind w:left="709" w:hanging="283"/>
        <w:jc w:val="both"/>
        <w:rPr>
          <w:rFonts w:cstheme="minorHAnsi"/>
          <w:rtl/>
        </w:rPr>
      </w:pPr>
      <w:r w:rsidRPr="00F30EF3">
        <w:rPr>
          <w:rFonts w:cstheme="minorHAnsi"/>
          <w:rtl/>
        </w:rPr>
        <w:t xml:space="preserve">فيليب مينديز (2016)،‏ </w:t>
      </w:r>
      <w:hyperlink r:id="rId44" w:history="1">
        <w:r w:rsidRPr="00F30EF3">
          <w:rPr>
            <w:rStyle w:val="Hyperlink"/>
            <w:rFonts w:cstheme="minorHAnsi"/>
            <w:i/>
            <w:iCs/>
            <w:cs/>
          </w:rPr>
          <w:t>‎</w:t>
        </w:r>
        <w:r w:rsidRPr="00F30EF3">
          <w:rPr>
            <w:rStyle w:val="Hyperlink"/>
            <w:rFonts w:cstheme="minorHAnsi"/>
            <w:i/>
            <w:iCs/>
          </w:rPr>
          <w:t>To What Extent are University IP Policies Legally Binding؟</w:t>
        </w:r>
        <w:r w:rsidRPr="00F30EF3">
          <w:rPr>
            <w:rStyle w:val="Hyperlink"/>
            <w:rFonts w:cstheme="minorHAnsi"/>
            <w:i/>
            <w:iCs/>
            <w:cs/>
          </w:rPr>
          <w:t>‎</w:t>
        </w:r>
      </w:hyperlink>
      <w:hyperlink r:id="rId45" w:history="1">
        <w:r w:rsidRPr="00F30EF3">
          <w:rPr>
            <w:rStyle w:val="Hyperlink"/>
            <w:rFonts w:cstheme="minorHAnsi"/>
            <w:i/>
            <w:iCs/>
            <w:cs/>
          </w:rPr>
          <w:t>‎</w:t>
        </w:r>
        <w:r w:rsidRPr="00F30EF3">
          <w:rPr>
            <w:rStyle w:val="Hyperlink"/>
            <w:rFonts w:cstheme="minorHAnsi"/>
            <w:i/>
            <w:iCs/>
          </w:rPr>
          <w:t xml:space="preserve"> Part 1:</w:t>
        </w:r>
        <w:r w:rsidRPr="00F30EF3">
          <w:rPr>
            <w:rStyle w:val="Hyperlink"/>
            <w:rFonts w:cstheme="minorHAnsi"/>
            <w:i/>
            <w:iCs/>
            <w:cs/>
          </w:rPr>
          <w:t>‎</w:t>
        </w:r>
      </w:hyperlink>
      <w:hyperlink r:id="rId46" w:history="1">
        <w:r w:rsidRPr="00F30EF3">
          <w:rPr>
            <w:rStyle w:val="Hyperlink"/>
            <w:rFonts w:cstheme="minorHAnsi"/>
            <w:i/>
            <w:iCs/>
          </w:rPr>
          <w:t xml:space="preserve"> Staff</w:t>
        </w:r>
      </w:hyperlink>
      <w:r w:rsidRPr="00F30EF3">
        <w:rPr>
          <w:rFonts w:cstheme="minorHAnsi"/>
          <w:i/>
          <w:iCs/>
        </w:rPr>
        <w:t xml:space="preserve">, </w:t>
      </w:r>
      <w:r w:rsidRPr="00F30EF3">
        <w:rPr>
          <w:rFonts w:cstheme="minorHAnsi"/>
        </w:rPr>
        <w:t>les Nouvelles</w:t>
      </w:r>
      <w:r w:rsidRPr="00F30EF3">
        <w:rPr>
          <w:rFonts w:cstheme="minorHAnsi"/>
          <w:rtl/>
        </w:rPr>
        <w:t xml:space="preserve"> - مجلة جمعية خبراء التراخيص، المجلد 51، العدد 3، سبتمبر 2016</w:t>
      </w:r>
    </w:p>
    <w:p w14:paraId="40E7844F" w14:textId="77777777" w:rsidR="00E40C50" w:rsidRPr="00F30EF3" w:rsidRDefault="00954E9A" w:rsidP="009D4A54">
      <w:pPr>
        <w:pStyle w:val="ListParagraph"/>
        <w:numPr>
          <w:ilvl w:val="1"/>
          <w:numId w:val="45"/>
        </w:numPr>
        <w:spacing w:line="240" w:lineRule="auto"/>
        <w:ind w:left="709" w:hanging="283"/>
        <w:jc w:val="both"/>
        <w:rPr>
          <w:rFonts w:cstheme="minorHAnsi"/>
          <w:rtl/>
        </w:rPr>
      </w:pPr>
      <w:r w:rsidRPr="00F30EF3">
        <w:rPr>
          <w:rFonts w:cstheme="minorHAnsi"/>
          <w:rtl/>
        </w:rPr>
        <w:t xml:space="preserve">فيليب مينديز (2016)،‏ </w:t>
      </w:r>
      <w:hyperlink r:id="rId47" w:history="1">
        <w:r w:rsidRPr="00F30EF3">
          <w:rPr>
            <w:rStyle w:val="Hyperlink"/>
            <w:rFonts w:cstheme="minorHAnsi"/>
            <w:i/>
            <w:iCs/>
            <w:cs/>
          </w:rPr>
          <w:t>‎</w:t>
        </w:r>
        <w:r w:rsidRPr="00F30EF3">
          <w:rPr>
            <w:rStyle w:val="Hyperlink"/>
            <w:rFonts w:cstheme="minorHAnsi"/>
            <w:i/>
            <w:iCs/>
          </w:rPr>
          <w:t>To What Extent are University IP Policies Legally Binding؟</w:t>
        </w:r>
        <w:r w:rsidRPr="00F30EF3">
          <w:rPr>
            <w:rStyle w:val="Hyperlink"/>
            <w:rFonts w:cstheme="minorHAnsi"/>
            <w:i/>
            <w:iCs/>
            <w:cs/>
          </w:rPr>
          <w:t>‎</w:t>
        </w:r>
      </w:hyperlink>
      <w:hyperlink r:id="rId48" w:history="1">
        <w:r w:rsidRPr="00F30EF3">
          <w:rPr>
            <w:rStyle w:val="Hyperlink"/>
            <w:rFonts w:cstheme="minorHAnsi"/>
            <w:i/>
            <w:iCs/>
          </w:rPr>
          <w:t xml:space="preserve"> Part 2:</w:t>
        </w:r>
      </w:hyperlink>
      <w:hyperlink r:id="rId49" w:history="1">
        <w:r w:rsidRPr="00F30EF3">
          <w:rPr>
            <w:rStyle w:val="Hyperlink"/>
            <w:rFonts w:cstheme="minorHAnsi"/>
            <w:i/>
            <w:iCs/>
          </w:rPr>
          <w:t xml:space="preserve"> Students</w:t>
        </w:r>
      </w:hyperlink>
      <w:r w:rsidRPr="00F30EF3">
        <w:rPr>
          <w:rFonts w:cstheme="minorHAnsi"/>
          <w:i/>
          <w:iCs/>
        </w:rPr>
        <w:t xml:space="preserve">, </w:t>
      </w:r>
      <w:r w:rsidRPr="00F30EF3">
        <w:rPr>
          <w:rFonts w:cstheme="minorHAnsi"/>
        </w:rPr>
        <w:t>les Nouvelles</w:t>
      </w:r>
      <w:r w:rsidRPr="00F30EF3">
        <w:rPr>
          <w:rFonts w:cstheme="minorHAnsi"/>
          <w:rtl/>
        </w:rPr>
        <w:t xml:space="preserve"> - مجلة جمعية خبراء التراخيص، المجلد 51، العدد 4، ديسمبر 2016</w:t>
      </w:r>
    </w:p>
    <w:p w14:paraId="0CCB8ED0" w14:textId="77777777" w:rsidR="00211343" w:rsidRPr="00F30EF3" w:rsidRDefault="00211343" w:rsidP="009D4A54">
      <w:pPr>
        <w:pStyle w:val="ListParagraph"/>
        <w:numPr>
          <w:ilvl w:val="1"/>
          <w:numId w:val="45"/>
        </w:numPr>
        <w:spacing w:line="240" w:lineRule="auto"/>
        <w:ind w:left="709" w:hanging="283"/>
        <w:jc w:val="both"/>
        <w:rPr>
          <w:rFonts w:cstheme="minorHAnsi"/>
          <w:rtl/>
        </w:rPr>
      </w:pPr>
      <w:r w:rsidRPr="00F30EF3">
        <w:rPr>
          <w:rFonts w:cstheme="minorHAnsi"/>
          <w:rtl/>
        </w:rPr>
        <w:t xml:space="preserve">فيليب مينديز (2017)،‏ </w:t>
      </w:r>
      <w:hyperlink r:id="rId50" w:history="1">
        <w:r w:rsidRPr="00F30EF3">
          <w:rPr>
            <w:rStyle w:val="Hyperlink"/>
            <w:rFonts w:cstheme="minorHAnsi"/>
            <w:i/>
            <w:iCs/>
            <w:cs/>
          </w:rPr>
          <w:t>‎</w:t>
        </w:r>
        <w:r w:rsidRPr="00F30EF3">
          <w:rPr>
            <w:rStyle w:val="Hyperlink"/>
            <w:rFonts w:cstheme="minorHAnsi"/>
            <w:i/>
            <w:iCs/>
          </w:rPr>
          <w:t>To What Extent are University IP Policies Legally Binding؟</w:t>
        </w:r>
        <w:r w:rsidRPr="00F30EF3">
          <w:rPr>
            <w:rStyle w:val="Hyperlink"/>
            <w:rFonts w:cstheme="minorHAnsi"/>
            <w:i/>
            <w:iCs/>
            <w:cs/>
          </w:rPr>
          <w:t>‎</w:t>
        </w:r>
      </w:hyperlink>
      <w:hyperlink r:id="rId51" w:history="1">
        <w:r w:rsidRPr="00F30EF3">
          <w:rPr>
            <w:rStyle w:val="Hyperlink"/>
            <w:rFonts w:cstheme="minorHAnsi"/>
            <w:i/>
            <w:iCs/>
            <w:cs/>
          </w:rPr>
          <w:t>‎</w:t>
        </w:r>
        <w:r w:rsidRPr="00F30EF3">
          <w:rPr>
            <w:rStyle w:val="Hyperlink"/>
            <w:rFonts w:cstheme="minorHAnsi"/>
            <w:i/>
            <w:iCs/>
          </w:rPr>
          <w:t xml:space="preserve"> Part 3:</w:t>
        </w:r>
        <w:r w:rsidRPr="00F30EF3">
          <w:rPr>
            <w:rStyle w:val="Hyperlink"/>
            <w:rFonts w:cstheme="minorHAnsi"/>
            <w:i/>
            <w:iCs/>
            <w:cs/>
          </w:rPr>
          <w:t>‎</w:t>
        </w:r>
      </w:hyperlink>
      <w:hyperlink r:id="rId52" w:history="1">
        <w:r w:rsidRPr="00F30EF3">
          <w:rPr>
            <w:rStyle w:val="Hyperlink"/>
            <w:rFonts w:cstheme="minorHAnsi"/>
            <w:i/>
            <w:iCs/>
          </w:rPr>
          <w:t xml:space="preserve"> Visiting Scientists</w:t>
        </w:r>
      </w:hyperlink>
      <w:r w:rsidRPr="00F30EF3">
        <w:rPr>
          <w:rFonts w:cstheme="minorHAnsi"/>
          <w:i/>
          <w:iCs/>
        </w:rPr>
        <w:t xml:space="preserve">, </w:t>
      </w:r>
      <w:r w:rsidRPr="00F30EF3">
        <w:rPr>
          <w:rFonts w:cstheme="minorHAnsi"/>
        </w:rPr>
        <w:t>les Nouvelles</w:t>
      </w:r>
      <w:r w:rsidRPr="00F30EF3">
        <w:rPr>
          <w:rFonts w:cstheme="minorHAnsi"/>
          <w:rtl/>
        </w:rPr>
        <w:t xml:space="preserve"> - مجلة جمعية خبراء التراخيص، المجلد 52، العدد 1، مارس 2017  </w:t>
      </w:r>
    </w:p>
    <w:p w14:paraId="7832794E" w14:textId="77777777" w:rsidR="005E449B" w:rsidRPr="00F30EF3" w:rsidRDefault="005E449B" w:rsidP="00734F31">
      <w:pPr>
        <w:pStyle w:val="ListParagraph"/>
        <w:spacing w:line="240" w:lineRule="auto"/>
        <w:ind w:left="1440"/>
        <w:jc w:val="both"/>
        <w:rPr>
          <w:rFonts w:cstheme="minorHAnsi"/>
          <w:lang w:val="en-US"/>
        </w:rPr>
      </w:pPr>
    </w:p>
    <w:p w14:paraId="4364AAEF" w14:textId="77777777" w:rsidR="00954E9A" w:rsidRPr="00F30EF3" w:rsidRDefault="005E449B" w:rsidP="009D4A54">
      <w:pPr>
        <w:pStyle w:val="ListParagraph"/>
        <w:numPr>
          <w:ilvl w:val="0"/>
          <w:numId w:val="18"/>
        </w:numPr>
        <w:spacing w:line="240" w:lineRule="auto"/>
        <w:ind w:left="426" w:hanging="426"/>
        <w:jc w:val="both"/>
        <w:rPr>
          <w:rFonts w:cstheme="minorHAnsi"/>
          <w:rtl/>
        </w:rPr>
      </w:pPr>
      <w:r w:rsidRPr="00F30EF3">
        <w:rPr>
          <w:rFonts w:cstheme="minorHAnsi"/>
          <w:b/>
          <w:bCs/>
          <w:rtl/>
        </w:rPr>
        <w:t>سياسات الملكية الفكرية</w:t>
      </w:r>
      <w:r w:rsidRPr="00F30EF3">
        <w:rPr>
          <w:rFonts w:cstheme="minorHAnsi"/>
          <w:rtl/>
        </w:rPr>
        <w:t xml:space="preserve">. ويمكن الاطلاع على الأمثلة في </w:t>
      </w:r>
      <w:hyperlink r:id="rId53" w:history="1">
        <w:r w:rsidRPr="00F30EF3">
          <w:rPr>
            <w:rStyle w:val="Hyperlink"/>
            <w:rFonts w:cstheme="minorHAnsi"/>
            <w:rtl/>
          </w:rPr>
          <w:t>قاعدة بيانات الويبو</w:t>
        </w:r>
      </w:hyperlink>
      <w:r w:rsidRPr="00F30EF3">
        <w:rPr>
          <w:rFonts w:cstheme="minorHAnsi"/>
          <w:rtl/>
        </w:rPr>
        <w:t>.</w:t>
      </w:r>
    </w:p>
    <w:p w14:paraId="07FE6792" w14:textId="77777777" w:rsidR="00954E9A" w:rsidRPr="00F30EF3" w:rsidRDefault="00954E9A" w:rsidP="00954E9A">
      <w:pPr>
        <w:pStyle w:val="ListParagraph"/>
        <w:spacing w:line="240" w:lineRule="auto"/>
        <w:ind w:left="426"/>
        <w:jc w:val="both"/>
        <w:rPr>
          <w:rFonts w:cstheme="minorHAnsi"/>
          <w:lang w:val="en-US"/>
        </w:rPr>
      </w:pPr>
    </w:p>
    <w:p w14:paraId="45D81039" w14:textId="77777777" w:rsidR="00B5764C" w:rsidRPr="00F30EF3" w:rsidRDefault="005E449B" w:rsidP="009D4A54">
      <w:pPr>
        <w:pStyle w:val="ListParagraph"/>
        <w:numPr>
          <w:ilvl w:val="0"/>
          <w:numId w:val="18"/>
        </w:numPr>
        <w:spacing w:line="240" w:lineRule="auto"/>
        <w:ind w:left="426" w:hanging="426"/>
        <w:jc w:val="both"/>
        <w:rPr>
          <w:rFonts w:cstheme="minorHAnsi"/>
          <w:rtl/>
        </w:rPr>
      </w:pPr>
      <w:r w:rsidRPr="00F30EF3">
        <w:rPr>
          <w:rFonts w:cstheme="minorHAnsi"/>
          <w:b/>
          <w:bCs/>
          <w:rtl/>
        </w:rPr>
        <w:t>إدارة قضايا الملكية الفكرية المتعلقة بالطلاب</w:t>
      </w:r>
      <w:r w:rsidRPr="00F30EF3">
        <w:rPr>
          <w:rFonts w:cstheme="minorHAnsi"/>
          <w:rtl/>
        </w:rPr>
        <w:t xml:space="preserve">. </w:t>
      </w:r>
    </w:p>
    <w:p w14:paraId="0CF33FCA" w14:textId="77777777" w:rsidR="00954E9A" w:rsidRPr="00F30EF3" w:rsidRDefault="00954E9A" w:rsidP="000C1792">
      <w:pPr>
        <w:pStyle w:val="ListParagraph"/>
        <w:numPr>
          <w:ilvl w:val="1"/>
          <w:numId w:val="18"/>
        </w:numPr>
        <w:spacing w:after="0" w:line="240" w:lineRule="auto"/>
        <w:ind w:left="709" w:hanging="284"/>
        <w:jc w:val="both"/>
        <w:rPr>
          <w:rFonts w:cstheme="minorHAnsi"/>
          <w:rtl/>
        </w:rPr>
      </w:pPr>
      <w:r w:rsidRPr="00F30EF3">
        <w:rPr>
          <w:rFonts w:cstheme="minorHAnsi"/>
          <w:rtl/>
        </w:rPr>
        <w:t>"</w:t>
      </w:r>
      <w:hyperlink r:id="rId54" w:history="1">
        <w:r w:rsidRPr="00F30EF3">
          <w:rPr>
            <w:rStyle w:val="Hyperlink"/>
            <w:rFonts w:cstheme="minorHAnsi"/>
            <w:i/>
            <w:iCs/>
          </w:rPr>
          <w:t>Managing Student Intellectual Property Issues at Institutions of Higher Education:</w:t>
        </w:r>
      </w:hyperlink>
      <w:hyperlink r:id="rId55" w:history="1">
        <w:r w:rsidRPr="00F30EF3">
          <w:rPr>
            <w:rStyle w:val="Hyperlink"/>
            <w:rFonts w:cstheme="minorHAnsi"/>
            <w:i/>
            <w:iCs/>
          </w:rPr>
          <w:t xml:space="preserve"> An AUTM Primer</w:t>
        </w:r>
      </w:hyperlink>
      <w:r w:rsidRPr="00F30EF3">
        <w:rPr>
          <w:rFonts w:cstheme="minorHAnsi"/>
          <w:rtl/>
        </w:rPr>
        <w:t>" هي مقالات مفيدة لمساعدتك في تحديد تضمين الطلاب في نطاق سياسة الملكية الفكرية الخاصة بك من عدمه. وتسلط الضوء أيضاً على سبع قضايا رئيسية يجب على كل مؤسسة مراعاتها لوضع سياسة ملكية فكرية عادلة وشاملة للطلاب.</w:t>
      </w:r>
    </w:p>
    <w:p w14:paraId="6AE2DD21" w14:textId="77777777" w:rsidR="00A554DB" w:rsidRPr="00F30EF3" w:rsidRDefault="00B5764C" w:rsidP="000C1792">
      <w:pPr>
        <w:spacing w:after="0" w:line="240" w:lineRule="auto"/>
        <w:ind w:left="709" w:hanging="284"/>
        <w:jc w:val="both"/>
        <w:rPr>
          <w:rFonts w:cstheme="minorHAnsi"/>
          <w:rtl/>
        </w:rPr>
      </w:pPr>
      <w:r w:rsidRPr="00F30EF3">
        <w:rPr>
          <w:rFonts w:cstheme="minorHAnsi"/>
          <w:rtl/>
        </w:rPr>
        <w:t>-</w:t>
      </w:r>
      <w:r w:rsidRPr="00F30EF3">
        <w:rPr>
          <w:rFonts w:cstheme="minorHAnsi"/>
          <w:rtl/>
        </w:rPr>
        <w:tab/>
        <w:t>"</w:t>
      </w:r>
      <w:hyperlink r:id="rId56" w:history="1">
        <w:r w:rsidRPr="00F30EF3">
          <w:rPr>
            <w:rStyle w:val="Hyperlink"/>
            <w:rFonts w:cstheme="minorHAnsi"/>
            <w:i/>
            <w:iCs/>
          </w:rPr>
          <w:t>Undergraduate Students—Your Rights Under Consumer Law</w:t>
        </w:r>
      </w:hyperlink>
      <w:r w:rsidRPr="00F30EF3">
        <w:rPr>
          <w:rFonts w:cstheme="minorHAnsi"/>
          <w:rtl/>
        </w:rPr>
        <w:t>" يشرح قانون المملكة المتحدة الساري على طلاب المرحلة الجامعية (والدراسات العليا).</w:t>
      </w:r>
    </w:p>
    <w:p w14:paraId="1C4A3666" w14:textId="77777777" w:rsidR="00F407FC" w:rsidRPr="00F30EF3" w:rsidRDefault="00F407FC" w:rsidP="000C1792">
      <w:pPr>
        <w:spacing w:after="0" w:line="240" w:lineRule="auto"/>
        <w:ind w:left="709" w:hanging="283"/>
        <w:jc w:val="both"/>
        <w:rPr>
          <w:rFonts w:cstheme="minorHAnsi"/>
          <w:rtl/>
        </w:rPr>
      </w:pPr>
      <w:r w:rsidRPr="00F30EF3">
        <w:rPr>
          <w:rFonts w:cstheme="minorHAnsi"/>
          <w:rtl/>
        </w:rPr>
        <w:t xml:space="preserve">- </w:t>
      </w:r>
      <w:r w:rsidRPr="00F30EF3">
        <w:rPr>
          <w:rFonts w:cstheme="minorHAnsi"/>
          <w:rtl/>
        </w:rPr>
        <w:tab/>
        <w:t>"</w:t>
      </w:r>
      <w:r w:rsidRPr="00F30EF3">
        <w:rPr>
          <w:rFonts w:cstheme="minorHAnsi"/>
        </w:rPr>
        <w:t>PraxisUnico</w:t>
      </w:r>
      <w:r w:rsidRPr="00F30EF3">
        <w:rPr>
          <w:rFonts w:cstheme="minorHAnsi"/>
          <w:rtl/>
        </w:rPr>
        <w:t xml:space="preserve"> (2006)، </w:t>
      </w:r>
      <w:hyperlink r:id="rId57" w:history="1">
        <w:r w:rsidRPr="00F30EF3">
          <w:rPr>
            <w:rStyle w:val="Hyperlink"/>
            <w:rFonts w:cstheme="minorHAnsi"/>
            <w:i/>
            <w:iCs/>
            <w:rtl/>
          </w:rPr>
          <w:t xml:space="preserve">دليل </w:t>
        </w:r>
        <w:r w:rsidRPr="00F30EF3">
          <w:rPr>
            <w:rStyle w:val="Hyperlink"/>
            <w:rFonts w:cstheme="minorHAnsi"/>
            <w:i/>
            <w:iCs/>
          </w:rPr>
          <w:t>UNICO</w:t>
        </w:r>
        <w:r w:rsidRPr="00F30EF3">
          <w:rPr>
            <w:rStyle w:val="Hyperlink"/>
            <w:rFonts w:cstheme="minorHAnsi"/>
            <w:i/>
            <w:iCs/>
            <w:rtl/>
          </w:rPr>
          <w:t xml:space="preserve"> العملي للطلاب والملكية الفكرية</w:t>
        </w:r>
      </w:hyperlink>
      <w:r w:rsidRPr="00F30EF3">
        <w:rPr>
          <w:rFonts w:cstheme="minorHAnsi"/>
          <w:rtl/>
        </w:rPr>
        <w:t xml:space="preserve"> يطرح مقدمة إلى المسائل القانونية والعملية المحيطة بحيازة وإدارة الملكية الفكرية التي أبدعها الطلاب، إلى جانب بعض أفضل الممارسات واتفاقات النماذج المقترحة والقوائم المرجعية.</w:t>
      </w:r>
    </w:p>
    <w:p w14:paraId="66C79A36" w14:textId="259A79C8" w:rsidR="00664E3C" w:rsidRPr="00F30EF3" w:rsidRDefault="00044D45" w:rsidP="00044D45">
      <w:pPr>
        <w:bidi w:val="0"/>
        <w:rPr>
          <w:rFonts w:cstheme="minorHAnsi"/>
          <w:lang w:val="en-US"/>
        </w:rPr>
      </w:pPr>
      <w:r w:rsidRPr="00F30EF3">
        <w:rPr>
          <w:rFonts w:cstheme="minorHAnsi"/>
          <w:rtl/>
          <w:lang w:val="en-US"/>
        </w:rPr>
        <w:br w:type="page"/>
      </w:r>
    </w:p>
    <w:p w14:paraId="12740879" w14:textId="77777777" w:rsidR="00717723" w:rsidRPr="00F30EF3" w:rsidRDefault="00717723" w:rsidP="002F3C51">
      <w:pPr>
        <w:pStyle w:val="Heading2"/>
        <w:rPr>
          <w:rFonts w:asciiTheme="minorHAnsi" w:hAnsiTheme="minorHAnsi" w:cstheme="minorHAnsi"/>
          <w:sz w:val="22"/>
          <w:szCs w:val="22"/>
          <w:rtl/>
        </w:rPr>
      </w:pPr>
      <w:bookmarkStart w:id="102" w:name="_Toc490468519"/>
      <w:bookmarkStart w:id="103" w:name="_Toc482103092"/>
    </w:p>
    <w:p w14:paraId="0875D14B" w14:textId="77777777" w:rsidR="009917E0" w:rsidRPr="00F30EF3" w:rsidRDefault="00060558" w:rsidP="002F3C51">
      <w:pPr>
        <w:pStyle w:val="Heading2"/>
        <w:rPr>
          <w:rFonts w:asciiTheme="minorHAnsi" w:hAnsiTheme="minorHAnsi" w:cstheme="minorHAnsi"/>
          <w:rtl/>
        </w:rPr>
      </w:pPr>
      <w:bookmarkStart w:id="104" w:name="_Toc516160051"/>
      <w:bookmarkStart w:id="105" w:name="_Toc516219394"/>
      <w:bookmarkStart w:id="106" w:name="_Toc516496035"/>
      <w:bookmarkStart w:id="107" w:name="_Toc516829407"/>
      <w:bookmarkStart w:id="108" w:name="_Toc178260762"/>
      <w:r w:rsidRPr="00F30EF3">
        <w:rPr>
          <w:rFonts w:asciiTheme="minorHAnsi" w:hAnsiTheme="minorHAnsi" w:cstheme="minorHAnsi"/>
          <w:rtl/>
        </w:rPr>
        <w:t xml:space="preserve">المادة 4 – </w:t>
      </w:r>
      <w:bookmarkEnd w:id="102"/>
      <w:r w:rsidRPr="00F30EF3">
        <w:rPr>
          <w:rFonts w:asciiTheme="minorHAnsi" w:hAnsiTheme="minorHAnsi" w:cstheme="minorHAnsi"/>
          <w:rtl/>
        </w:rPr>
        <w:t>الحوكمة والتشغيل</w:t>
      </w:r>
      <w:bookmarkEnd w:id="104"/>
      <w:bookmarkEnd w:id="105"/>
      <w:bookmarkEnd w:id="106"/>
      <w:bookmarkEnd w:id="107"/>
      <w:bookmarkEnd w:id="108"/>
      <w:r w:rsidRPr="00F30EF3">
        <w:rPr>
          <w:rFonts w:asciiTheme="minorHAnsi" w:hAnsiTheme="minorHAnsi" w:cstheme="minorHAnsi"/>
          <w:rtl/>
        </w:rPr>
        <w:t xml:space="preserve"> </w:t>
      </w:r>
    </w:p>
    <w:p w14:paraId="2AEADABA" w14:textId="77777777" w:rsidR="00E22076" w:rsidRPr="00F30EF3" w:rsidRDefault="00E22076" w:rsidP="002F3C51">
      <w:pPr>
        <w:pStyle w:val="Heading2"/>
        <w:rPr>
          <w:rFonts w:asciiTheme="minorHAnsi" w:hAnsiTheme="minorHAnsi" w:cstheme="minorHAnsi"/>
          <w:sz w:val="22"/>
          <w:szCs w:val="22"/>
          <w:lang w:val="en-US"/>
        </w:rPr>
      </w:pPr>
    </w:p>
    <w:bookmarkEnd w:id="103"/>
    <w:p w14:paraId="0ED5D90E" w14:textId="77777777" w:rsidR="00194209" w:rsidRPr="00F30EF3" w:rsidRDefault="00194209" w:rsidP="002F3C51">
      <w:pPr>
        <w:spacing w:after="0" w:line="240" w:lineRule="auto"/>
        <w:rPr>
          <w:rFonts w:cstheme="minorHAnsi"/>
          <w:lang w:val="en-US"/>
        </w:rPr>
      </w:pPr>
    </w:p>
    <w:p w14:paraId="3CF4AC80" w14:textId="77777777" w:rsidR="00914C30" w:rsidRPr="00F30EF3" w:rsidRDefault="009917E0" w:rsidP="002F3C51">
      <w:pPr>
        <w:pStyle w:val="Heading3"/>
        <w:rPr>
          <w:rFonts w:asciiTheme="minorHAnsi" w:hAnsiTheme="minorHAnsi" w:cstheme="minorHAnsi"/>
          <w:sz w:val="24"/>
          <w:szCs w:val="24"/>
          <w:rtl/>
        </w:rPr>
      </w:pPr>
      <w:bookmarkStart w:id="109" w:name="_Toc494115958"/>
      <w:bookmarkStart w:id="110" w:name="_Toc516160052"/>
      <w:bookmarkStart w:id="111" w:name="_Toc516219395"/>
      <w:bookmarkStart w:id="112" w:name="_Toc516496036"/>
      <w:bookmarkStart w:id="113" w:name="_Toc516829408"/>
      <w:r w:rsidRPr="00F30EF3">
        <w:rPr>
          <w:rFonts w:asciiTheme="minorHAnsi" w:hAnsiTheme="minorHAnsi" w:cstheme="minorHAnsi"/>
          <w:sz w:val="24"/>
          <w:szCs w:val="24"/>
          <w:rtl/>
        </w:rPr>
        <w:t>هيكلية تنفيذ من مستويين</w:t>
      </w:r>
      <w:bookmarkEnd w:id="109"/>
      <w:bookmarkEnd w:id="110"/>
      <w:bookmarkEnd w:id="111"/>
      <w:bookmarkEnd w:id="112"/>
      <w:bookmarkEnd w:id="113"/>
    </w:p>
    <w:p w14:paraId="0BC71AFA" w14:textId="48DB95A3" w:rsidR="00914C30" w:rsidRPr="00F30EF3" w:rsidRDefault="00914C30" w:rsidP="0062021C">
      <w:pPr>
        <w:pStyle w:val="ListParagraph"/>
        <w:numPr>
          <w:ilvl w:val="0"/>
          <w:numId w:val="88"/>
        </w:numPr>
        <w:spacing w:after="120" w:line="240" w:lineRule="auto"/>
        <w:ind w:left="432" w:hanging="432"/>
        <w:contextualSpacing w:val="0"/>
        <w:jc w:val="both"/>
        <w:rPr>
          <w:rFonts w:cstheme="minorHAnsi"/>
        </w:rPr>
      </w:pPr>
      <w:r w:rsidRPr="00F30EF3">
        <w:rPr>
          <w:rFonts w:cstheme="minorHAnsi"/>
          <w:rtl/>
        </w:rPr>
        <w:t xml:space="preserve">أثبتت عقود من الممارسة أهمية وجود هيكلية من مستويين لحوكمة سياسة الملكية الفكرية وتنفيذها: هيكلية تتألف من </w:t>
      </w:r>
      <w:r w:rsidRPr="00F30EF3">
        <w:rPr>
          <w:rFonts w:cstheme="minorHAnsi"/>
          <w:b/>
          <w:bCs/>
          <w:rtl/>
        </w:rPr>
        <w:t>حوكمة للملكية الفكرية (لجنة الملكية الفكرية)</w:t>
      </w:r>
      <w:r w:rsidRPr="00F30EF3">
        <w:rPr>
          <w:rFonts w:cstheme="minorHAnsi"/>
          <w:rtl/>
        </w:rPr>
        <w:t xml:space="preserve"> و</w:t>
      </w:r>
      <w:r w:rsidRPr="00F30EF3">
        <w:rPr>
          <w:rFonts w:cstheme="minorHAnsi"/>
          <w:b/>
          <w:bCs/>
          <w:rtl/>
        </w:rPr>
        <w:t>عمليات الملكية الفكرية (مكتب إدارة الملكية الفكرية)</w:t>
      </w:r>
      <w:r w:rsidRPr="00F30EF3">
        <w:rPr>
          <w:rFonts w:cstheme="minorHAnsi"/>
          <w:rtl/>
        </w:rPr>
        <w:t xml:space="preserve">. يعمل هذان المجالان بشكل شبه مستقل ولكنهما مرتبطان ببعضهما ارتباطاً وثيقاً أيضاً. حوكمة الملكية الفكرية هي المجال المختص بوضع/تطوير السياسات والتوجيه الاستراتيجي الشامل. وعمليات الملكية الفكرية هي مجال المعاملات والإدارة اليومية.  </w:t>
      </w:r>
    </w:p>
    <w:p w14:paraId="12C7F923" w14:textId="52DCF31F" w:rsidR="002A2271" w:rsidRPr="00F30EF3" w:rsidRDefault="00914C30" w:rsidP="0062021C">
      <w:pPr>
        <w:pStyle w:val="ListParagraph"/>
        <w:numPr>
          <w:ilvl w:val="0"/>
          <w:numId w:val="88"/>
        </w:numPr>
        <w:spacing w:after="120" w:line="240" w:lineRule="auto"/>
        <w:ind w:left="432" w:hanging="432"/>
        <w:contextualSpacing w:val="0"/>
        <w:jc w:val="both"/>
        <w:rPr>
          <w:rFonts w:cstheme="minorHAnsi"/>
        </w:rPr>
      </w:pPr>
      <w:r w:rsidRPr="00F30EF3">
        <w:rPr>
          <w:rFonts w:cstheme="minorHAnsi"/>
          <w:rtl/>
        </w:rPr>
        <w:t xml:space="preserve">بموجب هذا النموذج المؤلف من مستويين، يُدار كل مجال من خلال كيان مؤسسي مختلف، ولكن كلاهما يقع في نهاية المطاف تحت رعاية مسؤول واحد كبير معين في المؤسسة (عادةً الرئيس أو نائب الرئيس، أو نائب المستشار أو نائب رئيس الجامعة).  </w:t>
      </w:r>
    </w:p>
    <w:p w14:paraId="44A445BB" w14:textId="13763619" w:rsidR="00897D62" w:rsidRPr="00F30EF3" w:rsidRDefault="002A2271" w:rsidP="0062021C">
      <w:pPr>
        <w:pStyle w:val="ListParagraph"/>
        <w:numPr>
          <w:ilvl w:val="0"/>
          <w:numId w:val="88"/>
        </w:numPr>
        <w:spacing w:after="120" w:line="240" w:lineRule="auto"/>
        <w:ind w:left="432" w:hanging="432"/>
        <w:contextualSpacing w:val="0"/>
        <w:jc w:val="both"/>
        <w:rPr>
          <w:rFonts w:cstheme="minorHAnsi"/>
        </w:rPr>
      </w:pPr>
      <w:r w:rsidRPr="00F30EF3">
        <w:rPr>
          <w:rFonts w:cstheme="minorHAnsi"/>
          <w:rtl/>
        </w:rPr>
        <w:t>تسرد المادة 4 الوحدتين والمجالات الرئيسية التي تضطلع بها كل وحدة. ومن المفيد أيضاً تضمين رقم هاتف جهة الاتصال أو عنوان البريد الإلكتروني العام.</w:t>
      </w:r>
    </w:p>
    <w:p w14:paraId="6D13E6E1" w14:textId="77777777" w:rsidR="00082FA7" w:rsidRPr="00F30EF3" w:rsidRDefault="00C251E9">
      <w:pPr>
        <w:pStyle w:val="Heading3"/>
        <w:rPr>
          <w:rFonts w:asciiTheme="minorHAnsi" w:hAnsiTheme="minorHAnsi" w:cstheme="minorHAnsi"/>
          <w:sz w:val="24"/>
          <w:szCs w:val="24"/>
          <w:rtl/>
        </w:rPr>
      </w:pPr>
      <w:bookmarkStart w:id="114" w:name="_Article_4.1_-"/>
      <w:bookmarkStart w:id="115" w:name="_Toc494115959"/>
      <w:bookmarkStart w:id="116" w:name="_Toc516160053"/>
      <w:bookmarkStart w:id="117" w:name="_Toc516219396"/>
      <w:bookmarkStart w:id="118" w:name="_Toc516496037"/>
      <w:bookmarkStart w:id="119" w:name="_Toc516829409"/>
      <w:bookmarkEnd w:id="114"/>
      <w:r w:rsidRPr="00F30EF3">
        <w:rPr>
          <w:rFonts w:asciiTheme="minorHAnsi" w:hAnsiTheme="minorHAnsi" w:cstheme="minorHAnsi"/>
          <w:sz w:val="24"/>
          <w:szCs w:val="24"/>
          <w:rtl/>
        </w:rPr>
        <w:t xml:space="preserve">المادة 1.4 - </w:t>
      </w:r>
      <w:bookmarkEnd w:id="115"/>
      <w:r w:rsidRPr="00F30EF3">
        <w:rPr>
          <w:rFonts w:asciiTheme="minorHAnsi" w:hAnsiTheme="minorHAnsi" w:cstheme="minorHAnsi"/>
          <w:sz w:val="24"/>
          <w:szCs w:val="24"/>
          <w:rtl/>
        </w:rPr>
        <w:t>الحوكمة – لجنة الملكية الفكرية</w:t>
      </w:r>
      <w:bookmarkEnd w:id="116"/>
      <w:bookmarkEnd w:id="117"/>
      <w:bookmarkEnd w:id="118"/>
      <w:bookmarkEnd w:id="119"/>
      <w:r w:rsidRPr="00F30EF3">
        <w:rPr>
          <w:rFonts w:asciiTheme="minorHAnsi" w:hAnsiTheme="minorHAnsi" w:cstheme="minorHAnsi"/>
          <w:sz w:val="24"/>
          <w:szCs w:val="24"/>
          <w:rtl/>
        </w:rPr>
        <w:t xml:space="preserve"> </w:t>
      </w:r>
    </w:p>
    <w:p w14:paraId="2F8D3EAD" w14:textId="77777777" w:rsidR="000D6517" w:rsidRPr="00F30EF3" w:rsidRDefault="000D6517" w:rsidP="0062021C">
      <w:pPr>
        <w:pStyle w:val="ListParagraph"/>
        <w:numPr>
          <w:ilvl w:val="0"/>
          <w:numId w:val="90"/>
        </w:numPr>
        <w:tabs>
          <w:tab w:val="left" w:pos="426"/>
        </w:tabs>
        <w:spacing w:after="120" w:line="240" w:lineRule="auto"/>
        <w:ind w:left="432" w:hanging="426"/>
        <w:contextualSpacing w:val="0"/>
        <w:jc w:val="both"/>
        <w:rPr>
          <w:rFonts w:cstheme="minorHAnsi"/>
          <w:rtl/>
        </w:rPr>
      </w:pPr>
      <w:r w:rsidRPr="00F30EF3">
        <w:rPr>
          <w:rFonts w:cstheme="minorHAnsi"/>
          <w:b/>
          <w:bCs/>
          <w:rtl/>
        </w:rPr>
        <w:t xml:space="preserve">المادة 1.1.4، </w:t>
      </w:r>
      <w:r w:rsidRPr="00F30EF3">
        <w:rPr>
          <w:rFonts w:cstheme="minorHAnsi"/>
          <w:b/>
          <w:bCs/>
          <w:i/>
          <w:iCs/>
          <w:rtl/>
        </w:rPr>
        <w:t>الغرض</w:t>
      </w:r>
      <w:r w:rsidRPr="00F30EF3">
        <w:rPr>
          <w:rFonts w:cstheme="minorHAnsi"/>
          <w:rtl/>
        </w:rPr>
        <w:t xml:space="preserve">.  يتم إنشاء لجنة أو هيئة لضمان وجود حوكمة جيدة للملكية الفكرية، أي وضع السياسات وتطويرها والتوجيه الاستراتيجي. </w:t>
      </w:r>
    </w:p>
    <w:p w14:paraId="138A0472" w14:textId="20C810AC" w:rsidR="00B22B83" w:rsidRPr="00F30EF3" w:rsidRDefault="00F546AA" w:rsidP="0062021C">
      <w:pPr>
        <w:pStyle w:val="ListParagraph"/>
        <w:numPr>
          <w:ilvl w:val="0"/>
          <w:numId w:val="24"/>
        </w:numPr>
        <w:tabs>
          <w:tab w:val="left" w:pos="426"/>
        </w:tabs>
        <w:spacing w:after="120" w:line="240" w:lineRule="auto"/>
        <w:ind w:left="432" w:hanging="426"/>
        <w:contextualSpacing w:val="0"/>
        <w:jc w:val="both"/>
        <w:rPr>
          <w:rFonts w:cstheme="minorHAnsi"/>
          <w:rtl/>
        </w:rPr>
      </w:pPr>
      <w:r w:rsidRPr="00F30EF3">
        <w:rPr>
          <w:rFonts w:cstheme="minorHAnsi"/>
          <w:rtl/>
        </w:rPr>
        <w:t>يستخدم النموذج المصطلح العام "لجنة الملكية الفكرية". ويمكن تسميته بأي اسم آخر، بما في ذلك مكتب نائب الرئيس للأبحاث</w:t>
      </w:r>
      <w:r w:rsidR="008857F1" w:rsidRPr="00F30EF3">
        <w:rPr>
          <w:rStyle w:val="FootnoteReference"/>
          <w:rFonts w:cstheme="minorHAnsi"/>
          <w:rtl/>
          <w:lang w:val="en-US"/>
        </w:rPr>
        <w:footnoteReference w:id="64"/>
      </w:r>
      <w:r w:rsidRPr="00F30EF3">
        <w:rPr>
          <w:rFonts w:cstheme="minorHAnsi"/>
          <w:rtl/>
        </w:rPr>
        <w:t>، واللجنة المعنية بالملكية الفكرية</w:t>
      </w:r>
      <w:r w:rsidR="008857F1" w:rsidRPr="00F30EF3">
        <w:rPr>
          <w:rStyle w:val="FootnoteReference"/>
          <w:rFonts w:cstheme="minorHAnsi"/>
          <w:rtl/>
          <w:lang w:val="en-US"/>
        </w:rPr>
        <w:footnoteReference w:id="65"/>
      </w:r>
      <w:r w:rsidRPr="00F30EF3">
        <w:rPr>
          <w:rFonts w:cstheme="minorHAnsi"/>
          <w:rtl/>
        </w:rPr>
        <w:t>، ومجلس الملكية الفكرية بالجامعة</w:t>
      </w:r>
      <w:r w:rsidR="008857F1" w:rsidRPr="00F30EF3">
        <w:rPr>
          <w:rStyle w:val="FootnoteReference"/>
          <w:rFonts w:cstheme="minorHAnsi"/>
          <w:rtl/>
          <w:lang w:val="en-US"/>
        </w:rPr>
        <w:footnoteReference w:id="66"/>
      </w:r>
      <w:r w:rsidRPr="00F30EF3">
        <w:rPr>
          <w:rFonts w:cstheme="minorHAnsi"/>
          <w:rtl/>
        </w:rPr>
        <w:t>، واللجنة الاستشارية للملكية الفكرية</w:t>
      </w:r>
      <w:r w:rsidR="008857F1" w:rsidRPr="00F30EF3">
        <w:rPr>
          <w:rStyle w:val="FootnoteReference"/>
          <w:rFonts w:cstheme="minorHAnsi"/>
          <w:rtl/>
          <w:lang w:val="en-US"/>
        </w:rPr>
        <w:footnoteReference w:id="67"/>
      </w:r>
      <w:r w:rsidRPr="00F30EF3">
        <w:rPr>
          <w:rFonts w:cstheme="minorHAnsi"/>
          <w:rtl/>
        </w:rPr>
        <w:t xml:space="preserve">، واللجنة التوجيهية للملكية الفكرية، والمجلس الاستشاري للملكية الفكرية، وما إلى ذلك. </w:t>
      </w:r>
    </w:p>
    <w:p w14:paraId="1C156511" w14:textId="77777777" w:rsidR="00C24E1D" w:rsidRPr="00F30EF3" w:rsidRDefault="00CB7830" w:rsidP="0062021C">
      <w:pPr>
        <w:pStyle w:val="ListParagraph"/>
        <w:numPr>
          <w:ilvl w:val="0"/>
          <w:numId w:val="24"/>
        </w:numPr>
        <w:tabs>
          <w:tab w:val="left" w:pos="426"/>
          <w:tab w:val="left" w:pos="851"/>
        </w:tabs>
        <w:spacing w:after="120" w:line="240" w:lineRule="auto"/>
        <w:ind w:left="432" w:hanging="426"/>
        <w:contextualSpacing w:val="0"/>
        <w:jc w:val="both"/>
        <w:rPr>
          <w:rFonts w:cstheme="minorHAnsi"/>
          <w:rtl/>
        </w:rPr>
      </w:pPr>
      <w:r w:rsidRPr="00F30EF3">
        <w:rPr>
          <w:rFonts w:cstheme="minorHAnsi"/>
          <w:b/>
          <w:bCs/>
          <w:rtl/>
        </w:rPr>
        <w:t xml:space="preserve">المادة 2.1.4، </w:t>
      </w:r>
      <w:r w:rsidRPr="00F30EF3">
        <w:rPr>
          <w:rFonts w:cstheme="minorHAnsi"/>
          <w:b/>
          <w:bCs/>
          <w:i/>
          <w:iCs/>
          <w:rtl/>
        </w:rPr>
        <w:t>التكوين</w:t>
      </w:r>
      <w:r w:rsidRPr="00F30EF3">
        <w:rPr>
          <w:rFonts w:cstheme="minorHAnsi"/>
          <w:rtl/>
        </w:rPr>
        <w:t xml:space="preserve">.  يمكن أن تتكون لجنة الملكية الفكرية من فرد واحد مفوض (مثل الرئيس أو نائب الرئيس أو نائب المستشار أو نائب مدير الجامعة) أو من مجلس إدارة أو لجنة مكونة من عدة أعضاء. عادة ما يرأس لجنة الملكية الفكرية </w:t>
      </w:r>
      <w:r w:rsidRPr="00F30EF3">
        <w:rPr>
          <w:rFonts w:cstheme="minorHAnsi"/>
          <w:i/>
          <w:iCs/>
          <w:rtl/>
        </w:rPr>
        <w:t>كبير الموظفين المعينين</w:t>
      </w:r>
      <w:r w:rsidRPr="00F30EF3">
        <w:rPr>
          <w:rFonts w:cstheme="minorHAnsi"/>
          <w:rtl/>
        </w:rPr>
        <w:t xml:space="preserve"> في المؤسسة.</w:t>
      </w:r>
      <w:r w:rsidR="00E57DC1" w:rsidRPr="00F30EF3">
        <w:rPr>
          <w:rStyle w:val="FootnoteReference"/>
          <w:rFonts w:cstheme="minorHAnsi"/>
          <w:rtl/>
          <w:lang w:val="en-US"/>
        </w:rPr>
        <w:footnoteReference w:id="68"/>
      </w:r>
    </w:p>
    <w:p w14:paraId="6997639C" w14:textId="36346383" w:rsidR="003451D3" w:rsidRPr="00F30EF3" w:rsidRDefault="000D6517" w:rsidP="00E73746">
      <w:pPr>
        <w:tabs>
          <w:tab w:val="left" w:pos="426"/>
          <w:tab w:val="left" w:pos="851"/>
        </w:tabs>
        <w:spacing w:after="0" w:line="240" w:lineRule="auto"/>
        <w:ind w:left="426" w:hanging="426"/>
        <w:jc w:val="both"/>
        <w:rPr>
          <w:rFonts w:cstheme="minorHAnsi"/>
          <w:rtl/>
        </w:rPr>
      </w:pPr>
      <w:r w:rsidRPr="00F30EF3">
        <w:rPr>
          <w:rFonts w:cstheme="minorHAnsi"/>
          <w:rtl/>
        </w:rPr>
        <w:tab/>
        <w:t>تقوم بعض المؤسسات بتعيين الموظفين العاملين في المؤسسة أو الخريجين فقط. ويعين آخرون مزيجاً من الأعضاء الداخليين والخارجيين، وعادةً ما يكون أغلبية الموظفين العاملين. وبالإضافة إلى ذلك، لدى بعض المؤسسات أيضاً لجنة للملكية الفكرية مكونة بالكامل من أعضاء خارجيين. غالباً ما تتألف هذه المجموعات من خبراء في مجال التكنولوجيا والتسويق ويقدمون المشورة والدعم لجهود تسويق الملكية الفكرية.</w:t>
      </w:r>
    </w:p>
    <w:p w14:paraId="5DB9B8C3" w14:textId="12DA67F1" w:rsidR="00664E3C" w:rsidRPr="00F30EF3" w:rsidRDefault="00B22B83" w:rsidP="0017568D">
      <w:pPr>
        <w:pStyle w:val="ListParagraph"/>
        <w:tabs>
          <w:tab w:val="left" w:pos="284"/>
        </w:tabs>
        <w:spacing w:after="0" w:line="240" w:lineRule="auto"/>
        <w:ind w:left="284" w:hanging="284"/>
        <w:jc w:val="both"/>
        <w:rPr>
          <w:rFonts w:cstheme="minorHAnsi"/>
          <w:lang w:val="en-US"/>
        </w:rPr>
      </w:pPr>
      <w:r w:rsidRPr="00F30EF3">
        <w:rPr>
          <w:rFonts w:cstheme="minorHAnsi"/>
          <w:rtl/>
        </w:rPr>
        <w:t xml:space="preserve">  </w:t>
      </w:r>
    </w:p>
    <w:p w14:paraId="368AE6F1" w14:textId="77777777" w:rsidR="00162B6B" w:rsidRPr="00F30EF3" w:rsidRDefault="00664E3C" w:rsidP="00664E3C">
      <w:pPr>
        <w:tabs>
          <w:tab w:val="left" w:pos="426"/>
        </w:tabs>
        <w:spacing w:after="0" w:line="240" w:lineRule="auto"/>
        <w:jc w:val="both"/>
        <w:rPr>
          <w:rFonts w:eastAsiaTheme="minorHAnsi" w:cstheme="minorHAnsi"/>
          <w:rtl/>
        </w:rPr>
      </w:pPr>
      <w:r w:rsidRPr="00F30EF3">
        <w:rPr>
          <w:rFonts w:cstheme="minorHAnsi"/>
          <w:rtl/>
        </w:rPr>
        <w:tab/>
        <w:t xml:space="preserve">على سبيل المثال، قد تتألف لجنة الملكية الفكرية مما يلي:  </w:t>
      </w:r>
    </w:p>
    <w:p w14:paraId="09CA707D" w14:textId="77777777" w:rsidR="00162B6B" w:rsidRPr="00F30EF3" w:rsidRDefault="00162B6B" w:rsidP="009D4A54">
      <w:pPr>
        <w:pStyle w:val="ListParagraph"/>
        <w:numPr>
          <w:ilvl w:val="0"/>
          <w:numId w:val="14"/>
        </w:numPr>
        <w:tabs>
          <w:tab w:val="left" w:pos="284"/>
        </w:tabs>
        <w:autoSpaceDE w:val="0"/>
        <w:autoSpaceDN w:val="0"/>
        <w:adjustRightInd w:val="0"/>
        <w:spacing w:after="0" w:line="240" w:lineRule="auto"/>
        <w:jc w:val="both"/>
        <w:rPr>
          <w:rFonts w:eastAsiaTheme="minorHAnsi" w:cstheme="minorHAnsi"/>
          <w:rtl/>
        </w:rPr>
      </w:pPr>
      <w:r w:rsidRPr="00F30EF3">
        <w:rPr>
          <w:rFonts w:cstheme="minorHAnsi"/>
          <w:rtl/>
        </w:rPr>
        <w:t>نائب رئيس الجامعة أو نائب الرئيس المسؤول عن البحث</w:t>
      </w:r>
    </w:p>
    <w:p w14:paraId="364A2315" w14:textId="77777777" w:rsidR="00162B6B" w:rsidRPr="00F30EF3" w:rsidRDefault="00162B6B" w:rsidP="009D4A54">
      <w:pPr>
        <w:pStyle w:val="ListParagraph"/>
        <w:numPr>
          <w:ilvl w:val="0"/>
          <w:numId w:val="14"/>
        </w:numPr>
        <w:tabs>
          <w:tab w:val="left" w:pos="284"/>
        </w:tabs>
        <w:autoSpaceDE w:val="0"/>
        <w:autoSpaceDN w:val="0"/>
        <w:adjustRightInd w:val="0"/>
        <w:spacing w:after="0" w:line="240" w:lineRule="auto"/>
        <w:jc w:val="both"/>
        <w:rPr>
          <w:rFonts w:eastAsiaTheme="minorHAnsi" w:cstheme="minorHAnsi"/>
          <w:rtl/>
        </w:rPr>
      </w:pPr>
      <w:r w:rsidRPr="00F30EF3">
        <w:rPr>
          <w:rFonts w:cstheme="minorHAnsi"/>
          <w:rtl/>
        </w:rPr>
        <w:t>كبير الموظفين القانونيين</w:t>
      </w:r>
    </w:p>
    <w:p w14:paraId="5530B4E5" w14:textId="77777777" w:rsidR="00162B6B" w:rsidRPr="00F30EF3" w:rsidRDefault="00162B6B" w:rsidP="009D4A54">
      <w:pPr>
        <w:pStyle w:val="ListParagraph"/>
        <w:numPr>
          <w:ilvl w:val="0"/>
          <w:numId w:val="14"/>
        </w:numPr>
        <w:tabs>
          <w:tab w:val="left" w:pos="284"/>
        </w:tabs>
        <w:autoSpaceDE w:val="0"/>
        <w:autoSpaceDN w:val="0"/>
        <w:adjustRightInd w:val="0"/>
        <w:spacing w:after="0" w:line="240" w:lineRule="auto"/>
        <w:jc w:val="both"/>
        <w:rPr>
          <w:rFonts w:eastAsiaTheme="minorHAnsi" w:cstheme="minorHAnsi"/>
          <w:rtl/>
        </w:rPr>
      </w:pPr>
      <w:r w:rsidRPr="00F30EF3">
        <w:rPr>
          <w:rFonts w:cstheme="minorHAnsi"/>
          <w:rtl/>
        </w:rPr>
        <w:t>المدير التنفيذي للشؤون المالية</w:t>
      </w:r>
    </w:p>
    <w:p w14:paraId="48988DFB" w14:textId="77777777" w:rsidR="00162B6B" w:rsidRPr="00F30EF3" w:rsidRDefault="00162B6B" w:rsidP="009D4A54">
      <w:pPr>
        <w:pStyle w:val="ListParagraph"/>
        <w:numPr>
          <w:ilvl w:val="0"/>
          <w:numId w:val="14"/>
        </w:numPr>
        <w:tabs>
          <w:tab w:val="left" w:pos="284"/>
        </w:tabs>
        <w:autoSpaceDE w:val="0"/>
        <w:autoSpaceDN w:val="0"/>
        <w:adjustRightInd w:val="0"/>
        <w:spacing w:after="0" w:line="240" w:lineRule="auto"/>
        <w:jc w:val="both"/>
        <w:rPr>
          <w:rFonts w:eastAsiaTheme="minorHAnsi" w:cstheme="minorHAnsi"/>
          <w:rtl/>
        </w:rPr>
      </w:pPr>
      <w:r w:rsidRPr="00F30EF3">
        <w:rPr>
          <w:rFonts w:cstheme="minorHAnsi"/>
          <w:rtl/>
        </w:rPr>
        <w:t>العمداء أو رؤساء الأقسام أو مديرو المراكز على وجه الخصوص</w:t>
      </w:r>
    </w:p>
    <w:p w14:paraId="1F8BB964" w14:textId="77777777" w:rsidR="00162B6B" w:rsidRPr="00F30EF3" w:rsidRDefault="00162B6B" w:rsidP="009D4A54">
      <w:pPr>
        <w:pStyle w:val="ListParagraph"/>
        <w:numPr>
          <w:ilvl w:val="0"/>
          <w:numId w:val="14"/>
        </w:numPr>
        <w:tabs>
          <w:tab w:val="left" w:pos="284"/>
        </w:tabs>
        <w:autoSpaceDE w:val="0"/>
        <w:autoSpaceDN w:val="0"/>
        <w:adjustRightInd w:val="0"/>
        <w:spacing w:after="0" w:line="240" w:lineRule="auto"/>
        <w:jc w:val="both"/>
        <w:rPr>
          <w:rFonts w:eastAsiaTheme="minorHAnsi" w:cstheme="minorHAnsi"/>
          <w:rtl/>
        </w:rPr>
      </w:pPr>
      <w:r w:rsidRPr="00F30EF3">
        <w:rPr>
          <w:rFonts w:cstheme="minorHAnsi"/>
          <w:rtl/>
        </w:rPr>
        <w:t>أي شخص (أشخاص) قد ترغب المؤسسة في اختياره، مثل أستاذ لديه اهتمام أو خبرة كبيرة في قضايا الملكية الفكرية، أو أستاذ ذو خلفية تقنية معترف بها، أو خبير خارجي، أو ممثل من أصحاب مصلحة محددين.</w:t>
      </w:r>
    </w:p>
    <w:p w14:paraId="4E53F7AF" w14:textId="77777777" w:rsidR="002A2271" w:rsidRPr="00F30EF3" w:rsidRDefault="002A2271" w:rsidP="00E73746">
      <w:pPr>
        <w:autoSpaceDE w:val="0"/>
        <w:autoSpaceDN w:val="0"/>
        <w:adjustRightInd w:val="0"/>
        <w:spacing w:after="0" w:line="240" w:lineRule="auto"/>
        <w:jc w:val="both"/>
        <w:rPr>
          <w:rFonts w:cstheme="minorHAnsi"/>
          <w:lang w:val="en-US"/>
        </w:rPr>
      </w:pPr>
    </w:p>
    <w:p w14:paraId="0651E3EC" w14:textId="77777777" w:rsidR="002A2271" w:rsidRPr="00F30EF3" w:rsidRDefault="002A2271" w:rsidP="00464282">
      <w:pPr>
        <w:pStyle w:val="ListParagraph"/>
        <w:numPr>
          <w:ilvl w:val="0"/>
          <w:numId w:val="3"/>
        </w:numPr>
        <w:tabs>
          <w:tab w:val="left" w:pos="426"/>
        </w:tabs>
        <w:autoSpaceDE w:val="0"/>
        <w:autoSpaceDN w:val="0"/>
        <w:adjustRightInd w:val="0"/>
        <w:spacing w:after="0" w:line="240" w:lineRule="auto"/>
        <w:ind w:left="426" w:hanging="426"/>
        <w:jc w:val="both"/>
        <w:rPr>
          <w:rFonts w:cstheme="minorHAnsi"/>
          <w:rtl/>
        </w:rPr>
      </w:pPr>
      <w:r w:rsidRPr="00F30EF3">
        <w:rPr>
          <w:rFonts w:cstheme="minorHAnsi"/>
          <w:b/>
          <w:bCs/>
          <w:rtl/>
        </w:rPr>
        <w:lastRenderedPageBreak/>
        <w:t xml:space="preserve">المادة 3.1.4، </w:t>
      </w:r>
      <w:r w:rsidRPr="00F30EF3">
        <w:rPr>
          <w:rFonts w:cstheme="minorHAnsi"/>
          <w:b/>
          <w:bCs/>
          <w:i/>
          <w:iCs/>
          <w:rtl/>
        </w:rPr>
        <w:t>المسؤوليات</w:t>
      </w:r>
      <w:r w:rsidRPr="00F30EF3">
        <w:rPr>
          <w:rFonts w:cstheme="minorHAnsi"/>
          <w:b/>
          <w:bCs/>
          <w:rtl/>
        </w:rPr>
        <w:t>:</w:t>
      </w:r>
      <w:r w:rsidRPr="00F30EF3">
        <w:rPr>
          <w:rFonts w:cstheme="minorHAnsi"/>
          <w:rtl/>
        </w:rPr>
        <w:t xml:space="preserve">  تضطلع لجنة الملكية الفكرية، في بعض المؤسسات، بدور في مساعدة مكتب إدارة الملكية الفكرية في اتخاذ قرارات معينة مثل إيداع البراءات أو مفاوضات الترخيص. وفي مؤسسات أخرى، يكون مكتب إدارة الملكية الفكرية مستقلاً تماماً في إدارة الملكية الفكرية ومعاملاتها، ويكون دور لجنة الملكية الفكرية هو دور استشاري استراتيجي فقط يقدم التوجيه بشأن المسار طويل المدى لاستراتيجية الملكية الفكرية للمؤسسة وتأثيرها، والآثار السياسية، والمبادرات واسعة النطاق.</w:t>
      </w:r>
    </w:p>
    <w:p w14:paraId="0EA18511" w14:textId="77777777" w:rsidR="00AA29A6" w:rsidRPr="00F30EF3" w:rsidRDefault="00AA29A6" w:rsidP="00B7519E">
      <w:pPr>
        <w:tabs>
          <w:tab w:val="left" w:pos="426"/>
        </w:tabs>
        <w:autoSpaceDE w:val="0"/>
        <w:autoSpaceDN w:val="0"/>
        <w:adjustRightInd w:val="0"/>
        <w:spacing w:after="0" w:line="240" w:lineRule="auto"/>
        <w:jc w:val="both"/>
        <w:rPr>
          <w:rFonts w:cstheme="minorHAnsi"/>
          <w:lang w:val="en-US"/>
        </w:rPr>
      </w:pPr>
    </w:p>
    <w:p w14:paraId="657A96B8" w14:textId="77777777" w:rsidR="00BD07D8" w:rsidRPr="00F30EF3" w:rsidRDefault="00BD07D8" w:rsidP="00B7519E">
      <w:pPr>
        <w:tabs>
          <w:tab w:val="left" w:pos="426"/>
        </w:tabs>
        <w:autoSpaceDE w:val="0"/>
        <w:autoSpaceDN w:val="0"/>
        <w:adjustRightInd w:val="0"/>
        <w:spacing w:after="0" w:line="240" w:lineRule="auto"/>
        <w:jc w:val="both"/>
        <w:rPr>
          <w:rFonts w:cstheme="minorHAnsi"/>
          <w:lang w:val="en-US"/>
        </w:rPr>
      </w:pPr>
    </w:p>
    <w:p w14:paraId="2AF4FDDE" w14:textId="3353F7D0" w:rsidR="006B79B1" w:rsidRPr="00F30EF3" w:rsidRDefault="006B79B1" w:rsidP="000C1792">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425"/>
        <w:jc w:val="both"/>
        <w:textAlignment w:val="baseline"/>
        <w:rPr>
          <w:rFonts w:cstheme="minorHAnsi"/>
          <w:b/>
          <w:bCs/>
          <w:rtl/>
        </w:rPr>
      </w:pPr>
      <w:r w:rsidRPr="00F30EF3">
        <w:rPr>
          <w:rFonts w:cstheme="minorHAnsi"/>
          <w:b/>
          <w:bCs/>
          <w:rtl/>
        </w:rPr>
        <w:t xml:space="preserve">الإطار </w:t>
      </w:r>
      <w:r w:rsidR="0017568D" w:rsidRPr="00F30EF3">
        <w:rPr>
          <w:rFonts w:cstheme="minorHAnsi"/>
          <w:b/>
          <w:bCs/>
        </w:rPr>
        <w:t>.1</w:t>
      </w:r>
      <w:r w:rsidR="00155140" w:rsidRPr="00F30EF3">
        <w:rPr>
          <w:rFonts w:cstheme="minorHAnsi"/>
          <w:b/>
          <w:bCs/>
        </w:rPr>
        <w:t>4</w:t>
      </w:r>
      <w:r w:rsidRPr="00F30EF3">
        <w:rPr>
          <w:rFonts w:cstheme="minorHAnsi"/>
          <w:b/>
          <w:bCs/>
          <w:rtl/>
        </w:rPr>
        <w:t xml:space="preserve">  مثال - مقتطف من سياسة الملكية الفكرية لجامعة كيب تاون فيما يتعلق بدور اللجنة الاستشارية للملكية الفكرية لديهم</w:t>
      </w:r>
      <w:r w:rsidRPr="00F30EF3">
        <w:rPr>
          <w:rFonts w:cstheme="minorHAnsi"/>
          <w:rtl/>
        </w:rPr>
        <w:t xml:space="preserve"> </w:t>
      </w:r>
    </w:p>
    <w:p w14:paraId="13BBEC24" w14:textId="77777777" w:rsidR="006B79B1" w:rsidRPr="00F30EF3" w:rsidRDefault="006B79B1" w:rsidP="005E4411">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autoSpaceDE w:val="0"/>
        <w:autoSpaceDN w:val="0"/>
        <w:adjustRightInd w:val="0"/>
        <w:spacing w:after="0" w:line="240" w:lineRule="auto"/>
        <w:ind w:left="426"/>
        <w:jc w:val="both"/>
        <w:rPr>
          <w:rFonts w:cstheme="minorHAnsi"/>
          <w:lang w:val="en-US"/>
        </w:rPr>
      </w:pPr>
    </w:p>
    <w:p w14:paraId="2B5EE74A" w14:textId="77777777" w:rsidR="006B79B1" w:rsidRPr="00F30EF3" w:rsidRDefault="006B79B1" w:rsidP="005E4411">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autoSpaceDE w:val="0"/>
        <w:autoSpaceDN w:val="0"/>
        <w:adjustRightInd w:val="0"/>
        <w:spacing w:after="0" w:line="240" w:lineRule="auto"/>
        <w:ind w:left="426"/>
        <w:jc w:val="center"/>
        <w:rPr>
          <w:rFonts w:cstheme="minorHAnsi"/>
          <w:rtl/>
        </w:rPr>
      </w:pPr>
      <w:r w:rsidRPr="00F30EF3">
        <w:rPr>
          <w:rFonts w:cstheme="minorHAnsi"/>
          <w:noProof/>
          <w:rtl/>
        </w:rPr>
        <w:drawing>
          <wp:inline distT="0" distB="0" distL="0" distR="0" wp14:anchorId="738FAF75" wp14:editId="6A4B16C2">
            <wp:extent cx="4193519" cy="3300549"/>
            <wp:effectExtent l="12700" t="12700" r="10795"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28745" cy="3328274"/>
                    </a:xfrm>
                    <a:prstGeom prst="rect">
                      <a:avLst/>
                    </a:prstGeom>
                    <a:ln>
                      <a:solidFill>
                        <a:schemeClr val="tx1"/>
                      </a:solidFill>
                    </a:ln>
                  </pic:spPr>
                </pic:pic>
              </a:graphicData>
            </a:graphic>
          </wp:inline>
        </w:drawing>
      </w:r>
    </w:p>
    <w:p w14:paraId="72DBBCEC" w14:textId="77777777" w:rsidR="00CB7830" w:rsidRPr="00F30EF3" w:rsidRDefault="00C251E9" w:rsidP="00B7519E">
      <w:pPr>
        <w:pStyle w:val="Heading3"/>
        <w:spacing w:before="360"/>
        <w:rPr>
          <w:rFonts w:asciiTheme="minorHAnsi" w:hAnsiTheme="minorHAnsi" w:cstheme="minorHAnsi"/>
          <w:sz w:val="24"/>
          <w:szCs w:val="24"/>
          <w:rtl/>
        </w:rPr>
      </w:pPr>
      <w:bookmarkStart w:id="120" w:name="_Toc494115960"/>
      <w:bookmarkStart w:id="121" w:name="_Toc516160054"/>
      <w:bookmarkStart w:id="122" w:name="_Toc516219397"/>
      <w:bookmarkStart w:id="123" w:name="_Toc516496038"/>
      <w:bookmarkStart w:id="124" w:name="_Toc516829410"/>
      <w:r w:rsidRPr="00F30EF3">
        <w:rPr>
          <w:rFonts w:asciiTheme="minorHAnsi" w:hAnsiTheme="minorHAnsi" w:cstheme="minorHAnsi"/>
          <w:sz w:val="24"/>
          <w:szCs w:val="24"/>
          <w:rtl/>
        </w:rPr>
        <w:t>المادة 2.4 – عمليات الملكية الفكرية - مكتب إدارة الملكية الفكرية (</w:t>
      </w:r>
      <w:r w:rsidRPr="00F30EF3">
        <w:rPr>
          <w:rFonts w:asciiTheme="minorHAnsi" w:hAnsiTheme="minorHAnsi" w:cstheme="minorHAnsi"/>
          <w:sz w:val="24"/>
          <w:szCs w:val="24"/>
        </w:rPr>
        <w:t>IPMO</w:t>
      </w:r>
      <w:r w:rsidRPr="00F30EF3">
        <w:rPr>
          <w:rFonts w:asciiTheme="minorHAnsi" w:hAnsiTheme="minorHAnsi" w:cstheme="minorHAnsi"/>
          <w:sz w:val="24"/>
          <w:szCs w:val="24"/>
          <w:rtl/>
        </w:rPr>
        <w:t>)</w:t>
      </w:r>
      <w:bookmarkEnd w:id="120"/>
      <w:bookmarkEnd w:id="121"/>
      <w:bookmarkEnd w:id="122"/>
      <w:bookmarkEnd w:id="123"/>
      <w:bookmarkEnd w:id="124"/>
      <w:r w:rsidRPr="00F30EF3">
        <w:rPr>
          <w:rFonts w:asciiTheme="minorHAnsi" w:hAnsiTheme="minorHAnsi" w:cstheme="minorHAnsi"/>
          <w:sz w:val="24"/>
          <w:szCs w:val="24"/>
          <w:rtl/>
        </w:rPr>
        <w:t xml:space="preserve"> </w:t>
      </w:r>
    </w:p>
    <w:p w14:paraId="72EBAF07" w14:textId="4BEE7F5D" w:rsidR="003D0ECF" w:rsidRPr="00F30EF3" w:rsidRDefault="003D0ECF" w:rsidP="003D0ECF">
      <w:pPr>
        <w:pStyle w:val="ListParagraph"/>
        <w:numPr>
          <w:ilvl w:val="0"/>
          <w:numId w:val="3"/>
        </w:numPr>
        <w:tabs>
          <w:tab w:val="left" w:pos="426"/>
        </w:tabs>
        <w:spacing w:after="0" w:line="240" w:lineRule="auto"/>
        <w:ind w:left="426" w:hanging="426"/>
        <w:jc w:val="both"/>
        <w:rPr>
          <w:rFonts w:cstheme="minorHAnsi"/>
          <w:rtl/>
        </w:rPr>
      </w:pPr>
      <w:r w:rsidRPr="00F30EF3">
        <w:rPr>
          <w:rFonts w:cstheme="minorHAnsi"/>
          <w:b/>
          <w:bCs/>
          <w:rtl/>
        </w:rPr>
        <w:t>المصطلحات.</w:t>
      </w:r>
      <w:r w:rsidRPr="00F30EF3">
        <w:rPr>
          <w:rFonts w:cstheme="minorHAnsi"/>
          <w:rtl/>
        </w:rPr>
        <w:t xml:space="preserve"> تختلف الأسماء الشائعة للمكاتب المسؤولة عن الإدارة اليومية للملكية الفكرية ونقل التكنولوجيا وتسويقها. عند البت في المصطلح، فإنه من المهم (1) </w:t>
      </w:r>
      <w:r w:rsidRPr="00F30EF3">
        <w:rPr>
          <w:rFonts w:cstheme="minorHAnsi"/>
          <w:u w:val="single"/>
          <w:rtl/>
        </w:rPr>
        <w:t>استخدام المصطلحات الرسمية</w:t>
      </w:r>
      <w:r w:rsidRPr="00F30EF3">
        <w:rPr>
          <w:rFonts w:cstheme="minorHAnsi"/>
          <w:rtl/>
        </w:rPr>
        <w:t xml:space="preserve"> التي وُضعت بالفعل في أي لوائح مؤسسية موجودة أو ممارسات محلية أو لوائح وطنية؛ (2) في حالة عدم توافر ذلك، يمكن اختيار المصطلح الذي </w:t>
      </w:r>
      <w:r w:rsidRPr="00F30EF3">
        <w:rPr>
          <w:rFonts w:cstheme="minorHAnsi"/>
          <w:u w:val="single"/>
          <w:rtl/>
        </w:rPr>
        <w:t>يمثل الواجبات الرئيسية</w:t>
      </w:r>
      <w:r w:rsidRPr="00F30EF3">
        <w:rPr>
          <w:rFonts w:cstheme="minorHAnsi"/>
          <w:rtl/>
        </w:rPr>
        <w:t xml:space="preserve"> للوحدة. تتضمن أمثلة الأسماء الشائعة مكتب نقل التكنولوجيا</w:t>
      </w:r>
      <w:r w:rsidRPr="00F30EF3">
        <w:rPr>
          <w:rStyle w:val="FootnoteReference"/>
          <w:rFonts w:cstheme="minorHAnsi"/>
          <w:rtl/>
          <w:lang w:val="en-GB"/>
        </w:rPr>
        <w:footnoteReference w:id="69"/>
      </w:r>
      <w:r w:rsidRPr="00F30EF3">
        <w:rPr>
          <w:rFonts w:cstheme="minorHAnsi"/>
          <w:rtl/>
        </w:rPr>
        <w:t>، ومكتب ترخيص التكنولوجيا</w:t>
      </w:r>
      <w:r w:rsidRPr="00F30EF3">
        <w:rPr>
          <w:rStyle w:val="FootnoteReference"/>
          <w:rFonts w:cstheme="minorHAnsi"/>
          <w:rtl/>
          <w:lang w:val="en-GB"/>
        </w:rPr>
        <w:footnoteReference w:id="70"/>
      </w:r>
      <w:r w:rsidRPr="00F30EF3">
        <w:rPr>
          <w:rFonts w:cstheme="minorHAnsi"/>
          <w:rtl/>
        </w:rPr>
        <w:t>، ومكتب إدارة التكنولوجيا</w:t>
      </w:r>
      <w:r w:rsidRPr="00F30EF3">
        <w:rPr>
          <w:rStyle w:val="FootnoteReference"/>
          <w:rFonts w:cstheme="minorHAnsi"/>
          <w:rtl/>
          <w:lang w:val="en-GB"/>
        </w:rPr>
        <w:footnoteReference w:id="71"/>
      </w:r>
      <w:r w:rsidRPr="00F30EF3">
        <w:rPr>
          <w:rFonts w:cstheme="minorHAnsi"/>
          <w:rtl/>
        </w:rPr>
        <w:t>، ومكتب عقود البحوث وخدمات الملكية الفكرية، والمكتب المعني بنقل التكنولوجيا، ومكتب تطوير التكنولوجيا، وواجهة نقل التكنولوجيا</w:t>
      </w:r>
      <w:r w:rsidRPr="00F30EF3">
        <w:rPr>
          <w:rStyle w:val="FootnoteReference"/>
          <w:rFonts w:cstheme="minorHAnsi"/>
          <w:rtl/>
          <w:lang w:val="en-GB"/>
        </w:rPr>
        <w:footnoteReference w:id="72"/>
      </w:r>
      <w:r w:rsidRPr="00F30EF3">
        <w:rPr>
          <w:rFonts w:cstheme="minorHAnsi"/>
          <w:rtl/>
        </w:rPr>
        <w:t>، ومكتب الاتصال الصناعي</w:t>
      </w:r>
      <w:r w:rsidRPr="00F30EF3">
        <w:rPr>
          <w:rStyle w:val="FootnoteReference"/>
          <w:rFonts w:cstheme="minorHAnsi"/>
          <w:i/>
          <w:iCs/>
          <w:rtl/>
          <w:lang w:val="en-GB"/>
        </w:rPr>
        <w:footnoteReference w:id="73"/>
      </w:r>
      <w:r w:rsidRPr="00F30EF3">
        <w:rPr>
          <w:rFonts w:cstheme="minorHAnsi"/>
          <w:rtl/>
        </w:rPr>
        <w:t>، ومكتب إدارة الملكية الفكرية والتكنولوجيا، ونواة الابتكار التكنولوجي</w:t>
      </w:r>
      <w:r w:rsidRPr="00F30EF3">
        <w:rPr>
          <w:rStyle w:val="FootnoteReference"/>
          <w:rFonts w:cstheme="minorHAnsi"/>
          <w:rtl/>
          <w:lang w:val="en-GB"/>
        </w:rPr>
        <w:footnoteReference w:id="74"/>
      </w:r>
      <w:r w:rsidRPr="00F30EF3">
        <w:rPr>
          <w:rFonts w:cstheme="minorHAnsi"/>
          <w:i/>
          <w:iCs/>
          <w:rtl/>
        </w:rPr>
        <w:t>.</w:t>
      </w:r>
    </w:p>
    <w:p w14:paraId="56A6A524" w14:textId="77777777" w:rsidR="006C4A62" w:rsidRPr="00F30EF3" w:rsidRDefault="006C4A62" w:rsidP="00734F31">
      <w:pPr>
        <w:tabs>
          <w:tab w:val="left" w:pos="426"/>
        </w:tabs>
        <w:spacing w:after="0" w:line="240" w:lineRule="auto"/>
        <w:jc w:val="both"/>
        <w:rPr>
          <w:rFonts w:cstheme="minorHAnsi"/>
          <w:lang w:val="en-GB"/>
        </w:rPr>
      </w:pPr>
    </w:p>
    <w:p w14:paraId="521A2AD2" w14:textId="1798F133" w:rsidR="001B356E" w:rsidRPr="00F30EF3" w:rsidRDefault="001B356E" w:rsidP="00464282">
      <w:pPr>
        <w:pStyle w:val="ListParagraph"/>
        <w:numPr>
          <w:ilvl w:val="0"/>
          <w:numId w:val="3"/>
        </w:numPr>
        <w:tabs>
          <w:tab w:val="left" w:pos="426"/>
        </w:tabs>
        <w:spacing w:after="0" w:line="240" w:lineRule="auto"/>
        <w:ind w:left="426" w:hanging="426"/>
        <w:jc w:val="both"/>
        <w:rPr>
          <w:rFonts w:cstheme="minorHAnsi"/>
          <w:rtl/>
        </w:rPr>
      </w:pPr>
      <w:r w:rsidRPr="00F30EF3">
        <w:rPr>
          <w:rFonts w:cstheme="minorHAnsi"/>
          <w:rtl/>
        </w:rPr>
        <w:lastRenderedPageBreak/>
        <w:t>مكتب نقل التكنولوجيا هو مصطلح شائع الاستخدام في جميع أنحاء العالم. ومع ذلك، قد يتم تفضيل استخدام مصطلحات مثل استخدام مصطلح مكتب إدارة الملكية الفكرية، أو مكتب إدارة المعارف</w:t>
      </w:r>
      <w:r w:rsidR="00625FEC" w:rsidRPr="00F30EF3">
        <w:rPr>
          <w:rStyle w:val="FootnoteReference"/>
          <w:rFonts w:cstheme="minorHAnsi"/>
          <w:rtl/>
          <w:lang w:val="en-US"/>
        </w:rPr>
        <w:footnoteReference w:id="75"/>
      </w:r>
      <w:r w:rsidRPr="00F30EF3">
        <w:rPr>
          <w:rFonts w:cstheme="minorHAnsi"/>
          <w:rtl/>
        </w:rPr>
        <w:t>، أو مكتب نقل المعارف كمصطلح أشمل للاعتراف بأهمية المصنفات الإبداعية غير التقنية في العملية.</w:t>
      </w:r>
    </w:p>
    <w:p w14:paraId="50E9A4D6" w14:textId="77777777" w:rsidR="00A139A5" w:rsidRPr="00F30EF3" w:rsidRDefault="00A139A5" w:rsidP="00734F31">
      <w:pPr>
        <w:pStyle w:val="FootnoteText"/>
        <w:jc w:val="both"/>
        <w:rPr>
          <w:rFonts w:cstheme="minorHAnsi"/>
          <w:sz w:val="22"/>
          <w:rtl/>
        </w:rPr>
      </w:pPr>
      <w:r w:rsidRPr="00F30EF3">
        <w:rPr>
          <w:rFonts w:cstheme="minorHAnsi"/>
          <w:sz w:val="22"/>
          <w:rtl/>
        </w:rPr>
        <w:t xml:space="preserve">  </w:t>
      </w:r>
    </w:p>
    <w:p w14:paraId="2E658AD2" w14:textId="77777777" w:rsidR="00E33C45" w:rsidRPr="00F30EF3" w:rsidRDefault="00A139A5" w:rsidP="009D4A54">
      <w:pPr>
        <w:pStyle w:val="ListParagraph"/>
        <w:numPr>
          <w:ilvl w:val="0"/>
          <w:numId w:val="62"/>
        </w:numPr>
        <w:autoSpaceDE w:val="0"/>
        <w:autoSpaceDN w:val="0"/>
        <w:adjustRightInd w:val="0"/>
        <w:spacing w:after="0" w:line="240" w:lineRule="auto"/>
        <w:ind w:left="426" w:hanging="426"/>
        <w:jc w:val="both"/>
        <w:rPr>
          <w:rFonts w:cstheme="minorHAnsi"/>
          <w:rtl/>
        </w:rPr>
      </w:pPr>
      <w:r w:rsidRPr="00F30EF3">
        <w:rPr>
          <w:rFonts w:cstheme="minorHAnsi"/>
          <w:b/>
          <w:bCs/>
          <w:rtl/>
        </w:rPr>
        <w:t xml:space="preserve">المادة 1.2.4، </w:t>
      </w:r>
      <w:r w:rsidRPr="00F30EF3">
        <w:rPr>
          <w:rFonts w:cstheme="minorHAnsi"/>
          <w:b/>
          <w:bCs/>
          <w:i/>
          <w:iCs/>
          <w:rtl/>
        </w:rPr>
        <w:t>يجب أن تنص على ما يلي</w:t>
      </w:r>
      <w:r w:rsidRPr="00F30EF3">
        <w:rPr>
          <w:rFonts w:cstheme="minorHAnsi"/>
          <w:i/>
          <w:iCs/>
          <w:rtl/>
        </w:rPr>
        <w:t>:</w:t>
      </w:r>
      <w:r w:rsidRPr="00F30EF3">
        <w:rPr>
          <w:rFonts w:cstheme="minorHAnsi"/>
          <w:rtl/>
        </w:rPr>
        <w:t xml:space="preserve"> ثمة العديد من الأسباب لإنشاء مكتب إدارة الملكية الفكرية، من بينها:</w:t>
      </w:r>
    </w:p>
    <w:p w14:paraId="088B7568" w14:textId="77777777" w:rsidR="00E33C45" w:rsidRPr="00F30EF3" w:rsidRDefault="00E33C45" w:rsidP="009D4A54">
      <w:pPr>
        <w:pStyle w:val="ListParagraph"/>
        <w:numPr>
          <w:ilvl w:val="0"/>
          <w:numId w:val="61"/>
        </w:numPr>
        <w:shd w:val="clear" w:color="auto" w:fill="FFFFFF" w:themeFill="background1"/>
        <w:spacing w:after="0" w:line="240" w:lineRule="auto"/>
        <w:ind w:left="709" w:hanging="283"/>
        <w:jc w:val="both"/>
        <w:rPr>
          <w:rFonts w:cstheme="minorHAnsi"/>
          <w:rtl/>
        </w:rPr>
      </w:pPr>
      <w:r w:rsidRPr="00F30EF3">
        <w:rPr>
          <w:rFonts w:cstheme="minorHAnsi"/>
          <w:rtl/>
        </w:rPr>
        <w:t>مكافأة أفضل الباحثين والاحتفاظ بهم وتوظيفهم، ومنع هجرة الأدمغة؛</w:t>
      </w:r>
    </w:p>
    <w:p w14:paraId="6923C576" w14:textId="77777777" w:rsidR="00E33C45" w:rsidRPr="00F30EF3" w:rsidRDefault="00E33C45" w:rsidP="009D4A54">
      <w:pPr>
        <w:pStyle w:val="ListParagraph"/>
        <w:numPr>
          <w:ilvl w:val="0"/>
          <w:numId w:val="61"/>
        </w:numPr>
        <w:shd w:val="clear" w:color="auto" w:fill="FFFFFF" w:themeFill="background1"/>
        <w:spacing w:after="0" w:line="240" w:lineRule="auto"/>
        <w:ind w:left="709" w:hanging="283"/>
        <w:jc w:val="both"/>
        <w:rPr>
          <w:rFonts w:cstheme="minorHAnsi"/>
          <w:rtl/>
        </w:rPr>
      </w:pPr>
      <w:r w:rsidRPr="00F30EF3">
        <w:rPr>
          <w:rFonts w:cstheme="minorHAnsi"/>
          <w:rtl/>
        </w:rPr>
        <w:t>الحفاظ على علاقات أوثق مع الصناعة؛</w:t>
      </w:r>
    </w:p>
    <w:p w14:paraId="1C5B1FEE" w14:textId="77777777" w:rsidR="00E33C45" w:rsidRPr="00F30EF3" w:rsidRDefault="00E33C45" w:rsidP="009D4A54">
      <w:pPr>
        <w:pStyle w:val="ListParagraph"/>
        <w:numPr>
          <w:ilvl w:val="0"/>
          <w:numId w:val="61"/>
        </w:numPr>
        <w:shd w:val="clear" w:color="auto" w:fill="FFFFFF" w:themeFill="background1"/>
        <w:spacing w:after="0" w:line="240" w:lineRule="auto"/>
        <w:ind w:left="709" w:hanging="283"/>
        <w:jc w:val="both"/>
        <w:rPr>
          <w:rFonts w:cstheme="minorHAnsi"/>
          <w:rtl/>
        </w:rPr>
      </w:pPr>
      <w:r w:rsidRPr="00F30EF3">
        <w:rPr>
          <w:rFonts w:cstheme="minorHAnsi"/>
          <w:rtl/>
        </w:rPr>
        <w:t>تعزيز التنمية الاقتصادية وتوفير الوظائف؛</w:t>
      </w:r>
    </w:p>
    <w:p w14:paraId="6EE49BB0" w14:textId="77777777" w:rsidR="00E33C45" w:rsidRPr="00F30EF3" w:rsidRDefault="00E33C45" w:rsidP="009D4A54">
      <w:pPr>
        <w:pStyle w:val="ListParagraph"/>
        <w:numPr>
          <w:ilvl w:val="0"/>
          <w:numId w:val="61"/>
        </w:numPr>
        <w:shd w:val="clear" w:color="auto" w:fill="FFFFFF" w:themeFill="background1"/>
        <w:spacing w:after="0" w:line="240" w:lineRule="auto"/>
        <w:ind w:left="709" w:hanging="283"/>
        <w:jc w:val="both"/>
        <w:rPr>
          <w:rFonts w:cstheme="minorHAnsi"/>
          <w:rtl/>
        </w:rPr>
      </w:pPr>
      <w:r w:rsidRPr="00F30EF3">
        <w:rPr>
          <w:rFonts w:cstheme="minorHAnsi"/>
          <w:rtl/>
        </w:rPr>
        <w:t>تسويق البحوث من أجل المنفعة العامة؛</w:t>
      </w:r>
    </w:p>
    <w:p w14:paraId="5335B1E9" w14:textId="77777777" w:rsidR="00CA4947" w:rsidRPr="00F30EF3" w:rsidRDefault="00CA4947" w:rsidP="009D4A54">
      <w:pPr>
        <w:pStyle w:val="ListParagraph"/>
        <w:numPr>
          <w:ilvl w:val="0"/>
          <w:numId w:val="61"/>
        </w:numPr>
        <w:shd w:val="clear" w:color="auto" w:fill="FFFFFF" w:themeFill="background1"/>
        <w:spacing w:after="0" w:line="240" w:lineRule="auto"/>
        <w:ind w:left="709" w:hanging="283"/>
        <w:jc w:val="both"/>
        <w:rPr>
          <w:rFonts w:cstheme="minorHAnsi"/>
          <w:rtl/>
        </w:rPr>
      </w:pPr>
      <w:r w:rsidRPr="00F30EF3">
        <w:rPr>
          <w:rFonts w:cstheme="minorHAnsi"/>
          <w:rtl/>
        </w:rPr>
        <w:t>مساعدة الباحثين ممن تعترضهم مشكلات في إدارة الملكية الفكرية بما في ذلك التفاوض على بنود الملكية الفكرية في عقود البحوث؛</w:t>
      </w:r>
    </w:p>
    <w:p w14:paraId="4DF724F7" w14:textId="77777777" w:rsidR="00E33C45" w:rsidRPr="00F30EF3" w:rsidRDefault="00E33C45" w:rsidP="009D4A54">
      <w:pPr>
        <w:pStyle w:val="ListParagraph"/>
        <w:numPr>
          <w:ilvl w:val="0"/>
          <w:numId w:val="61"/>
        </w:numPr>
        <w:shd w:val="clear" w:color="auto" w:fill="FFFFFF" w:themeFill="background1"/>
        <w:spacing w:after="0" w:line="240" w:lineRule="auto"/>
        <w:ind w:left="709" w:hanging="283"/>
        <w:jc w:val="both"/>
        <w:rPr>
          <w:rFonts w:cstheme="minorHAnsi"/>
          <w:rtl/>
        </w:rPr>
      </w:pPr>
      <w:r w:rsidRPr="00F30EF3">
        <w:rPr>
          <w:rFonts w:cstheme="minorHAnsi"/>
          <w:rtl/>
        </w:rPr>
        <w:t>استحداث موارد إضافية للبحث؛</w:t>
      </w:r>
    </w:p>
    <w:p w14:paraId="1D51F219" w14:textId="77777777" w:rsidR="00A437FC" w:rsidRPr="00F30EF3" w:rsidRDefault="006B79B1" w:rsidP="009D4A54">
      <w:pPr>
        <w:pStyle w:val="ListParagraph"/>
        <w:numPr>
          <w:ilvl w:val="0"/>
          <w:numId w:val="15"/>
        </w:numPr>
        <w:shd w:val="clear" w:color="auto" w:fill="FFFFFF" w:themeFill="background1"/>
        <w:spacing w:after="0" w:line="240" w:lineRule="auto"/>
        <w:ind w:left="709" w:hanging="283"/>
        <w:jc w:val="both"/>
        <w:rPr>
          <w:rFonts w:cstheme="minorHAnsi"/>
          <w:i/>
          <w:iCs/>
          <w:rtl/>
        </w:rPr>
      </w:pPr>
      <w:r w:rsidRPr="00F30EF3">
        <w:rPr>
          <w:rFonts w:cstheme="minorHAnsi"/>
          <w:rtl/>
        </w:rPr>
        <w:t xml:space="preserve">حيث اشترطت التشريعات الوطنية أو الحكومة في بعض البلدان وجود مكتب لإدارة الملكية الفكرية (أو وحدة مماثلة) قبل السماح للمؤسسة بالحق في استغلال الملكية الفكرية.  فعلى سبيل المثال، يُشترط من مؤسسات جنوب أفريقيا إنشاء مكتب لنقل التكنولوجيا أو إسناد هذه الوظيفة إلى هيكل قائم داخل المؤسسة.  انظر </w:t>
      </w:r>
      <w:hyperlink w:anchor="Box15" w:history="1">
        <w:r w:rsidRPr="00F30EF3">
          <w:rPr>
            <w:rStyle w:val="Hyperlink"/>
            <w:rFonts w:cstheme="minorHAnsi"/>
            <w:rtl/>
          </w:rPr>
          <w:t>الإطار 15</w:t>
        </w:r>
      </w:hyperlink>
      <w:r w:rsidRPr="00F30EF3">
        <w:rPr>
          <w:rFonts w:cstheme="minorHAnsi"/>
          <w:rtl/>
        </w:rPr>
        <w:t>.</w:t>
      </w:r>
    </w:p>
    <w:p w14:paraId="6BC15ECE" w14:textId="77777777" w:rsidR="00074140" w:rsidRPr="00F30EF3" w:rsidRDefault="00074140" w:rsidP="00074140">
      <w:pPr>
        <w:pStyle w:val="ListParagraph"/>
        <w:shd w:val="clear" w:color="auto" w:fill="FFFFFF" w:themeFill="background1"/>
        <w:spacing w:after="0" w:line="240" w:lineRule="auto"/>
        <w:ind w:left="709"/>
        <w:jc w:val="both"/>
        <w:rPr>
          <w:rFonts w:cstheme="minorHAnsi"/>
          <w:i/>
          <w:iCs/>
          <w:lang w:val="en-US"/>
        </w:rPr>
      </w:pPr>
    </w:p>
    <w:p w14:paraId="745EE7BD" w14:textId="1F20B0AE" w:rsidR="00972755" w:rsidRPr="00F30EF3" w:rsidRDefault="00972755"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cstheme="minorHAnsi"/>
          <w:rtl/>
        </w:rPr>
      </w:pPr>
      <w:bookmarkStart w:id="125" w:name="Box15"/>
      <w:r w:rsidRPr="00F30EF3">
        <w:rPr>
          <w:rFonts w:cstheme="minorHAnsi"/>
          <w:b/>
          <w:bCs/>
          <w:rtl/>
        </w:rPr>
        <w:t xml:space="preserve">الإطار </w:t>
      </w:r>
      <w:bookmarkEnd w:id="125"/>
      <w:r w:rsidR="0017568D" w:rsidRPr="00F30EF3">
        <w:rPr>
          <w:rFonts w:cstheme="minorHAnsi"/>
          <w:b/>
          <w:bCs/>
        </w:rPr>
        <w:t>.1</w:t>
      </w:r>
      <w:r w:rsidR="00990E79" w:rsidRPr="00F30EF3">
        <w:rPr>
          <w:rFonts w:cstheme="minorHAnsi"/>
          <w:b/>
          <w:bCs/>
        </w:rPr>
        <w:t>5</w:t>
      </w:r>
      <w:r w:rsidRPr="00F30EF3">
        <w:rPr>
          <w:rFonts w:cstheme="minorHAnsi"/>
          <w:b/>
          <w:bCs/>
          <w:rtl/>
        </w:rPr>
        <w:t xml:space="preserve"> قانون حقوق الملكية الفكرية في مجال البحوث والتنمية الممولة من القطاع العام في جنوب أفريقيا لعام (2008</w:t>
      </w:r>
      <w:r w:rsidRPr="00F30EF3">
        <w:rPr>
          <w:rFonts w:cstheme="minorHAnsi"/>
          <w:rtl/>
        </w:rPr>
        <w:t>)</w:t>
      </w:r>
    </w:p>
    <w:p w14:paraId="77ED34DE" w14:textId="77777777" w:rsidR="00972755" w:rsidRPr="00F30EF3" w:rsidRDefault="00972755"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cstheme="minorHAnsi"/>
          <w:lang w:val="en-US"/>
        </w:rPr>
      </w:pPr>
    </w:p>
    <w:p w14:paraId="6212288D" w14:textId="77777777" w:rsidR="00A437FC" w:rsidRPr="00F30EF3" w:rsidRDefault="00972755"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cstheme="minorHAnsi"/>
          <w:b/>
          <w:bCs/>
          <w:i/>
          <w:iCs/>
          <w:rtl/>
        </w:rPr>
      </w:pPr>
      <w:r w:rsidRPr="00F30EF3">
        <w:rPr>
          <w:rFonts w:cstheme="minorHAnsi"/>
          <w:b/>
          <w:bCs/>
          <w:i/>
          <w:iCs/>
          <w:rtl/>
        </w:rPr>
        <w:t>القسم 6 "إنشاء مكتب لنقل التكنولوجيا في المؤسسات</w:t>
      </w:r>
    </w:p>
    <w:p w14:paraId="6DAA8575" w14:textId="77777777" w:rsidR="00A437FC" w:rsidRPr="00F30EF3" w:rsidRDefault="00A437FC"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cstheme="minorHAnsi"/>
          <w:i/>
          <w:iCs/>
          <w:rtl/>
        </w:rPr>
      </w:pPr>
      <w:r w:rsidRPr="00F30EF3">
        <w:rPr>
          <w:rFonts w:cstheme="minorHAnsi"/>
          <w:i/>
          <w:iCs/>
          <w:rtl/>
        </w:rPr>
        <w:t>(1) يجب على أي مؤسسة، ما لم يقرر الوزير خلاف ذلك في تشاوراته مع الوزير المسؤول عن التعليم العالي، أو أي وزير آخر في مجلس الوزراء تقدم المؤسسة تقاريرها إليه، أن تقوم في غضون 12 شهراً من بدء سريان هذا القانون بما يلي</w:t>
      </w:r>
    </w:p>
    <w:p w14:paraId="41CECA59" w14:textId="77777777" w:rsidR="00A437FC" w:rsidRPr="00F30EF3" w:rsidRDefault="00335F58"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cstheme="minorHAnsi"/>
          <w:i/>
          <w:iCs/>
          <w:rtl/>
        </w:rPr>
      </w:pPr>
      <w:r w:rsidRPr="00F30EF3">
        <w:rPr>
          <w:rFonts w:cstheme="minorHAnsi"/>
          <w:i/>
          <w:iCs/>
          <w:rtl/>
        </w:rPr>
        <w:t xml:space="preserve">     (أ) إنشاء مكتب لنقل التكنولوجيا والحفاظ عليه.</w:t>
      </w:r>
    </w:p>
    <w:p w14:paraId="35358117" w14:textId="77777777" w:rsidR="00A437FC" w:rsidRPr="00F30EF3" w:rsidRDefault="00335F58"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cstheme="minorHAnsi"/>
          <w:i/>
          <w:iCs/>
          <w:rtl/>
        </w:rPr>
      </w:pPr>
      <w:r w:rsidRPr="00F30EF3">
        <w:rPr>
          <w:rFonts w:cstheme="minorHAnsi"/>
          <w:i/>
          <w:iCs/>
          <w:rtl/>
        </w:rPr>
        <w:t xml:space="preserve">     (ب) تعيين أشخاص أو هيكل قائم داخل المؤسسة للاضطلاع بمسؤوليات مكتب نقل التكنولوجيا.</w:t>
      </w:r>
    </w:p>
    <w:p w14:paraId="60A61124" w14:textId="77777777" w:rsidR="002959BC" w:rsidRPr="00F30EF3" w:rsidRDefault="00A437FC"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cstheme="minorHAnsi"/>
          <w:i/>
          <w:iCs/>
          <w:rtl/>
        </w:rPr>
      </w:pPr>
      <w:r w:rsidRPr="00F30EF3">
        <w:rPr>
          <w:rFonts w:cstheme="minorHAnsi"/>
          <w:i/>
          <w:iCs/>
          <w:rtl/>
        </w:rPr>
        <w:t>(2) يُعد مكتب نقل التكنولوجيا مسؤولاً عن تنفيذ التزامات المؤسسة بموجب هذا القانون.</w:t>
      </w:r>
    </w:p>
    <w:p w14:paraId="5DEC7E59" w14:textId="77777777" w:rsidR="002959BC" w:rsidRPr="00F30EF3" w:rsidRDefault="00A437FC"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cstheme="minorHAnsi"/>
          <w:i/>
          <w:iCs/>
          <w:rtl/>
        </w:rPr>
      </w:pPr>
      <w:r w:rsidRPr="00F30EF3">
        <w:rPr>
          <w:rFonts w:cstheme="minorHAnsi"/>
          <w:i/>
          <w:iCs/>
          <w:rtl/>
        </w:rPr>
        <w:t>(3) يحق لمؤسستين أو أكثر بموافقة المكتب الوطني لإدارة الملكية الفكرية إنشاء مكتب إقليمي لنقل التكنولوجيا".</w:t>
      </w:r>
    </w:p>
    <w:p w14:paraId="54B8083A" w14:textId="77777777" w:rsidR="00A139A5" w:rsidRPr="00F30EF3" w:rsidRDefault="00CA4947" w:rsidP="00734F31">
      <w:pPr>
        <w:autoSpaceDE w:val="0"/>
        <w:autoSpaceDN w:val="0"/>
        <w:adjustRightInd w:val="0"/>
        <w:spacing w:after="0" w:line="240" w:lineRule="auto"/>
        <w:ind w:left="1440"/>
        <w:jc w:val="both"/>
        <w:rPr>
          <w:rFonts w:cstheme="minorHAnsi"/>
          <w:i/>
          <w:iCs/>
          <w:rtl/>
        </w:rPr>
      </w:pPr>
      <w:r w:rsidRPr="00F30EF3">
        <w:rPr>
          <w:rFonts w:cstheme="minorHAnsi"/>
          <w:rtl/>
        </w:rPr>
        <w:t xml:space="preserve"> </w:t>
      </w:r>
    </w:p>
    <w:p w14:paraId="3320887D" w14:textId="1165A2BB" w:rsidR="00A139A5" w:rsidRPr="00F30EF3" w:rsidRDefault="00A139A5" w:rsidP="00464282">
      <w:pPr>
        <w:pStyle w:val="ListParagraph"/>
        <w:numPr>
          <w:ilvl w:val="0"/>
          <w:numId w:val="3"/>
        </w:numPr>
        <w:spacing w:after="0" w:line="240" w:lineRule="auto"/>
        <w:ind w:left="426" w:hanging="426"/>
        <w:jc w:val="both"/>
        <w:rPr>
          <w:rFonts w:cstheme="minorHAnsi"/>
          <w:rtl/>
        </w:rPr>
      </w:pPr>
      <w:r w:rsidRPr="00F30EF3">
        <w:rPr>
          <w:rFonts w:cstheme="minorHAnsi"/>
          <w:b/>
          <w:bCs/>
          <w:rtl/>
        </w:rPr>
        <w:t xml:space="preserve">المادة 1.2.4، </w:t>
      </w:r>
      <w:r w:rsidRPr="00F30EF3">
        <w:rPr>
          <w:rFonts w:cstheme="minorHAnsi"/>
          <w:b/>
          <w:bCs/>
          <w:i/>
          <w:iCs/>
          <w:rtl/>
        </w:rPr>
        <w:t>أو إسناد وظيفة</w:t>
      </w:r>
      <w:r w:rsidRPr="00F30EF3">
        <w:rPr>
          <w:rFonts w:cstheme="minorHAnsi"/>
          <w:b/>
          <w:bCs/>
          <w:rtl/>
        </w:rPr>
        <w:t xml:space="preserve"> </w:t>
      </w:r>
      <w:r w:rsidRPr="00F30EF3">
        <w:rPr>
          <w:rFonts w:cstheme="minorHAnsi"/>
          <w:b/>
          <w:bCs/>
          <w:i/>
          <w:iCs/>
          <w:rtl/>
        </w:rPr>
        <w:t>داخل المؤسسة أو منظمة أخرى للعمل على هذا النحو</w:t>
      </w:r>
      <w:r w:rsidRPr="00F30EF3">
        <w:rPr>
          <w:rFonts w:cstheme="minorHAnsi"/>
          <w:i/>
          <w:iCs/>
          <w:rtl/>
        </w:rPr>
        <w:t>:</w:t>
      </w:r>
      <w:r w:rsidRPr="00F30EF3">
        <w:rPr>
          <w:rFonts w:cstheme="minorHAnsi"/>
          <w:rtl/>
        </w:rPr>
        <w:t xml:space="preserve"> لا تملك جميع المؤسسات مكتب لإدارة الملكية الفكرية داخل مؤسستها. ويرد في </w:t>
      </w:r>
      <w:hyperlink w:anchor="Box20" w:history="1">
        <w:r w:rsidRPr="00F30EF3">
          <w:rPr>
            <w:rStyle w:val="Hyperlink"/>
            <w:rFonts w:cstheme="minorHAnsi"/>
            <w:rtl/>
          </w:rPr>
          <w:t>الإطار 20</w:t>
        </w:r>
      </w:hyperlink>
      <w:r w:rsidR="00CB03EF" w:rsidRPr="00F30EF3">
        <w:rPr>
          <w:rStyle w:val="Hyperlink"/>
          <w:rFonts w:cstheme="minorHAnsi"/>
        </w:rPr>
        <w:t xml:space="preserve"> </w:t>
      </w:r>
      <w:r w:rsidRPr="00F30EF3">
        <w:rPr>
          <w:rFonts w:cstheme="minorHAnsi"/>
          <w:rtl/>
        </w:rPr>
        <w:t xml:space="preserve">موجز لنماذج العمل الرئيسية لمكاتب إدارة الملكية الفكرية. وتتسم بالتعقيد الحجج الداعية لإنشاء مكتب إدارة الملكية الفكرية داخل المؤسسة أو شركة فرعية مملوكة بالكامل، حيث تعتبر قضايا الضرائب وتجنب المسؤولية والشروط والأحكام الخاصة بالموظفين وحجم العمل كلها عوامل مؤثرة في الاختيار. وتختلف هذه العوامل باختلاف البلدان، ومن المهم مراجعتها بدقة في عملية اتخاذ القرار. </w:t>
      </w:r>
    </w:p>
    <w:p w14:paraId="02210113" w14:textId="77777777" w:rsidR="006B79B1" w:rsidRPr="00F30EF3" w:rsidRDefault="006B79B1" w:rsidP="00B7519E">
      <w:pPr>
        <w:pStyle w:val="ListParagraph"/>
        <w:spacing w:after="0" w:line="240" w:lineRule="auto"/>
        <w:ind w:left="426"/>
        <w:jc w:val="both"/>
        <w:rPr>
          <w:rFonts w:cstheme="minorHAnsi"/>
          <w:lang w:val="en-US"/>
        </w:rPr>
      </w:pPr>
    </w:p>
    <w:p w14:paraId="4732EB53" w14:textId="0320A28D" w:rsidR="006B79B1" w:rsidRPr="00F30EF3" w:rsidRDefault="001B4072" w:rsidP="00464282">
      <w:pPr>
        <w:pStyle w:val="ListParagraph"/>
        <w:numPr>
          <w:ilvl w:val="0"/>
          <w:numId w:val="3"/>
        </w:numPr>
        <w:spacing w:after="0" w:line="240" w:lineRule="auto"/>
        <w:ind w:left="426" w:hanging="426"/>
        <w:jc w:val="both"/>
        <w:rPr>
          <w:rFonts w:cstheme="minorHAnsi"/>
          <w:rtl/>
        </w:rPr>
      </w:pPr>
      <w:r w:rsidRPr="00F30EF3">
        <w:rPr>
          <w:rFonts w:cstheme="minorHAnsi"/>
          <w:b/>
          <w:bCs/>
          <w:rtl/>
        </w:rPr>
        <w:t xml:space="preserve">المادة 2.2.4، </w:t>
      </w:r>
      <w:r w:rsidRPr="00F30EF3">
        <w:rPr>
          <w:rFonts w:cstheme="minorHAnsi"/>
          <w:b/>
          <w:bCs/>
          <w:i/>
          <w:iCs/>
          <w:rtl/>
        </w:rPr>
        <w:t>المسؤوليات</w:t>
      </w:r>
      <w:r w:rsidRPr="00F30EF3">
        <w:rPr>
          <w:rFonts w:cstheme="minorHAnsi"/>
          <w:b/>
          <w:bCs/>
          <w:rtl/>
        </w:rPr>
        <w:t xml:space="preserve">: </w:t>
      </w:r>
      <w:r w:rsidRPr="00F30EF3">
        <w:rPr>
          <w:rFonts w:cstheme="minorHAnsi"/>
          <w:rtl/>
        </w:rPr>
        <w:t xml:space="preserve">يعمل مكتب إدارة الملكية الفكرية بصفته وسيطاً بين المؤسسة والمستخدمين التجاريين للملكية الفكرية المؤسسة، ويساعد على سد الفجوة بين البحث وتنفيذ الابتكار. وإنجازاً لهذا الدور، يضطلع مكتب إدارة الملكية الفكرية بتنفيذ مجموعة عريضة من الأنشطة. فلدى إدراج المسؤوليات الرئيسية لمكتب إدارة الملكية الفكرية في سياسة الملكية الفكرية، يُوصى بالحفاظ على التفاصيل في إجراء تشغيلي معياري منفصل، حيث إن الجوانب الإجرائية قد تتغير بشكل أكثر تواتراً مما هو ممكن للحفاظ على تحديث سياسة الملكية الفكرية. </w:t>
      </w:r>
    </w:p>
    <w:p w14:paraId="077ABC8E" w14:textId="77777777" w:rsidR="006B79B1" w:rsidRPr="00F30EF3" w:rsidRDefault="006B79B1" w:rsidP="00B7519E">
      <w:pPr>
        <w:pStyle w:val="ListParagraph"/>
        <w:spacing w:after="0" w:line="240" w:lineRule="auto"/>
        <w:ind w:left="426"/>
        <w:jc w:val="both"/>
        <w:rPr>
          <w:rFonts w:cstheme="minorHAnsi"/>
          <w:b/>
          <w:bCs/>
          <w:lang w:val="en-US"/>
        </w:rPr>
      </w:pPr>
    </w:p>
    <w:p w14:paraId="0AA03F33" w14:textId="77777777" w:rsidR="004A71ED" w:rsidRPr="00F30EF3" w:rsidRDefault="00D706DE" w:rsidP="00464282">
      <w:pPr>
        <w:pStyle w:val="ListParagraph"/>
        <w:numPr>
          <w:ilvl w:val="0"/>
          <w:numId w:val="3"/>
        </w:numPr>
        <w:spacing w:after="0" w:line="240" w:lineRule="auto"/>
        <w:ind w:left="426" w:hanging="426"/>
        <w:jc w:val="both"/>
        <w:rPr>
          <w:rFonts w:cstheme="minorHAnsi"/>
          <w:rtl/>
        </w:rPr>
      </w:pPr>
      <w:r w:rsidRPr="00F30EF3">
        <w:rPr>
          <w:rFonts w:cstheme="minorHAnsi"/>
          <w:rtl/>
        </w:rPr>
        <w:t>تُدرج المهام الرئيسية النموذجية لمكتب إدارة الملكية الفكرية في المادة 2.2.4 من النموذج:</w:t>
      </w:r>
    </w:p>
    <w:p w14:paraId="40A53010" w14:textId="77777777" w:rsidR="009368C2" w:rsidRPr="00F30EF3" w:rsidRDefault="009368C2" w:rsidP="009D4A54">
      <w:pPr>
        <w:pStyle w:val="ListParagraph"/>
        <w:numPr>
          <w:ilvl w:val="1"/>
          <w:numId w:val="27"/>
        </w:numPr>
        <w:spacing w:after="0" w:line="240" w:lineRule="auto"/>
        <w:ind w:left="709" w:hanging="283"/>
        <w:jc w:val="both"/>
        <w:rPr>
          <w:rFonts w:cstheme="minorHAnsi"/>
          <w:rtl/>
        </w:rPr>
      </w:pPr>
      <w:r w:rsidRPr="00F30EF3">
        <w:rPr>
          <w:rFonts w:cstheme="minorHAnsi"/>
          <w:color w:val="0070C0"/>
          <w:rtl/>
        </w:rPr>
        <w:t>التواصل مع/التوعية للمبدعين</w:t>
      </w:r>
      <w:r w:rsidRPr="00F30EF3">
        <w:rPr>
          <w:rFonts w:cstheme="minorHAnsi"/>
          <w:i/>
          <w:iCs/>
          <w:rtl/>
        </w:rPr>
        <w:t>.</w:t>
      </w:r>
      <w:r w:rsidRPr="00F30EF3">
        <w:rPr>
          <w:rFonts w:cstheme="minorHAnsi"/>
          <w:b/>
          <w:bCs/>
          <w:rtl/>
        </w:rPr>
        <w:t xml:space="preserve"> </w:t>
      </w:r>
      <w:r w:rsidRPr="00F30EF3">
        <w:rPr>
          <w:rFonts w:cstheme="minorHAnsi"/>
          <w:rtl/>
        </w:rPr>
        <w:t>ويشمل ذلك الترويج للملكية الفكرية وتسويق الملكية الفكرية.</w:t>
      </w:r>
    </w:p>
    <w:p w14:paraId="1C31B9EB" w14:textId="77777777" w:rsidR="005A05E5" w:rsidRPr="00F30EF3" w:rsidRDefault="009368C2" w:rsidP="009D4A54">
      <w:pPr>
        <w:pStyle w:val="ListParagraph"/>
        <w:numPr>
          <w:ilvl w:val="1"/>
          <w:numId w:val="27"/>
        </w:numPr>
        <w:spacing w:after="0" w:line="240" w:lineRule="auto"/>
        <w:ind w:left="709" w:hanging="283"/>
        <w:jc w:val="both"/>
        <w:rPr>
          <w:rFonts w:cstheme="minorHAnsi"/>
          <w:rtl/>
        </w:rPr>
      </w:pPr>
      <w:r w:rsidRPr="00F30EF3">
        <w:rPr>
          <w:rFonts w:cstheme="minorHAnsi"/>
          <w:color w:val="0070C0"/>
          <w:rtl/>
        </w:rPr>
        <w:t>إدارة العلاقات مع المبدعين</w:t>
      </w:r>
      <w:r w:rsidRPr="00F30EF3">
        <w:rPr>
          <w:rFonts w:cstheme="minorHAnsi"/>
          <w:rtl/>
        </w:rPr>
        <w:t xml:space="preserve">. ويشمل ذلك مساعدة الباحثين على تحديد النتائج ذات القيمة التجارية وتوثيق الاكتشافات من خلال عملية كشف. </w:t>
      </w:r>
    </w:p>
    <w:p w14:paraId="3AB6399F" w14:textId="77777777" w:rsidR="009368C2" w:rsidRPr="00F30EF3" w:rsidRDefault="009368C2" w:rsidP="009D4A54">
      <w:pPr>
        <w:pStyle w:val="ListParagraph"/>
        <w:numPr>
          <w:ilvl w:val="1"/>
          <w:numId w:val="27"/>
        </w:numPr>
        <w:spacing w:after="0" w:line="240" w:lineRule="auto"/>
        <w:ind w:left="709" w:hanging="283"/>
        <w:jc w:val="both"/>
        <w:rPr>
          <w:rFonts w:cstheme="minorHAnsi"/>
          <w:rtl/>
        </w:rPr>
      </w:pPr>
      <w:r w:rsidRPr="00F30EF3">
        <w:rPr>
          <w:rFonts w:cstheme="minorHAnsi"/>
          <w:color w:val="0070C0"/>
          <w:rtl/>
        </w:rPr>
        <w:t>إدارة الملكية الفكرية</w:t>
      </w:r>
      <w:r w:rsidRPr="00F30EF3">
        <w:rPr>
          <w:rFonts w:cstheme="minorHAnsi"/>
          <w:rtl/>
        </w:rPr>
        <w:t xml:space="preserve">. ويشمل ذلك عادةً </w:t>
      </w:r>
    </w:p>
    <w:p w14:paraId="7BCD6D03" w14:textId="77777777" w:rsidR="009368C2" w:rsidRPr="00F30EF3" w:rsidRDefault="009368C2" w:rsidP="009D4A54">
      <w:pPr>
        <w:pStyle w:val="ListParagraph"/>
        <w:numPr>
          <w:ilvl w:val="2"/>
          <w:numId w:val="27"/>
        </w:numPr>
        <w:spacing w:after="0" w:line="240" w:lineRule="auto"/>
        <w:ind w:left="1134" w:hanging="425"/>
        <w:jc w:val="both"/>
        <w:rPr>
          <w:rFonts w:cstheme="minorHAnsi"/>
          <w:rtl/>
        </w:rPr>
      </w:pPr>
      <w:r w:rsidRPr="00F30EF3">
        <w:rPr>
          <w:rFonts w:cstheme="minorHAnsi"/>
          <w:rtl/>
        </w:rPr>
        <w:t xml:space="preserve">استكشاف الملكية الفكرية؛ </w:t>
      </w:r>
    </w:p>
    <w:p w14:paraId="12DC0DA5" w14:textId="77777777" w:rsidR="00421C35" w:rsidRPr="00F30EF3" w:rsidRDefault="009368C2" w:rsidP="009D4A54">
      <w:pPr>
        <w:pStyle w:val="ListParagraph"/>
        <w:numPr>
          <w:ilvl w:val="2"/>
          <w:numId w:val="27"/>
        </w:numPr>
        <w:spacing w:after="0" w:line="240" w:lineRule="auto"/>
        <w:ind w:left="1134" w:hanging="425"/>
        <w:jc w:val="both"/>
        <w:rPr>
          <w:rFonts w:cstheme="minorHAnsi"/>
          <w:rtl/>
        </w:rPr>
      </w:pPr>
      <w:r w:rsidRPr="00F30EF3">
        <w:rPr>
          <w:rFonts w:cstheme="minorHAnsi"/>
          <w:rtl/>
        </w:rPr>
        <w:t xml:space="preserve">تقييم عمليات الكشف عن الاختراعات وتقرير إذا ما كان ينبغي إيداع البراءات أو غيرها من أشكال حماية الملكية الفكرية؛ </w:t>
      </w:r>
    </w:p>
    <w:p w14:paraId="1F0428AB" w14:textId="77777777" w:rsidR="00421C35" w:rsidRPr="00F30EF3" w:rsidRDefault="009368C2" w:rsidP="009D4A54">
      <w:pPr>
        <w:pStyle w:val="ListParagraph"/>
        <w:numPr>
          <w:ilvl w:val="2"/>
          <w:numId w:val="27"/>
        </w:numPr>
        <w:spacing w:after="0" w:line="240" w:lineRule="auto"/>
        <w:ind w:left="1134" w:hanging="425"/>
        <w:jc w:val="both"/>
        <w:rPr>
          <w:rFonts w:cstheme="minorHAnsi"/>
          <w:rtl/>
        </w:rPr>
      </w:pPr>
      <w:r w:rsidRPr="00F30EF3">
        <w:rPr>
          <w:rFonts w:cstheme="minorHAnsi"/>
          <w:rtl/>
        </w:rPr>
        <w:t>تأمين التمويل لإيداع طلبات الملكية الفكرية إذا لزم الأمر؛</w:t>
      </w:r>
    </w:p>
    <w:p w14:paraId="7D98E4A9" w14:textId="77777777" w:rsidR="00E839B7" w:rsidRPr="00F30EF3" w:rsidRDefault="009368C2" w:rsidP="009D4A54">
      <w:pPr>
        <w:pStyle w:val="ListParagraph"/>
        <w:numPr>
          <w:ilvl w:val="2"/>
          <w:numId w:val="27"/>
        </w:numPr>
        <w:spacing w:after="0" w:line="240" w:lineRule="auto"/>
        <w:ind w:left="1134" w:hanging="425"/>
        <w:jc w:val="both"/>
        <w:rPr>
          <w:rFonts w:cstheme="minorHAnsi"/>
          <w:rtl/>
        </w:rPr>
      </w:pPr>
      <w:r w:rsidRPr="00F30EF3">
        <w:rPr>
          <w:rFonts w:cstheme="minorHAnsi"/>
          <w:rtl/>
        </w:rPr>
        <w:t>إدارة عملية حماية الملكية الفكرية أو مراقبتها ومعالجة البراءات؛</w:t>
      </w:r>
    </w:p>
    <w:p w14:paraId="6D891E9A" w14:textId="77777777" w:rsidR="00BA12C3" w:rsidRPr="00F30EF3" w:rsidRDefault="00BA12C3" w:rsidP="009D4A54">
      <w:pPr>
        <w:pStyle w:val="ListParagraph"/>
        <w:numPr>
          <w:ilvl w:val="2"/>
          <w:numId w:val="27"/>
        </w:numPr>
        <w:spacing w:after="0" w:line="240" w:lineRule="auto"/>
        <w:ind w:left="1134" w:hanging="425"/>
        <w:jc w:val="both"/>
        <w:rPr>
          <w:rFonts w:cstheme="minorHAnsi"/>
          <w:rtl/>
        </w:rPr>
      </w:pPr>
      <w:r w:rsidRPr="00F30EF3">
        <w:rPr>
          <w:rFonts w:cstheme="minorHAnsi"/>
          <w:rtl/>
        </w:rPr>
        <w:lastRenderedPageBreak/>
        <w:t>وضع استراتيجية للتسويق، بالتعاون مع موظفي تطوير الأعمال؛</w:t>
      </w:r>
    </w:p>
    <w:p w14:paraId="4067F9D9" w14:textId="77777777" w:rsidR="003C66B2" w:rsidRPr="00F30EF3" w:rsidRDefault="003C66B2" w:rsidP="009D4A54">
      <w:pPr>
        <w:pStyle w:val="ListParagraph"/>
        <w:numPr>
          <w:ilvl w:val="2"/>
          <w:numId w:val="27"/>
        </w:numPr>
        <w:spacing w:after="0" w:line="240" w:lineRule="auto"/>
        <w:ind w:left="1134" w:hanging="425"/>
        <w:jc w:val="both"/>
        <w:rPr>
          <w:rFonts w:cstheme="minorHAnsi"/>
          <w:rtl/>
        </w:rPr>
      </w:pPr>
      <w:r w:rsidRPr="00F30EF3">
        <w:rPr>
          <w:rFonts w:cstheme="minorHAnsi"/>
          <w:rtl/>
        </w:rPr>
        <w:t>إذا قرر مكتب إدارة الملكية الفكرية عدم متابعة حماية الملكية الفكرية ونقل التكنولوجيا، يتعين إذن تنفيذ عملية تضمن أن يكون لدى الآخرين (غالباً المبدع) فرصة لمتابعة الحماية والتسويق.</w:t>
      </w:r>
    </w:p>
    <w:p w14:paraId="6FE8D611" w14:textId="77777777" w:rsidR="004A71ED" w:rsidRPr="00F30EF3" w:rsidRDefault="00421C35" w:rsidP="009D4A54">
      <w:pPr>
        <w:pStyle w:val="ListParagraph"/>
        <w:numPr>
          <w:ilvl w:val="1"/>
          <w:numId w:val="27"/>
        </w:numPr>
        <w:spacing w:after="0" w:line="240" w:lineRule="auto"/>
        <w:ind w:left="709" w:hanging="283"/>
        <w:jc w:val="both"/>
        <w:rPr>
          <w:rFonts w:cstheme="minorHAnsi"/>
          <w:rtl/>
        </w:rPr>
      </w:pPr>
      <w:r w:rsidRPr="00F30EF3">
        <w:rPr>
          <w:rFonts w:cstheme="minorHAnsi"/>
          <w:color w:val="0070C0"/>
          <w:rtl/>
        </w:rPr>
        <w:t>تسويق التكنولوجيا والتفاوض على عقود الملكية الفكرية</w:t>
      </w:r>
      <w:r w:rsidRPr="00F30EF3">
        <w:rPr>
          <w:rFonts w:cstheme="minorHAnsi"/>
          <w:rtl/>
        </w:rPr>
        <w:t>.  يشمل ذلك البحث عن شركاء تجاريين والتفاوض على اتفاقات نقل التكنولوجيا مع هؤلاء الشركاء التجاريين (لا سيّما للتعاون البحثي، وطلبات المنح، والتعاقد على الخدمات والبحث والتطوير، والاستشارات).  ويكمن الغرض في التفاوض على ترتيب عادل يسهل على الشريك التجاري ويساعده على تطوير المنتج وتسويقه بنجاح، بدلاً من محاولة التفاوض على أعلى الرسوم/الإتاوات فقط؛</w:t>
      </w:r>
    </w:p>
    <w:p w14:paraId="52693B04" w14:textId="77777777" w:rsidR="00421C35" w:rsidRPr="00F30EF3" w:rsidRDefault="00421C35" w:rsidP="009D4A54">
      <w:pPr>
        <w:pStyle w:val="ListParagraph"/>
        <w:numPr>
          <w:ilvl w:val="1"/>
          <w:numId w:val="27"/>
        </w:numPr>
        <w:spacing w:after="0" w:line="240" w:lineRule="auto"/>
        <w:ind w:left="709" w:hanging="283"/>
        <w:jc w:val="both"/>
        <w:rPr>
          <w:rFonts w:cstheme="minorHAnsi"/>
          <w:rtl/>
        </w:rPr>
      </w:pPr>
      <w:r w:rsidRPr="00F30EF3">
        <w:rPr>
          <w:rFonts w:cstheme="minorHAnsi"/>
          <w:color w:val="0070C0"/>
          <w:rtl/>
        </w:rPr>
        <w:t>إدارة عقود الملكية الفكرية وإدارة العلاقات مع المرخص لهم</w:t>
      </w:r>
      <w:r w:rsidRPr="00F30EF3">
        <w:rPr>
          <w:rFonts w:cstheme="minorHAnsi"/>
          <w:rtl/>
        </w:rPr>
        <w:t xml:space="preserve">.  فبمجرد إبرام الاتفاق، تتم مراقبة التطورات التكنولوجية والامتثال لشروط الاتفاقات. </w:t>
      </w:r>
    </w:p>
    <w:p w14:paraId="2A09F793" w14:textId="3AA2007D" w:rsidR="004A71ED" w:rsidRPr="00F30EF3" w:rsidRDefault="003C66B2" w:rsidP="009D4A54">
      <w:pPr>
        <w:pStyle w:val="ListParagraph"/>
        <w:numPr>
          <w:ilvl w:val="1"/>
          <w:numId w:val="27"/>
        </w:numPr>
        <w:spacing w:after="0" w:line="240" w:lineRule="auto"/>
        <w:ind w:left="709" w:hanging="283"/>
        <w:jc w:val="both"/>
        <w:rPr>
          <w:rFonts w:cstheme="minorHAnsi"/>
          <w:rtl/>
        </w:rPr>
      </w:pPr>
      <w:r w:rsidRPr="00F30EF3">
        <w:rPr>
          <w:rFonts w:cstheme="minorHAnsi"/>
          <w:color w:val="0070C0"/>
          <w:rtl/>
        </w:rPr>
        <w:t>تكاليف الملكية الفكرية وتوزيع الإيرادات</w:t>
      </w:r>
      <w:r w:rsidRPr="00F30EF3">
        <w:rPr>
          <w:rFonts w:cstheme="minorHAnsi"/>
          <w:rtl/>
        </w:rPr>
        <w:t>.  عادةً ما يحتفظ مكتب إدارة الملكية الفكرية بمجموعة من الوظائف الإدارية بغية دعم الوظائف الأساسية لحماية الملكية الفكرية ونقل التكنولوجيا. ويمكن أن تشمل هذه الوظائف المحاسبة، وتوزيع الإتاوات، وإدارة أداء الترخيص، وإدارة طلبات البراءات.</w:t>
      </w:r>
    </w:p>
    <w:p w14:paraId="5B6B8430" w14:textId="77777777" w:rsidR="001E7E61" w:rsidRPr="00F30EF3" w:rsidRDefault="001E7E61" w:rsidP="00734F31">
      <w:pPr>
        <w:pStyle w:val="ListParagraph"/>
        <w:spacing w:after="0" w:line="240" w:lineRule="auto"/>
        <w:ind w:left="709"/>
        <w:jc w:val="both"/>
        <w:rPr>
          <w:rFonts w:cstheme="minorHAnsi"/>
          <w:lang w:val="en-US"/>
        </w:rPr>
      </w:pPr>
    </w:p>
    <w:p w14:paraId="46BB11B5" w14:textId="73F97C12" w:rsidR="0058096F" w:rsidRPr="00F30EF3" w:rsidRDefault="006A0D64" w:rsidP="009D4A54">
      <w:pPr>
        <w:pStyle w:val="ListParagraph"/>
        <w:numPr>
          <w:ilvl w:val="0"/>
          <w:numId w:val="28"/>
        </w:numPr>
        <w:spacing w:after="0" w:line="240" w:lineRule="auto"/>
        <w:ind w:left="426" w:hanging="426"/>
        <w:jc w:val="both"/>
        <w:rPr>
          <w:rFonts w:cstheme="minorHAnsi"/>
          <w:rtl/>
        </w:rPr>
      </w:pPr>
      <w:r w:rsidRPr="00F30EF3">
        <w:rPr>
          <w:rFonts w:cstheme="minorHAnsi"/>
          <w:rtl/>
        </w:rPr>
        <w:t xml:space="preserve">وفيما يلي قائمة أكثر تفصيلاً بالمسؤوليات المحتملة لمكتب إدارة الملكية الفكرية. وما القائمة إلا نموذجاً، وينبغي تكييفها وفقاً لاحتياجات المؤسسة. ولا تتناول مكاتب إدارة الملكية الفكرية كلها المجموعة الكاملة من آليات نقل التكنولوجيا أو أنشطة إصدار البراءات جميعها. ينطبق هذا بشكل خاص في البلدان/المؤسسات التي يمتلك فيها المخترع/المبدع حق الملكية الفكرية أو حينما يُترك تقديم البراءات للشركات المتعاونة.  </w:t>
      </w:r>
    </w:p>
    <w:p w14:paraId="11A338A7" w14:textId="77777777" w:rsidR="006A0D64" w:rsidRPr="00F30EF3" w:rsidRDefault="006A0D64" w:rsidP="00734F31">
      <w:pPr>
        <w:pStyle w:val="ListParagraph"/>
        <w:autoSpaceDE w:val="0"/>
        <w:autoSpaceDN w:val="0"/>
        <w:adjustRightInd w:val="0"/>
        <w:spacing w:after="0" w:line="240" w:lineRule="auto"/>
        <w:ind w:left="426"/>
        <w:jc w:val="both"/>
        <w:rPr>
          <w:rFonts w:cstheme="minorHAnsi"/>
          <w:lang w:val="en-US"/>
        </w:rPr>
      </w:pPr>
    </w:p>
    <w:p w14:paraId="3DC127B9" w14:textId="1FE18595" w:rsidR="00972755" w:rsidRPr="00F30EF3" w:rsidRDefault="00972755"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cstheme="minorHAnsi"/>
          <w:b/>
          <w:bCs/>
          <w:rtl/>
        </w:rPr>
      </w:pPr>
      <w:r w:rsidRPr="00F30EF3">
        <w:rPr>
          <w:rFonts w:cstheme="minorHAnsi"/>
          <w:b/>
          <w:bCs/>
          <w:rtl/>
        </w:rPr>
        <w:t xml:space="preserve">الإطار </w:t>
      </w:r>
      <w:r w:rsidR="00DA74A5" w:rsidRPr="00F30EF3">
        <w:rPr>
          <w:rFonts w:cstheme="minorHAnsi"/>
          <w:b/>
          <w:bCs/>
        </w:rPr>
        <w:t>.1</w:t>
      </w:r>
      <w:r w:rsidR="00990E79" w:rsidRPr="00F30EF3">
        <w:rPr>
          <w:rFonts w:cstheme="minorHAnsi"/>
          <w:b/>
          <w:bCs/>
        </w:rPr>
        <w:t>6</w:t>
      </w:r>
      <w:r w:rsidRPr="00F30EF3">
        <w:rPr>
          <w:rFonts w:cstheme="minorHAnsi"/>
          <w:b/>
          <w:bCs/>
          <w:rtl/>
        </w:rPr>
        <w:t xml:space="preserve">   المسؤوليات المحتملة لمكتب إدارة الملكية الفكرية</w:t>
      </w:r>
    </w:p>
    <w:p w14:paraId="361DC1DE" w14:textId="77777777" w:rsidR="00972755" w:rsidRPr="00F30EF3" w:rsidRDefault="00972755"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cstheme="minorHAnsi"/>
          <w:lang w:val="en-US"/>
        </w:rPr>
      </w:pPr>
    </w:p>
    <w:p w14:paraId="2EA33D70" w14:textId="77777777" w:rsidR="00972755" w:rsidRPr="00F30EF3" w:rsidRDefault="00972755"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cstheme="minorHAnsi"/>
          <w:rtl/>
        </w:rPr>
      </w:pPr>
      <w:r w:rsidRPr="00F30EF3">
        <w:rPr>
          <w:rFonts w:cstheme="minorHAnsi"/>
          <w:rtl/>
        </w:rPr>
        <w:t xml:space="preserve">إنشاء نظام لتسجيل الملكية الفكرية للمؤسسة وحمايتها؛ </w:t>
      </w:r>
    </w:p>
    <w:p w14:paraId="4778B8B8" w14:textId="77777777" w:rsidR="009E5955" w:rsidRPr="00F30EF3" w:rsidRDefault="009E5955"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cstheme="minorHAnsi"/>
          <w:rtl/>
        </w:rPr>
      </w:pPr>
      <w:r w:rsidRPr="00F30EF3">
        <w:rPr>
          <w:rFonts w:cstheme="minorHAnsi"/>
          <w:rtl/>
        </w:rPr>
        <w:t>وضع إجراءات للإبلاغ عن الملكية الفكرية التي تمتلك المؤسسة حصة ملكية فيها؛</w:t>
      </w:r>
    </w:p>
    <w:p w14:paraId="7D534C2C" w14:textId="77777777" w:rsidR="009E5955" w:rsidRPr="00F30EF3" w:rsidRDefault="009E5955"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cstheme="minorHAnsi"/>
          <w:rtl/>
        </w:rPr>
      </w:pPr>
      <w:r w:rsidRPr="00F30EF3">
        <w:rPr>
          <w:rFonts w:cstheme="minorHAnsi"/>
          <w:rtl/>
        </w:rPr>
        <w:t>تقديم إرشادات للمبدعين حول إدارة الملكية الفكرية في أقرب مرحلة ممكنة من عملية الاختراع؛</w:t>
      </w:r>
    </w:p>
    <w:p w14:paraId="7F9E324F" w14:textId="77777777" w:rsidR="005C6A9D" w:rsidRPr="00F30EF3"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cstheme="minorHAnsi"/>
          <w:rtl/>
        </w:rPr>
      </w:pPr>
      <w:r w:rsidRPr="00F30EF3">
        <w:rPr>
          <w:rFonts w:cstheme="minorHAnsi"/>
          <w:rtl/>
        </w:rPr>
        <w:t>إدارة حماية الملكية الفكرية للمؤسسة بطريقة فعالة من حيث التكلفة؛</w:t>
      </w:r>
    </w:p>
    <w:p w14:paraId="72FD0A7D" w14:textId="77777777" w:rsidR="005C6A9D" w:rsidRPr="00F30EF3"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cstheme="minorHAnsi"/>
          <w:rtl/>
        </w:rPr>
      </w:pPr>
      <w:r w:rsidRPr="00F30EF3">
        <w:rPr>
          <w:rFonts w:cstheme="minorHAnsi"/>
          <w:rtl/>
        </w:rPr>
        <w:t>التسويق للملكية الفكرية للمؤسسة والترويج لها من أجل العثور على شركاء مناسبين؛</w:t>
      </w:r>
    </w:p>
    <w:p w14:paraId="70885F1C" w14:textId="77777777" w:rsidR="005C6A9D" w:rsidRPr="00F30EF3"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cstheme="minorHAnsi"/>
          <w:rtl/>
        </w:rPr>
      </w:pPr>
      <w:r w:rsidRPr="00F30EF3">
        <w:rPr>
          <w:rFonts w:cstheme="minorHAnsi"/>
          <w:rtl/>
        </w:rPr>
        <w:t>تحديد الشركاء المؤهلين لنقل حقوق الاستخدام التجاري للملكية الفكرية للمؤسسة؛</w:t>
      </w:r>
    </w:p>
    <w:p w14:paraId="3AB59F32" w14:textId="77777777" w:rsidR="005C6A9D" w:rsidRPr="00F30EF3"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cstheme="minorHAnsi"/>
          <w:rtl/>
        </w:rPr>
      </w:pPr>
      <w:r w:rsidRPr="00F30EF3">
        <w:rPr>
          <w:rFonts w:cstheme="minorHAnsi"/>
          <w:rtl/>
        </w:rPr>
        <w:t>التفاوض على الاتفاقات المناسبة بين المؤسسة والشركاء لتسويق الملكية الفكرية للمؤسسة؛</w:t>
      </w:r>
    </w:p>
    <w:p w14:paraId="64A91BE6" w14:textId="77777777" w:rsidR="005C6A9D" w:rsidRPr="00F30EF3"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firstLine="0"/>
        <w:jc w:val="both"/>
        <w:rPr>
          <w:rFonts w:cstheme="minorHAnsi"/>
          <w:rtl/>
        </w:rPr>
      </w:pPr>
      <w:r w:rsidRPr="00F30EF3">
        <w:rPr>
          <w:rFonts w:cstheme="minorHAnsi"/>
          <w:rtl/>
        </w:rPr>
        <w:t>تسهيل إنشاء شركات منبثقة، عند اقتضاء الحاجة؛</w:t>
      </w:r>
    </w:p>
    <w:p w14:paraId="46A0457C" w14:textId="77777777" w:rsidR="005C6A9D" w:rsidRPr="00F30EF3"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firstLine="0"/>
        <w:jc w:val="both"/>
        <w:rPr>
          <w:rFonts w:cstheme="minorHAnsi"/>
          <w:rtl/>
        </w:rPr>
      </w:pPr>
      <w:r w:rsidRPr="00F30EF3">
        <w:rPr>
          <w:rFonts w:cstheme="minorHAnsi"/>
          <w:rtl/>
        </w:rPr>
        <w:t>اتخاذ الترتيبات اللازمة لاستحواذ المؤسسة على الأسهم في الشركات المنبثقة؛</w:t>
      </w:r>
    </w:p>
    <w:p w14:paraId="0D96745A" w14:textId="77777777" w:rsidR="005C6A9D" w:rsidRPr="00F30EF3"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cstheme="minorHAnsi"/>
          <w:rtl/>
        </w:rPr>
      </w:pPr>
      <w:r w:rsidRPr="00F30EF3">
        <w:rPr>
          <w:rFonts w:cstheme="minorHAnsi"/>
          <w:rtl/>
        </w:rPr>
        <w:t>الاحتفاظ بسجل لجميع الملكيات الفكرية المحمية للمؤسسة مع سجلات تضم جميع التكاليف والإيرادات الناتجة عن كل ملكية فكرية على حدة؛</w:t>
      </w:r>
    </w:p>
    <w:p w14:paraId="5FFA4D0D" w14:textId="77777777" w:rsidR="005C6A9D" w:rsidRPr="00F30EF3"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cstheme="minorHAnsi"/>
          <w:rtl/>
        </w:rPr>
      </w:pPr>
      <w:r w:rsidRPr="00F30EF3">
        <w:rPr>
          <w:rFonts w:cstheme="minorHAnsi"/>
          <w:rtl/>
        </w:rPr>
        <w:t>مساعدة المبدعين على إتمام الإجراءات الخاصة بتسجيل أنشطة الملكية الفكرية لتلبية الاحتياجات الداخلية، والوفاء بمتطلبات المنظمات الخارجية؛</w:t>
      </w:r>
    </w:p>
    <w:p w14:paraId="206AD9F2" w14:textId="77777777" w:rsidR="005C6A9D" w:rsidRPr="00F30EF3"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cstheme="minorHAnsi"/>
          <w:rtl/>
        </w:rPr>
      </w:pPr>
      <w:r w:rsidRPr="00F30EF3">
        <w:rPr>
          <w:rFonts w:cstheme="minorHAnsi"/>
          <w:rtl/>
        </w:rPr>
        <w:t xml:space="preserve">توجيه المبدعين نحو أدوات إدارة الملكية الفكرية (مثل الكتيبات الاسترشادية، وتسجيل الملكية الفكرية والتقييم، واستمارات الائتمان) لضمان إدارة فعالة للملكية الفكرية؛ </w:t>
      </w:r>
    </w:p>
    <w:p w14:paraId="3E37D3CF" w14:textId="77777777" w:rsidR="005C6A9D" w:rsidRPr="00F30EF3"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cstheme="minorHAnsi"/>
          <w:rtl/>
        </w:rPr>
      </w:pPr>
      <w:r w:rsidRPr="00F30EF3">
        <w:rPr>
          <w:rFonts w:cstheme="minorHAnsi"/>
          <w:rtl/>
        </w:rPr>
        <w:t>طلب المساعدة من المنظمات الخارجية المؤهلة (مثل شركات القانون المتخصصة في الملكية الفكرية) في أقرب مرحلة ممكنة، لإطلاق كامل إمكانات الملكية الفكرية القابلة للاستغلال التجاري؛</w:t>
      </w:r>
    </w:p>
    <w:p w14:paraId="7EC57D31" w14:textId="77777777" w:rsidR="005C6A9D" w:rsidRPr="00F30EF3" w:rsidRDefault="00412CA8"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cstheme="minorHAnsi"/>
          <w:rtl/>
        </w:rPr>
      </w:pPr>
      <w:r w:rsidRPr="00F30EF3">
        <w:rPr>
          <w:rFonts w:cstheme="minorHAnsi"/>
          <w:rtl/>
        </w:rPr>
        <w:t>مساعدة المبدعين في تحديد النتائج ذات القيمة التجارية ومساعدتهم على إبلاغ مكتب إدارة الملكية الفكرية بتلك النتائج، قبل الكشف عنها لأي جهة خارج المؤسسة؛</w:t>
      </w:r>
    </w:p>
    <w:p w14:paraId="7960CE90" w14:textId="77777777" w:rsidR="005C6A9D" w:rsidRPr="00F30EF3"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cstheme="minorHAnsi"/>
          <w:rtl/>
        </w:rPr>
      </w:pPr>
      <w:r w:rsidRPr="00F30EF3">
        <w:rPr>
          <w:rFonts w:cstheme="minorHAnsi"/>
          <w:rtl/>
        </w:rPr>
        <w:t>فحص جميع عقود البحث وغيرها من اتفاقات التمويل للتحقق من تضمّنها للمراجع المناسبة لحقوق الملكية الفكرية، وتوافقها مع هذه السياسة؛</w:t>
      </w:r>
    </w:p>
    <w:p w14:paraId="11E15DA1" w14:textId="77777777" w:rsidR="005C6A9D" w:rsidRPr="00F30EF3"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cstheme="minorHAnsi"/>
          <w:rtl/>
        </w:rPr>
      </w:pPr>
      <w:r w:rsidRPr="00F30EF3">
        <w:rPr>
          <w:rFonts w:cstheme="minorHAnsi"/>
          <w:rtl/>
        </w:rPr>
        <w:t>إجراء مراجعات أولية لعمليات الكشف المقدمة إلى المؤسسة لتحديد الحقوق اللاحقة لها؛</w:t>
      </w:r>
    </w:p>
    <w:p w14:paraId="0DD1B1F3" w14:textId="77777777" w:rsidR="005C6A9D" w:rsidRPr="00F30EF3"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cstheme="minorHAnsi"/>
          <w:rtl/>
        </w:rPr>
      </w:pPr>
      <w:r w:rsidRPr="00F30EF3">
        <w:rPr>
          <w:rFonts w:cstheme="minorHAnsi"/>
          <w:rtl/>
        </w:rPr>
        <w:t>ضمان تنفيذ الاتفاقات المطلوبة، فيما يتعلق بإدارة الملكية الفكرية التي تمتلك المؤسسة حصة ملكية فيها، وما يترتب على ذلك من حقوق تخص جميع الأطراف المعنية، تنفيذاً صحيحاً؛</w:t>
      </w:r>
    </w:p>
    <w:p w14:paraId="40A45D31" w14:textId="77777777" w:rsidR="005C6A9D" w:rsidRPr="00F30EF3"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cstheme="minorHAnsi"/>
          <w:rtl/>
        </w:rPr>
      </w:pPr>
      <w:r w:rsidRPr="00F30EF3">
        <w:rPr>
          <w:rFonts w:cstheme="minorHAnsi"/>
          <w:rtl/>
        </w:rPr>
        <w:t>تحديد ملكية حقوق الملكية الفكرية و/أو التنازل عنها، إذا وجدت؛</w:t>
      </w:r>
    </w:p>
    <w:p w14:paraId="7C97F731" w14:textId="77777777" w:rsidR="005C6A9D" w:rsidRPr="00F30EF3"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cstheme="minorHAnsi"/>
          <w:rtl/>
        </w:rPr>
      </w:pPr>
      <w:r w:rsidRPr="00F30EF3">
        <w:rPr>
          <w:rFonts w:cstheme="minorHAnsi"/>
          <w:rtl/>
        </w:rPr>
        <w:t>إدارة توزيع الإيرادات المتحصل عليها من تسويق الملكية الفكرية وفقاً لآليات التقاسم المحددة في هذه السياسة؛</w:t>
      </w:r>
    </w:p>
    <w:p w14:paraId="6CF2FD32" w14:textId="77777777" w:rsidR="005A05E5" w:rsidRPr="00F30EF3"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cstheme="minorHAnsi"/>
          <w:rtl/>
        </w:rPr>
      </w:pPr>
      <w:r w:rsidRPr="00F30EF3">
        <w:rPr>
          <w:rFonts w:cstheme="minorHAnsi"/>
          <w:rtl/>
        </w:rPr>
        <w:t>تقديم المساعدة، حيثما أمكن، للباحثين من أجل الوفاء بالتزاماتهم ومسؤولياتهم بموجب هذه السياسة، وكذلك تشجيعهم على المشاركة في أي عملية تسويق تتعلق بالملكية الفكرية للمؤسسة.</w:t>
      </w:r>
    </w:p>
    <w:p w14:paraId="40E864AB" w14:textId="77777777" w:rsidR="005A05E5" w:rsidRPr="00F30EF3" w:rsidRDefault="005A05E5"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cstheme="minorHAnsi"/>
          <w:rtl/>
        </w:rPr>
      </w:pPr>
      <w:r w:rsidRPr="00F30EF3">
        <w:rPr>
          <w:rFonts w:cstheme="minorHAnsi"/>
          <w:rtl/>
        </w:rPr>
        <w:lastRenderedPageBreak/>
        <w:t>توفر بعض مكاتب إدارة الملكية الفكرية أيضاً دعماً للشركات المنبثقة وخدمات مساعدة للشركات تعزز النمو الاقتصادي المحلي.</w:t>
      </w:r>
      <w:r w:rsidRPr="00F30EF3">
        <w:rPr>
          <w:rStyle w:val="FootnoteReference"/>
          <w:rFonts w:cstheme="minorHAnsi"/>
          <w:rtl/>
          <w:lang w:val="en-US"/>
        </w:rPr>
        <w:footnoteReference w:id="76"/>
      </w:r>
    </w:p>
    <w:p w14:paraId="2E6AD78D" w14:textId="77777777" w:rsidR="006A0D64" w:rsidRPr="00F30EF3" w:rsidRDefault="006A0D64" w:rsidP="00972755">
      <w:pPr>
        <w:pStyle w:val="ListParagraph"/>
        <w:autoSpaceDE w:val="0"/>
        <w:autoSpaceDN w:val="0"/>
        <w:adjustRightInd w:val="0"/>
        <w:spacing w:after="0" w:line="240" w:lineRule="auto"/>
        <w:ind w:left="426"/>
        <w:jc w:val="both"/>
        <w:rPr>
          <w:rFonts w:cstheme="minorHAnsi"/>
          <w:lang w:val="en-US"/>
        </w:rPr>
      </w:pPr>
    </w:p>
    <w:p w14:paraId="53DC177C" w14:textId="6C9A1EEF" w:rsidR="004F6AC2" w:rsidRPr="00F30EF3" w:rsidRDefault="00622AFE"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b/>
          <w:bCs/>
          <w:rtl/>
        </w:rPr>
      </w:pPr>
      <w:r w:rsidRPr="00F30EF3">
        <w:rPr>
          <w:rFonts w:cstheme="minorHAnsi"/>
          <w:b/>
          <w:bCs/>
          <w:rtl/>
        </w:rPr>
        <w:t xml:space="preserve">الإطار </w:t>
      </w:r>
      <w:r w:rsidR="00DA74A5" w:rsidRPr="00F30EF3">
        <w:rPr>
          <w:rFonts w:cstheme="minorHAnsi"/>
          <w:b/>
          <w:bCs/>
        </w:rPr>
        <w:t>.1</w:t>
      </w:r>
      <w:r w:rsidR="00990E79" w:rsidRPr="00F30EF3">
        <w:rPr>
          <w:rFonts w:cstheme="minorHAnsi"/>
          <w:b/>
          <w:bCs/>
        </w:rPr>
        <w:t>7</w:t>
      </w:r>
      <w:r w:rsidRPr="00F30EF3">
        <w:rPr>
          <w:rFonts w:cstheme="minorHAnsi"/>
          <w:b/>
          <w:bCs/>
          <w:rtl/>
        </w:rPr>
        <w:t xml:space="preserve">  حالة من البرازيل - قانون الابتكار وإنشاء مكاتب إدارة الملكية الفكرية</w:t>
      </w:r>
    </w:p>
    <w:p w14:paraId="3D7DD307" w14:textId="77777777" w:rsidR="005C5EA3" w:rsidRPr="00F30EF3" w:rsidRDefault="005C5EA3"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lang w:val="en-US"/>
        </w:rPr>
      </w:pPr>
    </w:p>
    <w:p w14:paraId="1F158B5C" w14:textId="77777777" w:rsidR="004F6AC2" w:rsidRPr="00F30EF3" w:rsidRDefault="00622AFE"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rtl/>
        </w:rPr>
      </w:pPr>
      <w:r w:rsidRPr="00F30EF3">
        <w:rPr>
          <w:rFonts w:cstheme="minorHAnsi"/>
          <w:rtl/>
        </w:rPr>
        <w:t>تم في البرازيل الحث على الممارسات المتعلقة بريادة الأعمال على الصعيد الأكاديمي وإضفاء الشرعية عليها من خلال قانون الابتكار الاتحادي (2004). ويحدد القانون المسؤوليات التالية التي يضطلع بها مكتب إدارة الملكية الفكرية:</w:t>
      </w:r>
    </w:p>
    <w:p w14:paraId="18901DC5" w14:textId="77777777" w:rsidR="005C5EA3" w:rsidRPr="00F30EF3" w:rsidRDefault="005C5EA3"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lang w:val="en-US"/>
        </w:rPr>
      </w:pPr>
    </w:p>
    <w:p w14:paraId="6BD2BDC5" w14:textId="77777777" w:rsidR="004F6AC2" w:rsidRPr="00F30EF3"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i/>
          <w:iCs/>
          <w:rtl/>
        </w:rPr>
      </w:pPr>
      <w:r w:rsidRPr="00F30EF3">
        <w:rPr>
          <w:rFonts w:cstheme="minorHAnsi"/>
          <w:rtl/>
        </w:rPr>
        <w:t>    </w:t>
      </w:r>
      <w:r w:rsidRPr="00F30EF3">
        <w:rPr>
          <w:rFonts w:cstheme="minorHAnsi"/>
          <w:i/>
          <w:iCs/>
          <w:rtl/>
        </w:rPr>
        <w:t>"1" - ضمان الحفاظ على السياسة المؤسسية لتشجيع حماية الإبداعات والترخيص والابتكار وغيرها من أشكال نقل التكنولوجيا؛</w:t>
      </w:r>
    </w:p>
    <w:p w14:paraId="0EC7190B" w14:textId="77777777" w:rsidR="004F6AC2" w:rsidRPr="00F30EF3"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i/>
          <w:iCs/>
          <w:rtl/>
        </w:rPr>
      </w:pPr>
      <w:r w:rsidRPr="00F30EF3">
        <w:rPr>
          <w:rFonts w:cstheme="minorHAnsi"/>
          <w:i/>
          <w:iCs/>
          <w:rtl/>
        </w:rPr>
        <w:t>    "2" - تقييم نتائج الأنشطة والمشروعات البحثية وتصنيفها للامتثال لأحكام هذا القانون؛</w:t>
      </w:r>
    </w:p>
    <w:p w14:paraId="071872D2" w14:textId="77777777" w:rsidR="004F6AC2" w:rsidRPr="00F30EF3"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i/>
          <w:iCs/>
          <w:rtl/>
        </w:rPr>
      </w:pPr>
      <w:r w:rsidRPr="00F30EF3">
        <w:rPr>
          <w:rFonts w:cstheme="minorHAnsi"/>
          <w:i/>
          <w:iCs/>
          <w:rtl/>
        </w:rPr>
        <w:t>    "3" - تقييم طلب مقدم من مخترع مستقل لاعتماد اختراع ما وفقاً للاستمارة المتضمنة في المادة 22؛</w:t>
      </w:r>
    </w:p>
    <w:p w14:paraId="4FF9A221" w14:textId="77777777" w:rsidR="004F6AC2" w:rsidRPr="00F30EF3"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i/>
          <w:iCs/>
          <w:rtl/>
        </w:rPr>
      </w:pPr>
      <w:r w:rsidRPr="00F30EF3">
        <w:rPr>
          <w:rFonts w:cstheme="minorHAnsi"/>
          <w:i/>
          <w:iCs/>
          <w:rtl/>
        </w:rPr>
        <w:t>    "4" - البت في مدى ملاءمة الإبداعات التي تم تطويرها في المؤسسة وتعزيز حمايتها.</w:t>
      </w:r>
    </w:p>
    <w:p w14:paraId="36CD9C89" w14:textId="77777777" w:rsidR="004F6AC2" w:rsidRPr="00F30EF3"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i/>
          <w:iCs/>
          <w:rtl/>
        </w:rPr>
      </w:pPr>
      <w:r w:rsidRPr="00F30EF3">
        <w:rPr>
          <w:rFonts w:cstheme="minorHAnsi"/>
          <w:i/>
          <w:iCs/>
          <w:rtl/>
        </w:rPr>
        <w:t>    "5" - إبداء الرأي بشأن مدى ملاءمة الكشف عن الإبداعات التي تم تطويرها في المؤسسة، والتي تخضع لحماية الملكية الفكرية.</w:t>
      </w:r>
    </w:p>
    <w:p w14:paraId="08FB17BA" w14:textId="77777777" w:rsidR="004F6AC2" w:rsidRPr="00F30EF3"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i/>
          <w:iCs/>
          <w:rtl/>
        </w:rPr>
      </w:pPr>
      <w:r w:rsidRPr="00F30EF3">
        <w:rPr>
          <w:rFonts w:cstheme="minorHAnsi"/>
          <w:i/>
          <w:iCs/>
          <w:rtl/>
        </w:rPr>
        <w:t>    "6" - متابعة معالجة الطلبات والمحافظة على سندات الملكية الفكرية للمؤسسة.</w:t>
      </w:r>
    </w:p>
    <w:p w14:paraId="23C9F9E3" w14:textId="77777777" w:rsidR="004F6AC2" w:rsidRPr="00F30EF3"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firstLine="283"/>
        <w:jc w:val="both"/>
        <w:rPr>
          <w:rFonts w:cstheme="minorHAnsi"/>
          <w:i/>
          <w:iCs/>
          <w:rtl/>
        </w:rPr>
      </w:pPr>
      <w:r w:rsidRPr="00F30EF3">
        <w:rPr>
          <w:rFonts w:cstheme="minorHAnsi"/>
          <w:i/>
          <w:iCs/>
          <w:rtl/>
        </w:rPr>
        <w:t>"7" - تطوير دراسات الاستكشاف التكنولوجي والذكاء التنافسي في مجال الملكية الفكرية، بهدف توجيه أنشطة الابتكار.</w:t>
      </w:r>
    </w:p>
    <w:p w14:paraId="16843F9A" w14:textId="77777777" w:rsidR="001B6F4A" w:rsidRPr="00F30EF3" w:rsidRDefault="001B6F4A" w:rsidP="00B7519E">
      <w:pPr>
        <w:pStyle w:val="ListParagraph"/>
        <w:shd w:val="clear" w:color="auto" w:fill="FFFFFF" w:themeFill="background1"/>
        <w:autoSpaceDE w:val="0"/>
        <w:autoSpaceDN w:val="0"/>
        <w:adjustRightInd w:val="0"/>
        <w:spacing w:after="0" w:line="240" w:lineRule="auto"/>
        <w:ind w:left="426"/>
        <w:jc w:val="both"/>
        <w:rPr>
          <w:rFonts w:cstheme="minorHAnsi"/>
          <w:lang w:val="en-US"/>
        </w:rPr>
      </w:pPr>
    </w:p>
    <w:p w14:paraId="6A88AB05" w14:textId="28CF468A" w:rsidR="001B6F4A" w:rsidRPr="00F30EF3" w:rsidRDefault="004F6EC9"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b/>
          <w:bCs/>
          <w:rtl/>
        </w:rPr>
      </w:pPr>
      <w:r w:rsidRPr="00F30EF3">
        <w:rPr>
          <w:rFonts w:cstheme="minorHAnsi"/>
          <w:b/>
          <w:bCs/>
          <w:rtl/>
        </w:rPr>
        <w:t xml:space="preserve">الإطار </w:t>
      </w:r>
      <w:r w:rsidR="00DA74A5" w:rsidRPr="00F30EF3">
        <w:rPr>
          <w:rFonts w:cstheme="minorHAnsi"/>
          <w:b/>
          <w:bCs/>
        </w:rPr>
        <w:t>.1</w:t>
      </w:r>
      <w:r w:rsidR="00990E79" w:rsidRPr="00F30EF3">
        <w:rPr>
          <w:rFonts w:cstheme="minorHAnsi"/>
          <w:b/>
          <w:bCs/>
        </w:rPr>
        <w:t>8</w:t>
      </w:r>
      <w:r w:rsidRPr="00F30EF3">
        <w:rPr>
          <w:rFonts w:cstheme="minorHAnsi"/>
          <w:b/>
          <w:bCs/>
          <w:rtl/>
        </w:rPr>
        <w:t xml:space="preserve">  حالة من جنوب أفريقيا</w:t>
      </w:r>
    </w:p>
    <w:p w14:paraId="1815C1E0" w14:textId="77777777" w:rsidR="004F6EC9" w:rsidRPr="00F30EF3" w:rsidRDefault="004F6EC9"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b/>
          <w:bCs/>
          <w:lang w:val="en-US"/>
        </w:rPr>
      </w:pPr>
    </w:p>
    <w:p w14:paraId="15BB66CD" w14:textId="77777777" w:rsidR="001B6F4A" w:rsidRPr="00F30EF3" w:rsidRDefault="001B6F4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rtl/>
        </w:rPr>
      </w:pPr>
      <w:r w:rsidRPr="00F30EF3">
        <w:rPr>
          <w:rFonts w:cstheme="minorHAnsi"/>
          <w:rtl/>
        </w:rPr>
        <w:t>ينص قانون حقوق الملكية الفكرية في مجال البحوث والتنمية الممولة من القطاع العام لعام (2008) على مسؤوليات مكتب إدارة الملكية الفكرية على النحو التالي:</w:t>
      </w:r>
    </w:p>
    <w:p w14:paraId="51637155" w14:textId="77777777" w:rsidR="001B6F4A" w:rsidRPr="00F30EF3" w:rsidRDefault="001B6F4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b/>
          <w:bCs/>
          <w:lang w:val="en-US"/>
        </w:rPr>
      </w:pPr>
    </w:p>
    <w:p w14:paraId="6EFF9FD2" w14:textId="77777777" w:rsidR="004F6EC9" w:rsidRPr="00F30EF3" w:rsidRDefault="001B6F4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i/>
          <w:iCs/>
          <w:rtl/>
        </w:rPr>
      </w:pPr>
      <w:r w:rsidRPr="00F30EF3">
        <w:rPr>
          <w:rFonts w:cstheme="minorHAnsi"/>
          <w:b/>
          <w:bCs/>
          <w:i/>
          <w:iCs/>
          <w:rtl/>
        </w:rPr>
        <w:t xml:space="preserve">7. </w:t>
      </w:r>
      <w:r w:rsidRPr="00F30EF3">
        <w:rPr>
          <w:rFonts w:cstheme="minorHAnsi"/>
          <w:i/>
          <w:iCs/>
          <w:rtl/>
        </w:rPr>
        <w:t>(1) يجب أن يضطلع بوظائف مكتب نقل التكنولوجيا موظفون مؤهلون تأهيلاً مناسباً يتمتعون، عند النظر إليهم مجتمعين، بمعرفة متعددة التخصصات، ومؤهلات وخبرة في تحديد الملكية الفكرية، وحمايتها، وإدارتها، وتسويقها وفي معاملات الملكية الفكرية.</w:t>
      </w:r>
      <w:r w:rsidRPr="00F30EF3">
        <w:rPr>
          <w:rFonts w:cstheme="minorHAnsi"/>
          <w:rtl/>
        </w:rPr>
        <w:t xml:space="preserve"> </w:t>
      </w:r>
    </w:p>
    <w:p w14:paraId="5FA3223D" w14:textId="77777777" w:rsidR="001B6F4A" w:rsidRPr="00F30EF3" w:rsidRDefault="001B6F4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i/>
          <w:iCs/>
          <w:rtl/>
        </w:rPr>
      </w:pPr>
      <w:r w:rsidRPr="00F30EF3">
        <w:rPr>
          <w:rFonts w:cstheme="minorHAnsi"/>
          <w:i/>
          <w:iCs/>
          <w:rtl/>
        </w:rPr>
        <w:t>(2) يجب على مكتب نقل الملكية الفكرية، فيما يتعلق بالبحث والتطوير الممولين من القطاع العام— (أ) وضع السياسات، التي تهدف إلى الكشف والتعيين والحماية والتطوير والتسويق والترتيبات المتعلقة بتقاسم المنافع، وتنفيذها نيابة عن المؤسسة أو المنطقة، (ب) تلقي عمليات الكشف عن الملكية الفكرية المحتملة الناجمة عن البحث والتطوير الممولين من القطاع العام؛ (ج) تحليل عمليات الكشف فيما يتعلق بأي إمكانات تسويقية، والنجاح المحتمل لهذا التسويق، وشكل حقوق الملكية الفكرية ومضمونها، ومرحلة تطويرها، والشكل المناسب لحماية تلك الحقوق؛ (د) الاهتمام بجميع جوانب الحماية القانونية للملكية الفكرية؛ (هـ) إحالة عمليات الكشف إلى المكتب الوطني لإدارة الملكية الفكرية</w:t>
      </w:r>
      <w:r w:rsidR="00953A85" w:rsidRPr="00F30EF3">
        <w:rPr>
          <w:rStyle w:val="FootnoteReference"/>
          <w:rFonts w:cstheme="minorHAnsi"/>
          <w:i/>
          <w:iCs/>
          <w:rtl/>
          <w:lang w:val="en-US"/>
        </w:rPr>
        <w:footnoteReference w:id="77"/>
      </w:r>
      <w:r w:rsidRPr="00F30EF3">
        <w:rPr>
          <w:rFonts w:cstheme="minorHAnsi"/>
          <w:i/>
          <w:iCs/>
          <w:rtl/>
        </w:rPr>
        <w:t xml:space="preserve"> نيابة عن المؤسسة؛ (و) الاهتمام بجميع الجوانب الخاصة بمعاملات الملكية الفكرية وتسويق الملكية الفكرية؛ (ز) إجراء تقييمات بشأن نطاق الحماية القانونية للملكية الفكرية في جميع المناطق الجغرافية الخاضعة لإمكانية تسويق الملكية الفكرية؛ و…..</w:t>
      </w:r>
    </w:p>
    <w:p w14:paraId="10656E2E" w14:textId="77777777" w:rsidR="001B6F4A" w:rsidRPr="00F30EF3" w:rsidRDefault="001B6F4A" w:rsidP="00B7519E">
      <w:pPr>
        <w:shd w:val="clear" w:color="auto" w:fill="FFFFFF" w:themeFill="background1"/>
        <w:autoSpaceDE w:val="0"/>
        <w:autoSpaceDN w:val="0"/>
        <w:adjustRightInd w:val="0"/>
        <w:spacing w:after="0" w:line="240" w:lineRule="auto"/>
        <w:jc w:val="both"/>
        <w:rPr>
          <w:rFonts w:cstheme="minorHAnsi"/>
          <w:b/>
          <w:bCs/>
          <w:lang w:val="en-US"/>
        </w:rPr>
      </w:pPr>
    </w:p>
    <w:p w14:paraId="2D24AF9F" w14:textId="77777777" w:rsidR="00664E3C" w:rsidRPr="00F30EF3" w:rsidRDefault="00664E3C" w:rsidP="00734F31">
      <w:pPr>
        <w:spacing w:after="0" w:line="240" w:lineRule="auto"/>
        <w:jc w:val="both"/>
        <w:rPr>
          <w:rFonts w:cstheme="minorHAnsi"/>
          <w:color w:val="0070C0"/>
          <w:lang w:val="en-US"/>
        </w:rPr>
      </w:pPr>
    </w:p>
    <w:p w14:paraId="73722BEB" w14:textId="6F034F10" w:rsidR="004F6EC9" w:rsidRPr="00F30EF3" w:rsidRDefault="004F6EC9"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cstheme="minorHAnsi"/>
          <w:b/>
          <w:bCs/>
          <w:rtl/>
        </w:rPr>
      </w:pPr>
      <w:r w:rsidRPr="00F30EF3">
        <w:rPr>
          <w:rFonts w:cstheme="minorHAnsi"/>
          <w:b/>
          <w:bCs/>
          <w:rtl/>
        </w:rPr>
        <w:t>الإطار</w:t>
      </w:r>
      <w:r w:rsidR="00262DCC" w:rsidRPr="00F30EF3">
        <w:rPr>
          <w:rFonts w:cstheme="minorHAnsi"/>
          <w:b/>
          <w:bCs/>
          <w:rtl/>
        </w:rPr>
        <w:t xml:space="preserve"> </w:t>
      </w:r>
      <w:r w:rsidR="00072D52" w:rsidRPr="00F30EF3">
        <w:rPr>
          <w:rFonts w:cstheme="minorHAnsi"/>
          <w:b/>
          <w:bCs/>
        </w:rPr>
        <w:t>.</w:t>
      </w:r>
      <w:r w:rsidR="008C75DF" w:rsidRPr="00F30EF3">
        <w:rPr>
          <w:rFonts w:cstheme="minorHAnsi"/>
          <w:b/>
          <w:bCs/>
        </w:rPr>
        <w:t>19</w:t>
      </w:r>
      <w:r w:rsidR="00072D52" w:rsidRPr="00F30EF3">
        <w:rPr>
          <w:rFonts w:cstheme="minorHAnsi" w:hint="cs"/>
          <w:b/>
          <w:bCs/>
          <w:rtl/>
        </w:rPr>
        <w:t xml:space="preserve"> ن</w:t>
      </w:r>
      <w:r w:rsidRPr="00F30EF3">
        <w:rPr>
          <w:rFonts w:cstheme="minorHAnsi"/>
          <w:b/>
          <w:bCs/>
          <w:rtl/>
        </w:rPr>
        <w:t>صائح لإنشاء مكتب إدارة ملكية فكرية فعّال</w:t>
      </w:r>
      <w:r w:rsidRPr="00F30EF3">
        <w:rPr>
          <w:rFonts w:cstheme="minorHAnsi"/>
          <w:rtl/>
        </w:rPr>
        <w:t xml:space="preserve"> </w:t>
      </w:r>
    </w:p>
    <w:p w14:paraId="7E0BC94F" w14:textId="77777777" w:rsidR="004F6EC9" w:rsidRPr="00F30EF3" w:rsidRDefault="004F6EC9"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cstheme="minorHAnsi"/>
          <w:b/>
          <w:bCs/>
          <w:lang w:val="en-US"/>
        </w:rPr>
      </w:pPr>
    </w:p>
    <w:p w14:paraId="2536CE1E" w14:textId="77777777" w:rsidR="00D1450A" w:rsidRPr="00F30EF3" w:rsidRDefault="004F6EC9"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cstheme="minorHAnsi"/>
          <w:rtl/>
        </w:rPr>
      </w:pPr>
      <w:r w:rsidRPr="00F30EF3">
        <w:rPr>
          <w:rFonts w:cstheme="minorHAnsi"/>
          <w:rtl/>
        </w:rPr>
        <w:t>يتطلب مكتب إدارة الملكية الفكرية الفعّال</w:t>
      </w:r>
      <w:r w:rsidR="0055364C" w:rsidRPr="00F30EF3">
        <w:rPr>
          <w:rStyle w:val="FootnoteReference"/>
          <w:rFonts w:cstheme="minorHAnsi"/>
          <w:rtl/>
          <w:lang w:val="en-US"/>
        </w:rPr>
        <w:footnoteReference w:id="78"/>
      </w:r>
      <w:r w:rsidRPr="00F30EF3">
        <w:rPr>
          <w:rFonts w:cstheme="minorHAnsi"/>
          <w:rtl/>
        </w:rPr>
        <w:t>:</w:t>
      </w:r>
    </w:p>
    <w:p w14:paraId="428E1676" w14:textId="77777777" w:rsidR="00694FA7" w:rsidRPr="00F30EF3" w:rsidRDefault="00694FA7"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cstheme="minorHAnsi"/>
          <w:b/>
          <w:bCs/>
          <w:lang w:val="en-US"/>
        </w:rPr>
      </w:pPr>
    </w:p>
    <w:p w14:paraId="6000843B" w14:textId="77777777" w:rsidR="00694FA7" w:rsidRPr="00F30EF3" w:rsidRDefault="00694FA7"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cstheme="minorHAnsi"/>
          <w:rtl/>
        </w:rPr>
      </w:pPr>
      <w:r w:rsidRPr="00F30EF3">
        <w:rPr>
          <w:rFonts w:cstheme="minorHAnsi"/>
          <w:rtl/>
        </w:rPr>
        <w:t>رسالة محددة</w:t>
      </w:r>
      <w:r w:rsidRPr="00F30EF3">
        <w:rPr>
          <w:rStyle w:val="FootnoteReference"/>
          <w:rFonts w:cstheme="minorHAnsi"/>
          <w:i/>
          <w:iCs/>
          <w:rtl/>
          <w:lang w:val="en-US"/>
        </w:rPr>
        <w:footnoteReference w:id="79"/>
      </w:r>
    </w:p>
    <w:p w14:paraId="0EDDC3B2" w14:textId="77777777" w:rsidR="0055364C" w:rsidRPr="00F30EF3"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cstheme="minorHAnsi"/>
          <w:rtl/>
        </w:rPr>
      </w:pPr>
      <w:r w:rsidRPr="00F30EF3">
        <w:rPr>
          <w:rFonts w:cstheme="minorHAnsi"/>
          <w:rtl/>
        </w:rPr>
        <w:t>سياسات وإجراءات تتسم بالشفافية</w:t>
      </w:r>
    </w:p>
    <w:p w14:paraId="6CA94B98" w14:textId="77777777" w:rsidR="0055364C" w:rsidRPr="00F30EF3" w:rsidRDefault="005B21C2"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cstheme="minorHAnsi"/>
          <w:rtl/>
        </w:rPr>
      </w:pPr>
      <w:r w:rsidRPr="00F30EF3">
        <w:rPr>
          <w:rFonts w:cstheme="minorHAnsi"/>
          <w:rtl/>
        </w:rPr>
        <w:t>موظفون أكفاء ورياديون وبيئة عمل تزكي روح الريادة</w:t>
      </w:r>
    </w:p>
    <w:p w14:paraId="35C5EE72" w14:textId="77777777" w:rsidR="005B21C2" w:rsidRPr="00F30EF3" w:rsidRDefault="005B21C2"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cstheme="minorHAnsi"/>
          <w:rtl/>
        </w:rPr>
      </w:pPr>
      <w:r w:rsidRPr="00F30EF3">
        <w:rPr>
          <w:rFonts w:cstheme="minorHAnsi"/>
          <w:rtl/>
        </w:rPr>
        <w:lastRenderedPageBreak/>
        <w:t>بنية تحتية إدارية وافية</w:t>
      </w:r>
    </w:p>
    <w:p w14:paraId="0559585F" w14:textId="77777777" w:rsidR="0055364C" w:rsidRPr="00F30EF3"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cstheme="minorHAnsi"/>
          <w:rtl/>
        </w:rPr>
      </w:pPr>
      <w:r w:rsidRPr="00F30EF3">
        <w:rPr>
          <w:rFonts w:cstheme="minorHAnsi"/>
          <w:rtl/>
        </w:rPr>
        <w:t>علاقات تتسم بطابع الودية مع العملاء سواء كانوا داخليين أو خارجيين</w:t>
      </w:r>
    </w:p>
    <w:p w14:paraId="4F9FD687" w14:textId="77777777" w:rsidR="00694FA7" w:rsidRPr="00F30EF3"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cstheme="minorHAnsi"/>
          <w:rtl/>
        </w:rPr>
      </w:pPr>
      <w:r w:rsidRPr="00F30EF3">
        <w:rPr>
          <w:rFonts w:cstheme="minorHAnsi"/>
          <w:rtl/>
        </w:rPr>
        <w:t>دعم شديد تقدمه إدارة الجامعة والمجتمع</w:t>
      </w:r>
    </w:p>
    <w:p w14:paraId="41F5E4B7" w14:textId="77777777" w:rsidR="0055364C" w:rsidRPr="00F30EF3"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cstheme="minorHAnsi"/>
          <w:rtl/>
        </w:rPr>
      </w:pPr>
      <w:r w:rsidRPr="00F30EF3">
        <w:rPr>
          <w:rFonts w:cstheme="minorHAnsi"/>
          <w:rtl/>
        </w:rPr>
        <w:t>روابط شديدة مع شركاء الصناعة المحتملين</w:t>
      </w:r>
    </w:p>
    <w:p w14:paraId="11541AFF" w14:textId="77777777" w:rsidR="0055364C" w:rsidRPr="00F30EF3"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cstheme="minorHAnsi"/>
          <w:rtl/>
        </w:rPr>
      </w:pPr>
      <w:r w:rsidRPr="00F30EF3">
        <w:rPr>
          <w:rFonts w:cstheme="minorHAnsi"/>
          <w:rtl/>
        </w:rPr>
        <w:t>الوصول إلى رأس المال المخاطر أو رأس المال الاستثماري</w:t>
      </w:r>
    </w:p>
    <w:p w14:paraId="629C6C4C" w14:textId="77777777" w:rsidR="00694FA7" w:rsidRPr="00F30EF3" w:rsidRDefault="00694FA7"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cstheme="minorHAnsi"/>
          <w:rtl/>
        </w:rPr>
      </w:pPr>
      <w:r w:rsidRPr="00F30EF3">
        <w:rPr>
          <w:rFonts w:cstheme="minorHAnsi"/>
          <w:rtl/>
        </w:rPr>
        <w:t>توقعات اقتصادية واقعية</w:t>
      </w:r>
    </w:p>
    <w:p w14:paraId="25F37A46" w14:textId="77777777" w:rsidR="00AB722E" w:rsidRPr="00F30EF3" w:rsidRDefault="00AB722E"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cstheme="minorHAnsi"/>
          <w:rtl/>
        </w:rPr>
      </w:pPr>
      <w:r w:rsidRPr="00F30EF3">
        <w:rPr>
          <w:rFonts w:cstheme="minorHAnsi"/>
          <w:rtl/>
        </w:rPr>
        <w:t>بنية تحتية وافية وأدوات كافية لحماية الملكية الفكرية وتسويقها (مثل صندوق البراءات، وصندوق إثبات المفهوم، وما إلى ذلك).</w:t>
      </w:r>
    </w:p>
    <w:p w14:paraId="08A6A108" w14:textId="77777777" w:rsidR="00D1450A" w:rsidRPr="00F30EF3" w:rsidRDefault="00D1450A" w:rsidP="00734F31">
      <w:pPr>
        <w:spacing w:after="0" w:line="240" w:lineRule="auto"/>
        <w:jc w:val="both"/>
        <w:rPr>
          <w:rFonts w:cstheme="minorHAnsi"/>
          <w:lang w:val="en-US"/>
        </w:rPr>
      </w:pPr>
    </w:p>
    <w:p w14:paraId="7B7C5BF6" w14:textId="6ED6F96D" w:rsidR="003A27A7" w:rsidRPr="00F30EF3" w:rsidRDefault="00E444E9" w:rsidP="00072D52">
      <w:pPr>
        <w:pStyle w:val="ListParagraph"/>
        <w:numPr>
          <w:ilvl w:val="0"/>
          <w:numId w:val="3"/>
        </w:numPr>
        <w:spacing w:after="120" w:line="240" w:lineRule="auto"/>
        <w:ind w:left="432" w:hanging="426"/>
        <w:contextualSpacing w:val="0"/>
        <w:jc w:val="both"/>
        <w:rPr>
          <w:rFonts w:cstheme="minorHAnsi"/>
          <w:rtl/>
        </w:rPr>
      </w:pPr>
      <w:r w:rsidRPr="00F30EF3">
        <w:rPr>
          <w:rFonts w:cstheme="minorHAnsi"/>
          <w:b/>
          <w:bCs/>
          <w:rtl/>
        </w:rPr>
        <w:t>استقلال مكتب إدارة الملكية الفكرية</w:t>
      </w:r>
      <w:r w:rsidRPr="00F30EF3">
        <w:rPr>
          <w:rFonts w:cstheme="minorHAnsi"/>
          <w:rtl/>
        </w:rPr>
        <w:t>: من المهم أن تبقى المؤسسات بعيدة عن المفاوضات المباشرة مع شركاء تسويق الملكية الفكرية، أو المشاركة في معاملات عقود الملكية الفكرية، أو عملية التسويق. وفي هذا السياق، من الضروري أن لا يشارك كبار إداري المؤسسة أو أعضاء لجنة الملكية الفكرية في اتخاذ القرارات المتعلقة بالمعاملات التي يقوم بها مكتب إدارة الملكية الفكرية.</w:t>
      </w:r>
      <w:r w:rsidR="004F6AC2" w:rsidRPr="00F30EF3">
        <w:rPr>
          <w:rStyle w:val="FootnoteReference"/>
          <w:rFonts w:cstheme="minorHAnsi"/>
          <w:rtl/>
          <w:lang w:val="en-US"/>
        </w:rPr>
        <w:footnoteReference w:id="80"/>
      </w:r>
      <w:r w:rsidRPr="00F30EF3">
        <w:rPr>
          <w:rFonts w:cstheme="minorHAnsi"/>
          <w:rtl/>
        </w:rPr>
        <w:t xml:space="preserve">  ففي بعض الحالات، تضخم المؤسسات من هذه الاستقلالية بإنشائها كياناً قانونياً منفصلاً تملكه المؤسسة بالكامل، لا سيّما لأغراض التسويق.  ثم تُرخص الملكية الفكرية بعد ذلك أو تخصصها لهذا الكيان بحيث يتم حماية المؤسسة من أي مخاطر مصاحبة.  </w:t>
      </w:r>
    </w:p>
    <w:p w14:paraId="0AC0FBB9" w14:textId="41D3C9A7" w:rsidR="00372763" w:rsidRPr="00F30EF3" w:rsidRDefault="003A27A7" w:rsidP="00987B56">
      <w:pPr>
        <w:pStyle w:val="ListParagraph"/>
        <w:numPr>
          <w:ilvl w:val="0"/>
          <w:numId w:val="3"/>
        </w:numPr>
        <w:spacing w:after="120" w:line="240" w:lineRule="auto"/>
        <w:ind w:left="432" w:hanging="432"/>
        <w:contextualSpacing w:val="0"/>
        <w:jc w:val="both"/>
        <w:rPr>
          <w:rFonts w:cstheme="minorHAnsi"/>
          <w:rtl/>
        </w:rPr>
      </w:pPr>
      <w:r w:rsidRPr="00F30EF3">
        <w:rPr>
          <w:rFonts w:cstheme="minorHAnsi"/>
          <w:rtl/>
        </w:rPr>
        <w:t xml:space="preserve">ومن الأمثلة على هذه الشركات المنفصلة المملوكة بالكامل شركة </w:t>
      </w:r>
      <w:r w:rsidRPr="00F30EF3">
        <w:rPr>
          <w:rFonts w:cstheme="minorHAnsi"/>
        </w:rPr>
        <w:t>Innovus</w:t>
      </w:r>
      <w:r w:rsidR="00372763" w:rsidRPr="00F30EF3">
        <w:rPr>
          <w:rStyle w:val="FootnoteReference"/>
          <w:rFonts w:cstheme="minorHAnsi"/>
          <w:lang w:val="en-US"/>
        </w:rPr>
        <w:footnoteReference w:id="81"/>
      </w:r>
      <w:r w:rsidRPr="00F30EF3">
        <w:rPr>
          <w:rFonts w:cstheme="minorHAnsi"/>
          <w:rtl/>
        </w:rPr>
        <w:t xml:space="preserve">، التي تعرف نفسها بصفتها </w:t>
      </w:r>
      <w:r w:rsidRPr="00F30EF3">
        <w:rPr>
          <w:rFonts w:cstheme="minorHAnsi"/>
          <w:i/>
          <w:iCs/>
          <w:rtl/>
        </w:rPr>
        <w:t>"شركة للتفاعل والابتكار بين الصناعة والجامعة تتبع جامعة ستيلينبوش</w:t>
      </w:r>
      <w:r w:rsidR="00987796" w:rsidRPr="00F30EF3">
        <w:rPr>
          <w:rFonts w:cstheme="minorHAnsi"/>
          <w:i/>
          <w:iCs/>
          <w:rtl/>
        </w:rPr>
        <w:t xml:space="preserve"> </w:t>
      </w:r>
      <w:r w:rsidRPr="00F30EF3">
        <w:rPr>
          <w:rFonts w:cstheme="minorHAnsi"/>
          <w:i/>
          <w:iCs/>
          <w:rtl/>
        </w:rPr>
        <w:t>المسؤولة عن نقل التكنولوجيا ودعم وتطوير ريادة الأعمال والابتكار في الجامعة. فنحن ندير تسويق محفظة الابتكار والملكية الفكرية الخاصة بالجامعة من خلال إصدار البراءات، واستصدار التراخيص، وتشكيل الشركات المتفرعة".</w:t>
      </w:r>
      <w:r w:rsidRPr="00F30EF3">
        <w:rPr>
          <w:rFonts w:cstheme="minorHAnsi"/>
          <w:rtl/>
        </w:rPr>
        <w:t xml:space="preserve"> لمزيد من المعلومات والأمثلة على هذه الهياكل، انظر</w:t>
      </w:r>
      <w:r w:rsidR="00124F75" w:rsidRPr="00F30EF3">
        <w:rPr>
          <w:rFonts w:cstheme="minorHAnsi"/>
          <w:rtl/>
        </w:rPr>
        <w:t xml:space="preserve"> </w:t>
      </w:r>
      <w:hyperlink w:anchor="Box22" w:history="1">
        <w:r w:rsidRPr="00F30EF3">
          <w:rPr>
            <w:rStyle w:val="Hyperlink"/>
            <w:rFonts w:cstheme="minorHAnsi"/>
            <w:rtl/>
          </w:rPr>
          <w:t>الإطار 22</w:t>
        </w:r>
      </w:hyperlink>
      <w:r w:rsidRPr="00F30EF3">
        <w:rPr>
          <w:rFonts w:cstheme="minorHAnsi"/>
          <w:rtl/>
        </w:rPr>
        <w:t>.</w:t>
      </w:r>
    </w:p>
    <w:p w14:paraId="2833DFF0" w14:textId="1EF55D7D" w:rsidR="005629A1" w:rsidRPr="00F30EF3" w:rsidRDefault="00BD5A7D" w:rsidP="00464282">
      <w:pPr>
        <w:pStyle w:val="ListParagraph"/>
        <w:numPr>
          <w:ilvl w:val="0"/>
          <w:numId w:val="3"/>
        </w:numPr>
        <w:spacing w:after="0" w:line="240" w:lineRule="auto"/>
        <w:ind w:left="426" w:hanging="426"/>
        <w:jc w:val="both"/>
        <w:rPr>
          <w:rFonts w:cstheme="minorHAnsi"/>
          <w:rtl/>
        </w:rPr>
      </w:pPr>
      <w:r w:rsidRPr="00F30EF3">
        <w:rPr>
          <w:rFonts w:cstheme="minorHAnsi"/>
          <w:b/>
          <w:bCs/>
          <w:rtl/>
        </w:rPr>
        <w:t xml:space="preserve">الرقابة على الحوكمة.  </w:t>
      </w:r>
      <w:r w:rsidRPr="00F30EF3">
        <w:rPr>
          <w:rFonts w:cstheme="minorHAnsi"/>
          <w:rtl/>
        </w:rPr>
        <w:t>تتفق معظم المؤسسات على أنه من المناسب والضروري تماماً أن يكون للجنة الملكية الفكرية رقابة على ميزانيات مكتب إدارة الملكية الفكرية وموظفيه وتنفيذ سياساته ونموذج أعماله واستراتيجيته؛ غير أن التدخل في قرارات إدارة مكتب إدارة الملكية الفكرية أو معاملات ملكية فكرية بعينها ليس بالأمر المناسب أو البنّاء. ويتيح الحفاظ على هذه الفروق الواضحة بين هذه المجالات للمؤسسة بإجراء تسويق فعال للملكية الفكرية دون المساس بصفتها باعتبارها كياناً غير تجاري أُنشئ لخدمة الصالح العام.</w:t>
      </w:r>
    </w:p>
    <w:p w14:paraId="6922C916" w14:textId="4CA38AC3" w:rsidR="00B52DDD" w:rsidRPr="00F30EF3" w:rsidRDefault="00625FEC" w:rsidP="00B7519E">
      <w:pPr>
        <w:pStyle w:val="Heading3"/>
        <w:spacing w:before="360"/>
        <w:rPr>
          <w:rFonts w:asciiTheme="minorHAnsi" w:hAnsiTheme="minorHAnsi" w:cstheme="minorHAnsi"/>
          <w:sz w:val="24"/>
          <w:szCs w:val="24"/>
          <w:rtl/>
        </w:rPr>
      </w:pPr>
      <w:bookmarkStart w:id="126" w:name="_Toc494115961"/>
      <w:bookmarkStart w:id="127" w:name="_Toc516160055"/>
      <w:bookmarkStart w:id="128" w:name="_Toc516219398"/>
      <w:bookmarkStart w:id="129" w:name="_Toc516496039"/>
      <w:bookmarkStart w:id="130" w:name="_Toc516829411"/>
      <w:r w:rsidRPr="00F30EF3">
        <w:rPr>
          <w:rFonts w:asciiTheme="minorHAnsi" w:hAnsiTheme="minorHAnsi" w:cstheme="minorHAnsi"/>
          <w:sz w:val="24"/>
          <w:szCs w:val="24"/>
          <w:rtl/>
        </w:rPr>
        <w:t>مكتب إدارة الملكية الفكرية - أي هيكل تنظيمي</w:t>
      </w:r>
      <w:bookmarkEnd w:id="126"/>
      <w:r w:rsidR="00124F75" w:rsidRPr="00F30EF3">
        <w:rPr>
          <w:rFonts w:asciiTheme="minorHAnsi" w:hAnsiTheme="minorHAnsi" w:cstheme="minorHAnsi"/>
          <w:sz w:val="24"/>
          <w:szCs w:val="24"/>
          <w:rtl/>
        </w:rPr>
        <w:t xml:space="preserve"> </w:t>
      </w:r>
      <w:r w:rsidRPr="00F30EF3">
        <w:rPr>
          <w:rFonts w:asciiTheme="minorHAnsi" w:hAnsiTheme="minorHAnsi" w:cstheme="minorHAnsi"/>
          <w:sz w:val="24"/>
          <w:szCs w:val="24"/>
          <w:rtl/>
        </w:rPr>
        <w:t>تختار؟</w:t>
      </w:r>
      <w:bookmarkEnd w:id="127"/>
      <w:bookmarkEnd w:id="128"/>
      <w:bookmarkEnd w:id="129"/>
      <w:bookmarkEnd w:id="130"/>
    </w:p>
    <w:p w14:paraId="76893518" w14:textId="77777777" w:rsidR="001729EC" w:rsidRPr="00F30EF3" w:rsidRDefault="00C87702" w:rsidP="00734F31">
      <w:pPr>
        <w:spacing w:line="240" w:lineRule="auto"/>
        <w:jc w:val="both"/>
        <w:rPr>
          <w:rFonts w:cstheme="minorHAnsi"/>
          <w:rtl/>
        </w:rPr>
      </w:pPr>
      <w:r w:rsidRPr="00F30EF3">
        <w:rPr>
          <w:rFonts w:cstheme="minorHAnsi"/>
          <w:rtl/>
        </w:rPr>
        <w:t>يمكن معالجة وظيفة عمليات الملكية الفكرية بطرق مختلفة ويجب أن تتناسب مع الاحتياجات والموارد المحلية. ولا توجد طريقة "صحيحة" وحيدة لإعداد مكتب إدارة ملكية فكرية، ولكن النجاح يتطلب النظر في بعض المسائل المحددة.</w:t>
      </w:r>
    </w:p>
    <w:p w14:paraId="08C6CD56" w14:textId="3FF5A69C" w:rsidR="00543D28" w:rsidRPr="00F30EF3" w:rsidRDefault="00543D28" w:rsidP="004178AF">
      <w:pPr>
        <w:pStyle w:val="ListParagraph"/>
        <w:numPr>
          <w:ilvl w:val="0"/>
          <w:numId w:val="3"/>
        </w:numPr>
        <w:spacing w:after="120" w:line="240" w:lineRule="auto"/>
        <w:ind w:left="432" w:hanging="432"/>
        <w:contextualSpacing w:val="0"/>
        <w:jc w:val="both"/>
        <w:rPr>
          <w:rFonts w:cstheme="minorHAnsi"/>
          <w:rtl/>
        </w:rPr>
      </w:pPr>
      <w:r w:rsidRPr="00F30EF3">
        <w:rPr>
          <w:rFonts w:cstheme="minorHAnsi"/>
          <w:b/>
          <w:bCs/>
          <w:rtl/>
        </w:rPr>
        <w:t>المكتب الداخلي.</w:t>
      </w:r>
      <w:r w:rsidRPr="00F30EF3">
        <w:rPr>
          <w:rFonts w:cstheme="minorHAnsi"/>
          <w:rtl/>
        </w:rPr>
        <w:t xml:space="preserve"> يُعد مكتب إدارة الملكية الفكرية الداخلي هو الشكل الأكثر استخداماً في الوقت الحالي. وغالباً ما يكون وجود وحدة تنظيمية أو قسم متخصص </w:t>
      </w:r>
      <w:r w:rsidRPr="00F30EF3">
        <w:rPr>
          <w:rFonts w:cstheme="minorHAnsi"/>
          <w:u w:val="single"/>
          <w:rtl/>
        </w:rPr>
        <w:t>داخل المؤسسة</w:t>
      </w:r>
      <w:r w:rsidRPr="00F30EF3">
        <w:rPr>
          <w:rFonts w:cstheme="minorHAnsi"/>
          <w:rtl/>
        </w:rPr>
        <w:t xml:space="preserve"> هو الأفضل لكسب ثقة الباحثين، والقدرة على اغتنام الفرص الجديدة. وينبغي للمؤسسة التي ترغب في الانخراط في الملكية الفكرية بأي طريقة منهجية أن يكون لديها على الأقل </w:t>
      </w:r>
      <w:r w:rsidRPr="00F30EF3">
        <w:rPr>
          <w:rFonts w:cstheme="minorHAnsi"/>
          <w:u w:val="single"/>
          <w:rtl/>
        </w:rPr>
        <w:t>شخص واحد على مستوى الإدارة مسؤول</w:t>
      </w:r>
      <w:r w:rsidRPr="00F30EF3">
        <w:rPr>
          <w:rFonts w:cstheme="minorHAnsi"/>
          <w:rtl/>
        </w:rPr>
        <w:t xml:space="preserve"> عن هذه الوظيفة. وعلاوة على ذلك، فإن تعقيد الأنشطة القائمة على الملكية الفكرية يتطلب تقريباً على الدوام أن يكون هناك موظف واحد على الأقل على مستوى الإدارة متفرغ لهذه الوظيفة. وبافتراض وجود مستوى أساسي من النشاط الابتكاري أو الإبداعي في المؤسسة، فإنه ينبغي لأصغر المؤسسات حتى أن تنظر في تعيين شخص مؤهل ليضطلع بمسؤولية هذه الوظيفة. غير أن التكاليف غالباً ما تقف حجر عثرة أمام الجامعات بالنسبة لهذا الخيار، لا سيّما في المراحل الأولى من تنفيذ وظيفة ملكية فكرية</w:t>
      </w:r>
      <w:r w:rsidR="0012633A" w:rsidRPr="00F30EF3">
        <w:rPr>
          <w:rStyle w:val="FootnoteReference"/>
          <w:rFonts w:cstheme="minorHAnsi"/>
          <w:rtl/>
          <w:lang w:val="en-US"/>
        </w:rPr>
        <w:footnoteReference w:id="82"/>
      </w:r>
      <w:r w:rsidRPr="00F30EF3">
        <w:rPr>
          <w:rFonts w:cstheme="minorHAnsi"/>
          <w:rtl/>
        </w:rPr>
        <w:t>. وفي هذه الحالة، يمكن استخدام النماذج البديلة التالية، التي أثبتت نجاحها على الصعيد العالمي.</w:t>
      </w:r>
    </w:p>
    <w:p w14:paraId="5DBA4569" w14:textId="77777777" w:rsidR="00597609" w:rsidRPr="00F30EF3" w:rsidRDefault="004078AC" w:rsidP="00464282">
      <w:pPr>
        <w:pStyle w:val="ListParagraph"/>
        <w:numPr>
          <w:ilvl w:val="0"/>
          <w:numId w:val="3"/>
        </w:numPr>
        <w:spacing w:after="0" w:line="240" w:lineRule="auto"/>
        <w:ind w:left="426" w:hanging="426"/>
        <w:jc w:val="both"/>
        <w:rPr>
          <w:rFonts w:cstheme="minorHAnsi"/>
          <w:b/>
          <w:bCs/>
          <w:rtl/>
        </w:rPr>
      </w:pPr>
      <w:r w:rsidRPr="00F30EF3">
        <w:rPr>
          <w:rFonts w:cstheme="minorHAnsi"/>
          <w:b/>
          <w:bCs/>
          <w:rtl/>
        </w:rPr>
        <w:t>شركة فرعية مملوكة بالكامل</w:t>
      </w:r>
      <w:r w:rsidRPr="00F30EF3">
        <w:rPr>
          <w:rFonts w:cstheme="minorHAnsi"/>
          <w:rtl/>
        </w:rPr>
        <w:t>.  يوفر هذا الهيكل مزايا محددة:</w:t>
      </w:r>
    </w:p>
    <w:p w14:paraId="4E05A509" w14:textId="77777777" w:rsidR="00597609" w:rsidRPr="00F30EF3" w:rsidRDefault="00597609" w:rsidP="009D4A54">
      <w:pPr>
        <w:pStyle w:val="ListParagraph"/>
        <w:numPr>
          <w:ilvl w:val="1"/>
          <w:numId w:val="158"/>
        </w:numPr>
        <w:spacing w:after="0" w:line="240" w:lineRule="auto"/>
        <w:ind w:left="993" w:hanging="426"/>
        <w:jc w:val="both"/>
        <w:rPr>
          <w:rFonts w:cstheme="minorHAnsi"/>
          <w:b/>
          <w:bCs/>
          <w:rtl/>
        </w:rPr>
      </w:pPr>
      <w:r w:rsidRPr="00F30EF3">
        <w:rPr>
          <w:rFonts w:cstheme="minorHAnsi"/>
          <w:rtl/>
        </w:rPr>
        <w:t>من خلال خصخصة مكتب إدارة الملكية الفكرية، يمكن للمؤسسة تمويل أنشطتها ولا تتقيد بالموارد المالية للمؤسسة. وتتمتع بمرونة أكبر في تقديم مرتبات تنافسية لموظفي مكتب إدارة الملكية الفكرية وكبار الموظفين المعينين من قطاع الصناعة.</w:t>
      </w:r>
    </w:p>
    <w:p w14:paraId="1369F394" w14:textId="5AD817BB" w:rsidR="00372763" w:rsidRPr="00F30EF3" w:rsidRDefault="00335F58" w:rsidP="00073F8E">
      <w:pPr>
        <w:pStyle w:val="ListParagraph"/>
        <w:numPr>
          <w:ilvl w:val="1"/>
          <w:numId w:val="158"/>
        </w:numPr>
        <w:spacing w:after="120" w:line="240" w:lineRule="auto"/>
        <w:ind w:left="994" w:hanging="432"/>
        <w:contextualSpacing w:val="0"/>
        <w:jc w:val="both"/>
        <w:rPr>
          <w:rFonts w:cstheme="minorHAnsi"/>
          <w:b/>
          <w:bCs/>
        </w:rPr>
      </w:pPr>
      <w:r w:rsidRPr="00F30EF3">
        <w:rPr>
          <w:rFonts w:cstheme="minorHAnsi"/>
          <w:rtl/>
        </w:rPr>
        <w:lastRenderedPageBreak/>
        <w:t xml:space="preserve">وتتمتع الشركة الفرعية بميزة إضافية تتمثل في حماية المؤسسة من المخاطر المباشرة المرتبطة بتسويق الملكية الفكرية من حيث إمكانية مقاضاتها وإمكانية رفعها لدعاوٍ قضائية باسمها، في حين أن مكتب إدارة الملكية الفكرية الداخلي لا يتمتع بصفة قانونية منفصلة. </w:t>
      </w:r>
    </w:p>
    <w:p w14:paraId="62B23940" w14:textId="6DAE00DA" w:rsidR="00FB0B4B" w:rsidRPr="00F30EF3" w:rsidRDefault="00543D28" w:rsidP="00073F8E">
      <w:pPr>
        <w:pStyle w:val="ListParagraph"/>
        <w:numPr>
          <w:ilvl w:val="0"/>
          <w:numId w:val="3"/>
        </w:numPr>
        <w:spacing w:after="120" w:line="240" w:lineRule="auto"/>
        <w:ind w:left="432" w:hanging="432"/>
        <w:contextualSpacing w:val="0"/>
        <w:jc w:val="both"/>
        <w:rPr>
          <w:rFonts w:cstheme="minorHAnsi"/>
          <w:rtl/>
        </w:rPr>
      </w:pPr>
      <w:r w:rsidRPr="00F30EF3">
        <w:rPr>
          <w:rFonts w:cstheme="minorHAnsi"/>
          <w:b/>
          <w:bCs/>
          <w:rtl/>
        </w:rPr>
        <w:t>مقدم خدمات ملكية فكرية خاص.</w:t>
      </w:r>
      <w:r w:rsidRPr="00F30EF3">
        <w:rPr>
          <w:rFonts w:cstheme="minorHAnsi"/>
          <w:rtl/>
        </w:rPr>
        <w:t xml:space="preserve"> يتمثل البديل الرئيسي لإنشاء مكتب إدارة ملكية فكرية داخل المؤسسة في </w:t>
      </w:r>
      <w:r w:rsidRPr="00F30EF3">
        <w:rPr>
          <w:rFonts w:cstheme="minorHAnsi"/>
          <w:u w:val="single"/>
          <w:rtl/>
        </w:rPr>
        <w:t>الاستعانة بمصادر خارجية</w:t>
      </w:r>
      <w:r w:rsidRPr="00F30EF3">
        <w:rPr>
          <w:rFonts w:cstheme="minorHAnsi"/>
          <w:rtl/>
        </w:rPr>
        <w:t xml:space="preserve"> تتمثل في متخصصين من القطاع الخاص لإنهاء بعض وظائف مكتب إدارة الملكية الفكرية أو جميعها. وغالباً ما يوجد، في الترتيبات طويلة الأجل، عدد من أنواع مقدمي الخدمات من القطاع الخاص الذين يمكن توظيفهم في تطوير الملكية الفكرية أو استغلالها. ويمكن تصنيفهم بشكل عام بصفتهم مستشارين ومديرين وكشافين. </w:t>
      </w:r>
    </w:p>
    <w:p w14:paraId="72DD92D6" w14:textId="464F60F4" w:rsidR="00F749FA" w:rsidRPr="00F30EF3" w:rsidRDefault="00FB0B4B" w:rsidP="00F02664">
      <w:pPr>
        <w:shd w:val="clear" w:color="auto" w:fill="FFFFFF" w:themeFill="background1"/>
        <w:spacing w:after="120" w:line="240" w:lineRule="auto"/>
        <w:ind w:left="432"/>
        <w:jc w:val="both"/>
        <w:rPr>
          <w:rFonts w:cstheme="minorHAnsi"/>
          <w:lang w:val="en-US"/>
        </w:rPr>
      </w:pPr>
      <w:r w:rsidRPr="00F30EF3">
        <w:rPr>
          <w:rFonts w:cstheme="minorHAnsi"/>
          <w:rtl/>
        </w:rPr>
        <w:t>قد تتيح الاستعانة بمصادر خارجية، تتمثل في مقدمي خدمات الملكية الفكرية الخاصين، بعض المزايا من حيث التكلفة، ولكن قد تتضرر المؤسسة في النهاية من عدم قدرتها على بناء قدرتها الكامنة الخاصة بإدارة الملكية الفكرية. وبالإضافة إلى ذلك، ستسعى مثل هذه الشركات الخارجية بالتأكيد إلى "انتقاء" أفضل الاختراعات فقط لاستثمار وقتها فيها. وبما أن العديد من الاختراعات المكشوفة التي تخرجها المؤسسات ليست مناسبة للتسويق، فقد لا تُقدم للعديد من المخترعين خدمة وافية. وإضافة إلى ذلك، توجد العديد من الجوانب المتعلقة بصلة التسويق والترخيص للتكنولوجيا القائمة بين المؤسسة ومخترعيها والمرخص لهم، ولا يستطيع مقدم الخدمة الخارجي دائماً تقدير جميع هذه الصلات.</w:t>
      </w:r>
    </w:p>
    <w:p w14:paraId="5CAA1250" w14:textId="3A080BAF" w:rsidR="005F2C01" w:rsidRPr="00F30EF3" w:rsidRDefault="00560FAF" w:rsidP="00F02664">
      <w:pPr>
        <w:pStyle w:val="ListParagraph"/>
        <w:numPr>
          <w:ilvl w:val="0"/>
          <w:numId w:val="3"/>
        </w:numPr>
        <w:spacing w:after="120" w:line="240" w:lineRule="auto"/>
        <w:ind w:left="432" w:hanging="432"/>
        <w:contextualSpacing w:val="0"/>
        <w:jc w:val="both"/>
        <w:rPr>
          <w:rFonts w:cstheme="minorHAnsi"/>
        </w:rPr>
      </w:pPr>
      <w:r w:rsidRPr="00F30EF3">
        <w:rPr>
          <w:rFonts w:cstheme="minorHAnsi"/>
          <w:b/>
          <w:bCs/>
          <w:rtl/>
        </w:rPr>
        <w:t xml:space="preserve">اتحاد إدارة الملكية الفكرية </w:t>
      </w:r>
      <w:r w:rsidRPr="00F30EF3">
        <w:rPr>
          <w:rFonts w:cstheme="minorHAnsi"/>
          <w:rtl/>
        </w:rPr>
        <w:t>هو مجموعة من المؤسسات التي تتعاون لإنشاء مكتب إدارة ملكية فكرية مشترك وتشغيله.</w:t>
      </w:r>
      <w:r w:rsidRPr="00F30EF3">
        <w:rPr>
          <w:rFonts w:cstheme="minorHAnsi"/>
          <w:b/>
          <w:bCs/>
          <w:rtl/>
        </w:rPr>
        <w:t xml:space="preserve"> </w:t>
      </w:r>
      <w:r w:rsidRPr="00F30EF3">
        <w:rPr>
          <w:rFonts w:cstheme="minorHAnsi"/>
          <w:rtl/>
        </w:rPr>
        <w:t>وقد يكون هذا</w:t>
      </w:r>
      <w:r w:rsidRPr="00F30EF3">
        <w:rPr>
          <w:rFonts w:cstheme="minorHAnsi"/>
          <w:b/>
          <w:bCs/>
          <w:rtl/>
        </w:rPr>
        <w:t xml:space="preserve"> </w:t>
      </w:r>
      <w:r w:rsidRPr="00F30EF3">
        <w:rPr>
          <w:rFonts w:cstheme="minorHAnsi"/>
          <w:rtl/>
        </w:rPr>
        <w:t xml:space="preserve">خياراً قابلاً للتطبيق لبعض المؤسسات التي تستطيع العثور على مؤسسات أخرى في وضع مشابه، ترغب في تجميع الموارد. ومع ذلك، قد يصعُب تنفيذ مثل هذه النماذج. وتتضمن إدارة الملكية الفكرية اللامركزية داخل مؤسسة ما السماح للأقسام أو الكليات أو المراكز المتنوعة بالتعامل مع ملكيتها الفكرية. لذلك، غالباً ما تعاني اتحادات إدارة الملكية الفكرية من نقص في تنفيذ سياسة ملكية فكرية شاملة ومتسقة، غير أنها كانت قد استعانت بها المؤسسات في المراحل الأولى من تنفيذ وظيفة الملكية الفكرية.  </w:t>
      </w:r>
    </w:p>
    <w:p w14:paraId="038D791B" w14:textId="2EF4E26B" w:rsidR="000E0A05" w:rsidRPr="00F30EF3" w:rsidRDefault="00543D28" w:rsidP="00464282">
      <w:pPr>
        <w:pStyle w:val="ListParagraph"/>
        <w:numPr>
          <w:ilvl w:val="0"/>
          <w:numId w:val="3"/>
        </w:numPr>
        <w:spacing w:after="0" w:line="240" w:lineRule="auto"/>
        <w:ind w:left="426" w:hanging="426"/>
        <w:jc w:val="both"/>
        <w:rPr>
          <w:rFonts w:cstheme="minorHAnsi"/>
          <w:rtl/>
        </w:rPr>
      </w:pPr>
      <w:r w:rsidRPr="00F30EF3">
        <w:rPr>
          <w:rFonts w:cstheme="minorHAnsi"/>
          <w:b/>
          <w:bCs/>
          <w:rtl/>
        </w:rPr>
        <w:t xml:space="preserve">المكاتب الحكومية بصفتها مقدمي خدمات ملكية فكرية </w:t>
      </w:r>
      <w:r w:rsidRPr="00F30EF3">
        <w:rPr>
          <w:rFonts w:cstheme="minorHAnsi"/>
          <w:rtl/>
        </w:rPr>
        <w:t>- في بعض الحالات، تولت الحكومات أو المؤسسات الخيرية دور إدارة نقل التكنولوجيا من الجامعات والمؤسسات البحثية إلى القطاعات الصناعية من خلال (1) إنشاء وحدات نقل تكنولوجيا في الإدارات الحكومية مثل المكاتب الوطنية للملكية الفكرية؛ أو (2) إعداد مكاتب إقليمية لنقل التكنولوجيا</w:t>
      </w:r>
      <w:r w:rsidR="00602A7F" w:rsidRPr="00F30EF3">
        <w:rPr>
          <w:rFonts w:cstheme="minorHAnsi"/>
          <w:vertAlign w:val="superscript"/>
          <w:rtl/>
          <w:lang w:val="en-US"/>
        </w:rPr>
        <w:footnoteReference w:id="83"/>
      </w:r>
      <w:r w:rsidRPr="00F30EF3">
        <w:rPr>
          <w:rFonts w:cstheme="minorHAnsi"/>
          <w:rtl/>
        </w:rPr>
        <w:t>. ويجب أن تعمل هذه المكاتب بشكل مشابه</w:t>
      </w:r>
      <w:r w:rsidRPr="00F30EF3">
        <w:rPr>
          <w:rFonts w:cstheme="minorHAnsi"/>
          <w:b/>
          <w:bCs/>
          <w:rtl/>
        </w:rPr>
        <w:t xml:space="preserve"> </w:t>
      </w:r>
      <w:r w:rsidRPr="00F30EF3">
        <w:rPr>
          <w:rFonts w:cstheme="minorHAnsi"/>
          <w:rtl/>
        </w:rPr>
        <w:t>لنموذج المكاتب الداخلية أو الفرعية لإدارة الملكية الفكرية.</w:t>
      </w:r>
      <w:r w:rsidRPr="00F30EF3">
        <w:rPr>
          <w:rFonts w:cstheme="minorHAnsi"/>
          <w:b/>
          <w:bCs/>
          <w:rtl/>
        </w:rPr>
        <w:t xml:space="preserve"> </w:t>
      </w:r>
      <w:r w:rsidRPr="00F30EF3">
        <w:rPr>
          <w:rFonts w:cstheme="minorHAnsi"/>
          <w:rtl/>
        </w:rPr>
        <w:t>ومع ذلك، (أ) من المهم تجنب البيروقراطية المفرطة أو القواعد المتشددة؛ و(ب) تعتبر الملكية المحلية أمراً حيوياً، لذلك يجب أن يكون هناك شخص معين في كل مؤسسة يتم تدريبه ويكون مسؤولاً عن الإجابة عن أي أسئلة تتعلق بمشكلات الملكية الفكرية؛ لفحص عمليات الكشف المحتملة عن الاختراعات وتقديم المشورة بشأنها؛ وأن يكون على تواصل نشط مع الوحدة المركزية.</w:t>
      </w:r>
    </w:p>
    <w:p w14:paraId="656BC5D1" w14:textId="77777777" w:rsidR="00D11E07" w:rsidRPr="00F30EF3" w:rsidRDefault="00D11E07" w:rsidP="00B7519E">
      <w:pPr>
        <w:pStyle w:val="ListParagraph"/>
        <w:spacing w:after="0" w:line="240" w:lineRule="auto"/>
        <w:ind w:left="426"/>
        <w:jc w:val="both"/>
        <w:rPr>
          <w:rFonts w:cstheme="minorHAnsi"/>
          <w:lang w:val="en-US"/>
        </w:rPr>
      </w:pPr>
    </w:p>
    <w:p w14:paraId="7290C7ED" w14:textId="77777777" w:rsidR="00D11E07" w:rsidRPr="00F30EF3" w:rsidRDefault="00D11E07" w:rsidP="00464282">
      <w:pPr>
        <w:pStyle w:val="ListParagraph"/>
        <w:numPr>
          <w:ilvl w:val="0"/>
          <w:numId w:val="3"/>
        </w:numPr>
        <w:spacing w:after="0" w:line="240" w:lineRule="auto"/>
        <w:ind w:left="426" w:hanging="426"/>
        <w:jc w:val="both"/>
        <w:rPr>
          <w:rFonts w:cstheme="minorHAnsi"/>
          <w:rtl/>
        </w:rPr>
      </w:pPr>
      <w:r w:rsidRPr="00F30EF3">
        <w:rPr>
          <w:rFonts w:cstheme="minorHAnsi"/>
          <w:rtl/>
        </w:rPr>
        <w:t xml:space="preserve">وترد أدناه أمثلة على مختلف هياكل مكاتب إدارة الملكية الفكرية في </w:t>
      </w:r>
      <w:hyperlink w:anchor="Box21" w:history="1">
        <w:r w:rsidRPr="00F30EF3">
          <w:rPr>
            <w:rStyle w:val="Hyperlink"/>
            <w:rFonts w:cstheme="minorHAnsi"/>
            <w:rtl/>
          </w:rPr>
          <w:t>الأُطر من 21 إلى 25</w:t>
        </w:r>
      </w:hyperlink>
      <w:r w:rsidRPr="00F30EF3">
        <w:rPr>
          <w:rFonts w:cstheme="minorHAnsi"/>
          <w:rtl/>
        </w:rPr>
        <w:t>.</w:t>
      </w:r>
    </w:p>
    <w:p w14:paraId="7009A775" w14:textId="77777777" w:rsidR="00664E3C" w:rsidRPr="00F30EF3" w:rsidRDefault="00664E3C" w:rsidP="00B7519E">
      <w:pPr>
        <w:spacing w:after="0" w:line="240" w:lineRule="auto"/>
        <w:jc w:val="both"/>
        <w:rPr>
          <w:rFonts w:cstheme="minorHAnsi"/>
          <w:lang w:val="en-US"/>
        </w:rPr>
      </w:pPr>
    </w:p>
    <w:tbl>
      <w:tblPr>
        <w:bidiVisual/>
        <w:tblW w:w="0" w:type="auto"/>
        <w:tblLook w:val="04A0" w:firstRow="1" w:lastRow="0" w:firstColumn="1" w:lastColumn="0" w:noHBand="0" w:noVBand="1"/>
      </w:tblPr>
      <w:tblGrid>
        <w:gridCol w:w="1100"/>
        <w:gridCol w:w="2054"/>
        <w:gridCol w:w="2042"/>
        <w:gridCol w:w="1917"/>
        <w:gridCol w:w="1913"/>
      </w:tblGrid>
      <w:tr w:rsidR="00A45002" w:rsidRPr="00F30EF3" w14:paraId="2F2EAE6A" w14:textId="77777777" w:rsidTr="00B7519E">
        <w:tc>
          <w:tcPr>
            <w:tcW w:w="9242" w:type="dxa"/>
            <w:gridSpan w:val="5"/>
            <w:shd w:val="clear" w:color="auto" w:fill="D9D9D9" w:themeFill="background1" w:themeFillShade="D9"/>
          </w:tcPr>
          <w:p w14:paraId="3D6A398D" w14:textId="093E3E7A" w:rsidR="00A45002" w:rsidRPr="00F30EF3" w:rsidRDefault="00A45002" w:rsidP="000C1792">
            <w:pPr>
              <w:spacing w:after="0" w:line="240" w:lineRule="auto"/>
              <w:jc w:val="both"/>
              <w:rPr>
                <w:rFonts w:cstheme="minorHAnsi"/>
                <w:b/>
                <w:bCs/>
                <w:rtl/>
              </w:rPr>
            </w:pPr>
            <w:bookmarkStart w:id="131" w:name="Box20"/>
            <w:r w:rsidRPr="00F30EF3">
              <w:rPr>
                <w:rFonts w:cstheme="minorHAnsi"/>
                <w:b/>
                <w:bCs/>
                <w:rtl/>
              </w:rPr>
              <w:t xml:space="preserve">الإطار </w:t>
            </w:r>
            <w:bookmarkEnd w:id="131"/>
            <w:r w:rsidR="007875D2" w:rsidRPr="00F30EF3">
              <w:rPr>
                <w:rFonts w:cstheme="minorHAnsi"/>
                <w:b/>
                <w:bCs/>
              </w:rPr>
              <w:t>.20</w:t>
            </w:r>
            <w:r w:rsidRPr="00F30EF3">
              <w:rPr>
                <w:rFonts w:cstheme="minorHAnsi"/>
                <w:b/>
                <w:bCs/>
                <w:rtl/>
              </w:rPr>
              <w:t xml:space="preserve"> نماذج الأعمال الأربعة الرئيسية لمكاتب إدارة الملكية الفكرية</w:t>
            </w:r>
            <w:r w:rsidRPr="00F30EF3">
              <w:rPr>
                <w:rFonts w:cstheme="minorHAnsi"/>
                <w:rtl/>
              </w:rPr>
              <w:t xml:space="preserve"> </w:t>
            </w:r>
          </w:p>
        </w:tc>
      </w:tr>
      <w:tr w:rsidR="008C7862" w:rsidRPr="00F30EF3" w14:paraId="5AF6B669" w14:textId="77777777" w:rsidTr="00AA1A8A">
        <w:tc>
          <w:tcPr>
            <w:tcW w:w="1117" w:type="dxa"/>
            <w:tcBorders>
              <w:bottom w:val="single" w:sz="4" w:space="0" w:color="auto"/>
            </w:tcBorders>
            <w:shd w:val="clear" w:color="auto" w:fill="17365D" w:themeFill="text2" w:themeFillShade="BF"/>
          </w:tcPr>
          <w:p w14:paraId="2CE5EA55" w14:textId="77777777" w:rsidR="004078AC" w:rsidRPr="00F30EF3" w:rsidRDefault="004078AC" w:rsidP="00B7519E">
            <w:pPr>
              <w:jc w:val="center"/>
              <w:rPr>
                <w:rFonts w:cstheme="minorHAnsi"/>
                <w:b/>
                <w:lang w:val="en-US"/>
              </w:rPr>
            </w:pPr>
          </w:p>
        </w:tc>
        <w:tc>
          <w:tcPr>
            <w:tcW w:w="2109" w:type="dxa"/>
            <w:tcBorders>
              <w:bottom w:val="single" w:sz="4" w:space="0" w:color="auto"/>
            </w:tcBorders>
            <w:shd w:val="clear" w:color="auto" w:fill="17365D" w:themeFill="text2" w:themeFillShade="BF"/>
          </w:tcPr>
          <w:p w14:paraId="0B5B7FD8" w14:textId="77777777" w:rsidR="004078AC" w:rsidRPr="00F30EF3" w:rsidRDefault="004078AC" w:rsidP="00B7519E">
            <w:pPr>
              <w:jc w:val="center"/>
              <w:rPr>
                <w:rFonts w:cstheme="minorHAnsi"/>
                <w:b/>
                <w:rtl/>
              </w:rPr>
            </w:pPr>
            <w:r w:rsidRPr="00F30EF3">
              <w:rPr>
                <w:rFonts w:cstheme="minorHAnsi"/>
                <w:b/>
                <w:bCs/>
                <w:rtl/>
              </w:rPr>
              <w:t>مكتب إدارة الملكية الفكرية الداخلي</w:t>
            </w:r>
          </w:p>
        </w:tc>
        <w:tc>
          <w:tcPr>
            <w:tcW w:w="2095" w:type="dxa"/>
            <w:tcBorders>
              <w:bottom w:val="single" w:sz="4" w:space="0" w:color="auto"/>
            </w:tcBorders>
            <w:shd w:val="clear" w:color="auto" w:fill="17365D" w:themeFill="text2" w:themeFillShade="BF"/>
          </w:tcPr>
          <w:p w14:paraId="50444773" w14:textId="77777777" w:rsidR="004078AC" w:rsidRPr="00F30EF3" w:rsidRDefault="004078AC" w:rsidP="00B7519E">
            <w:pPr>
              <w:jc w:val="center"/>
              <w:rPr>
                <w:rFonts w:cstheme="minorHAnsi"/>
                <w:b/>
                <w:rtl/>
              </w:rPr>
            </w:pPr>
            <w:r w:rsidRPr="00F30EF3">
              <w:rPr>
                <w:rFonts w:cstheme="minorHAnsi"/>
                <w:b/>
                <w:bCs/>
                <w:rtl/>
              </w:rPr>
              <w:t>الفرعي</w:t>
            </w:r>
          </w:p>
        </w:tc>
        <w:tc>
          <w:tcPr>
            <w:tcW w:w="1960" w:type="dxa"/>
            <w:tcBorders>
              <w:bottom w:val="single" w:sz="4" w:space="0" w:color="auto"/>
            </w:tcBorders>
            <w:shd w:val="clear" w:color="auto" w:fill="17365D" w:themeFill="text2" w:themeFillShade="BF"/>
          </w:tcPr>
          <w:p w14:paraId="6675F9A4" w14:textId="77777777" w:rsidR="004078AC" w:rsidRPr="00F30EF3" w:rsidRDefault="004078AC" w:rsidP="00B7519E">
            <w:pPr>
              <w:jc w:val="center"/>
              <w:rPr>
                <w:rFonts w:cstheme="minorHAnsi"/>
                <w:b/>
                <w:rtl/>
              </w:rPr>
            </w:pPr>
            <w:r w:rsidRPr="00F30EF3">
              <w:rPr>
                <w:rFonts w:cstheme="minorHAnsi"/>
                <w:b/>
                <w:bCs/>
                <w:rtl/>
              </w:rPr>
              <w:t>الخارجي</w:t>
            </w:r>
          </w:p>
        </w:tc>
        <w:tc>
          <w:tcPr>
            <w:tcW w:w="1961" w:type="dxa"/>
            <w:tcBorders>
              <w:bottom w:val="single" w:sz="4" w:space="0" w:color="auto"/>
            </w:tcBorders>
            <w:shd w:val="clear" w:color="auto" w:fill="17365D" w:themeFill="text2" w:themeFillShade="BF"/>
          </w:tcPr>
          <w:p w14:paraId="56F6F3E0" w14:textId="77777777" w:rsidR="004078AC" w:rsidRPr="00F30EF3" w:rsidRDefault="004078AC" w:rsidP="00B7519E">
            <w:pPr>
              <w:jc w:val="center"/>
              <w:rPr>
                <w:rFonts w:cstheme="minorHAnsi"/>
                <w:b/>
                <w:bCs/>
                <w:rtl/>
              </w:rPr>
            </w:pPr>
            <w:r w:rsidRPr="00F30EF3">
              <w:rPr>
                <w:rFonts w:cstheme="minorHAnsi"/>
                <w:b/>
                <w:bCs/>
                <w:rtl/>
              </w:rPr>
              <w:t>الاتحادي</w:t>
            </w:r>
          </w:p>
        </w:tc>
      </w:tr>
      <w:tr w:rsidR="008C7862" w:rsidRPr="00F30EF3" w14:paraId="55D42844" w14:textId="77777777" w:rsidTr="00AA1A8A">
        <w:tc>
          <w:tcPr>
            <w:tcW w:w="11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5C0B269" w14:textId="77777777" w:rsidR="004078AC" w:rsidRPr="00F30EF3" w:rsidRDefault="004078AC" w:rsidP="004078AC">
            <w:pPr>
              <w:jc w:val="both"/>
              <w:rPr>
                <w:rFonts w:cstheme="minorHAnsi"/>
                <w:b/>
                <w:bCs/>
                <w:rtl/>
              </w:rPr>
            </w:pPr>
            <w:r w:rsidRPr="00F30EF3">
              <w:rPr>
                <w:rFonts w:cstheme="minorHAnsi"/>
                <w:b/>
                <w:bCs/>
                <w:rtl/>
              </w:rPr>
              <w:t>متى؟</w:t>
            </w:r>
          </w:p>
        </w:tc>
        <w:tc>
          <w:tcPr>
            <w:tcW w:w="21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C893EF0" w14:textId="77777777" w:rsidR="004078AC" w:rsidRPr="00F30EF3" w:rsidRDefault="004078AC" w:rsidP="00B7519E">
            <w:pPr>
              <w:rPr>
                <w:rFonts w:cstheme="minorHAnsi"/>
                <w:rtl/>
              </w:rPr>
            </w:pPr>
            <w:r w:rsidRPr="00F30EF3">
              <w:rPr>
                <w:rFonts w:cstheme="minorHAnsi"/>
                <w:rtl/>
              </w:rPr>
              <w:t>عندما تكون احتمالات نقل المعرفة وتسويقها عالية داخل المؤسسة وتسمح الموارد الكافية بإنشائه.</w:t>
            </w:r>
          </w:p>
        </w:tc>
        <w:tc>
          <w:tcPr>
            <w:tcW w:w="20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8403A08" w14:textId="77777777" w:rsidR="004078AC" w:rsidRPr="00F30EF3" w:rsidRDefault="004078AC" w:rsidP="00B7519E">
            <w:pPr>
              <w:rPr>
                <w:rFonts w:cstheme="minorHAnsi"/>
                <w:rtl/>
              </w:rPr>
            </w:pPr>
            <w:r w:rsidRPr="00F30EF3">
              <w:rPr>
                <w:rFonts w:cstheme="minorHAnsi"/>
                <w:rtl/>
              </w:rPr>
              <w:t>عندما تكون الأبحاث والموارد كافيين، لكن الثقافة المؤسسية غير ملائمة لنشاط ريادة الأعمال.</w:t>
            </w:r>
          </w:p>
        </w:tc>
        <w:tc>
          <w:tcPr>
            <w:tcW w:w="19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2FF0B44" w14:textId="77777777" w:rsidR="004078AC" w:rsidRPr="00F30EF3" w:rsidRDefault="004078AC" w:rsidP="00B7519E">
            <w:pPr>
              <w:rPr>
                <w:rFonts w:cstheme="minorHAnsi"/>
                <w:rtl/>
              </w:rPr>
            </w:pPr>
            <w:r w:rsidRPr="00F30EF3">
              <w:rPr>
                <w:rFonts w:cstheme="minorHAnsi"/>
                <w:rtl/>
              </w:rPr>
              <w:t>مناسب خصوصاً عندما تنشئ المؤسسة تكنولوجيا ملائمة لفرص عالية القيمة تدر ربحاً.</w:t>
            </w:r>
          </w:p>
        </w:tc>
        <w:tc>
          <w:tcPr>
            <w:tcW w:w="196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D5FF8AF" w14:textId="77777777" w:rsidR="004078AC" w:rsidRPr="00F30EF3" w:rsidRDefault="008C7862" w:rsidP="00B7519E">
            <w:pPr>
              <w:rPr>
                <w:rFonts w:cstheme="minorHAnsi"/>
                <w:rtl/>
              </w:rPr>
            </w:pPr>
            <w:r w:rsidRPr="00F30EF3">
              <w:rPr>
                <w:rFonts w:cstheme="minorHAnsi"/>
                <w:rtl/>
              </w:rPr>
              <w:t>عندما تفتقر المؤسسة إلى الموارد والحد الأدنى اللازم (القاعدة البحثية) ولكن الثقافة المؤسسية ملائمة لنشاط ريادة الأعمال.</w:t>
            </w:r>
          </w:p>
        </w:tc>
      </w:tr>
      <w:tr w:rsidR="008C7862" w:rsidRPr="00F30EF3" w14:paraId="06B54A11" w14:textId="77777777" w:rsidTr="00AA1A8A">
        <w:tc>
          <w:tcPr>
            <w:tcW w:w="11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19989C" w14:textId="77777777" w:rsidR="004078AC" w:rsidRPr="00F30EF3" w:rsidRDefault="008C7862" w:rsidP="004078AC">
            <w:pPr>
              <w:jc w:val="both"/>
              <w:rPr>
                <w:rFonts w:cstheme="minorHAnsi"/>
                <w:b/>
                <w:bCs/>
                <w:rtl/>
              </w:rPr>
            </w:pPr>
            <w:r w:rsidRPr="00F30EF3">
              <w:rPr>
                <w:rFonts w:cstheme="minorHAnsi"/>
                <w:b/>
                <w:bCs/>
                <w:rtl/>
              </w:rPr>
              <w:t>المنافع الرئيسية</w:t>
            </w:r>
          </w:p>
        </w:tc>
        <w:tc>
          <w:tcPr>
            <w:tcW w:w="21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0085B1" w14:textId="77777777" w:rsidR="004078AC" w:rsidRPr="00F30EF3" w:rsidRDefault="008C7862" w:rsidP="009D4A54">
            <w:pPr>
              <w:pStyle w:val="ListParagraph"/>
              <w:numPr>
                <w:ilvl w:val="0"/>
                <w:numId w:val="96"/>
              </w:numPr>
              <w:ind w:left="175" w:hanging="175"/>
              <w:rPr>
                <w:rFonts w:cstheme="minorHAnsi"/>
                <w:rtl/>
              </w:rPr>
            </w:pPr>
            <w:r w:rsidRPr="00F30EF3">
              <w:rPr>
                <w:rFonts w:cstheme="minorHAnsi"/>
                <w:rtl/>
              </w:rPr>
              <w:t>التوافق مع الأهداف المؤسسية.</w:t>
            </w:r>
          </w:p>
          <w:p w14:paraId="7B15BC27" w14:textId="77777777" w:rsidR="008C7862" w:rsidRPr="00F30EF3" w:rsidRDefault="008C7862" w:rsidP="009D4A54">
            <w:pPr>
              <w:pStyle w:val="ListParagraph"/>
              <w:numPr>
                <w:ilvl w:val="0"/>
                <w:numId w:val="96"/>
              </w:numPr>
              <w:ind w:left="175" w:hanging="175"/>
              <w:rPr>
                <w:rFonts w:cstheme="minorHAnsi"/>
                <w:rtl/>
              </w:rPr>
            </w:pPr>
            <w:r w:rsidRPr="00F30EF3">
              <w:rPr>
                <w:rFonts w:cstheme="minorHAnsi"/>
                <w:rtl/>
              </w:rPr>
              <w:t>إيرادات تتحصل عليها المؤسسة.</w:t>
            </w:r>
          </w:p>
        </w:tc>
        <w:tc>
          <w:tcPr>
            <w:tcW w:w="20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E010BE" w14:textId="77777777" w:rsidR="008C7862" w:rsidRPr="00F30EF3" w:rsidRDefault="008C7862" w:rsidP="009D4A54">
            <w:pPr>
              <w:pStyle w:val="ListParagraph"/>
              <w:numPr>
                <w:ilvl w:val="0"/>
                <w:numId w:val="96"/>
              </w:numPr>
              <w:ind w:left="175" w:hanging="175"/>
              <w:rPr>
                <w:rFonts w:cstheme="minorHAnsi"/>
                <w:rtl/>
              </w:rPr>
            </w:pPr>
            <w:r w:rsidRPr="00F30EF3">
              <w:rPr>
                <w:rFonts w:cstheme="minorHAnsi"/>
                <w:rtl/>
              </w:rPr>
              <w:t>قد يشجع على تبني رؤية إيجابية لنقل التكنولوجيا ويُظهر الجدية.</w:t>
            </w:r>
          </w:p>
          <w:p w14:paraId="2DEF0425" w14:textId="77777777" w:rsidR="008C7862" w:rsidRPr="00F30EF3" w:rsidRDefault="008C7862" w:rsidP="009D4A54">
            <w:pPr>
              <w:pStyle w:val="ListParagraph"/>
              <w:numPr>
                <w:ilvl w:val="0"/>
                <w:numId w:val="96"/>
              </w:numPr>
              <w:ind w:left="175" w:hanging="175"/>
              <w:rPr>
                <w:rFonts w:cstheme="minorHAnsi"/>
                <w:rtl/>
              </w:rPr>
            </w:pPr>
            <w:r w:rsidRPr="00F30EF3">
              <w:rPr>
                <w:rFonts w:cstheme="minorHAnsi"/>
                <w:rtl/>
              </w:rPr>
              <w:lastRenderedPageBreak/>
              <w:t xml:space="preserve">المزيد من المرونة التشغيلية. </w:t>
            </w:r>
          </w:p>
          <w:p w14:paraId="457EBEFB" w14:textId="77777777" w:rsidR="004078AC" w:rsidRPr="00F30EF3" w:rsidRDefault="008C7862" w:rsidP="009D4A54">
            <w:pPr>
              <w:pStyle w:val="ListParagraph"/>
              <w:numPr>
                <w:ilvl w:val="0"/>
                <w:numId w:val="96"/>
              </w:numPr>
              <w:ind w:left="175" w:hanging="175"/>
              <w:rPr>
                <w:rFonts w:cstheme="minorHAnsi"/>
                <w:rtl/>
              </w:rPr>
            </w:pPr>
            <w:r w:rsidRPr="00F30EF3">
              <w:rPr>
                <w:rFonts w:cstheme="minorHAnsi"/>
                <w:rtl/>
              </w:rPr>
              <w:t xml:space="preserve">القدرة على هيكلة حزم مكافآت الموظفين. </w:t>
            </w:r>
          </w:p>
        </w:tc>
        <w:tc>
          <w:tcPr>
            <w:tcW w:w="1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717E39" w14:textId="77777777" w:rsidR="008C7862" w:rsidRPr="00F30EF3" w:rsidRDefault="008C7862" w:rsidP="009D4A54">
            <w:pPr>
              <w:pStyle w:val="ListParagraph"/>
              <w:numPr>
                <w:ilvl w:val="0"/>
                <w:numId w:val="96"/>
              </w:numPr>
              <w:ind w:left="175" w:hanging="175"/>
              <w:rPr>
                <w:rFonts w:cstheme="minorHAnsi"/>
                <w:rtl/>
              </w:rPr>
            </w:pPr>
            <w:r w:rsidRPr="00F30EF3">
              <w:rPr>
                <w:rFonts w:cstheme="minorHAnsi"/>
                <w:rtl/>
              </w:rPr>
              <w:lastRenderedPageBreak/>
              <w:t>تقليل الاستثمارات والمخاطر على المؤسسة.</w:t>
            </w:r>
          </w:p>
          <w:p w14:paraId="5F041EC8" w14:textId="77777777" w:rsidR="008C7862" w:rsidRPr="00F30EF3" w:rsidRDefault="008C7862" w:rsidP="009D4A54">
            <w:pPr>
              <w:pStyle w:val="ListParagraph"/>
              <w:numPr>
                <w:ilvl w:val="0"/>
                <w:numId w:val="96"/>
              </w:numPr>
              <w:ind w:left="175" w:hanging="175"/>
              <w:rPr>
                <w:rFonts w:cstheme="minorHAnsi"/>
                <w:rtl/>
              </w:rPr>
            </w:pPr>
            <w:r w:rsidRPr="00F30EF3">
              <w:rPr>
                <w:rFonts w:cstheme="minorHAnsi"/>
                <w:rtl/>
              </w:rPr>
              <w:t>المزيد من المرونة التشغيلية.</w:t>
            </w:r>
          </w:p>
          <w:p w14:paraId="3C1DC2D6" w14:textId="77777777" w:rsidR="004078AC" w:rsidRPr="00F30EF3" w:rsidRDefault="008C7862" w:rsidP="00AA1A8A">
            <w:pPr>
              <w:pStyle w:val="ListParagraph"/>
              <w:numPr>
                <w:ilvl w:val="0"/>
                <w:numId w:val="96"/>
              </w:numPr>
              <w:ind w:left="175" w:hanging="175"/>
              <w:rPr>
                <w:rFonts w:cstheme="minorHAnsi"/>
                <w:rtl/>
              </w:rPr>
            </w:pPr>
            <w:r w:rsidRPr="00F30EF3">
              <w:rPr>
                <w:rFonts w:cstheme="minorHAnsi"/>
                <w:rtl/>
              </w:rPr>
              <w:lastRenderedPageBreak/>
              <w:t>القدرة على هيكلة حزم مكافآت الموظفين.</w:t>
            </w:r>
          </w:p>
        </w:tc>
        <w:tc>
          <w:tcPr>
            <w:tcW w:w="19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C85FF6" w14:textId="77777777" w:rsidR="008C7862" w:rsidRPr="00F30EF3" w:rsidRDefault="008C7862" w:rsidP="009D4A54">
            <w:pPr>
              <w:pStyle w:val="ListParagraph"/>
              <w:numPr>
                <w:ilvl w:val="0"/>
                <w:numId w:val="96"/>
              </w:numPr>
              <w:ind w:left="175" w:hanging="175"/>
              <w:rPr>
                <w:rFonts w:cstheme="minorHAnsi"/>
                <w:rtl/>
              </w:rPr>
            </w:pPr>
            <w:r w:rsidRPr="00F30EF3">
              <w:rPr>
                <w:rFonts w:cstheme="minorHAnsi"/>
                <w:rtl/>
              </w:rPr>
              <w:lastRenderedPageBreak/>
              <w:t>تقاسم التكاليف ومشاركة الخبرات.</w:t>
            </w:r>
          </w:p>
          <w:p w14:paraId="0E164081" w14:textId="77777777" w:rsidR="004078AC" w:rsidRPr="00F30EF3" w:rsidRDefault="004078AC" w:rsidP="004078AC">
            <w:pPr>
              <w:jc w:val="both"/>
              <w:rPr>
                <w:rFonts w:cstheme="minorHAnsi"/>
                <w:lang w:val="en-US"/>
              </w:rPr>
            </w:pPr>
          </w:p>
        </w:tc>
      </w:tr>
      <w:tr w:rsidR="008C7862" w:rsidRPr="00F30EF3" w14:paraId="62AE6140" w14:textId="77777777" w:rsidTr="00AA1A8A">
        <w:tc>
          <w:tcPr>
            <w:tcW w:w="11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3E7204D" w14:textId="77777777" w:rsidR="008C7862" w:rsidRPr="00F30EF3" w:rsidRDefault="008C7862" w:rsidP="004078AC">
            <w:pPr>
              <w:jc w:val="both"/>
              <w:rPr>
                <w:rFonts w:cstheme="minorHAnsi"/>
                <w:b/>
                <w:bCs/>
                <w:rtl/>
              </w:rPr>
            </w:pPr>
            <w:r w:rsidRPr="00F30EF3">
              <w:rPr>
                <w:rFonts w:cstheme="minorHAnsi"/>
                <w:b/>
                <w:bCs/>
                <w:rtl/>
              </w:rPr>
              <w:t>العيوب</w:t>
            </w:r>
          </w:p>
        </w:tc>
        <w:tc>
          <w:tcPr>
            <w:tcW w:w="21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4CF17AC" w14:textId="77777777" w:rsidR="008C7862" w:rsidRPr="00F30EF3" w:rsidRDefault="008C7862" w:rsidP="009D4A54">
            <w:pPr>
              <w:pStyle w:val="ListParagraph"/>
              <w:numPr>
                <w:ilvl w:val="0"/>
                <w:numId w:val="96"/>
              </w:numPr>
              <w:ind w:left="175" w:hanging="175"/>
              <w:rPr>
                <w:rFonts w:cstheme="minorHAnsi"/>
                <w:rtl/>
              </w:rPr>
            </w:pPr>
            <w:r w:rsidRPr="00F30EF3">
              <w:rPr>
                <w:rFonts w:cstheme="minorHAnsi"/>
                <w:rtl/>
              </w:rPr>
              <w:t>متطلبات استثمارية عالية.</w:t>
            </w:r>
          </w:p>
        </w:tc>
        <w:tc>
          <w:tcPr>
            <w:tcW w:w="20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7CBD1F7" w14:textId="77777777" w:rsidR="008C7862" w:rsidRPr="00F30EF3" w:rsidRDefault="008C7862" w:rsidP="009D4A54">
            <w:pPr>
              <w:pStyle w:val="ListParagraph"/>
              <w:numPr>
                <w:ilvl w:val="0"/>
                <w:numId w:val="96"/>
              </w:numPr>
              <w:ind w:left="175" w:hanging="175"/>
              <w:rPr>
                <w:rFonts w:cstheme="minorHAnsi"/>
                <w:rtl/>
              </w:rPr>
            </w:pPr>
            <w:r w:rsidRPr="00F30EF3">
              <w:rPr>
                <w:rFonts w:cstheme="minorHAnsi"/>
                <w:rtl/>
              </w:rPr>
              <w:t xml:space="preserve"> عدم التوافق مع الأهداف المؤسسية</w:t>
            </w:r>
          </w:p>
          <w:p w14:paraId="0142B837" w14:textId="77777777" w:rsidR="008C7862" w:rsidRPr="00F30EF3" w:rsidRDefault="008C7862" w:rsidP="009D4A54">
            <w:pPr>
              <w:pStyle w:val="ListParagraph"/>
              <w:numPr>
                <w:ilvl w:val="0"/>
                <w:numId w:val="96"/>
              </w:numPr>
              <w:ind w:left="176" w:hanging="141"/>
              <w:jc w:val="both"/>
              <w:rPr>
                <w:rFonts w:cstheme="minorHAnsi"/>
                <w:rtl/>
              </w:rPr>
            </w:pPr>
            <w:r w:rsidRPr="00F30EF3">
              <w:rPr>
                <w:rFonts w:cstheme="minorHAnsi"/>
                <w:rtl/>
              </w:rPr>
              <w:t>عدم الاستجابة للقيود التي تفرضها سياسة المؤسسة مثل النشر أو تضارب المصالح.</w:t>
            </w:r>
          </w:p>
        </w:tc>
        <w:tc>
          <w:tcPr>
            <w:tcW w:w="19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7A1D465" w14:textId="77777777" w:rsidR="008C7862" w:rsidRPr="00F30EF3" w:rsidRDefault="008C7862" w:rsidP="009D4A54">
            <w:pPr>
              <w:pStyle w:val="ListParagraph"/>
              <w:numPr>
                <w:ilvl w:val="0"/>
                <w:numId w:val="96"/>
              </w:numPr>
              <w:ind w:left="175" w:hanging="175"/>
              <w:rPr>
                <w:rFonts w:cstheme="minorHAnsi"/>
                <w:rtl/>
              </w:rPr>
            </w:pPr>
            <w:r w:rsidRPr="00F30EF3">
              <w:rPr>
                <w:rFonts w:cstheme="minorHAnsi"/>
                <w:rtl/>
              </w:rPr>
              <w:t>التكاليف العامة (الرسوم) تقلل من إيرادات المؤسسة.</w:t>
            </w:r>
          </w:p>
          <w:p w14:paraId="165E0C4C" w14:textId="77777777" w:rsidR="008C7862" w:rsidRPr="00F30EF3" w:rsidRDefault="008C7862" w:rsidP="00AA1A8A">
            <w:pPr>
              <w:pStyle w:val="ListParagraph"/>
              <w:numPr>
                <w:ilvl w:val="0"/>
                <w:numId w:val="96"/>
              </w:numPr>
              <w:ind w:left="175" w:hanging="175"/>
              <w:rPr>
                <w:rFonts w:cstheme="minorHAnsi"/>
                <w:rtl/>
              </w:rPr>
            </w:pPr>
            <w:r w:rsidRPr="00F30EF3">
              <w:rPr>
                <w:rFonts w:cstheme="minorHAnsi"/>
                <w:rtl/>
              </w:rPr>
              <w:t>أقل توجهاً نحو نقل المعرفة من أجل الصالح العام الأوسع نطاقاً.</w:t>
            </w:r>
          </w:p>
        </w:tc>
        <w:tc>
          <w:tcPr>
            <w:tcW w:w="196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10A8A50" w14:textId="77777777" w:rsidR="00BC777F" w:rsidRPr="00F30EF3" w:rsidRDefault="00BC777F" w:rsidP="009D4A54">
            <w:pPr>
              <w:pStyle w:val="ListParagraph"/>
              <w:numPr>
                <w:ilvl w:val="0"/>
                <w:numId w:val="96"/>
              </w:numPr>
              <w:ind w:left="175" w:hanging="175"/>
              <w:rPr>
                <w:rFonts w:cstheme="minorHAnsi"/>
                <w:rtl/>
              </w:rPr>
            </w:pPr>
            <w:r w:rsidRPr="00F30EF3">
              <w:rPr>
                <w:rFonts w:cstheme="minorHAnsi"/>
                <w:rtl/>
              </w:rPr>
              <w:t>اشتراط الإجراءات والاتفاقات المشتركة بشأن تقاسم الإيرادات التي غالباً ما تتسم بالصعوبة.</w:t>
            </w:r>
          </w:p>
          <w:p w14:paraId="7C68FC92" w14:textId="77777777" w:rsidR="008C7862" w:rsidRPr="00F30EF3" w:rsidRDefault="008C7862" w:rsidP="004078AC">
            <w:pPr>
              <w:jc w:val="both"/>
              <w:rPr>
                <w:rFonts w:cstheme="minorHAnsi"/>
                <w:lang w:val="en-US"/>
              </w:rPr>
            </w:pPr>
          </w:p>
        </w:tc>
      </w:tr>
      <w:tr w:rsidR="00BC777F" w:rsidRPr="00F30EF3" w14:paraId="62B1C9EB" w14:textId="77777777" w:rsidTr="00AA1A8A">
        <w:tc>
          <w:tcPr>
            <w:tcW w:w="9242" w:type="dxa"/>
            <w:gridSpan w:val="5"/>
            <w:tcBorders>
              <w:top w:val="single" w:sz="4" w:space="0" w:color="auto"/>
            </w:tcBorders>
          </w:tcPr>
          <w:p w14:paraId="56D5C9F6" w14:textId="77777777" w:rsidR="00BC777F" w:rsidRPr="00F30EF3" w:rsidRDefault="00BC777F" w:rsidP="00732CFF">
            <w:pPr>
              <w:autoSpaceDE w:val="0"/>
              <w:autoSpaceDN w:val="0"/>
              <w:adjustRightInd w:val="0"/>
              <w:spacing w:after="120"/>
              <w:rPr>
                <w:rFonts w:cstheme="minorHAnsi"/>
                <w:i/>
                <w:iCs/>
                <w:rtl/>
              </w:rPr>
            </w:pPr>
            <w:r w:rsidRPr="00F30EF3">
              <w:rPr>
                <w:rFonts w:cstheme="minorHAnsi"/>
                <w:i/>
                <w:iCs/>
                <w:rtl/>
              </w:rPr>
              <w:t xml:space="preserve">المصدر: بينيت وراجالاهتي وبابي كريستيانسن، </w:t>
            </w:r>
            <w:hyperlink r:id="rId59" w:history="1">
              <w:r w:rsidRPr="00F30EF3">
                <w:rPr>
                  <w:rStyle w:val="Hyperlink"/>
                  <w:rFonts w:cstheme="minorHAnsi"/>
                  <w:i/>
                  <w:iCs/>
                  <w:rtl/>
                </w:rPr>
                <w:t>مكاتب نقل التكنولوجيا:</w:t>
              </w:r>
            </w:hyperlink>
            <w:hyperlink r:id="rId60" w:history="1">
              <w:r w:rsidRPr="00F30EF3">
                <w:rPr>
                  <w:rStyle w:val="Hyperlink"/>
                  <w:rFonts w:cstheme="minorHAnsi"/>
                  <w:i/>
                  <w:iCs/>
                  <w:rtl/>
                </w:rPr>
                <w:t xml:space="preserve"> تيسير حماية الملكية الفكرية للابتكار الزراعي</w:t>
              </w:r>
              <w:r w:rsidR="00A45002" w:rsidRPr="00F30EF3">
                <w:rPr>
                  <w:rStyle w:val="FootnoteReference"/>
                  <w:rFonts w:cstheme="minorHAnsi"/>
                  <w:i/>
                  <w:iCs/>
                  <w:rtl/>
                  <w:lang w:val="en-US"/>
                </w:rPr>
                <w:footnoteReference w:id="84"/>
              </w:r>
            </w:hyperlink>
          </w:p>
        </w:tc>
      </w:tr>
    </w:tbl>
    <w:p w14:paraId="599C1742" w14:textId="77777777" w:rsidR="00042A41" w:rsidRPr="00F30EF3" w:rsidRDefault="00042A41" w:rsidP="00732CFF">
      <w:pPr>
        <w:pStyle w:val="Heading3"/>
        <w:spacing w:before="120" w:after="120"/>
        <w:rPr>
          <w:rFonts w:asciiTheme="minorHAnsi" w:hAnsiTheme="minorHAnsi" w:cstheme="minorHAnsi"/>
          <w:sz w:val="24"/>
          <w:szCs w:val="24"/>
          <w:rtl/>
        </w:rPr>
      </w:pPr>
      <w:bookmarkStart w:id="132" w:name="_Toc516160056"/>
      <w:bookmarkStart w:id="133" w:name="_Toc516219399"/>
      <w:bookmarkStart w:id="134" w:name="_Toc516496040"/>
      <w:bookmarkStart w:id="135" w:name="_Toc516829412"/>
      <w:r w:rsidRPr="00F30EF3">
        <w:rPr>
          <w:rFonts w:asciiTheme="minorHAnsi" w:hAnsiTheme="minorHAnsi" w:cstheme="minorHAnsi"/>
          <w:sz w:val="24"/>
          <w:szCs w:val="24"/>
          <w:rtl/>
        </w:rPr>
        <w:t>مكتب إدارة الملكية الفكرية - كيف تجذب الموظفين الموهوبين؟</w:t>
      </w:r>
      <w:bookmarkEnd w:id="132"/>
      <w:bookmarkEnd w:id="133"/>
      <w:bookmarkEnd w:id="134"/>
      <w:bookmarkEnd w:id="135"/>
    </w:p>
    <w:p w14:paraId="5435257A" w14:textId="77777777" w:rsidR="001729EC" w:rsidRPr="00F30EF3" w:rsidRDefault="001729EC" w:rsidP="00732CFF">
      <w:pPr>
        <w:pStyle w:val="ListParagraph"/>
        <w:numPr>
          <w:ilvl w:val="0"/>
          <w:numId w:val="3"/>
        </w:numPr>
        <w:spacing w:after="120" w:line="240" w:lineRule="auto"/>
        <w:ind w:left="432" w:hanging="432"/>
        <w:contextualSpacing w:val="0"/>
        <w:jc w:val="both"/>
        <w:rPr>
          <w:rFonts w:cstheme="minorHAnsi"/>
          <w:rtl/>
        </w:rPr>
      </w:pPr>
      <w:r w:rsidRPr="00F30EF3">
        <w:rPr>
          <w:rFonts w:cstheme="minorHAnsi"/>
          <w:rtl/>
        </w:rPr>
        <w:t>إن العنصر الأساسي لنجاح إدارة الملكية الفكرية والابتكار هو الأشخاص. وليس من السهل دائماً العثور على أشخاص موهوبين يفهمون اللغتين الأكاديمية والصناعية وقادرين على إبرام اتفاقات تلبي احتياجات المؤسسة والباحثين والصناعة. كما يجب أن يقود مكتب إدارة الملكية الفكرية ويشكّله أشخاص لديهم خبرة مكتسبة من العمل في كلا القطاعين، ودراية عملية بخصوص إدارة الأعمال وقدرة على كسب ثقة الباحثين الأكاديميين.</w:t>
      </w:r>
    </w:p>
    <w:p w14:paraId="0C423D7F" w14:textId="77777777" w:rsidR="004A5841" w:rsidRPr="00F30EF3" w:rsidRDefault="00042A41" w:rsidP="00464282">
      <w:pPr>
        <w:pStyle w:val="ListParagraph"/>
        <w:numPr>
          <w:ilvl w:val="0"/>
          <w:numId w:val="3"/>
        </w:numPr>
        <w:spacing w:after="0" w:line="240" w:lineRule="auto"/>
        <w:ind w:left="426" w:hanging="426"/>
        <w:jc w:val="both"/>
        <w:rPr>
          <w:rFonts w:cstheme="minorHAnsi"/>
          <w:rtl/>
        </w:rPr>
      </w:pPr>
      <w:r w:rsidRPr="00F30EF3">
        <w:rPr>
          <w:rFonts w:cstheme="minorHAnsi"/>
          <w:b/>
          <w:bCs/>
          <w:rtl/>
        </w:rPr>
        <w:t>المهارات الأساسية للموظفين العاملين في مكاتب إدارة الملكية الفكرية</w:t>
      </w:r>
      <w:r w:rsidRPr="00F30EF3">
        <w:rPr>
          <w:rFonts w:cstheme="minorHAnsi"/>
          <w:rtl/>
        </w:rPr>
        <w:t>. نقل التكنولوجيا هو تحدٍ يعتمد على المهارات. ويتطلب الأمر أشخاصاً:</w:t>
      </w:r>
    </w:p>
    <w:p w14:paraId="643DF1F3" w14:textId="77777777" w:rsidR="004A5841" w:rsidRPr="00F30EF3" w:rsidRDefault="004A5841" w:rsidP="009D4A54">
      <w:pPr>
        <w:pStyle w:val="CommentText"/>
        <w:numPr>
          <w:ilvl w:val="0"/>
          <w:numId w:val="63"/>
        </w:numPr>
        <w:spacing w:after="0"/>
        <w:ind w:left="0" w:firstLine="425"/>
        <w:jc w:val="both"/>
        <w:rPr>
          <w:rFonts w:cstheme="minorHAnsi"/>
          <w:sz w:val="22"/>
          <w:szCs w:val="22"/>
          <w:rtl/>
        </w:rPr>
      </w:pPr>
      <w:r w:rsidRPr="00F30EF3">
        <w:rPr>
          <w:rFonts w:cstheme="minorHAnsi"/>
          <w:sz w:val="22"/>
          <w:szCs w:val="22"/>
          <w:rtl/>
        </w:rPr>
        <w:t>مدربين تدريباً تقنياً ومتمتعين بخبرة في الأعمال؛</w:t>
      </w:r>
      <w:r w:rsidR="00FF4194" w:rsidRPr="00F30EF3">
        <w:rPr>
          <w:rStyle w:val="FootnoteReference"/>
          <w:rFonts w:cstheme="minorHAnsi"/>
          <w:sz w:val="22"/>
          <w:szCs w:val="22"/>
          <w:rtl/>
          <w:lang w:val="en-US" w:eastAsia="en-ZA"/>
        </w:rPr>
        <w:footnoteReference w:id="85"/>
      </w:r>
      <w:r w:rsidRPr="00F30EF3">
        <w:rPr>
          <w:rFonts w:cstheme="minorHAnsi"/>
          <w:sz w:val="22"/>
          <w:szCs w:val="22"/>
          <w:rtl/>
        </w:rPr>
        <w:t xml:space="preserve"> </w:t>
      </w:r>
    </w:p>
    <w:p w14:paraId="3777D5B0" w14:textId="77777777" w:rsidR="004A5841" w:rsidRPr="00F30EF3" w:rsidRDefault="004A5841" w:rsidP="009D4A54">
      <w:pPr>
        <w:pStyle w:val="CommentText"/>
        <w:numPr>
          <w:ilvl w:val="0"/>
          <w:numId w:val="63"/>
        </w:numPr>
        <w:spacing w:after="0"/>
        <w:ind w:left="0" w:firstLine="425"/>
        <w:jc w:val="both"/>
        <w:rPr>
          <w:rFonts w:cstheme="minorHAnsi"/>
          <w:sz w:val="22"/>
          <w:szCs w:val="22"/>
          <w:rtl/>
        </w:rPr>
      </w:pPr>
      <w:r w:rsidRPr="00F30EF3">
        <w:rPr>
          <w:rFonts w:cstheme="minorHAnsi"/>
          <w:sz w:val="22"/>
          <w:szCs w:val="22"/>
          <w:rtl/>
        </w:rPr>
        <w:t>وقادرين على كسب احترام الباحثين والشركاء الصناعيين؛</w:t>
      </w:r>
    </w:p>
    <w:p w14:paraId="0B4D95AF" w14:textId="77777777" w:rsidR="004A5841" w:rsidRPr="00F30EF3" w:rsidRDefault="004A5841" w:rsidP="009D4A54">
      <w:pPr>
        <w:pStyle w:val="CommentText"/>
        <w:numPr>
          <w:ilvl w:val="0"/>
          <w:numId w:val="63"/>
        </w:numPr>
        <w:spacing w:after="0"/>
        <w:ind w:left="0" w:firstLine="425"/>
        <w:jc w:val="both"/>
        <w:rPr>
          <w:rFonts w:cstheme="minorHAnsi"/>
          <w:sz w:val="22"/>
          <w:szCs w:val="22"/>
          <w:rtl/>
        </w:rPr>
      </w:pPr>
      <w:r w:rsidRPr="00F30EF3">
        <w:rPr>
          <w:rFonts w:cstheme="minorHAnsi"/>
          <w:sz w:val="22"/>
          <w:szCs w:val="22"/>
          <w:rtl/>
        </w:rPr>
        <w:t>وقادرين على التعامل مع أوجه التعقيد؛</w:t>
      </w:r>
    </w:p>
    <w:p w14:paraId="3A741EC2" w14:textId="77777777" w:rsidR="004A5841" w:rsidRPr="00F30EF3" w:rsidRDefault="004A5841" w:rsidP="009D4A54">
      <w:pPr>
        <w:pStyle w:val="CommentText"/>
        <w:numPr>
          <w:ilvl w:val="0"/>
          <w:numId w:val="63"/>
        </w:numPr>
        <w:spacing w:after="0"/>
        <w:ind w:left="0" w:firstLine="425"/>
        <w:jc w:val="both"/>
        <w:rPr>
          <w:rFonts w:cstheme="minorHAnsi"/>
          <w:sz w:val="22"/>
          <w:szCs w:val="22"/>
          <w:rtl/>
        </w:rPr>
      </w:pPr>
      <w:r w:rsidRPr="00F30EF3">
        <w:rPr>
          <w:rFonts w:cstheme="minorHAnsi"/>
          <w:sz w:val="22"/>
          <w:szCs w:val="22"/>
          <w:rtl/>
        </w:rPr>
        <w:t>وجيدين في التواصل؛</w:t>
      </w:r>
    </w:p>
    <w:p w14:paraId="13CCDD8F" w14:textId="77777777" w:rsidR="004A5841" w:rsidRPr="00F30EF3" w:rsidRDefault="004A5841" w:rsidP="009D4A54">
      <w:pPr>
        <w:pStyle w:val="CommentText"/>
        <w:numPr>
          <w:ilvl w:val="0"/>
          <w:numId w:val="63"/>
        </w:numPr>
        <w:spacing w:after="0"/>
        <w:ind w:left="0" w:firstLine="425"/>
        <w:jc w:val="both"/>
        <w:rPr>
          <w:rFonts w:cstheme="minorHAnsi"/>
          <w:sz w:val="22"/>
          <w:szCs w:val="22"/>
          <w:rtl/>
        </w:rPr>
      </w:pPr>
      <w:r w:rsidRPr="00F30EF3">
        <w:rPr>
          <w:rFonts w:cstheme="minorHAnsi"/>
          <w:sz w:val="22"/>
          <w:szCs w:val="22"/>
          <w:rtl/>
        </w:rPr>
        <w:t>جيدين في التفاوض؛</w:t>
      </w:r>
    </w:p>
    <w:p w14:paraId="355C6BB3" w14:textId="77777777" w:rsidR="004A5841" w:rsidRPr="00F30EF3" w:rsidRDefault="004A5841" w:rsidP="009D4A54">
      <w:pPr>
        <w:pStyle w:val="CommentText"/>
        <w:numPr>
          <w:ilvl w:val="0"/>
          <w:numId w:val="63"/>
        </w:numPr>
        <w:spacing w:after="0"/>
        <w:ind w:left="0" w:firstLine="425"/>
        <w:jc w:val="both"/>
        <w:rPr>
          <w:rFonts w:cstheme="minorHAnsi"/>
          <w:sz w:val="22"/>
          <w:szCs w:val="22"/>
          <w:rtl/>
        </w:rPr>
      </w:pPr>
      <w:r w:rsidRPr="00F30EF3">
        <w:rPr>
          <w:rFonts w:cstheme="minorHAnsi"/>
          <w:sz w:val="22"/>
          <w:szCs w:val="22"/>
          <w:rtl/>
        </w:rPr>
        <w:t>وملتزمين بالرسالة.</w:t>
      </w:r>
      <w:r w:rsidRPr="00F30EF3">
        <w:rPr>
          <w:rStyle w:val="FootnoteReference"/>
          <w:rFonts w:cstheme="minorHAnsi"/>
          <w:sz w:val="22"/>
          <w:szCs w:val="22"/>
          <w:rtl/>
          <w:lang w:val="en-US" w:eastAsia="en-ZA"/>
        </w:rPr>
        <w:footnoteReference w:id="86"/>
      </w:r>
    </w:p>
    <w:p w14:paraId="359C8712" w14:textId="77777777" w:rsidR="00C83736" w:rsidRPr="00F30EF3" w:rsidRDefault="00042A41" w:rsidP="00732CFF">
      <w:pPr>
        <w:pStyle w:val="ListParagraph"/>
        <w:numPr>
          <w:ilvl w:val="0"/>
          <w:numId w:val="3"/>
        </w:numPr>
        <w:spacing w:after="120" w:line="240" w:lineRule="auto"/>
        <w:ind w:left="426" w:hanging="426"/>
        <w:contextualSpacing w:val="0"/>
        <w:jc w:val="both"/>
        <w:rPr>
          <w:rFonts w:cstheme="minorHAnsi"/>
          <w:rtl/>
        </w:rPr>
      </w:pPr>
      <w:r w:rsidRPr="00F30EF3">
        <w:rPr>
          <w:rFonts w:cstheme="minorHAnsi"/>
          <w:b/>
          <w:bCs/>
          <w:rtl/>
        </w:rPr>
        <w:t>التواصل</w:t>
      </w:r>
      <w:r w:rsidRPr="00F30EF3">
        <w:rPr>
          <w:rFonts w:cstheme="minorHAnsi"/>
          <w:rtl/>
        </w:rPr>
        <w:t>. قد يستغرق اكتساب الخبرة اللازمة العديد من السنوات، لذا ينبغي للمؤسسات تشجيع الانضمام إلى جمعيات التواصل المهني الخاصة بمكاتب إدارة الملكية الفكرية لتبادل أفضل الممارسات وإتاحة التدريب.</w:t>
      </w:r>
    </w:p>
    <w:p w14:paraId="2008CB2E" w14:textId="77777777" w:rsidR="002E2A56" w:rsidRPr="00F30EF3" w:rsidRDefault="00042A41" w:rsidP="00732CFF">
      <w:pPr>
        <w:pStyle w:val="ListParagraph"/>
        <w:numPr>
          <w:ilvl w:val="0"/>
          <w:numId w:val="3"/>
        </w:numPr>
        <w:spacing w:after="120" w:line="240" w:lineRule="auto"/>
        <w:ind w:left="426" w:hanging="426"/>
        <w:contextualSpacing w:val="0"/>
        <w:jc w:val="both"/>
        <w:rPr>
          <w:rFonts w:cstheme="minorHAnsi"/>
          <w:rtl/>
        </w:rPr>
      </w:pPr>
      <w:r w:rsidRPr="00F30EF3">
        <w:rPr>
          <w:rFonts w:cstheme="minorHAnsi"/>
          <w:b/>
          <w:bCs/>
          <w:rtl/>
        </w:rPr>
        <w:t>الحوافز المقدمة لموظفي مكتب إدارة الملكية الفكرية</w:t>
      </w:r>
      <w:r w:rsidRPr="00F30EF3">
        <w:rPr>
          <w:rFonts w:cstheme="minorHAnsi"/>
          <w:rtl/>
        </w:rPr>
        <w:t>. من أجل اجتذاب الموظفين ذوي المهارات العالية، يحتاج مكتب إدارة الملكية الفكرية إلى القدرة على تقديم أجور وافية وحزم مزايا مواتية. ومع ذلك، تختلف مكاتب إدارة الملكية الفكرية، مثلها مثل المؤسسات ذاتها، في قدراتها على تقديم التعويضات (حيث الجامعات الحكومية مقيدة بمستويات للرواتب وإجراءات للتوظيف لا تلتزم بهما العديد من الجامعات الخاصة). وقد حلّت بعض المؤسسات العامة مشكلة تعويضات الموظفين من خلال إنشاء شركة خاصة تدير تكنولوجياتها واتصالها بالصناعة (انظر أيضاً أعلاه، "شركة فرعية مملوكة بالكامل").</w:t>
      </w:r>
      <w:r w:rsidR="002E2A56" w:rsidRPr="00F30EF3">
        <w:rPr>
          <w:rStyle w:val="FootnoteReference"/>
          <w:rFonts w:cstheme="minorHAnsi"/>
          <w:rtl/>
          <w:lang w:val="en-US"/>
        </w:rPr>
        <w:footnoteReference w:id="87"/>
      </w:r>
      <w:r w:rsidRPr="00F30EF3">
        <w:rPr>
          <w:rFonts w:cstheme="minorHAnsi"/>
          <w:rtl/>
        </w:rPr>
        <w:t xml:space="preserve">   </w:t>
      </w:r>
    </w:p>
    <w:p w14:paraId="73F2F952" w14:textId="4FF2282E" w:rsidR="00732CFF" w:rsidRPr="00F30EF3" w:rsidRDefault="00042A41" w:rsidP="00464282">
      <w:pPr>
        <w:pStyle w:val="ListParagraph"/>
        <w:numPr>
          <w:ilvl w:val="0"/>
          <w:numId w:val="3"/>
        </w:numPr>
        <w:spacing w:after="0" w:line="240" w:lineRule="auto"/>
        <w:ind w:left="426" w:hanging="426"/>
        <w:jc w:val="both"/>
        <w:rPr>
          <w:rFonts w:cstheme="minorHAnsi"/>
          <w:rtl/>
        </w:rPr>
      </w:pPr>
      <w:r w:rsidRPr="00F30EF3">
        <w:rPr>
          <w:rFonts w:cstheme="minorHAnsi"/>
          <w:b/>
          <w:bCs/>
          <w:rtl/>
        </w:rPr>
        <w:t xml:space="preserve">تثقيف موظفي مكتب إدارة الملكية الفكرية.  </w:t>
      </w:r>
      <w:r w:rsidRPr="00F30EF3">
        <w:rPr>
          <w:rFonts w:cstheme="minorHAnsi"/>
          <w:rtl/>
        </w:rPr>
        <w:t xml:space="preserve">عندما يتعلق الأمر بالاحتفاظ بالمواهب المتميزة، غالباً ما يتم الإبلاغ عن أن حزم التدريب الجذابة (بما في ذلك فرص التدريب الدولي والتدريبات الداخلية) والتطوير الوظيفي تعتبر من بين الاعتبارات الأساسية. وانظر أيضاً </w:t>
      </w:r>
      <w:hyperlink w:anchor="Box5" w:history="1">
        <w:r w:rsidRPr="00F30EF3">
          <w:rPr>
            <w:rStyle w:val="Hyperlink"/>
            <w:rFonts w:cstheme="minorHAnsi"/>
            <w:rtl/>
          </w:rPr>
          <w:t>الإطار 5</w:t>
        </w:r>
      </w:hyperlink>
      <w:r w:rsidRPr="00F30EF3">
        <w:rPr>
          <w:rFonts w:cstheme="minorHAnsi"/>
          <w:rtl/>
        </w:rPr>
        <w:t>.</w:t>
      </w:r>
    </w:p>
    <w:p w14:paraId="17FC5A2F" w14:textId="77777777" w:rsidR="00732CFF" w:rsidRPr="00F30EF3" w:rsidRDefault="00732CFF">
      <w:pPr>
        <w:bidi w:val="0"/>
        <w:rPr>
          <w:rFonts w:cstheme="minorHAnsi"/>
          <w:rtl/>
        </w:rPr>
      </w:pPr>
      <w:r w:rsidRPr="00F30EF3">
        <w:rPr>
          <w:rFonts w:cstheme="minorHAnsi"/>
          <w:rtl/>
        </w:rPr>
        <w:br w:type="page"/>
      </w:r>
    </w:p>
    <w:p w14:paraId="4B53BF84" w14:textId="77777777" w:rsidR="0058096F" w:rsidRPr="00F30EF3" w:rsidRDefault="0058096F" w:rsidP="00732CFF">
      <w:pPr>
        <w:pStyle w:val="Heading3"/>
        <w:spacing w:before="0" w:after="120"/>
        <w:rPr>
          <w:rFonts w:asciiTheme="minorHAnsi" w:hAnsiTheme="minorHAnsi" w:cstheme="minorHAnsi"/>
          <w:sz w:val="24"/>
          <w:szCs w:val="24"/>
          <w:rtl/>
        </w:rPr>
      </w:pPr>
      <w:bookmarkStart w:id="136" w:name="_Toc494115963"/>
      <w:bookmarkStart w:id="137" w:name="_Toc516160057"/>
      <w:bookmarkStart w:id="138" w:name="_Toc516219400"/>
      <w:bookmarkStart w:id="139" w:name="_Toc516496041"/>
      <w:bookmarkStart w:id="140" w:name="_Toc516829413"/>
      <w:r w:rsidRPr="00F30EF3">
        <w:rPr>
          <w:rFonts w:asciiTheme="minorHAnsi" w:hAnsiTheme="minorHAnsi" w:cstheme="minorHAnsi"/>
          <w:sz w:val="24"/>
          <w:szCs w:val="24"/>
          <w:rtl/>
        </w:rPr>
        <w:lastRenderedPageBreak/>
        <w:t>أمثلة</w:t>
      </w:r>
      <w:bookmarkEnd w:id="136"/>
      <w:r w:rsidRPr="00F30EF3">
        <w:rPr>
          <w:rFonts w:asciiTheme="minorHAnsi" w:hAnsiTheme="minorHAnsi" w:cstheme="minorHAnsi"/>
          <w:sz w:val="24"/>
          <w:szCs w:val="24"/>
          <w:rtl/>
        </w:rPr>
        <w:t xml:space="preserve"> على هياكل مكاتب إدارة الملكية الفكرية</w:t>
      </w:r>
      <w:bookmarkEnd w:id="137"/>
      <w:bookmarkEnd w:id="138"/>
      <w:bookmarkEnd w:id="139"/>
      <w:bookmarkEnd w:id="140"/>
    </w:p>
    <w:p w14:paraId="66E70730" w14:textId="390B73C7" w:rsidR="004942A7" w:rsidRPr="00F30EF3" w:rsidRDefault="00D11E07"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cstheme="minorHAnsi"/>
          <w:i/>
          <w:iCs/>
          <w:color w:val="943634" w:themeColor="accent2" w:themeShade="BF"/>
          <w:rtl/>
        </w:rPr>
      </w:pPr>
      <w:bookmarkStart w:id="141" w:name="Box21"/>
      <w:r w:rsidRPr="00F30EF3">
        <w:rPr>
          <w:rFonts w:cstheme="minorHAnsi"/>
          <w:b/>
          <w:bCs/>
          <w:rtl/>
        </w:rPr>
        <w:t xml:space="preserve">الإطار </w:t>
      </w:r>
      <w:bookmarkEnd w:id="141"/>
      <w:r w:rsidR="00732CFF" w:rsidRPr="00F30EF3">
        <w:rPr>
          <w:rFonts w:cstheme="minorHAnsi"/>
          <w:b/>
          <w:bCs/>
        </w:rPr>
        <w:t>.</w:t>
      </w:r>
      <w:r w:rsidR="0068227D" w:rsidRPr="00F30EF3">
        <w:rPr>
          <w:rFonts w:cstheme="minorHAnsi"/>
          <w:b/>
          <w:bCs/>
        </w:rPr>
        <w:t>21</w:t>
      </w:r>
      <w:r w:rsidRPr="00F30EF3">
        <w:rPr>
          <w:rFonts w:cstheme="minorHAnsi"/>
          <w:b/>
          <w:bCs/>
          <w:rtl/>
        </w:rPr>
        <w:t xml:space="preserve"> أمثلة على المكاتب الداخلية</w:t>
      </w:r>
      <w:r w:rsidRPr="00F30EF3">
        <w:rPr>
          <w:rFonts w:cstheme="minorHAnsi"/>
          <w:rtl/>
        </w:rPr>
        <w:t xml:space="preserve"> </w:t>
      </w:r>
    </w:p>
    <w:p w14:paraId="480BAD48" w14:textId="77777777" w:rsidR="000337FA" w:rsidRPr="00F30EF3" w:rsidRDefault="000337FA"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cstheme="minorHAnsi"/>
          <w:lang w:val="en-US"/>
        </w:rPr>
      </w:pPr>
    </w:p>
    <w:p w14:paraId="03036BC4" w14:textId="77777777" w:rsidR="004942A7" w:rsidRPr="00F30EF3" w:rsidRDefault="002660BE" w:rsidP="009D4A54">
      <w:pPr>
        <w:pStyle w:val="ListParagraph"/>
        <w:numPr>
          <w:ilvl w:val="0"/>
          <w:numId w:val="118"/>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cstheme="minorHAnsi"/>
          <w:rtl/>
        </w:rPr>
      </w:pPr>
      <w:r w:rsidRPr="00F30EF3">
        <w:rPr>
          <w:rFonts w:cstheme="minorHAnsi"/>
          <w:rtl/>
        </w:rPr>
        <w:t xml:space="preserve">ويعد </w:t>
      </w:r>
      <w:r w:rsidRPr="00F30EF3">
        <w:rPr>
          <w:rFonts w:cstheme="minorHAnsi"/>
          <w:u w:val="single"/>
          <w:rtl/>
        </w:rPr>
        <w:t>مكتب تطوير التكنولوجيا</w:t>
      </w:r>
      <w:r w:rsidRPr="00F30EF3">
        <w:rPr>
          <w:rStyle w:val="FootnoteReference"/>
          <w:rFonts w:cstheme="minorHAnsi"/>
          <w:rtl/>
          <w:lang w:val="en-US"/>
        </w:rPr>
        <w:footnoteReference w:id="88"/>
      </w:r>
      <w:r w:rsidRPr="00F30EF3">
        <w:rPr>
          <w:rFonts w:cstheme="minorHAnsi"/>
          <w:rtl/>
        </w:rPr>
        <w:t xml:space="preserve"> في جامعة هارفارد أحد الأمثلة على ذلك.</w:t>
      </w:r>
    </w:p>
    <w:p w14:paraId="3549F20E" w14:textId="77777777" w:rsidR="000337FA" w:rsidRPr="00F30EF3" w:rsidRDefault="000337FA"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cstheme="minorHAnsi"/>
          <w:noProof/>
          <w:lang w:val="en-US" w:eastAsia="en-US"/>
        </w:rPr>
      </w:pPr>
    </w:p>
    <w:p w14:paraId="70D7D13C" w14:textId="77777777" w:rsidR="004942A7" w:rsidRPr="00F30EF3" w:rsidRDefault="002660B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cstheme="minorHAnsi"/>
          <w:b/>
          <w:bCs/>
          <w:rtl/>
        </w:rPr>
      </w:pPr>
      <w:r w:rsidRPr="00F30EF3">
        <w:rPr>
          <w:rFonts w:cstheme="minorHAnsi"/>
          <w:noProof/>
          <w:rtl/>
        </w:rPr>
        <w:drawing>
          <wp:inline distT="0" distB="0" distL="0" distR="0" wp14:anchorId="5DB50909" wp14:editId="05288214">
            <wp:extent cx="1446028" cy="120394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46028" cy="1203943"/>
                    </a:xfrm>
                    <a:prstGeom prst="rect">
                      <a:avLst/>
                    </a:prstGeom>
                  </pic:spPr>
                </pic:pic>
              </a:graphicData>
            </a:graphic>
          </wp:inline>
        </w:drawing>
      </w:r>
    </w:p>
    <w:p w14:paraId="2282ECF3" w14:textId="77777777" w:rsidR="002660BE" w:rsidRPr="00F30EF3" w:rsidRDefault="002660B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cstheme="minorHAnsi"/>
          <w:b/>
          <w:bCs/>
          <w:lang w:val="en-US"/>
        </w:rPr>
      </w:pPr>
    </w:p>
    <w:p w14:paraId="13C8ED63" w14:textId="77777777" w:rsidR="002660BE" w:rsidRPr="00F30EF3" w:rsidRDefault="00C27F5E"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cstheme="minorHAnsi"/>
          <w:rtl/>
        </w:rPr>
      </w:pPr>
      <w:r w:rsidRPr="00F30EF3">
        <w:rPr>
          <w:rFonts w:cstheme="minorHAnsi"/>
          <w:rtl/>
        </w:rPr>
        <w:t xml:space="preserve">مكتب جامعة كيب تاون - </w:t>
      </w:r>
      <w:r w:rsidRPr="00F30EF3">
        <w:rPr>
          <w:rFonts w:cstheme="minorHAnsi"/>
          <w:u w:val="single"/>
          <w:rtl/>
        </w:rPr>
        <w:t>مكتب عقود البحث والابتكار</w:t>
      </w:r>
      <w:r w:rsidR="002660BE" w:rsidRPr="00F30EF3">
        <w:rPr>
          <w:rStyle w:val="FootnoteReference"/>
          <w:rFonts w:cstheme="minorHAnsi"/>
          <w:rtl/>
          <w:lang w:val="en-US"/>
        </w:rPr>
        <w:footnoteReference w:id="89"/>
      </w:r>
      <w:r w:rsidRPr="00F30EF3">
        <w:rPr>
          <w:rFonts w:cstheme="minorHAnsi"/>
          <w:rtl/>
        </w:rPr>
        <w:t xml:space="preserve"> </w:t>
      </w:r>
    </w:p>
    <w:p w14:paraId="1E47B0E7" w14:textId="77777777" w:rsidR="002660BE" w:rsidRPr="00F30EF3" w:rsidRDefault="002660B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cstheme="minorHAnsi"/>
          <w:b/>
          <w:bCs/>
          <w:lang w:val="en-US"/>
        </w:rPr>
      </w:pPr>
    </w:p>
    <w:p w14:paraId="3F5A61C3" w14:textId="77777777" w:rsidR="002660BE" w:rsidRPr="00F30EF3" w:rsidRDefault="00C27F5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cstheme="minorHAnsi"/>
          <w:b/>
          <w:bCs/>
          <w:rtl/>
        </w:rPr>
      </w:pPr>
      <w:r w:rsidRPr="00F30EF3">
        <w:rPr>
          <w:rFonts w:cstheme="minorHAnsi"/>
          <w:b/>
          <w:bCs/>
          <w:noProof/>
          <w:rtl/>
        </w:rPr>
        <w:drawing>
          <wp:inline distT="0" distB="0" distL="0" distR="0" wp14:anchorId="7E12EAA4" wp14:editId="14E63D56">
            <wp:extent cx="919416" cy="16839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48005" cy="1736309"/>
                    </a:xfrm>
                    <a:prstGeom prst="rect">
                      <a:avLst/>
                    </a:prstGeom>
                    <a:noFill/>
                    <a:ln>
                      <a:noFill/>
                    </a:ln>
                  </pic:spPr>
                </pic:pic>
              </a:graphicData>
            </a:graphic>
          </wp:inline>
        </w:drawing>
      </w:r>
      <w:r w:rsidRPr="00F30EF3">
        <w:rPr>
          <w:rFonts w:cstheme="minorHAnsi"/>
          <w:b/>
          <w:bCs/>
          <w:noProof/>
          <w:rtl/>
        </w:rPr>
        <w:drawing>
          <wp:inline distT="0" distB="0" distL="0" distR="0" wp14:anchorId="13871F45" wp14:editId="41C74560">
            <wp:extent cx="2249256" cy="16589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03676" cy="1699047"/>
                    </a:xfrm>
                    <a:prstGeom prst="rect">
                      <a:avLst/>
                    </a:prstGeom>
                    <a:noFill/>
                    <a:ln>
                      <a:noFill/>
                    </a:ln>
                  </pic:spPr>
                </pic:pic>
              </a:graphicData>
            </a:graphic>
          </wp:inline>
        </w:drawing>
      </w:r>
    </w:p>
    <w:p w14:paraId="09655980" w14:textId="77777777" w:rsidR="004942A7" w:rsidRPr="00F30EF3" w:rsidRDefault="004942A7">
      <w:pPr>
        <w:spacing w:after="0" w:line="240" w:lineRule="auto"/>
        <w:rPr>
          <w:rFonts w:cstheme="minorHAnsi"/>
          <w:lang w:val="en-US"/>
        </w:rPr>
      </w:pPr>
    </w:p>
    <w:p w14:paraId="102726F2" w14:textId="77777777" w:rsidR="008B4B32" w:rsidRPr="00F30EF3" w:rsidRDefault="008B4B32" w:rsidP="003E0A16">
      <w:pPr>
        <w:spacing w:after="0" w:line="240" w:lineRule="auto"/>
        <w:rPr>
          <w:rFonts w:cstheme="minorHAnsi"/>
          <w:lang w:val="en-US"/>
        </w:rPr>
      </w:pPr>
    </w:p>
    <w:p w14:paraId="490DC22B" w14:textId="5B9FD772" w:rsidR="00AA0518" w:rsidRPr="00F30EF3" w:rsidRDefault="00D11E07"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cstheme="minorHAnsi"/>
          <w:rtl/>
        </w:rPr>
      </w:pPr>
      <w:bookmarkStart w:id="142" w:name="Box22"/>
      <w:r w:rsidRPr="00F30EF3">
        <w:rPr>
          <w:rFonts w:cstheme="minorHAnsi"/>
          <w:b/>
          <w:bCs/>
          <w:rtl/>
        </w:rPr>
        <w:t xml:space="preserve">الإطار </w:t>
      </w:r>
      <w:bookmarkEnd w:id="142"/>
      <w:r w:rsidR="000358BB" w:rsidRPr="00F30EF3">
        <w:rPr>
          <w:rFonts w:cstheme="minorHAnsi"/>
          <w:b/>
          <w:bCs/>
        </w:rPr>
        <w:t>.2</w:t>
      </w:r>
      <w:r w:rsidR="005E05F8" w:rsidRPr="00F30EF3">
        <w:rPr>
          <w:rFonts w:cstheme="minorHAnsi"/>
          <w:b/>
          <w:bCs/>
        </w:rPr>
        <w:t>2</w:t>
      </w:r>
      <w:r w:rsidRPr="00F30EF3">
        <w:rPr>
          <w:rFonts w:cstheme="minorHAnsi"/>
          <w:b/>
          <w:bCs/>
          <w:rtl/>
        </w:rPr>
        <w:t xml:space="preserve"> أمثلة على الكيانات القانونية المنفصلة (الشركات المملوكة بالكامل)</w:t>
      </w:r>
    </w:p>
    <w:p w14:paraId="2FDEC490" w14:textId="77777777" w:rsidR="00AA0518" w:rsidRPr="00F30EF3" w:rsidRDefault="00AA051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cstheme="minorHAnsi"/>
          <w:i/>
          <w:iCs/>
          <w:color w:val="943634" w:themeColor="accent2" w:themeShade="BF"/>
          <w:lang w:val="en-US"/>
        </w:rPr>
      </w:pPr>
    </w:p>
    <w:p w14:paraId="10279318" w14:textId="77777777" w:rsidR="00656B88" w:rsidRPr="00F30EF3" w:rsidRDefault="00AA0518"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cstheme="minorHAnsi"/>
          <w:u w:val="single"/>
          <w:rtl/>
        </w:rPr>
      </w:pPr>
      <w:r w:rsidRPr="00F30EF3">
        <w:rPr>
          <w:rFonts w:cstheme="minorHAnsi"/>
          <w:rtl/>
        </w:rPr>
        <w:t xml:space="preserve"> </w:t>
      </w:r>
      <w:r w:rsidRPr="00F30EF3">
        <w:rPr>
          <w:rFonts w:cstheme="minorHAnsi"/>
          <w:u w:val="single"/>
        </w:rPr>
        <w:t>INOVA</w:t>
      </w:r>
      <w:r w:rsidRPr="00F30EF3">
        <w:rPr>
          <w:rFonts w:cstheme="minorHAnsi"/>
          <w:rtl/>
        </w:rPr>
        <w:t xml:space="preserve"> - مكتب نقل التكنولوجيا التابع لجامعة يني كامب</w:t>
      </w:r>
      <w:r w:rsidRPr="00F30EF3">
        <w:rPr>
          <w:rStyle w:val="FootnoteReference"/>
          <w:rFonts w:cstheme="minorHAnsi"/>
          <w:rtl/>
          <w:lang w:val="en-US"/>
        </w:rPr>
        <w:footnoteReference w:id="90"/>
      </w:r>
      <w:r w:rsidRPr="00F30EF3">
        <w:rPr>
          <w:rFonts w:cstheme="minorHAnsi"/>
          <w:rtl/>
        </w:rPr>
        <w:t xml:space="preserve"> - هو شركة منفصلة مملوكة بالكامل </w:t>
      </w:r>
    </w:p>
    <w:p w14:paraId="5942BDD5" w14:textId="77777777" w:rsidR="00656B88" w:rsidRPr="00F30EF3" w:rsidRDefault="00656B8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cstheme="minorHAnsi"/>
          <w:b/>
          <w:bCs/>
          <w:lang w:val="en-US"/>
        </w:rPr>
      </w:pPr>
    </w:p>
    <w:p w14:paraId="70798478" w14:textId="77777777" w:rsidR="00656B88" w:rsidRPr="00F30EF3" w:rsidRDefault="00AA051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cstheme="minorHAnsi"/>
          <w:b/>
          <w:bCs/>
          <w:i/>
          <w:iCs/>
          <w:rtl/>
        </w:rPr>
      </w:pPr>
      <w:r w:rsidRPr="00F30EF3">
        <w:rPr>
          <w:rFonts w:cstheme="minorHAnsi"/>
          <w:i/>
          <w:iCs/>
          <w:rtl/>
        </w:rPr>
        <w:t xml:space="preserve">تعزز وكالة يني كامب للابتكار (أو </w:t>
      </w:r>
      <w:r w:rsidRPr="00F30EF3">
        <w:rPr>
          <w:rFonts w:cstheme="minorHAnsi"/>
          <w:i/>
          <w:iCs/>
        </w:rPr>
        <w:t>INOVA</w:t>
      </w:r>
      <w:r w:rsidRPr="00F30EF3">
        <w:rPr>
          <w:rFonts w:cstheme="minorHAnsi"/>
          <w:i/>
          <w:iCs/>
          <w:rtl/>
        </w:rPr>
        <w:t>) التفاعل بين الجامعة والشركات، مع الاضطلاع بالأدوار التالية:</w:t>
      </w:r>
      <w:r w:rsidR="001B2246" w:rsidRPr="00F30EF3">
        <w:rPr>
          <w:rStyle w:val="FootnoteReference"/>
          <w:rFonts w:cstheme="minorHAnsi"/>
          <w:i/>
          <w:iCs/>
          <w:rtl/>
          <w:lang w:val="en-US"/>
        </w:rPr>
        <w:footnoteReference w:id="91"/>
      </w:r>
      <w:r w:rsidRPr="00F30EF3">
        <w:rPr>
          <w:rFonts w:cstheme="minorHAnsi"/>
          <w:rtl/>
        </w:rPr>
        <w:t xml:space="preserve"> </w:t>
      </w:r>
    </w:p>
    <w:p w14:paraId="00DBE59C" w14:textId="77777777" w:rsidR="00AA0518" w:rsidRPr="00F30EF3" w:rsidRDefault="00656B88" w:rsidP="009D4A54">
      <w:pPr>
        <w:pStyle w:val="ListParagraph"/>
        <w:numPr>
          <w:ilvl w:val="0"/>
          <w:numId w:val="1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cstheme="minorHAnsi"/>
          <w:b/>
          <w:bCs/>
          <w:i/>
          <w:iCs/>
          <w:rtl/>
        </w:rPr>
      </w:pPr>
      <w:r w:rsidRPr="00F30EF3">
        <w:rPr>
          <w:rFonts w:cstheme="minorHAnsi"/>
          <w:i/>
          <w:iCs/>
          <w:rtl/>
        </w:rPr>
        <w:t>تقديم المشورة للأطراف المعنية في مجتمع الجامعة بشأن المسائل المتعلقة بالملكية الفكرية؛</w:t>
      </w:r>
      <w:r w:rsidRPr="00F30EF3">
        <w:rPr>
          <w:rFonts w:cstheme="minorHAnsi"/>
          <w:rtl/>
        </w:rPr>
        <w:t xml:space="preserve"> </w:t>
      </w:r>
    </w:p>
    <w:p w14:paraId="0F044873" w14:textId="77777777" w:rsidR="00AA0518" w:rsidRPr="00F30EF3" w:rsidRDefault="00656B88" w:rsidP="009D4A54">
      <w:pPr>
        <w:pStyle w:val="ListParagraph"/>
        <w:numPr>
          <w:ilvl w:val="0"/>
          <w:numId w:val="1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cstheme="minorHAnsi"/>
          <w:b/>
          <w:bCs/>
          <w:i/>
          <w:iCs/>
          <w:rtl/>
        </w:rPr>
      </w:pPr>
      <w:r w:rsidRPr="00F30EF3">
        <w:rPr>
          <w:rFonts w:cstheme="minorHAnsi"/>
          <w:i/>
          <w:iCs/>
          <w:rtl/>
        </w:rPr>
        <w:t xml:space="preserve">تتولى </w:t>
      </w:r>
      <w:r w:rsidRPr="00F30EF3">
        <w:rPr>
          <w:rFonts w:cstheme="minorHAnsi"/>
          <w:i/>
          <w:iCs/>
        </w:rPr>
        <w:t>Inova</w:t>
      </w:r>
      <w:r w:rsidRPr="00F30EF3">
        <w:rPr>
          <w:rFonts w:cstheme="minorHAnsi"/>
          <w:i/>
          <w:iCs/>
          <w:rtl/>
        </w:rPr>
        <w:t xml:space="preserve"> مسؤولية النشر الثقافي للملكية الفكرية والحماية القانونية للملكية الفكرية والترخيص وفقاً للتشريعات الحالية، باستثناء حقوق المؤلف الواردة في القانون الاتحادي رقم 9.610 للعام 1998 دون المساس باختصاصات الأجهزة والهيئات الأخرى في الجامعة.</w:t>
      </w:r>
      <w:r w:rsidRPr="00F30EF3">
        <w:rPr>
          <w:rFonts w:cstheme="minorHAnsi"/>
          <w:rtl/>
        </w:rPr>
        <w:t xml:space="preserve"> </w:t>
      </w:r>
    </w:p>
    <w:p w14:paraId="325C0ECA" w14:textId="77777777" w:rsidR="00AA0518" w:rsidRPr="00F30EF3" w:rsidRDefault="00656B88" w:rsidP="009D4A54">
      <w:pPr>
        <w:pStyle w:val="ListParagraph"/>
        <w:numPr>
          <w:ilvl w:val="0"/>
          <w:numId w:val="1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cstheme="minorHAnsi"/>
          <w:b/>
          <w:bCs/>
          <w:i/>
          <w:iCs/>
          <w:rtl/>
        </w:rPr>
      </w:pPr>
      <w:r w:rsidRPr="00F30EF3">
        <w:rPr>
          <w:rFonts w:cstheme="minorHAnsi"/>
          <w:i/>
          <w:iCs/>
          <w:rtl/>
        </w:rPr>
        <w:t>الترويج للمعلومات المتعلقة بالسياسة ومعايير الملكية الفكرية والإجراءات الخاصة بالجامعة والتشريعات الوطنية ذات الصلة والاحتفاظ بها على موقعها الإلكتروني بهدف التشاور مع مجتمع يني كامب.</w:t>
      </w:r>
      <w:r w:rsidRPr="00F30EF3">
        <w:rPr>
          <w:rFonts w:cstheme="minorHAnsi"/>
          <w:rtl/>
        </w:rPr>
        <w:t xml:space="preserve"> </w:t>
      </w:r>
    </w:p>
    <w:p w14:paraId="10B02467" w14:textId="77777777" w:rsidR="00656B88" w:rsidRPr="00F30EF3" w:rsidRDefault="00656B88" w:rsidP="009D4A54">
      <w:pPr>
        <w:pStyle w:val="ListParagraph"/>
        <w:numPr>
          <w:ilvl w:val="0"/>
          <w:numId w:val="1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cstheme="minorHAnsi"/>
          <w:b/>
          <w:bCs/>
          <w:i/>
          <w:iCs/>
          <w:rtl/>
        </w:rPr>
      </w:pPr>
      <w:r w:rsidRPr="00F30EF3">
        <w:rPr>
          <w:rFonts w:cstheme="minorHAnsi"/>
          <w:i/>
          <w:iCs/>
          <w:rtl/>
        </w:rPr>
        <w:t>دعم وحدات التدريس والبحوث وغيرها من أقسام يني كامب بشأن إجراءات وأدوات حماية تنفيذ الملكية الفكرية واستخدامها.</w:t>
      </w:r>
      <w:r w:rsidRPr="00F30EF3">
        <w:rPr>
          <w:rFonts w:cstheme="minorHAnsi"/>
          <w:rtl/>
        </w:rPr>
        <w:t xml:space="preserve"> </w:t>
      </w:r>
    </w:p>
    <w:p w14:paraId="50714A69" w14:textId="77777777" w:rsidR="00656B88" w:rsidRPr="00F30EF3" w:rsidRDefault="00656B8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cstheme="minorHAnsi"/>
          <w:b/>
          <w:bCs/>
          <w:lang w:val="en-US"/>
        </w:rPr>
      </w:pPr>
    </w:p>
    <w:p w14:paraId="25408F2D" w14:textId="77777777" w:rsidR="00656B88" w:rsidRPr="00F30EF3" w:rsidRDefault="00656B8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cstheme="minorHAnsi"/>
          <w:b/>
          <w:bCs/>
          <w:rtl/>
        </w:rPr>
      </w:pPr>
      <w:r w:rsidRPr="00F30EF3">
        <w:rPr>
          <w:rFonts w:cstheme="minorHAnsi"/>
          <w:b/>
          <w:bCs/>
          <w:noProof/>
          <w:rtl/>
        </w:rPr>
        <w:lastRenderedPageBreak/>
        <w:drawing>
          <wp:inline distT="0" distB="0" distL="0" distR="0" wp14:anchorId="14BD4D44" wp14:editId="3D49F7EE">
            <wp:extent cx="3168502" cy="19058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92838" cy="1920505"/>
                    </a:xfrm>
                    <a:prstGeom prst="rect">
                      <a:avLst/>
                    </a:prstGeom>
                  </pic:spPr>
                </pic:pic>
              </a:graphicData>
            </a:graphic>
          </wp:inline>
        </w:drawing>
      </w:r>
    </w:p>
    <w:p w14:paraId="38C1783B" w14:textId="77777777" w:rsidR="00656B88" w:rsidRPr="00F30EF3" w:rsidRDefault="00656B8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cstheme="minorHAnsi"/>
          <w:b/>
          <w:bCs/>
          <w:lang w:val="en-US"/>
        </w:rPr>
      </w:pPr>
    </w:p>
    <w:p w14:paraId="712E42D3" w14:textId="77777777" w:rsidR="00656B88" w:rsidRPr="00F30EF3" w:rsidRDefault="001B2246" w:rsidP="009D4A54">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cstheme="minorHAnsi"/>
          <w:b/>
          <w:bCs/>
          <w:rtl/>
        </w:rPr>
      </w:pPr>
      <w:r w:rsidRPr="00F30EF3">
        <w:rPr>
          <w:rFonts w:cstheme="minorHAnsi"/>
          <w:rtl/>
        </w:rPr>
        <w:t xml:space="preserve">مثال آخر هو </w:t>
      </w:r>
      <w:r w:rsidRPr="00F30EF3">
        <w:rPr>
          <w:rFonts w:cstheme="minorHAnsi"/>
          <w:u w:val="single"/>
        </w:rPr>
        <w:t>WITS Enterprise</w:t>
      </w:r>
      <w:r w:rsidRPr="00F30EF3">
        <w:rPr>
          <w:rFonts w:cstheme="minorHAnsi"/>
          <w:rtl/>
        </w:rPr>
        <w:t xml:space="preserve"> - مكتب نقل التكنولوجيا في جامعة ويتواترسراند، جوهانسبرغ</w:t>
      </w:r>
      <w:r w:rsidRPr="00F30EF3">
        <w:rPr>
          <w:rFonts w:cstheme="minorHAnsi"/>
          <w:b/>
          <w:bCs/>
          <w:rtl/>
        </w:rPr>
        <w:t>.</w:t>
      </w:r>
      <w:r w:rsidR="00656B88" w:rsidRPr="00F30EF3">
        <w:rPr>
          <w:rStyle w:val="FootnoteReference"/>
          <w:rFonts w:cstheme="minorHAnsi"/>
          <w:b/>
          <w:bCs/>
          <w:rtl/>
          <w:lang w:val="en-US"/>
        </w:rPr>
        <w:footnoteReference w:id="92"/>
      </w:r>
      <w:r w:rsidRPr="00F30EF3">
        <w:rPr>
          <w:rFonts w:cstheme="minorHAnsi"/>
          <w:b/>
          <w:bCs/>
          <w:rtl/>
        </w:rPr>
        <w:t xml:space="preserve"> </w:t>
      </w:r>
      <w:r w:rsidRPr="00F30EF3">
        <w:rPr>
          <w:rFonts w:cstheme="minorHAnsi"/>
          <w:rtl/>
        </w:rPr>
        <w:t xml:space="preserve">ما يميز هذا المثال هو أن ولايته تمتد إلى ما هو أبعد من مجرد إدارة الملكية الفكرية ونقل التكنولوجيا، لتشمل الدورات القصيرة بالإضافة إلى الدعم البحثي. </w:t>
      </w:r>
    </w:p>
    <w:p w14:paraId="16C69F3A" w14:textId="77777777" w:rsidR="001B2246" w:rsidRPr="00F30EF3" w:rsidRDefault="001B2246"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rPr>
          <w:rFonts w:cstheme="minorHAnsi"/>
          <w:b/>
          <w:bCs/>
          <w:lang w:val="en-US"/>
        </w:rPr>
      </w:pPr>
    </w:p>
    <w:p w14:paraId="5CD7303C" w14:textId="77777777" w:rsidR="001B2246" w:rsidRPr="00F30EF3" w:rsidRDefault="001B2246" w:rsidP="009D4A54">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cstheme="minorHAnsi"/>
          <w:u w:val="single"/>
          <w:rtl/>
        </w:rPr>
      </w:pPr>
      <w:r w:rsidRPr="00F30EF3">
        <w:rPr>
          <w:rFonts w:cstheme="minorHAnsi"/>
          <w:u w:val="single"/>
          <w:rtl/>
        </w:rPr>
        <w:t>مزيد من الأمثلة على الشركات المملوكة بالكامل</w:t>
      </w:r>
    </w:p>
    <w:p w14:paraId="46626888" w14:textId="77777777" w:rsidR="001B2246" w:rsidRPr="00F30EF3" w:rsidRDefault="001B2246"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cstheme="minorHAnsi"/>
          <w:b/>
          <w:bCs/>
          <w:rtl/>
        </w:rPr>
      </w:pPr>
      <w:r w:rsidRPr="00F30EF3">
        <w:rPr>
          <w:rFonts w:cstheme="minorHAnsi"/>
        </w:rPr>
        <w:t>Innovus</w:t>
      </w:r>
      <w:r w:rsidRPr="00F30EF3">
        <w:rPr>
          <w:rFonts w:cstheme="minorHAnsi"/>
          <w:rtl/>
        </w:rPr>
        <w:t xml:space="preserve"> </w:t>
      </w:r>
      <w:r w:rsidRPr="00F30EF3">
        <w:rPr>
          <w:rStyle w:val="FootnoteReference"/>
          <w:rFonts w:cstheme="minorHAnsi"/>
          <w:rtl/>
          <w:lang w:val="en-US"/>
        </w:rPr>
        <w:footnoteReference w:id="93"/>
      </w:r>
      <w:r w:rsidRPr="00F30EF3">
        <w:rPr>
          <w:rFonts w:cstheme="minorHAnsi"/>
          <w:rtl/>
        </w:rPr>
        <w:t>(جامعة ستيلينبوش، جنوب أفريقيا)</w:t>
      </w:r>
    </w:p>
    <w:p w14:paraId="4850F11D" w14:textId="77777777" w:rsidR="001B2246" w:rsidRPr="00F30EF3" w:rsidRDefault="001B2246"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cstheme="minorHAnsi"/>
          <w:rtl/>
        </w:rPr>
      </w:pPr>
      <w:r w:rsidRPr="00F30EF3">
        <w:rPr>
          <w:rFonts w:cstheme="minorHAnsi"/>
          <w:rtl/>
        </w:rPr>
        <w:t xml:space="preserve">مؤسسة أبحاث خريجي ولاية ويسكونسن (جامعة ويسكونسن) </w:t>
      </w:r>
    </w:p>
    <w:p w14:paraId="643EB8DB" w14:textId="77777777" w:rsidR="001B2246" w:rsidRPr="00F30EF3" w:rsidRDefault="001B2246"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cstheme="minorHAnsi"/>
          <w:rtl/>
        </w:rPr>
      </w:pPr>
      <w:r w:rsidRPr="00F30EF3">
        <w:rPr>
          <w:rFonts w:cstheme="minorHAnsi"/>
        </w:rPr>
        <w:t>Yissum</w:t>
      </w:r>
      <w:r w:rsidRPr="00F30EF3">
        <w:rPr>
          <w:rFonts w:cstheme="minorHAnsi"/>
          <w:rtl/>
        </w:rPr>
        <w:t xml:space="preserve"> (الجامعة العبرية في القدس) </w:t>
      </w:r>
    </w:p>
    <w:p w14:paraId="554682CC" w14:textId="77777777" w:rsidR="001B2246" w:rsidRPr="00F30EF3" w:rsidRDefault="001B2246"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cstheme="minorHAnsi"/>
          <w:rtl/>
        </w:rPr>
      </w:pPr>
      <w:r w:rsidRPr="00F30EF3">
        <w:rPr>
          <w:rFonts w:cstheme="minorHAnsi"/>
          <w:rtl/>
        </w:rPr>
        <w:t>جامعة أكسفورد الابتكارية (جامعة أكسفورد)</w:t>
      </w:r>
    </w:p>
    <w:p w14:paraId="0D14B2C4" w14:textId="77777777" w:rsidR="00B8209E" w:rsidRPr="00F30EF3" w:rsidRDefault="00B8209E"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cstheme="minorHAnsi"/>
          <w:rtl/>
        </w:rPr>
      </w:pPr>
      <w:r w:rsidRPr="00F30EF3">
        <w:rPr>
          <w:rFonts w:cstheme="minorHAnsi"/>
          <w:rtl/>
        </w:rPr>
        <w:t>وقد أنشأت العديد من الجامعات في المملكة المتحدة شركات خاصة مملوكة بالكامل لإدارة عائدات الترخيص وإصدار البراءات.</w:t>
      </w:r>
    </w:p>
    <w:p w14:paraId="6E1AB6D5" w14:textId="77777777" w:rsidR="003E0A16" w:rsidRPr="00F30EF3" w:rsidRDefault="003E0A16" w:rsidP="003E0A16">
      <w:pPr>
        <w:autoSpaceDE w:val="0"/>
        <w:autoSpaceDN w:val="0"/>
        <w:adjustRightInd w:val="0"/>
        <w:spacing w:after="0" w:line="240" w:lineRule="auto"/>
        <w:jc w:val="both"/>
        <w:rPr>
          <w:rFonts w:cstheme="minorHAnsi"/>
          <w:lang w:val="en-US"/>
        </w:rPr>
      </w:pPr>
    </w:p>
    <w:p w14:paraId="11E4FAF9" w14:textId="77777777" w:rsidR="003E0A16" w:rsidRPr="00F30EF3" w:rsidRDefault="003E0A16">
      <w:pPr>
        <w:spacing w:after="0" w:line="240" w:lineRule="auto"/>
        <w:rPr>
          <w:rFonts w:cstheme="minorHAnsi"/>
          <w:lang w:val="en-US"/>
        </w:rPr>
      </w:pPr>
    </w:p>
    <w:p w14:paraId="187CE406" w14:textId="427A27F9" w:rsidR="006E5B9E" w:rsidRPr="00F30EF3"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cstheme="minorHAnsi"/>
          <w:b/>
          <w:bCs/>
          <w:rtl/>
        </w:rPr>
      </w:pPr>
      <w:r w:rsidRPr="00F30EF3">
        <w:rPr>
          <w:rFonts w:cstheme="minorHAnsi"/>
          <w:b/>
          <w:bCs/>
          <w:rtl/>
        </w:rPr>
        <w:t xml:space="preserve">الإطار </w:t>
      </w:r>
      <w:r w:rsidR="00607660" w:rsidRPr="00F30EF3">
        <w:rPr>
          <w:rFonts w:cstheme="minorHAnsi"/>
          <w:b/>
          <w:bCs/>
        </w:rPr>
        <w:t>.2</w:t>
      </w:r>
      <w:r w:rsidR="005E05F8" w:rsidRPr="00F30EF3">
        <w:rPr>
          <w:rFonts w:cstheme="minorHAnsi"/>
          <w:b/>
          <w:bCs/>
        </w:rPr>
        <w:t>3</w:t>
      </w:r>
      <w:r w:rsidRPr="00F30EF3">
        <w:rPr>
          <w:rFonts w:cstheme="minorHAnsi"/>
          <w:b/>
          <w:bCs/>
          <w:rtl/>
        </w:rPr>
        <w:t xml:space="preserve"> مثال على مقدم خدمات ملكية فكرية خاص</w:t>
      </w:r>
      <w:r w:rsidRPr="00F30EF3">
        <w:rPr>
          <w:rFonts w:cstheme="minorHAnsi"/>
          <w:rtl/>
        </w:rPr>
        <w:t xml:space="preserve"> </w:t>
      </w:r>
    </w:p>
    <w:p w14:paraId="0A446B30" w14:textId="77777777" w:rsidR="006E5B9E" w:rsidRPr="00F30EF3"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cstheme="minorHAnsi"/>
          <w:b/>
          <w:bCs/>
          <w:lang w:val="en-US"/>
        </w:rPr>
      </w:pPr>
    </w:p>
    <w:p w14:paraId="7DD0BBF8" w14:textId="56258DAE" w:rsidR="00C27F5E" w:rsidRPr="00F30EF3" w:rsidRDefault="006E5B9E" w:rsidP="009D4A54">
      <w:pPr>
        <w:pStyle w:val="ListParagraph"/>
        <w:numPr>
          <w:ilvl w:val="0"/>
          <w:numId w:val="92"/>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cstheme="minorHAnsi"/>
          <w:rtl/>
        </w:rPr>
      </w:pPr>
      <w:r w:rsidRPr="00F30EF3">
        <w:rPr>
          <w:rFonts w:cstheme="minorHAnsi"/>
          <w:u w:val="single"/>
        </w:rPr>
        <w:t>Iperative</w:t>
      </w:r>
      <w:r w:rsidRPr="00F30EF3">
        <w:rPr>
          <w:rStyle w:val="FootnoteReference"/>
          <w:rFonts w:cstheme="minorHAnsi"/>
          <w:b/>
          <w:bCs/>
          <w:lang w:val="en-US"/>
        </w:rPr>
        <w:footnoteReference w:id="94"/>
      </w:r>
      <w:r w:rsidRPr="00F30EF3">
        <w:rPr>
          <w:rFonts w:cstheme="minorHAnsi"/>
          <w:rtl/>
        </w:rPr>
        <w:t>،</w:t>
      </w:r>
      <w:r w:rsidRPr="00F30EF3">
        <w:rPr>
          <w:rFonts w:cstheme="minorHAnsi"/>
          <w:b/>
          <w:bCs/>
          <w:rtl/>
        </w:rPr>
        <w:t xml:space="preserve"> </w:t>
      </w:r>
      <w:r w:rsidRPr="00F30EF3">
        <w:rPr>
          <w:rFonts w:cstheme="minorHAnsi"/>
          <w:rtl/>
        </w:rPr>
        <w:t xml:space="preserve">شركة مقرها في أستراليا. </w:t>
      </w:r>
    </w:p>
    <w:p w14:paraId="4BC80763" w14:textId="77777777" w:rsidR="00B35E86" w:rsidRPr="00F30EF3" w:rsidRDefault="00B35E86"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cstheme="minorHAnsi"/>
          <w:lang w:val="en-US"/>
        </w:rPr>
      </w:pPr>
    </w:p>
    <w:p w14:paraId="53D04930" w14:textId="77777777" w:rsidR="00B35E86" w:rsidRPr="00F30EF3" w:rsidRDefault="00C27F5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cstheme="minorHAnsi"/>
          <w:rtl/>
        </w:rPr>
      </w:pPr>
      <w:r w:rsidRPr="00F30EF3">
        <w:rPr>
          <w:rFonts w:cstheme="minorHAnsi"/>
          <w:noProof/>
          <w:rtl/>
        </w:rPr>
        <w:drawing>
          <wp:inline distT="0" distB="0" distL="0" distR="0" wp14:anchorId="59B93136" wp14:editId="30A1D6F6">
            <wp:extent cx="1865426" cy="1022796"/>
            <wp:effectExtent l="0" t="0" r="190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65426" cy="1022796"/>
                    </a:xfrm>
                    <a:prstGeom prst="rect">
                      <a:avLst/>
                    </a:prstGeom>
                  </pic:spPr>
                </pic:pic>
              </a:graphicData>
            </a:graphic>
          </wp:inline>
        </w:drawing>
      </w:r>
    </w:p>
    <w:p w14:paraId="7894A9AD" w14:textId="77777777" w:rsidR="00F749FA" w:rsidRPr="00F30EF3" w:rsidRDefault="00F749FA"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cstheme="minorHAnsi"/>
          <w:lang w:val="en-US"/>
        </w:rPr>
      </w:pPr>
    </w:p>
    <w:p w14:paraId="7A3E399F" w14:textId="77777777" w:rsidR="0058096F" w:rsidRPr="00F30EF3" w:rsidRDefault="0058096F">
      <w:pPr>
        <w:autoSpaceDE w:val="0"/>
        <w:autoSpaceDN w:val="0"/>
        <w:adjustRightInd w:val="0"/>
        <w:spacing w:after="0" w:line="240" w:lineRule="auto"/>
        <w:jc w:val="both"/>
        <w:rPr>
          <w:rFonts w:cstheme="minorHAnsi"/>
          <w:lang w:val="en-US"/>
        </w:rPr>
      </w:pPr>
    </w:p>
    <w:p w14:paraId="403578A1" w14:textId="69B6C577" w:rsidR="006E5B9E" w:rsidRPr="00F30EF3"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cstheme="minorHAnsi"/>
          <w:b/>
          <w:bCs/>
          <w:rtl/>
        </w:rPr>
      </w:pPr>
      <w:r w:rsidRPr="00F30EF3">
        <w:rPr>
          <w:rFonts w:cstheme="minorHAnsi"/>
          <w:b/>
          <w:bCs/>
          <w:rtl/>
        </w:rPr>
        <w:t xml:space="preserve">الإطار </w:t>
      </w:r>
      <w:r w:rsidR="00607660" w:rsidRPr="00F30EF3">
        <w:rPr>
          <w:rFonts w:cstheme="minorHAnsi"/>
          <w:b/>
          <w:bCs/>
        </w:rPr>
        <w:t>.2</w:t>
      </w:r>
      <w:r w:rsidR="005E05F8" w:rsidRPr="00F30EF3">
        <w:rPr>
          <w:rFonts w:cstheme="minorHAnsi"/>
          <w:b/>
          <w:bCs/>
        </w:rPr>
        <w:t>4</w:t>
      </w:r>
      <w:r w:rsidRPr="00F30EF3">
        <w:rPr>
          <w:rFonts w:cstheme="minorHAnsi"/>
          <w:b/>
          <w:bCs/>
          <w:rtl/>
        </w:rPr>
        <w:t xml:space="preserve"> أمثلة على الاتحادات  </w:t>
      </w:r>
    </w:p>
    <w:p w14:paraId="5E6199AB" w14:textId="77777777" w:rsidR="006E5B9E" w:rsidRPr="00F30EF3"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cstheme="minorHAnsi"/>
          <w:b/>
          <w:bCs/>
          <w:lang w:val="en-US"/>
        </w:rPr>
      </w:pPr>
    </w:p>
    <w:p w14:paraId="61512583" w14:textId="77777777" w:rsidR="006E5B9E" w:rsidRPr="00F30EF3" w:rsidRDefault="00ED0AED" w:rsidP="009D4A54">
      <w:pPr>
        <w:pStyle w:val="ListParagraph"/>
        <w:numPr>
          <w:ilvl w:val="0"/>
          <w:numId w:val="92"/>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cstheme="minorHAnsi"/>
          <w:b/>
          <w:bCs/>
          <w:rtl/>
        </w:rPr>
      </w:pPr>
      <w:r w:rsidRPr="00F30EF3">
        <w:rPr>
          <w:rFonts w:cstheme="minorHAnsi"/>
          <w:b/>
          <w:bCs/>
          <w:rtl/>
        </w:rPr>
        <w:t>سوق التبادل التكنولوجي الشمالي، الصين</w:t>
      </w:r>
    </w:p>
    <w:p w14:paraId="0118FE1E" w14:textId="77777777" w:rsidR="00E40C02" w:rsidRPr="00F30EF3" w:rsidRDefault="00E40C02"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cstheme="minorHAnsi"/>
          <w:rtl/>
        </w:rPr>
      </w:pPr>
      <w:r w:rsidRPr="00F30EF3">
        <w:rPr>
          <w:rFonts w:cstheme="minorHAnsi"/>
          <w:rtl/>
        </w:rPr>
        <w:t>يُعد سوق التبادل التكنولوجي في شمال الصين (</w:t>
      </w:r>
      <w:r w:rsidRPr="00F30EF3">
        <w:rPr>
          <w:rFonts w:cstheme="minorHAnsi"/>
        </w:rPr>
        <w:t>NTEM</w:t>
      </w:r>
      <w:r w:rsidRPr="00F30EF3">
        <w:rPr>
          <w:rFonts w:cstheme="minorHAnsi"/>
          <w:rtl/>
        </w:rPr>
        <w:t xml:space="preserve">)، باعتباره سوقاً تكنولوجياً قائماً على مستوى الدولة تم إنشاؤه بالاشتراك بين وزارة العلوم والتكنولوجيا وحكومة بلدية تيانجين في مارس من عام 1995، أحد أهم المؤسسات الإقليمية لنقل التكنولوجيا، ومركز توزيع الإنجازات والمعلومات التكنولوجية ومركزاً لتجارة التكنولوجيا. انظر: </w:t>
      </w:r>
      <w:hyperlink r:id="rId66" w:history="1">
        <w:r w:rsidRPr="00F30EF3">
          <w:rPr>
            <w:rFonts w:cstheme="minorHAnsi"/>
          </w:rPr>
          <w:t>http://www.ntem.com.cn/english1/</w:t>
        </w:r>
      </w:hyperlink>
    </w:p>
    <w:p w14:paraId="36D96B1D" w14:textId="77777777" w:rsidR="004942A7" w:rsidRPr="00F30EF3" w:rsidRDefault="004942A7"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cstheme="minorHAnsi"/>
          <w:lang w:val="en-US"/>
        </w:rPr>
      </w:pPr>
    </w:p>
    <w:p w14:paraId="3F8BEDCD" w14:textId="3F1F538D" w:rsidR="006E5B9E" w:rsidRPr="00F30EF3" w:rsidRDefault="004942A7" w:rsidP="0060766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cstheme="minorHAnsi"/>
          <w:lang w:val="en-US"/>
        </w:rPr>
      </w:pPr>
      <w:r w:rsidRPr="00F30EF3">
        <w:rPr>
          <w:rFonts w:cstheme="minorHAnsi"/>
          <w:noProof/>
          <w:rtl/>
        </w:rPr>
        <w:drawing>
          <wp:inline distT="0" distB="0" distL="0" distR="0" wp14:anchorId="4BC055E3" wp14:editId="2CABB9FC">
            <wp:extent cx="1095375" cy="618888"/>
            <wp:effectExtent l="0" t="0" r="0" b="0"/>
            <wp:docPr id="2" name="Picture 2" descr="http://www.tedatpc.org/picmemberlogo/439/20104289522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datpc.org/picmemberlogo/439/20104289522497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97093" cy="619859"/>
                    </a:xfrm>
                    <a:prstGeom prst="rect">
                      <a:avLst/>
                    </a:prstGeom>
                    <a:noFill/>
                    <a:ln>
                      <a:noFill/>
                    </a:ln>
                  </pic:spPr>
                </pic:pic>
              </a:graphicData>
            </a:graphic>
          </wp:inline>
        </w:drawing>
      </w:r>
    </w:p>
    <w:p w14:paraId="762E9607" w14:textId="77777777" w:rsidR="006E5B9E" w:rsidRPr="00F30EF3" w:rsidRDefault="006E5B9E" w:rsidP="009D4A54">
      <w:pPr>
        <w:pStyle w:val="ListParagraph"/>
        <w:numPr>
          <w:ilvl w:val="0"/>
          <w:numId w:val="93"/>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cstheme="minorHAnsi"/>
          <w:b/>
          <w:bCs/>
          <w:rtl/>
        </w:rPr>
      </w:pPr>
      <w:r w:rsidRPr="00F30EF3">
        <w:rPr>
          <w:rFonts w:cstheme="minorHAnsi"/>
          <w:b/>
          <w:bCs/>
          <w:rtl/>
        </w:rPr>
        <w:lastRenderedPageBreak/>
        <w:t>الاتحادات في البرازيل</w:t>
      </w:r>
    </w:p>
    <w:p w14:paraId="743E9276" w14:textId="77777777" w:rsidR="004F6AC2" w:rsidRPr="00F30EF3" w:rsidRDefault="004F6AC2"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cstheme="minorHAnsi"/>
          <w:rtl/>
        </w:rPr>
      </w:pPr>
      <w:r w:rsidRPr="00F30EF3">
        <w:rPr>
          <w:rFonts w:cstheme="minorHAnsi"/>
          <w:rtl/>
        </w:rPr>
        <w:t xml:space="preserve">يوجد بالبرازيل العديد من الأمثلة الناجحة لاتحادات مكاتب إدارة الملكية الفكرية، في إطار المعاهد البحثية التي تديرها وزارة العلوم والتكنولوجيا والابتكار والاتصالات: </w:t>
      </w:r>
    </w:p>
    <w:p w14:paraId="1F85A5E4" w14:textId="413BF3C8" w:rsidR="004F6AC2" w:rsidRPr="00F30EF3" w:rsidRDefault="004F6AC2"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cstheme="minorHAnsi"/>
          <w:rtl/>
        </w:rPr>
      </w:pPr>
      <w:r w:rsidRPr="00F30EF3">
        <w:rPr>
          <w:rFonts w:cstheme="minorHAnsi"/>
          <w:rtl/>
        </w:rPr>
        <w:t xml:space="preserve">1 - </w:t>
      </w:r>
      <w:hyperlink r:id="rId68" w:history="1">
        <w:r w:rsidRPr="00F30EF3">
          <w:rPr>
            <w:rStyle w:val="Hyperlink"/>
            <w:rFonts w:cstheme="minorHAnsi"/>
            <w:color w:val="auto"/>
            <w:rtl/>
          </w:rPr>
          <w:t xml:space="preserve">اتحاد </w:t>
        </w:r>
        <w:r w:rsidRPr="00F30EF3">
          <w:rPr>
            <w:rStyle w:val="Hyperlink"/>
            <w:rFonts w:cstheme="minorHAnsi"/>
            <w:color w:val="auto"/>
          </w:rPr>
          <w:t>NIT-Rio</w:t>
        </w:r>
      </w:hyperlink>
      <w:r w:rsidR="007125D3" w:rsidRPr="00F30EF3">
        <w:rPr>
          <w:rStyle w:val="Hyperlink"/>
          <w:rFonts w:cstheme="minorHAnsi" w:hint="cs"/>
          <w:color w:val="auto"/>
          <w:rtl/>
        </w:rPr>
        <w:t xml:space="preserve"> </w:t>
      </w:r>
      <w:r w:rsidRPr="00F30EF3">
        <w:rPr>
          <w:rFonts w:cstheme="minorHAnsi"/>
          <w:rtl/>
        </w:rPr>
        <w:t>يتكون من ثمانية معاهد بحثية، وهي: المعهد الوطني للتكنولوجيا (</w:t>
      </w:r>
      <w:r w:rsidRPr="00F30EF3">
        <w:rPr>
          <w:rFonts w:cstheme="minorHAnsi"/>
        </w:rPr>
        <w:t>INT</w:t>
      </w:r>
      <w:r w:rsidRPr="00F30EF3">
        <w:rPr>
          <w:rFonts w:cstheme="minorHAnsi"/>
          <w:rtl/>
        </w:rPr>
        <w:t>)؛ والمركز البرازيلي للبحوث الفيزيائية (</w:t>
      </w:r>
      <w:r w:rsidRPr="00F30EF3">
        <w:rPr>
          <w:rFonts w:cstheme="minorHAnsi"/>
        </w:rPr>
        <w:t>CBPF</w:t>
      </w:r>
      <w:r w:rsidRPr="00F30EF3">
        <w:rPr>
          <w:rFonts w:cstheme="minorHAnsi"/>
          <w:rtl/>
        </w:rPr>
        <w:t>)؛ ومركز تكنولوجيا المعادن (</w:t>
      </w:r>
      <w:r w:rsidRPr="00F30EF3">
        <w:rPr>
          <w:rFonts w:cstheme="minorHAnsi"/>
        </w:rPr>
        <w:t>CETEM</w:t>
      </w:r>
      <w:r w:rsidRPr="00F30EF3">
        <w:rPr>
          <w:rFonts w:cstheme="minorHAnsi"/>
          <w:rtl/>
        </w:rPr>
        <w:t>)؛ والمعهد البرازيلي للمعلومات في العلوم والتكنولوجيا (</w:t>
      </w:r>
      <w:r w:rsidRPr="00F30EF3">
        <w:rPr>
          <w:rFonts w:cstheme="minorHAnsi"/>
        </w:rPr>
        <w:t>IBICT</w:t>
      </w:r>
      <w:r w:rsidRPr="00F30EF3">
        <w:rPr>
          <w:rFonts w:cstheme="minorHAnsi"/>
          <w:rtl/>
        </w:rPr>
        <w:t>)؛ والمعهد الوطني للرياضيات البحتة والتطبيقية (</w:t>
      </w:r>
      <w:r w:rsidRPr="00F30EF3">
        <w:rPr>
          <w:rFonts w:cstheme="minorHAnsi"/>
        </w:rPr>
        <w:t>IMPA</w:t>
      </w:r>
      <w:r w:rsidRPr="00F30EF3">
        <w:rPr>
          <w:rFonts w:cstheme="minorHAnsi"/>
          <w:rtl/>
        </w:rPr>
        <w:t>)؛ والمختبر الوطني للحوسبة العلمية (</w:t>
      </w:r>
      <w:r w:rsidRPr="00F30EF3">
        <w:rPr>
          <w:rFonts w:cstheme="minorHAnsi"/>
        </w:rPr>
        <w:t>LNCC</w:t>
      </w:r>
      <w:r w:rsidRPr="00F30EF3">
        <w:rPr>
          <w:rFonts w:cstheme="minorHAnsi"/>
          <w:rtl/>
        </w:rPr>
        <w:t>)؛ ومتحف علم الفلك والعلوم ذات الصلة (</w:t>
      </w:r>
      <w:r w:rsidRPr="00F30EF3">
        <w:rPr>
          <w:rFonts w:cstheme="minorHAnsi"/>
        </w:rPr>
        <w:t>MAST</w:t>
      </w:r>
      <w:r w:rsidRPr="00F30EF3">
        <w:rPr>
          <w:rFonts w:cstheme="minorHAnsi"/>
          <w:rtl/>
        </w:rPr>
        <w:t>)؛ والمرصد الوطني (</w:t>
      </w:r>
      <w:r w:rsidRPr="00F30EF3">
        <w:rPr>
          <w:rFonts w:cstheme="minorHAnsi"/>
        </w:rPr>
        <w:t>ON</w:t>
      </w:r>
      <w:r w:rsidRPr="00F30EF3">
        <w:rPr>
          <w:rFonts w:cstheme="minorHAnsi"/>
          <w:rtl/>
        </w:rPr>
        <w:t xml:space="preserve">). </w:t>
      </w:r>
    </w:p>
    <w:p w14:paraId="6539DA64" w14:textId="77777777" w:rsidR="004F6AC2" w:rsidRPr="00F30EF3" w:rsidRDefault="004F6AC2"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cstheme="minorHAnsi"/>
          <w:rtl/>
        </w:rPr>
      </w:pPr>
      <w:r w:rsidRPr="00F30EF3">
        <w:rPr>
          <w:rFonts w:cstheme="minorHAnsi"/>
          <w:rtl/>
        </w:rPr>
        <w:t xml:space="preserve">2 - </w:t>
      </w:r>
      <w:hyperlink r:id="rId69" w:history="1">
        <w:r w:rsidRPr="00F30EF3">
          <w:rPr>
            <w:rStyle w:val="Hyperlink"/>
            <w:rFonts w:cstheme="minorHAnsi"/>
            <w:color w:val="auto"/>
            <w:rtl/>
          </w:rPr>
          <w:t xml:space="preserve">اتحاد </w:t>
        </w:r>
        <w:r w:rsidRPr="00F30EF3">
          <w:rPr>
            <w:rStyle w:val="Hyperlink"/>
            <w:rFonts w:cstheme="minorHAnsi"/>
            <w:color w:val="auto"/>
          </w:rPr>
          <w:t>NIT-Mantiqueira</w:t>
        </w:r>
      </w:hyperlink>
      <w:r w:rsidRPr="00F30EF3">
        <w:rPr>
          <w:rFonts w:cstheme="minorHAnsi"/>
          <w:rtl/>
        </w:rPr>
        <w:t xml:space="preserve"> يجمع بين مكاتب إدارة الملكية الفكرية التابعة للمركز الوطني للبحوث في الطاقة والمواد – </w:t>
      </w:r>
      <w:r w:rsidRPr="00F30EF3">
        <w:rPr>
          <w:rFonts w:cstheme="minorHAnsi"/>
        </w:rPr>
        <w:t>CNPEM</w:t>
      </w:r>
      <w:r w:rsidRPr="00F30EF3">
        <w:rPr>
          <w:rFonts w:cstheme="minorHAnsi"/>
          <w:rtl/>
        </w:rPr>
        <w:t xml:space="preserve">؛ ومركز فيرنر فون براون للأبحاث المتقدمة - فون براون؛ ومركز ريناتو آرتشر لتكنولوجيا المعلومات – </w:t>
      </w:r>
      <w:r w:rsidRPr="00F30EF3">
        <w:rPr>
          <w:rFonts w:cstheme="minorHAnsi"/>
        </w:rPr>
        <w:t>CTI</w:t>
      </w:r>
      <w:r w:rsidRPr="00F30EF3">
        <w:rPr>
          <w:rFonts w:cstheme="minorHAnsi"/>
          <w:rtl/>
        </w:rPr>
        <w:t xml:space="preserve">؛ ومؤسسة فاليبرابانا للتعليم - </w:t>
      </w:r>
      <w:r w:rsidRPr="00F30EF3">
        <w:rPr>
          <w:rFonts w:cstheme="minorHAnsi"/>
        </w:rPr>
        <w:t>FVE / UNIVAP</w:t>
      </w:r>
      <w:r w:rsidRPr="00F30EF3">
        <w:rPr>
          <w:rFonts w:cstheme="minorHAnsi"/>
          <w:rtl/>
        </w:rPr>
        <w:t xml:space="preserve">؛ والمعهد الوطني لأبحاث الفضاء – </w:t>
      </w:r>
      <w:r w:rsidRPr="00F30EF3">
        <w:rPr>
          <w:rFonts w:cstheme="minorHAnsi"/>
        </w:rPr>
        <w:t>INPE</w:t>
      </w:r>
      <w:r w:rsidRPr="00F30EF3">
        <w:rPr>
          <w:rFonts w:cstheme="minorHAnsi"/>
          <w:rtl/>
        </w:rPr>
        <w:t xml:space="preserve">؛ والمختبر الوطني للفيزياء الفلكية – </w:t>
      </w:r>
      <w:r w:rsidRPr="00F30EF3">
        <w:rPr>
          <w:rFonts w:cstheme="minorHAnsi"/>
        </w:rPr>
        <w:t>LNA</w:t>
      </w:r>
      <w:r w:rsidRPr="00F30EF3">
        <w:rPr>
          <w:rFonts w:cstheme="minorHAnsi"/>
          <w:rtl/>
        </w:rPr>
        <w:t>.</w:t>
      </w:r>
    </w:p>
    <w:p w14:paraId="777C21DD" w14:textId="77777777" w:rsidR="004F6AC2" w:rsidRPr="00F30EF3" w:rsidRDefault="004F6AC2">
      <w:pPr>
        <w:autoSpaceDE w:val="0"/>
        <w:autoSpaceDN w:val="0"/>
        <w:adjustRightInd w:val="0"/>
        <w:spacing w:after="0" w:line="240" w:lineRule="auto"/>
        <w:jc w:val="both"/>
        <w:rPr>
          <w:rFonts w:cstheme="minorHAnsi"/>
          <w:lang w:val="en-US"/>
        </w:rPr>
      </w:pPr>
    </w:p>
    <w:p w14:paraId="702C1EEE" w14:textId="74030071" w:rsidR="006E5B9E" w:rsidRPr="00F30EF3"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cstheme="minorHAnsi"/>
          <w:b/>
          <w:bCs/>
          <w:rtl/>
        </w:rPr>
      </w:pPr>
      <w:r w:rsidRPr="00F30EF3">
        <w:rPr>
          <w:rFonts w:cstheme="minorHAnsi"/>
          <w:b/>
          <w:bCs/>
          <w:rtl/>
        </w:rPr>
        <w:t xml:space="preserve">الإطار </w:t>
      </w:r>
      <w:r w:rsidR="007125D3" w:rsidRPr="00F30EF3">
        <w:rPr>
          <w:rFonts w:cstheme="minorHAnsi"/>
          <w:b/>
          <w:bCs/>
        </w:rPr>
        <w:t>.2</w:t>
      </w:r>
      <w:r w:rsidR="005E05F8" w:rsidRPr="00F30EF3">
        <w:rPr>
          <w:rFonts w:cstheme="minorHAnsi"/>
          <w:b/>
          <w:bCs/>
        </w:rPr>
        <w:t>5</w:t>
      </w:r>
      <w:r w:rsidRPr="00F30EF3">
        <w:rPr>
          <w:rFonts w:cstheme="minorHAnsi"/>
          <w:b/>
          <w:bCs/>
          <w:rtl/>
        </w:rPr>
        <w:t xml:space="preserve"> مثال على مكتب حكومي</w:t>
      </w:r>
      <w:r w:rsidRPr="00F30EF3">
        <w:rPr>
          <w:rFonts w:cstheme="minorHAnsi"/>
          <w:rtl/>
        </w:rPr>
        <w:t xml:space="preserve"> </w:t>
      </w:r>
    </w:p>
    <w:p w14:paraId="67AB9635" w14:textId="77777777" w:rsidR="006E5B9E" w:rsidRPr="00F30EF3"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cstheme="minorHAnsi"/>
          <w:b/>
          <w:bCs/>
          <w:lang w:val="en-US"/>
        </w:rPr>
      </w:pPr>
    </w:p>
    <w:p w14:paraId="3CAE51EF" w14:textId="77777777" w:rsidR="0084079B" w:rsidRPr="00F30EF3" w:rsidRDefault="006E5B9E" w:rsidP="009D4A54">
      <w:pPr>
        <w:pStyle w:val="ListParagraph"/>
        <w:numPr>
          <w:ilvl w:val="0"/>
          <w:numId w:val="93"/>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cstheme="minorHAnsi"/>
          <w:b/>
          <w:bCs/>
          <w:rtl/>
        </w:rPr>
      </w:pPr>
      <w:r w:rsidRPr="00F30EF3">
        <w:rPr>
          <w:rFonts w:cstheme="minorHAnsi"/>
          <w:u w:val="single"/>
          <w:rtl/>
        </w:rPr>
        <w:t>المكتب الوطني لإدارة الملكية الفكرية (</w:t>
      </w:r>
      <w:r w:rsidRPr="00F30EF3">
        <w:rPr>
          <w:rFonts w:cstheme="minorHAnsi"/>
          <w:u w:val="single"/>
        </w:rPr>
        <w:t>NIPMO</w:t>
      </w:r>
      <w:r w:rsidRPr="00F30EF3">
        <w:rPr>
          <w:rFonts w:cstheme="minorHAnsi"/>
          <w:rtl/>
        </w:rPr>
        <w:t xml:space="preserve">)، جنوب أفريقيا  </w:t>
      </w:r>
    </w:p>
    <w:p w14:paraId="068A2022" w14:textId="77777777" w:rsidR="002E57D0" w:rsidRPr="00F30EF3" w:rsidRDefault="00C93885" w:rsidP="000810C3">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jc w:val="both"/>
        <w:rPr>
          <w:rFonts w:cstheme="minorHAnsi"/>
          <w:b/>
          <w:bCs/>
          <w:rtl/>
        </w:rPr>
      </w:pPr>
      <w:r w:rsidRPr="00F30EF3">
        <w:rPr>
          <w:rFonts w:cstheme="minorHAnsi"/>
          <w:rtl/>
        </w:rPr>
        <w:t xml:space="preserve">وعلى الرغم من أنه لا يعمل بوصفه مكتباً لإدارة الملكية الفكرية حصراً، إلا أنه ممكن لمكاتب إدارة الملكية الفكرية الدولية، حيث يوفر بناء القدرات إلى جانب امتلاكه صندوق ملكية فكرية. </w:t>
      </w:r>
    </w:p>
    <w:p w14:paraId="7BFF77D0" w14:textId="77777777" w:rsidR="002E57D0" w:rsidRPr="00F30EF3" w:rsidRDefault="002E57D0"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eastAsia="Arial Unicode MS" w:cstheme="minorHAnsi"/>
          <w:color w:val="333333"/>
          <w:rtl/>
        </w:rPr>
      </w:pPr>
      <w:r w:rsidRPr="00F30EF3">
        <w:rPr>
          <w:rFonts w:cstheme="minorHAnsi"/>
          <w:noProof/>
          <w:rtl/>
        </w:rPr>
        <w:drawing>
          <wp:inline distT="0" distB="0" distL="0" distR="0" wp14:anchorId="530ACE30" wp14:editId="6094F8E1">
            <wp:extent cx="1710099" cy="95765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12840" cy="959190"/>
                    </a:xfrm>
                    <a:prstGeom prst="rect">
                      <a:avLst/>
                    </a:prstGeom>
                  </pic:spPr>
                </pic:pic>
              </a:graphicData>
            </a:graphic>
          </wp:inline>
        </w:drawing>
      </w:r>
    </w:p>
    <w:p w14:paraId="12A46100" w14:textId="77777777" w:rsidR="007025A9" w:rsidRPr="00F30EF3" w:rsidRDefault="007025A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eastAsia="Arial Unicode MS" w:cstheme="minorHAnsi"/>
          <w:color w:val="333333"/>
          <w:lang w:val="en-US" w:eastAsia="en-GB"/>
        </w:rPr>
      </w:pPr>
    </w:p>
    <w:p w14:paraId="4729E8FC" w14:textId="67791E6E" w:rsidR="007025A9" w:rsidRPr="00F30EF3" w:rsidRDefault="00C93885"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jc w:val="both"/>
        <w:rPr>
          <w:rFonts w:cstheme="minorHAnsi"/>
          <w:rtl/>
        </w:rPr>
      </w:pPr>
      <w:r w:rsidRPr="00F30EF3">
        <w:rPr>
          <w:rFonts w:cstheme="minorHAnsi"/>
          <w:rtl/>
        </w:rPr>
        <w:t>وقد أُسس المكتب الوطني لإدارة الملكية الفكرية بموجب القسم 8 من قانون حقوق الملكية الفكرية في مجال البحوث والتنمية الممولة من القطاع العام لعام (2008). كما دُشن المكتب الوطني لإدارة الملكية الفكرية بصفته وحدة تقديم خدمات متخصصة (</w:t>
      </w:r>
      <w:r w:rsidRPr="00F30EF3">
        <w:rPr>
          <w:rFonts w:cstheme="minorHAnsi"/>
        </w:rPr>
        <w:t>SSDU</w:t>
      </w:r>
      <w:r w:rsidRPr="00F30EF3">
        <w:rPr>
          <w:rFonts w:cstheme="minorHAnsi"/>
          <w:rtl/>
        </w:rPr>
        <w:t>) اعتباراً من 13 ديسمبر 2013. ويتمتع رئيس المكتب الوطني لإدارة الملكية الفكرية بصلاحيات مقررة بموجب التشريعات.  ويعتمد المكتب الوطني لإدارة الملكية الفكرية على وزارة العلوم والتكنولوجيا لتوفير جميع خدمات الدعم.</w:t>
      </w:r>
    </w:p>
    <w:p w14:paraId="2DDBD6ED" w14:textId="77777777" w:rsidR="0084079B" w:rsidRPr="00F30EF3" w:rsidRDefault="0084079B"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jc w:val="both"/>
        <w:rPr>
          <w:rFonts w:cstheme="minorHAnsi"/>
          <w:lang w:val="en-US"/>
        </w:rPr>
      </w:pPr>
    </w:p>
    <w:p w14:paraId="65D11198" w14:textId="2C915F3E" w:rsidR="0084079B" w:rsidRPr="00F30EF3" w:rsidRDefault="00C93885"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jc w:val="both"/>
        <w:rPr>
          <w:rFonts w:cstheme="minorHAnsi"/>
          <w:rtl/>
        </w:rPr>
      </w:pPr>
      <w:r w:rsidRPr="00F30EF3">
        <w:rPr>
          <w:rFonts w:cstheme="minorHAnsi"/>
          <w:rtl/>
        </w:rPr>
        <w:t>تتمثل وظائف المكتب الوطني لإدارة الملكي</w:t>
      </w:r>
      <w:r w:rsidR="007125D3" w:rsidRPr="00F30EF3">
        <w:rPr>
          <w:rFonts w:cstheme="minorHAnsi" w:hint="cs"/>
          <w:rtl/>
          <w:lang w:bidi="ar-SA"/>
        </w:rPr>
        <w:t>ة</w:t>
      </w:r>
      <w:r w:rsidRPr="00F30EF3">
        <w:rPr>
          <w:rFonts w:cstheme="minorHAnsi"/>
          <w:rtl/>
        </w:rPr>
        <w:t xml:space="preserve"> الفكرية في: </w:t>
      </w:r>
    </w:p>
    <w:p w14:paraId="209CE9B5" w14:textId="77777777" w:rsidR="0084079B" w:rsidRPr="00F30EF3" w:rsidRDefault="002F570B" w:rsidP="009D4A54">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cstheme="minorHAnsi"/>
          <w:b/>
          <w:bCs/>
          <w:rtl/>
        </w:rPr>
      </w:pPr>
      <w:r w:rsidRPr="00F30EF3">
        <w:rPr>
          <w:rFonts w:cstheme="minorHAnsi"/>
          <w:rtl/>
        </w:rPr>
        <w:t xml:space="preserve">تعزيز أهداف قانون حقوق الملكية الفكرية في مجال البحوث والتنمية الممولة من القطاع العام؛ </w:t>
      </w:r>
    </w:p>
    <w:p w14:paraId="3EBE9766" w14:textId="77777777" w:rsidR="0084079B" w:rsidRPr="00F30EF3" w:rsidRDefault="002F570B" w:rsidP="009D4A54">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cstheme="minorHAnsi"/>
          <w:b/>
          <w:bCs/>
          <w:rtl/>
        </w:rPr>
      </w:pPr>
      <w:r w:rsidRPr="00F30EF3">
        <w:rPr>
          <w:rFonts w:cstheme="minorHAnsi"/>
          <w:rtl/>
        </w:rPr>
        <w:t xml:space="preserve">وضمان قدرتها على النظر في الملكية الفكرية التي يحيلها متلق ما؛ </w:t>
      </w:r>
    </w:p>
    <w:p w14:paraId="30C30B4F" w14:textId="5FFF9BF9" w:rsidR="0084079B" w:rsidRPr="00F30EF3" w:rsidRDefault="002F570B" w:rsidP="009D4A54">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cstheme="minorHAnsi"/>
          <w:b/>
          <w:bCs/>
          <w:rtl/>
        </w:rPr>
      </w:pPr>
      <w:r w:rsidRPr="00F30EF3">
        <w:rPr>
          <w:rFonts w:cstheme="minorHAnsi"/>
          <w:rtl/>
        </w:rPr>
        <w:t xml:space="preserve">والتنسيق مع المتلقين لتحديد مدى جدوى الحصول على حماية قانونية للملكية الفكرية، </w:t>
      </w:r>
    </w:p>
    <w:p w14:paraId="459594B7" w14:textId="77777777" w:rsidR="0084079B" w:rsidRPr="00F30EF3" w:rsidRDefault="002F570B" w:rsidP="009D4A54">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cstheme="minorHAnsi"/>
          <w:b/>
          <w:bCs/>
          <w:rtl/>
        </w:rPr>
      </w:pPr>
      <w:r w:rsidRPr="00F30EF3">
        <w:rPr>
          <w:rFonts w:cstheme="minorHAnsi"/>
          <w:rtl/>
        </w:rPr>
        <w:t xml:space="preserve">وإبرام أي معاملات خاصة بالملكية الفكرية؛ </w:t>
      </w:r>
    </w:p>
    <w:p w14:paraId="4E33B52B" w14:textId="77777777" w:rsidR="007125D3" w:rsidRPr="00F30EF3" w:rsidRDefault="002F570B" w:rsidP="00044BB6">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before="360" w:after="0" w:line="240" w:lineRule="auto"/>
        <w:ind w:left="0" w:firstLine="0"/>
        <w:jc w:val="both"/>
        <w:rPr>
          <w:rFonts w:cstheme="minorHAnsi"/>
        </w:rPr>
      </w:pPr>
      <w:r w:rsidRPr="00F30EF3">
        <w:rPr>
          <w:rFonts w:cstheme="minorHAnsi"/>
          <w:rtl/>
        </w:rPr>
        <w:t>وتسويق تلك الملكية الفكرية.</w:t>
      </w:r>
    </w:p>
    <w:p w14:paraId="6B7A282D" w14:textId="77777777" w:rsidR="007125D3" w:rsidRPr="00F30EF3" w:rsidRDefault="007125D3" w:rsidP="007125D3">
      <w:pPr>
        <w:pStyle w:val="FootnoteText"/>
        <w:ind w:left="360"/>
        <w:jc w:val="both"/>
        <w:rPr>
          <w:rFonts w:cstheme="minorHAnsi"/>
          <w:sz w:val="22"/>
        </w:rPr>
      </w:pPr>
    </w:p>
    <w:p w14:paraId="47F977BB" w14:textId="48731DB2" w:rsidR="007125D3" w:rsidRPr="00F30EF3" w:rsidRDefault="007125D3">
      <w:pPr>
        <w:bidi w:val="0"/>
        <w:rPr>
          <w:rFonts w:cstheme="minorHAnsi"/>
        </w:rPr>
      </w:pPr>
      <w:r w:rsidRPr="00F30EF3">
        <w:rPr>
          <w:rFonts w:cstheme="minorHAnsi"/>
          <w:rtl/>
        </w:rPr>
        <w:br w:type="page"/>
      </w:r>
    </w:p>
    <w:p w14:paraId="2415226D" w14:textId="1289AE01" w:rsidR="005E05F8" w:rsidRPr="00F30EF3" w:rsidRDefault="005E05F8" w:rsidP="005E05F8">
      <w:pPr>
        <w:bidi w:val="0"/>
        <w:jc w:val="right"/>
        <w:rPr>
          <w:rFonts w:cstheme="minorHAnsi"/>
          <w:b/>
          <w:bCs/>
          <w:color w:val="548DD4" w:themeColor="text2" w:themeTint="99"/>
          <w:sz w:val="24"/>
          <w:szCs w:val="24"/>
          <w:rtl/>
        </w:rPr>
      </w:pPr>
      <w:r w:rsidRPr="00F30EF3">
        <w:rPr>
          <w:rFonts w:cstheme="minorHAnsi" w:hint="cs"/>
          <w:b/>
          <w:bCs/>
          <w:color w:val="548DD4" w:themeColor="text2" w:themeTint="99"/>
          <w:sz w:val="24"/>
          <w:szCs w:val="24"/>
          <w:rtl/>
        </w:rPr>
        <w:lastRenderedPageBreak/>
        <w:t>موارد مفيدة تتعلق المادة 4</w:t>
      </w:r>
    </w:p>
    <w:p w14:paraId="2D4350B5" w14:textId="4864395D" w:rsidR="007025A9" w:rsidRPr="00F30EF3" w:rsidRDefault="007025A9" w:rsidP="009D4A54">
      <w:pPr>
        <w:pStyle w:val="FootnoteText"/>
        <w:numPr>
          <w:ilvl w:val="0"/>
          <w:numId w:val="19"/>
        </w:numPr>
        <w:ind w:left="426" w:hanging="426"/>
        <w:jc w:val="both"/>
        <w:rPr>
          <w:rFonts w:cstheme="minorHAnsi"/>
          <w:sz w:val="22"/>
          <w:rtl/>
        </w:rPr>
      </w:pPr>
      <w:r w:rsidRPr="00F30EF3">
        <w:rPr>
          <w:rFonts w:cstheme="minorHAnsi"/>
          <w:b/>
          <w:bCs/>
          <w:sz w:val="22"/>
          <w:rtl/>
        </w:rPr>
        <w:t>دور مكاتب إدارة الملكية الفكرية</w:t>
      </w:r>
      <w:r w:rsidRPr="00F30EF3">
        <w:rPr>
          <w:rFonts w:cstheme="minorHAnsi"/>
          <w:sz w:val="22"/>
          <w:rtl/>
        </w:rPr>
        <w:t>.</w:t>
      </w:r>
    </w:p>
    <w:p w14:paraId="0A7BF66A" w14:textId="77777777" w:rsidR="007025A9" w:rsidRPr="00F30EF3" w:rsidRDefault="007025A9" w:rsidP="009D4A54">
      <w:pPr>
        <w:pStyle w:val="FootnoteText"/>
        <w:numPr>
          <w:ilvl w:val="1"/>
          <w:numId w:val="58"/>
        </w:numPr>
        <w:ind w:left="709" w:hanging="283"/>
        <w:jc w:val="both"/>
        <w:rPr>
          <w:rFonts w:cstheme="minorHAnsi"/>
          <w:sz w:val="22"/>
          <w:rtl/>
        </w:rPr>
      </w:pPr>
      <w:r w:rsidRPr="00F30EF3">
        <w:rPr>
          <w:rFonts w:cstheme="minorHAnsi"/>
          <w:sz w:val="22"/>
          <w:rtl/>
        </w:rPr>
        <w:t xml:space="preserve">لمزيد من المعلومات حول أدوار ودوافع واهتمامات مكاتب إدارة الملكية الفكرية، انظر: منظمة التعاون والتنمية في الميدان الاقتصادي، منصة سياسة الابتكار، </w:t>
      </w:r>
      <w:hyperlink r:id="rId71" w:history="1">
        <w:r w:rsidRPr="00F30EF3">
          <w:rPr>
            <w:rStyle w:val="Hyperlink"/>
            <w:rFonts w:cstheme="minorHAnsi"/>
            <w:i/>
            <w:iCs/>
            <w:sz w:val="22"/>
            <w:rtl/>
          </w:rPr>
          <w:t>مكاتب نقل التكنولوجيا</w:t>
        </w:r>
      </w:hyperlink>
      <w:r w:rsidRPr="00F30EF3">
        <w:rPr>
          <w:rFonts w:cstheme="minorHAnsi"/>
          <w:i/>
          <w:iCs/>
          <w:sz w:val="22"/>
          <w:rtl/>
        </w:rPr>
        <w:t>.</w:t>
      </w:r>
      <w:r w:rsidRPr="00F30EF3">
        <w:rPr>
          <w:rFonts w:cstheme="minorHAnsi"/>
          <w:sz w:val="22"/>
          <w:rtl/>
        </w:rPr>
        <w:t xml:space="preserve"> </w:t>
      </w:r>
    </w:p>
    <w:p w14:paraId="50A8FEFF" w14:textId="77777777" w:rsidR="007025A9" w:rsidRPr="00F30EF3" w:rsidRDefault="00D3795B" w:rsidP="009D4A54">
      <w:pPr>
        <w:pStyle w:val="FootnoteText"/>
        <w:numPr>
          <w:ilvl w:val="1"/>
          <w:numId w:val="58"/>
        </w:numPr>
        <w:ind w:left="709" w:hanging="283"/>
        <w:jc w:val="both"/>
        <w:rPr>
          <w:rFonts w:cstheme="minorHAnsi"/>
          <w:sz w:val="22"/>
          <w:rtl/>
        </w:rPr>
      </w:pPr>
      <w:hyperlink r:id="rId72" w:history="1">
        <w:r w:rsidR="00372C70" w:rsidRPr="00F30EF3">
          <w:rPr>
            <w:rStyle w:val="Hyperlink"/>
            <w:rFonts w:cstheme="minorHAnsi"/>
            <w:i/>
            <w:iCs/>
            <w:sz w:val="22"/>
            <w:rtl/>
          </w:rPr>
          <w:t>إنشاء وتشغيل مكاتب نقل التكنولوجيا</w:t>
        </w:r>
      </w:hyperlink>
      <w:r w:rsidR="00372C70" w:rsidRPr="00F30EF3">
        <w:rPr>
          <w:rFonts w:cstheme="minorHAnsi"/>
          <w:i/>
          <w:iCs/>
          <w:sz w:val="22"/>
          <w:rtl/>
        </w:rPr>
        <w:t xml:space="preserve">، </w:t>
      </w:r>
      <w:r w:rsidR="00372C70" w:rsidRPr="00F30EF3">
        <w:rPr>
          <w:rFonts w:cstheme="minorHAnsi"/>
          <w:sz w:val="22"/>
          <w:rtl/>
        </w:rPr>
        <w:t>إدارة الابتكار لإقامة عالم أفضل (</w:t>
      </w:r>
      <w:r w:rsidR="00372C70" w:rsidRPr="00F30EF3">
        <w:rPr>
          <w:rFonts w:cstheme="minorHAnsi"/>
          <w:sz w:val="22"/>
        </w:rPr>
        <w:t>MIHR</w:t>
      </w:r>
      <w:r w:rsidR="00372C70" w:rsidRPr="00F30EF3">
        <w:rPr>
          <w:rFonts w:cstheme="minorHAnsi"/>
          <w:sz w:val="22"/>
          <w:rtl/>
        </w:rPr>
        <w:t>)، ومبادرة الموارد العامة للملكية الفكرية لأغراض الزراعة (</w:t>
      </w:r>
      <w:r w:rsidR="00372C70" w:rsidRPr="00F30EF3">
        <w:rPr>
          <w:rFonts w:cstheme="minorHAnsi"/>
          <w:sz w:val="22"/>
        </w:rPr>
        <w:t>PIPRA</w:t>
      </w:r>
      <w:r w:rsidR="00372C70" w:rsidRPr="00F30EF3">
        <w:rPr>
          <w:rFonts w:cstheme="minorHAnsi"/>
          <w:sz w:val="22"/>
          <w:rtl/>
        </w:rPr>
        <w:t>)، ومؤسسة أوسفالد كروز (</w:t>
      </w:r>
      <w:r w:rsidR="00372C70" w:rsidRPr="00F30EF3">
        <w:rPr>
          <w:rFonts w:cstheme="minorHAnsi"/>
          <w:sz w:val="22"/>
        </w:rPr>
        <w:t>FIOCRUZ</w:t>
      </w:r>
      <w:r w:rsidR="00372C70" w:rsidRPr="00F30EF3">
        <w:rPr>
          <w:rFonts w:cstheme="minorHAnsi"/>
          <w:sz w:val="22"/>
          <w:rtl/>
        </w:rPr>
        <w:t xml:space="preserve">)، ومعهد </w:t>
      </w:r>
      <w:r w:rsidR="00372C70" w:rsidRPr="00F30EF3">
        <w:rPr>
          <w:rFonts w:cstheme="minorHAnsi"/>
          <w:sz w:val="22"/>
        </w:rPr>
        <w:t>Biodevelopments Internationa</w:t>
      </w:r>
      <w:r w:rsidR="00372C70" w:rsidRPr="00F30EF3">
        <w:rPr>
          <w:rFonts w:cstheme="minorHAnsi"/>
          <w:sz w:val="22"/>
          <w:rtl/>
        </w:rPr>
        <w:t xml:space="preserve"> (2007). إدارة الملكية الفكرية في الابتكار الصحي والزراعي: دليل أفضل الممارسات. </w:t>
      </w:r>
    </w:p>
    <w:p w14:paraId="7E4B6934" w14:textId="77777777" w:rsidR="007025A9" w:rsidRPr="00F30EF3" w:rsidRDefault="007025A9" w:rsidP="009D4A54">
      <w:pPr>
        <w:pStyle w:val="ListParagraph"/>
        <w:numPr>
          <w:ilvl w:val="0"/>
          <w:numId w:val="89"/>
        </w:numPr>
        <w:tabs>
          <w:tab w:val="right" w:leader="dot" w:pos="10080"/>
        </w:tabs>
        <w:jc w:val="both"/>
        <w:rPr>
          <w:rFonts w:cstheme="minorHAnsi"/>
          <w:rtl/>
        </w:rPr>
      </w:pPr>
      <w:r w:rsidRPr="00F30EF3">
        <w:rPr>
          <w:rFonts w:cstheme="minorHAnsi"/>
          <w:rtl/>
        </w:rPr>
        <w:t xml:space="preserve">الويبو/مركز التجارة الدولية، </w:t>
      </w:r>
      <w:r w:rsidRPr="00F30EF3">
        <w:rPr>
          <w:rFonts w:cstheme="minorHAnsi"/>
          <w:i/>
          <w:iCs/>
          <w:rtl/>
        </w:rPr>
        <w:t>تبادل القيمة: التفاوض على اتفاقات ترخيص التكنولوجيا.  دليل تدريبي</w:t>
      </w:r>
      <w:r w:rsidRPr="00F30EF3">
        <w:rPr>
          <w:rFonts w:cstheme="minorHAnsi"/>
          <w:rtl/>
        </w:rPr>
        <w:t xml:space="preserve">،‏ 2005.  متاح على موقع مكتبة الويبو الإلكترونية: </w:t>
      </w:r>
      <w:hyperlink r:id="rId73" w:history="1">
        <w:r w:rsidRPr="00F30EF3">
          <w:rPr>
            <w:rStyle w:val="Hyperlink"/>
            <w:rFonts w:cstheme="minorHAnsi"/>
          </w:rPr>
          <w:t>http://www.wipo.int/ebookshop</w:t>
        </w:r>
      </w:hyperlink>
    </w:p>
    <w:p w14:paraId="2E0FF7A9" w14:textId="77777777" w:rsidR="007025A9" w:rsidRPr="00F30EF3" w:rsidRDefault="007025A9" w:rsidP="009D4A54">
      <w:pPr>
        <w:pStyle w:val="ListParagraph"/>
        <w:numPr>
          <w:ilvl w:val="0"/>
          <w:numId w:val="89"/>
        </w:numPr>
        <w:tabs>
          <w:tab w:val="right" w:leader="dot" w:pos="10080"/>
        </w:tabs>
        <w:jc w:val="both"/>
        <w:rPr>
          <w:rFonts w:cstheme="minorHAnsi"/>
          <w:rtl/>
        </w:rPr>
      </w:pPr>
      <w:r w:rsidRPr="00F30EF3">
        <w:rPr>
          <w:rFonts w:cstheme="minorHAnsi"/>
          <w:rtl/>
        </w:rPr>
        <w:t xml:space="preserve">جولدشايدر، ر (محرر.)، </w:t>
      </w:r>
      <w:r w:rsidRPr="00F30EF3">
        <w:rPr>
          <w:rFonts w:cstheme="minorHAnsi"/>
          <w:i/>
          <w:iCs/>
        </w:rPr>
        <w:t>The LESI Guide to Licensing Best Practices: Strategic</w:t>
      </w:r>
      <w:r w:rsidRPr="00F30EF3">
        <w:rPr>
          <w:rFonts w:cstheme="minorHAnsi"/>
          <w:i/>
          <w:iCs/>
          <w:rtl/>
        </w:rPr>
        <w:t>، ‏</w:t>
      </w:r>
      <w:r w:rsidRPr="00F30EF3">
        <w:rPr>
          <w:rFonts w:cstheme="minorHAnsi"/>
          <w:rtl/>
        </w:rPr>
        <w:t>2002.</w:t>
      </w:r>
    </w:p>
    <w:p w14:paraId="359CED54" w14:textId="77777777" w:rsidR="007025A9" w:rsidRPr="00F30EF3" w:rsidRDefault="007025A9" w:rsidP="009D4A54">
      <w:pPr>
        <w:pStyle w:val="ListParagraph"/>
        <w:numPr>
          <w:ilvl w:val="0"/>
          <w:numId w:val="89"/>
        </w:numPr>
        <w:tabs>
          <w:tab w:val="right" w:leader="dot" w:pos="10080"/>
        </w:tabs>
        <w:jc w:val="both"/>
        <w:rPr>
          <w:rFonts w:cstheme="minorHAnsi"/>
          <w:rtl/>
        </w:rPr>
      </w:pPr>
      <w:r w:rsidRPr="00F30EF3">
        <w:rPr>
          <w:rFonts w:cstheme="minorHAnsi"/>
          <w:rtl/>
        </w:rPr>
        <w:t xml:space="preserve">ر. مالوني ر، </w:t>
      </w:r>
      <w:hyperlink r:id="rId74" w:history="1">
        <w:r w:rsidRPr="00F30EF3">
          <w:rPr>
            <w:rStyle w:val="Hyperlink"/>
            <w:rFonts w:cstheme="minorHAnsi"/>
            <w:i/>
            <w:iCs/>
          </w:rPr>
          <w:t>Handbook of Best Practices for Management of Intellectual Property in Health Research and Development</w:t>
        </w:r>
      </w:hyperlink>
      <w:r w:rsidRPr="00F30EF3">
        <w:rPr>
          <w:rFonts w:cstheme="minorHAnsi"/>
          <w:rtl/>
        </w:rPr>
        <w:t>‏، 2004.</w:t>
      </w:r>
    </w:p>
    <w:p w14:paraId="60498EAC" w14:textId="77777777" w:rsidR="007025A9" w:rsidRPr="00F30EF3" w:rsidRDefault="007025A9" w:rsidP="009D4A54">
      <w:pPr>
        <w:pStyle w:val="ListParagraph"/>
        <w:numPr>
          <w:ilvl w:val="0"/>
          <w:numId w:val="89"/>
        </w:numPr>
        <w:tabs>
          <w:tab w:val="right" w:leader="dot" w:pos="10080"/>
        </w:tabs>
        <w:jc w:val="both"/>
        <w:rPr>
          <w:rFonts w:cstheme="minorHAnsi"/>
          <w:rtl/>
        </w:rPr>
      </w:pPr>
      <w:r w:rsidRPr="00F30EF3">
        <w:rPr>
          <w:rFonts w:cstheme="minorHAnsi"/>
          <w:i/>
          <w:iCs/>
          <w:lang w:val="fr-CH"/>
        </w:rPr>
        <w:t>Guía páctica para la creación y la gestión de oficinas de transferencia de tecnología en universidades y centros de investigación</w:t>
      </w:r>
      <w:r w:rsidRPr="00F30EF3">
        <w:rPr>
          <w:rFonts w:cstheme="minorHAnsi"/>
          <w:lang w:val="fr-CH"/>
        </w:rPr>
        <w:t xml:space="preserve">. </w:t>
      </w:r>
      <w:r w:rsidRPr="00F30EF3">
        <w:rPr>
          <w:rFonts w:cstheme="minorHAnsi"/>
          <w:i/>
          <w:iCs/>
        </w:rPr>
        <w:t>El rol de propiedad intelectual</w:t>
      </w:r>
      <w:r w:rsidRPr="00F30EF3">
        <w:rPr>
          <w:rFonts w:cstheme="minorHAnsi"/>
          <w:rtl/>
        </w:rPr>
        <w:t xml:space="preserve">، منشور الويبو رقم </w:t>
      </w:r>
      <w:r w:rsidRPr="00F30EF3">
        <w:rPr>
          <w:rFonts w:cstheme="minorHAnsi"/>
        </w:rPr>
        <w:t>1026S</w:t>
      </w:r>
      <w:r w:rsidRPr="00F30EF3">
        <w:rPr>
          <w:rFonts w:cstheme="minorHAnsi"/>
          <w:rtl/>
        </w:rPr>
        <w:t xml:space="preserve"> (الإسبانية فقط).</w:t>
      </w:r>
    </w:p>
    <w:p w14:paraId="00F3508D" w14:textId="266075AA" w:rsidR="007025A9" w:rsidRPr="00F30EF3" w:rsidRDefault="007025A9" w:rsidP="009D4A54">
      <w:pPr>
        <w:pStyle w:val="FootnoteText"/>
        <w:numPr>
          <w:ilvl w:val="0"/>
          <w:numId w:val="19"/>
        </w:numPr>
        <w:ind w:left="426" w:hanging="426"/>
        <w:jc w:val="both"/>
        <w:rPr>
          <w:rFonts w:cstheme="minorHAnsi"/>
          <w:sz w:val="22"/>
          <w:rtl/>
        </w:rPr>
      </w:pPr>
      <w:r w:rsidRPr="00F30EF3">
        <w:rPr>
          <w:rFonts w:cstheme="minorHAnsi"/>
          <w:b/>
          <w:bCs/>
          <w:sz w:val="22"/>
          <w:rtl/>
        </w:rPr>
        <w:t xml:space="preserve">المهارات الأساسية لموظفي مكتب إدارة الملكية الفكرية. </w:t>
      </w:r>
      <w:r w:rsidRPr="00F30EF3">
        <w:rPr>
          <w:rFonts w:cstheme="minorHAnsi"/>
          <w:sz w:val="22"/>
          <w:rtl/>
        </w:rPr>
        <w:t>يحتاج مسؤولو نقل التكنولوجيا إلى مجموعة معتادة من المؤهلات. لمزيد من المعلومات، انظر:</w:t>
      </w:r>
    </w:p>
    <w:p w14:paraId="1165F290" w14:textId="77777777" w:rsidR="007025A9" w:rsidRPr="00F30EF3" w:rsidRDefault="007025A9" w:rsidP="007125D3">
      <w:pPr>
        <w:pStyle w:val="FootnoteText"/>
        <w:spacing w:after="120"/>
        <w:ind w:left="720" w:hanging="288"/>
        <w:jc w:val="both"/>
        <w:rPr>
          <w:rFonts w:cstheme="minorHAnsi"/>
          <w:sz w:val="22"/>
          <w:rtl/>
        </w:rPr>
      </w:pPr>
      <w:r w:rsidRPr="00F30EF3">
        <w:rPr>
          <w:rFonts w:cstheme="minorHAnsi"/>
          <w:sz w:val="22"/>
          <w:rtl/>
        </w:rPr>
        <w:t xml:space="preserve">- </w:t>
      </w:r>
      <w:r w:rsidRPr="00F30EF3">
        <w:rPr>
          <w:rFonts w:cstheme="minorHAnsi"/>
          <w:sz w:val="22"/>
          <w:rtl/>
        </w:rPr>
        <w:tab/>
        <w:t>ل. نيلسون (2007).</w:t>
      </w:r>
      <w:hyperlink r:id="rId75" w:history="1">
        <w:r w:rsidRPr="00F30EF3">
          <w:rPr>
            <w:rFonts w:cstheme="minorHAnsi"/>
            <w:sz w:val="22"/>
          </w:rPr>
          <w:t xml:space="preserve"> </w:t>
        </w:r>
        <w:r w:rsidRPr="00F30EF3">
          <w:rPr>
            <w:rStyle w:val="Hyperlink"/>
            <w:rFonts w:cstheme="minorHAnsi"/>
            <w:sz w:val="22"/>
          </w:rPr>
          <w:t>Ten Things Heads of Universities Should Know about Setting Up a Technology Transfer Office</w:t>
        </w:r>
      </w:hyperlink>
      <w:r w:rsidRPr="00F30EF3">
        <w:rPr>
          <w:rFonts w:cstheme="minorHAnsi"/>
          <w:sz w:val="22"/>
          <w:rtl/>
        </w:rPr>
        <w:t>. في إدارة الملكية الفكرية في الابتكار الصحي والزراعي: دليل أفضل الممارسات.</w:t>
      </w:r>
    </w:p>
    <w:p w14:paraId="0A1CD5B2" w14:textId="77777777" w:rsidR="007025A9" w:rsidRPr="00F30EF3" w:rsidRDefault="007025A9" w:rsidP="009D4A54">
      <w:pPr>
        <w:pStyle w:val="FootnoteText"/>
        <w:numPr>
          <w:ilvl w:val="0"/>
          <w:numId w:val="19"/>
        </w:numPr>
        <w:ind w:left="426" w:hanging="426"/>
        <w:jc w:val="both"/>
        <w:rPr>
          <w:rFonts w:cstheme="minorHAnsi"/>
          <w:sz w:val="22"/>
          <w:rtl/>
        </w:rPr>
      </w:pPr>
      <w:r w:rsidRPr="00F30EF3">
        <w:rPr>
          <w:rFonts w:cstheme="minorHAnsi"/>
          <w:b/>
          <w:bCs/>
          <w:sz w:val="22"/>
          <w:rtl/>
        </w:rPr>
        <w:t>هيكل مكاتب إدارة الملكية الفكرية</w:t>
      </w:r>
      <w:r w:rsidRPr="00F30EF3">
        <w:rPr>
          <w:rFonts w:cstheme="minorHAnsi"/>
          <w:sz w:val="22"/>
          <w:rtl/>
        </w:rPr>
        <w:t>.</w:t>
      </w:r>
    </w:p>
    <w:p w14:paraId="0F3EBCC3" w14:textId="77777777" w:rsidR="007025A9" w:rsidRPr="00F30EF3" w:rsidRDefault="007025A9" w:rsidP="007125D3">
      <w:pPr>
        <w:pStyle w:val="FootnoteText"/>
        <w:numPr>
          <w:ilvl w:val="1"/>
          <w:numId w:val="60"/>
        </w:numPr>
        <w:spacing w:after="120"/>
        <w:ind w:left="720" w:hanging="288"/>
        <w:jc w:val="both"/>
        <w:rPr>
          <w:rFonts w:cstheme="minorHAnsi"/>
          <w:i/>
          <w:iCs/>
          <w:sz w:val="22"/>
          <w:rtl/>
        </w:rPr>
      </w:pPr>
      <w:r w:rsidRPr="00F30EF3">
        <w:rPr>
          <w:rFonts w:cstheme="minorHAnsi"/>
          <w:sz w:val="22"/>
          <w:rtl/>
        </w:rPr>
        <w:t xml:space="preserve">للمزيد عن مزايا المكتب المنفصل وعيوبه: جامعة أوكسفورد للابتكار (2009‏)، </w:t>
      </w:r>
      <w:hyperlink r:id="rId76" w:history="1">
        <w:r w:rsidRPr="00F30EF3">
          <w:rPr>
            <w:rStyle w:val="Hyperlink"/>
            <w:rFonts w:cstheme="minorHAnsi"/>
            <w:i/>
            <w:iCs/>
            <w:sz w:val="22"/>
            <w:rtl/>
          </w:rPr>
          <w:t>ما الهيكل الأفضل لمكتب نقل التكنولوجيا بالجامعة؟</w:t>
        </w:r>
      </w:hyperlink>
      <w:r w:rsidRPr="00F30EF3">
        <w:rPr>
          <w:rFonts w:cstheme="minorHAnsi"/>
          <w:sz w:val="22"/>
          <w:rtl/>
        </w:rPr>
        <w:t xml:space="preserve"> </w:t>
      </w:r>
    </w:p>
    <w:p w14:paraId="3D769389" w14:textId="77777777" w:rsidR="00C40775" w:rsidRPr="00F30EF3" w:rsidRDefault="007025A9" w:rsidP="009D4A54">
      <w:pPr>
        <w:pStyle w:val="ListParagraph"/>
        <w:numPr>
          <w:ilvl w:val="0"/>
          <w:numId w:val="133"/>
        </w:numPr>
        <w:tabs>
          <w:tab w:val="left" w:pos="851"/>
        </w:tabs>
        <w:spacing w:after="0" w:line="240" w:lineRule="auto"/>
        <w:ind w:left="426" w:hanging="426"/>
        <w:jc w:val="both"/>
        <w:rPr>
          <w:rFonts w:cstheme="minorHAnsi"/>
          <w:b/>
          <w:bCs/>
          <w:rtl/>
        </w:rPr>
      </w:pPr>
      <w:r w:rsidRPr="00F30EF3">
        <w:rPr>
          <w:rFonts w:cstheme="minorHAnsi"/>
          <w:b/>
          <w:bCs/>
          <w:rtl/>
        </w:rPr>
        <w:t xml:space="preserve">إدارة الملكية الفكرية، وتسويقها، ونقل المعرفة في الجامعات والمؤسسات البحثية. </w:t>
      </w:r>
      <w:r w:rsidRPr="00F30EF3">
        <w:rPr>
          <w:rFonts w:cstheme="minorHAnsi"/>
          <w:rtl/>
        </w:rPr>
        <w:t>أمامك مجموعة من الموارد العامة التي تحتوي على معلومات واستراتيجيات للاستفادة من قوة الملكية الفكرية التي تنشأ في المؤسسات:</w:t>
      </w:r>
    </w:p>
    <w:p w14:paraId="0906CD8F" w14:textId="44ACD8A7" w:rsidR="00BF5184" w:rsidRPr="00F30EF3" w:rsidRDefault="00AC2CB2" w:rsidP="009D4A54">
      <w:pPr>
        <w:pStyle w:val="FootnoteText"/>
        <w:numPr>
          <w:ilvl w:val="1"/>
          <w:numId w:val="58"/>
        </w:numPr>
        <w:ind w:left="709" w:hanging="283"/>
        <w:jc w:val="both"/>
        <w:rPr>
          <w:rFonts w:cstheme="minorHAnsi"/>
          <w:sz w:val="22"/>
          <w:rtl/>
        </w:rPr>
      </w:pPr>
      <w:r w:rsidRPr="00F30EF3">
        <w:rPr>
          <w:rFonts w:cstheme="minorHAnsi"/>
          <w:sz w:val="22"/>
          <w:rtl/>
        </w:rPr>
        <w:t xml:space="preserve">تقدم الويبو </w:t>
      </w:r>
      <w:hyperlink r:id="rId77" w:history="1">
        <w:r w:rsidR="007125D3" w:rsidRPr="00F30EF3">
          <w:rPr>
            <w:rStyle w:val="Hyperlink"/>
            <w:rFonts w:cstheme="minorHAnsi" w:hint="cs"/>
            <w:sz w:val="22"/>
            <w:rtl/>
          </w:rPr>
          <w:t>الد</w:t>
        </w:r>
        <w:r w:rsidRPr="00F30EF3">
          <w:rPr>
            <w:rStyle w:val="Hyperlink"/>
            <w:rFonts w:cstheme="minorHAnsi"/>
            <w:sz w:val="22"/>
            <w:rtl/>
          </w:rPr>
          <w:t>ورة المتقدمة للتعليم عن بعد بشأن إدارة الملكية الفكرية (</w:t>
        </w:r>
        <w:r w:rsidRPr="00F30EF3">
          <w:rPr>
            <w:rStyle w:val="Hyperlink"/>
            <w:rFonts w:cstheme="minorHAnsi"/>
            <w:sz w:val="22"/>
          </w:rPr>
          <w:t>DL-450</w:t>
        </w:r>
        <w:r w:rsidRPr="00F30EF3">
          <w:rPr>
            <w:rStyle w:val="Hyperlink"/>
            <w:rFonts w:cstheme="minorHAnsi"/>
            <w:sz w:val="22"/>
            <w:rtl/>
          </w:rPr>
          <w:t>)</w:t>
        </w:r>
      </w:hyperlink>
      <w:r w:rsidRPr="00F30EF3">
        <w:rPr>
          <w:rFonts w:cstheme="minorHAnsi"/>
          <w:sz w:val="22"/>
          <w:rtl/>
        </w:rPr>
        <w:t xml:space="preserve">، والتي تتناول المفاهيم الأساسية لإدارة الملكية الفكرية، وتسويقها وترخيصها والممارسات الفضلى التي تسلط الضوء على دور الملكية الفكرية في دورة الابتكار لتحقيق المنافع الاقتصادية والاجتماعية.  ويمد خبير في إدارة الملكية الفكرية يد العون لكل مشارك خلال الدورة. </w:t>
      </w:r>
    </w:p>
    <w:p w14:paraId="650891CE" w14:textId="77777777" w:rsidR="007025A9" w:rsidRPr="00F30EF3" w:rsidRDefault="007025A9" w:rsidP="009D4A54">
      <w:pPr>
        <w:pStyle w:val="FootnoteText"/>
        <w:numPr>
          <w:ilvl w:val="1"/>
          <w:numId w:val="58"/>
        </w:numPr>
        <w:ind w:left="709" w:hanging="283"/>
        <w:rPr>
          <w:rFonts w:cstheme="minorHAnsi"/>
          <w:sz w:val="22"/>
          <w:rtl/>
        </w:rPr>
      </w:pPr>
      <w:r w:rsidRPr="00F30EF3">
        <w:rPr>
          <w:rFonts w:cstheme="minorHAnsi"/>
          <w:sz w:val="22"/>
          <w:rtl/>
        </w:rPr>
        <w:t>رابطة الصلات بين البحوث الجامعية وقطاع الصناعة (</w:t>
      </w:r>
      <w:r w:rsidRPr="00F30EF3">
        <w:rPr>
          <w:rFonts w:cstheme="minorHAnsi"/>
          <w:sz w:val="22"/>
        </w:rPr>
        <w:t>AURIL</w:t>
      </w:r>
      <w:r w:rsidRPr="00F30EF3">
        <w:rPr>
          <w:rFonts w:cstheme="minorHAnsi"/>
          <w:sz w:val="22"/>
          <w:rtl/>
        </w:rPr>
        <w:t>)/منظمة جامعات المملكة المتحدة (</w:t>
      </w:r>
      <w:r w:rsidRPr="00F30EF3">
        <w:rPr>
          <w:rFonts w:cstheme="minorHAnsi"/>
          <w:sz w:val="22"/>
        </w:rPr>
        <w:t>UUK</w:t>
      </w:r>
      <w:r w:rsidRPr="00F30EF3">
        <w:rPr>
          <w:rFonts w:cstheme="minorHAnsi"/>
          <w:sz w:val="22"/>
          <w:rtl/>
        </w:rPr>
        <w:t xml:space="preserve">)/مكتب البراءات، </w:t>
      </w:r>
      <w:hyperlink r:id="rId78" w:history="1">
        <w:r w:rsidRPr="00F30EF3">
          <w:rPr>
            <w:rStyle w:val="Hyperlink"/>
            <w:rFonts w:cstheme="minorHAnsi"/>
            <w:sz w:val="22"/>
            <w:rtl/>
          </w:rPr>
          <w:t>إدارة الملكية الفكرية – دليل لاتخاذ القرارات الاستراتيجية في الجامعات</w:t>
        </w:r>
      </w:hyperlink>
      <w:r w:rsidRPr="00F30EF3">
        <w:rPr>
          <w:rFonts w:cstheme="minorHAnsi"/>
          <w:sz w:val="22"/>
          <w:rtl/>
        </w:rPr>
        <w:t xml:space="preserve">. </w:t>
      </w:r>
    </w:p>
    <w:p w14:paraId="14CE8825" w14:textId="77777777" w:rsidR="007025A9" w:rsidRPr="00F30EF3" w:rsidRDefault="007025A9" w:rsidP="009D4A54">
      <w:pPr>
        <w:pStyle w:val="FootnoteText"/>
        <w:numPr>
          <w:ilvl w:val="1"/>
          <w:numId w:val="58"/>
        </w:numPr>
        <w:ind w:left="709" w:hanging="283"/>
        <w:jc w:val="both"/>
        <w:rPr>
          <w:rStyle w:val="Hyperlink"/>
          <w:rFonts w:cstheme="minorHAnsi"/>
          <w:color w:val="auto"/>
          <w:sz w:val="22"/>
          <w:u w:val="none"/>
          <w:rtl/>
        </w:rPr>
      </w:pPr>
      <w:r w:rsidRPr="00F30EF3">
        <w:rPr>
          <w:rFonts w:cstheme="minorHAnsi"/>
          <w:sz w:val="22"/>
          <w:rtl/>
        </w:rPr>
        <w:t>جمعية مديري التكنولوجيا بالجامعات (</w:t>
      </w:r>
      <w:r w:rsidRPr="00F30EF3">
        <w:rPr>
          <w:rFonts w:cstheme="minorHAnsi"/>
          <w:sz w:val="22"/>
        </w:rPr>
        <w:t>AUTM</w:t>
      </w:r>
      <w:r w:rsidRPr="00F30EF3">
        <w:rPr>
          <w:rFonts w:cstheme="minorHAnsi"/>
          <w:sz w:val="22"/>
          <w:rtl/>
        </w:rPr>
        <w:t xml:space="preserve">)، دليل ممارسات نقل التكنولوجيا، متاح على </w:t>
      </w:r>
      <w:hyperlink r:id="rId79" w:history="1">
        <w:r w:rsidRPr="00F30EF3">
          <w:rPr>
            <w:rStyle w:val="Hyperlink"/>
            <w:rFonts w:cstheme="minorHAnsi"/>
            <w:sz w:val="22"/>
          </w:rPr>
          <w:t>www.autm.net</w:t>
        </w:r>
      </w:hyperlink>
    </w:p>
    <w:p w14:paraId="5249B407" w14:textId="77777777" w:rsidR="00C40775" w:rsidRPr="00F30EF3" w:rsidRDefault="0028017B" w:rsidP="009D4A54">
      <w:pPr>
        <w:pStyle w:val="FootnoteText"/>
        <w:numPr>
          <w:ilvl w:val="1"/>
          <w:numId w:val="58"/>
        </w:numPr>
        <w:ind w:left="709" w:hanging="283"/>
        <w:jc w:val="both"/>
        <w:rPr>
          <w:rFonts w:cstheme="minorHAnsi"/>
          <w:sz w:val="22"/>
          <w:rtl/>
        </w:rPr>
      </w:pPr>
      <w:r w:rsidRPr="00F30EF3">
        <w:rPr>
          <w:rFonts w:cstheme="minorHAnsi"/>
          <w:sz w:val="22"/>
          <w:rtl/>
        </w:rPr>
        <w:t>إدارة الملكية الفكرية في الابتكار الصحي والزراعي: دليل أفضل الممارسات (</w:t>
      </w:r>
      <w:hyperlink r:id="rId80" w:history="1">
        <w:r w:rsidRPr="00F30EF3">
          <w:rPr>
            <w:rStyle w:val="Hyperlink"/>
            <w:rFonts w:cstheme="minorHAnsi"/>
            <w:sz w:val="22"/>
            <w:rtl/>
          </w:rPr>
          <w:t>دليل ملكية فكرية</w:t>
        </w:r>
      </w:hyperlink>
      <w:r w:rsidRPr="00F30EF3">
        <w:rPr>
          <w:rFonts w:cstheme="minorHAnsi"/>
          <w:sz w:val="22"/>
          <w:rtl/>
        </w:rPr>
        <w:t>)، إدارة الابتكار لإقامة عالم أفضل (</w:t>
      </w:r>
      <w:r w:rsidRPr="00F30EF3">
        <w:rPr>
          <w:rFonts w:cstheme="minorHAnsi"/>
          <w:sz w:val="22"/>
        </w:rPr>
        <w:t>MIHR</w:t>
      </w:r>
      <w:r w:rsidRPr="00F30EF3">
        <w:rPr>
          <w:rFonts w:cstheme="minorHAnsi"/>
          <w:sz w:val="22"/>
          <w:rtl/>
        </w:rPr>
        <w:t>)، مبادرة الموارد العامة للملكية الفكرية لأغراض الزراعة (</w:t>
      </w:r>
      <w:r w:rsidRPr="00F30EF3">
        <w:rPr>
          <w:rFonts w:cstheme="minorHAnsi"/>
          <w:sz w:val="22"/>
        </w:rPr>
        <w:t>PIPRA</w:t>
      </w:r>
      <w:r w:rsidRPr="00F30EF3">
        <w:rPr>
          <w:rFonts w:cstheme="minorHAnsi"/>
          <w:sz w:val="22"/>
          <w:rtl/>
        </w:rPr>
        <w:t>)، ومؤسسة أوسفالد كروز (</w:t>
      </w:r>
      <w:r w:rsidRPr="00F30EF3">
        <w:rPr>
          <w:rFonts w:cstheme="minorHAnsi"/>
          <w:sz w:val="22"/>
        </w:rPr>
        <w:t>FIOCRUZ</w:t>
      </w:r>
      <w:r w:rsidRPr="00F30EF3">
        <w:rPr>
          <w:rFonts w:cstheme="minorHAnsi"/>
          <w:sz w:val="22"/>
          <w:rtl/>
        </w:rPr>
        <w:t xml:space="preserve">)، ومعهد </w:t>
      </w:r>
      <w:r w:rsidRPr="00F30EF3">
        <w:rPr>
          <w:rFonts w:cstheme="minorHAnsi"/>
          <w:sz w:val="22"/>
        </w:rPr>
        <w:t>Biodevelopments International</w:t>
      </w:r>
    </w:p>
    <w:p w14:paraId="708C6069" w14:textId="77777777" w:rsidR="0028017B" w:rsidRPr="00F30EF3" w:rsidRDefault="0028017B" w:rsidP="009D4A54">
      <w:pPr>
        <w:pStyle w:val="FootnoteText"/>
        <w:numPr>
          <w:ilvl w:val="1"/>
          <w:numId w:val="58"/>
        </w:numPr>
        <w:ind w:left="709" w:hanging="283"/>
        <w:jc w:val="both"/>
        <w:rPr>
          <w:rFonts w:cstheme="minorHAnsi"/>
          <w:sz w:val="22"/>
          <w:rtl/>
        </w:rPr>
      </w:pPr>
      <w:r w:rsidRPr="00F30EF3">
        <w:rPr>
          <w:rFonts w:cstheme="minorHAnsi"/>
          <w:sz w:val="22"/>
          <w:rtl/>
        </w:rPr>
        <w:t xml:space="preserve">لمزيد من المعلومات: انظر قائمة الموارد المتاحة على </w:t>
      </w:r>
      <w:hyperlink r:id="rId81" w:history="1">
        <w:r w:rsidRPr="00F30EF3">
          <w:rPr>
            <w:rStyle w:val="Hyperlink"/>
            <w:rFonts w:cstheme="minorHAnsi"/>
            <w:sz w:val="22"/>
            <w:rtl/>
          </w:rPr>
          <w:t>موقع الويبو</w:t>
        </w:r>
      </w:hyperlink>
      <w:r w:rsidRPr="00F30EF3">
        <w:rPr>
          <w:rFonts w:cstheme="minorHAnsi"/>
          <w:sz w:val="22"/>
          <w:rtl/>
        </w:rPr>
        <w:t>، تحت موضوع "إدارة الملكية الفكرية ونقل التكنولوجيا"</w:t>
      </w:r>
    </w:p>
    <w:p w14:paraId="545B7D40" w14:textId="77777777" w:rsidR="00007B07" w:rsidRPr="00F30EF3" w:rsidRDefault="00007B07" w:rsidP="00B7519E">
      <w:pPr>
        <w:rPr>
          <w:rFonts w:cstheme="minorHAnsi"/>
          <w:color w:val="000000" w:themeColor="text1"/>
          <w:rtl/>
          <w:lang w:val="en-US"/>
        </w:rPr>
      </w:pPr>
    </w:p>
    <w:p w14:paraId="548E22E2" w14:textId="6BDD0D98" w:rsidR="00857E18" w:rsidRPr="00F30EF3" w:rsidRDefault="00857E18">
      <w:pPr>
        <w:bidi w:val="0"/>
        <w:rPr>
          <w:rFonts w:cstheme="minorHAnsi"/>
          <w:color w:val="000000" w:themeColor="text1"/>
          <w:rtl/>
          <w:lang w:val="en-US"/>
        </w:rPr>
      </w:pPr>
      <w:r w:rsidRPr="00F30EF3">
        <w:rPr>
          <w:rFonts w:cstheme="minorHAnsi"/>
          <w:color w:val="000000" w:themeColor="text1"/>
          <w:rtl/>
          <w:lang w:val="en-US"/>
        </w:rPr>
        <w:br w:type="page"/>
      </w:r>
    </w:p>
    <w:p w14:paraId="54E0E9AC" w14:textId="77777777" w:rsidR="00E22076" w:rsidRPr="00F30EF3" w:rsidRDefault="00E22076" w:rsidP="002F3C51">
      <w:pPr>
        <w:pStyle w:val="Heading2"/>
        <w:rPr>
          <w:rFonts w:asciiTheme="minorHAnsi" w:hAnsiTheme="minorHAnsi" w:cstheme="minorHAnsi"/>
          <w:sz w:val="22"/>
          <w:szCs w:val="22"/>
          <w:rtl/>
        </w:rPr>
      </w:pPr>
      <w:bookmarkStart w:id="143" w:name="_Toc482103093"/>
    </w:p>
    <w:p w14:paraId="53715B20" w14:textId="77777777" w:rsidR="004942A7" w:rsidRPr="00F30EF3" w:rsidRDefault="00060558" w:rsidP="002F3C51">
      <w:pPr>
        <w:pStyle w:val="Heading2"/>
        <w:rPr>
          <w:rFonts w:asciiTheme="minorHAnsi" w:hAnsiTheme="minorHAnsi" w:cstheme="minorHAnsi"/>
          <w:rtl/>
        </w:rPr>
      </w:pPr>
      <w:bookmarkStart w:id="144" w:name="_Toc516160058"/>
      <w:bookmarkStart w:id="145" w:name="_Toc516219401"/>
      <w:bookmarkStart w:id="146" w:name="_Toc516496043"/>
      <w:bookmarkStart w:id="147" w:name="_Toc516829415"/>
      <w:bookmarkStart w:id="148" w:name="_Toc178260763"/>
      <w:r w:rsidRPr="00F30EF3">
        <w:rPr>
          <w:rFonts w:asciiTheme="minorHAnsi" w:hAnsiTheme="minorHAnsi" w:cstheme="minorHAnsi"/>
          <w:rtl/>
        </w:rPr>
        <w:t>المادة 5 - ملكية الملكية الفكرية وحقوق الاستخدام</w:t>
      </w:r>
      <w:bookmarkEnd w:id="144"/>
      <w:bookmarkEnd w:id="145"/>
      <w:bookmarkEnd w:id="146"/>
      <w:bookmarkEnd w:id="147"/>
      <w:bookmarkEnd w:id="148"/>
      <w:r w:rsidRPr="00F30EF3">
        <w:rPr>
          <w:rFonts w:asciiTheme="minorHAnsi" w:hAnsiTheme="minorHAnsi" w:cstheme="minorHAnsi"/>
          <w:rtl/>
        </w:rPr>
        <w:t xml:space="preserve"> </w:t>
      </w:r>
    </w:p>
    <w:p w14:paraId="3EC1CD31" w14:textId="77777777" w:rsidR="00E22076" w:rsidRPr="00F30EF3" w:rsidRDefault="00E22076" w:rsidP="002F3C51">
      <w:pPr>
        <w:pStyle w:val="Heading2"/>
        <w:rPr>
          <w:rFonts w:asciiTheme="minorHAnsi" w:hAnsiTheme="minorHAnsi" w:cstheme="minorHAnsi"/>
          <w:sz w:val="22"/>
          <w:szCs w:val="22"/>
          <w:lang w:val="en-US"/>
        </w:rPr>
      </w:pPr>
    </w:p>
    <w:p w14:paraId="050CC3CD" w14:textId="03EE58C0" w:rsidR="00032572" w:rsidRPr="00F30EF3" w:rsidRDefault="00032572">
      <w:pPr>
        <w:bidi w:val="0"/>
        <w:rPr>
          <w:rFonts w:eastAsiaTheme="minorHAnsi" w:cstheme="minorHAnsi"/>
          <w:b/>
          <w:bCs/>
          <w:color w:val="0070C0"/>
          <w:rtl/>
          <w:lang w:val="en-US" w:eastAsia="en-US"/>
        </w:rPr>
      </w:pPr>
      <w:bookmarkStart w:id="149" w:name="_Toc494115966"/>
      <w:bookmarkStart w:id="150" w:name="_Toc516160059"/>
      <w:bookmarkStart w:id="151" w:name="_Toc516219402"/>
      <w:bookmarkStart w:id="152" w:name="_Toc516496044"/>
      <w:bookmarkStart w:id="153" w:name="_Toc516829416"/>
      <w:bookmarkEnd w:id="143"/>
    </w:p>
    <w:p w14:paraId="2BE9A03A" w14:textId="42BDC3C9" w:rsidR="00194209" w:rsidRPr="00F30EF3" w:rsidRDefault="00C251E9" w:rsidP="00032572">
      <w:pPr>
        <w:pStyle w:val="Heading3"/>
        <w:spacing w:before="0" w:after="120"/>
        <w:rPr>
          <w:rFonts w:asciiTheme="minorHAnsi" w:hAnsiTheme="minorHAnsi" w:cstheme="minorHAnsi"/>
          <w:sz w:val="24"/>
          <w:szCs w:val="24"/>
          <w:rtl/>
        </w:rPr>
      </w:pPr>
      <w:r w:rsidRPr="00F30EF3">
        <w:rPr>
          <w:rFonts w:asciiTheme="minorHAnsi" w:hAnsiTheme="minorHAnsi" w:cstheme="minorHAnsi"/>
          <w:sz w:val="24"/>
          <w:szCs w:val="24"/>
          <w:rtl/>
        </w:rPr>
        <w:t>إرشادات عامة لتحديد ملكية الملكية الفكرية</w:t>
      </w:r>
      <w:bookmarkEnd w:id="149"/>
      <w:bookmarkEnd w:id="150"/>
      <w:bookmarkEnd w:id="151"/>
      <w:bookmarkEnd w:id="152"/>
      <w:bookmarkEnd w:id="153"/>
      <w:r w:rsidRPr="00F30EF3">
        <w:rPr>
          <w:rFonts w:asciiTheme="minorHAnsi" w:hAnsiTheme="minorHAnsi" w:cstheme="minorHAnsi"/>
          <w:sz w:val="24"/>
          <w:szCs w:val="24"/>
          <w:rtl/>
        </w:rPr>
        <w:t xml:space="preserve"> </w:t>
      </w:r>
    </w:p>
    <w:p w14:paraId="3CB4993A" w14:textId="77777777" w:rsidR="007D0C94" w:rsidRPr="00F30EF3" w:rsidRDefault="007D0C94" w:rsidP="00032572">
      <w:pPr>
        <w:spacing w:after="120" w:line="240" w:lineRule="auto"/>
        <w:jc w:val="both"/>
        <w:rPr>
          <w:rFonts w:cstheme="minorHAnsi"/>
          <w:rtl/>
        </w:rPr>
      </w:pPr>
      <w:r w:rsidRPr="00F30EF3">
        <w:rPr>
          <w:rFonts w:cstheme="minorHAnsi"/>
          <w:rtl/>
        </w:rPr>
        <w:t>فيما يلي ثلاث قواعد عامة للخطوات الواجب اتباعها في تحديد ملكية الملكية الفكرية التي أُنشئت في الجامعات والمؤسسات البحثية:</w:t>
      </w:r>
    </w:p>
    <w:p w14:paraId="49CA249E" w14:textId="77777777" w:rsidR="00E27A4C" w:rsidRPr="00F30EF3" w:rsidRDefault="00C1731A" w:rsidP="00032572">
      <w:pPr>
        <w:spacing w:after="120" w:line="240" w:lineRule="auto"/>
        <w:ind w:left="567" w:hanging="567"/>
        <w:jc w:val="both"/>
        <w:rPr>
          <w:rFonts w:eastAsia="Times New Roman" w:cstheme="minorHAnsi"/>
          <w:b/>
          <w:bCs/>
          <w:color w:val="0070C0"/>
          <w:sz w:val="24"/>
          <w:szCs w:val="24"/>
          <w:rtl/>
        </w:rPr>
      </w:pPr>
      <w:r w:rsidRPr="00F30EF3">
        <w:rPr>
          <w:rFonts w:cstheme="minorHAnsi"/>
          <w:b/>
          <w:bCs/>
          <w:color w:val="0070C0"/>
          <w:sz w:val="24"/>
          <w:szCs w:val="24"/>
          <w:rtl/>
        </w:rPr>
        <w:t>القاعدة الأولى - التحقق من التشريعات الوطنية</w:t>
      </w:r>
    </w:p>
    <w:p w14:paraId="6DF3EAB5" w14:textId="77777777" w:rsidR="00C251E9" w:rsidRPr="00F30EF3" w:rsidRDefault="00C278C2" w:rsidP="002E0160">
      <w:pPr>
        <w:pStyle w:val="ListParagraph"/>
        <w:numPr>
          <w:ilvl w:val="0"/>
          <w:numId w:val="19"/>
        </w:numPr>
        <w:tabs>
          <w:tab w:val="left" w:pos="426"/>
        </w:tabs>
        <w:spacing w:after="120" w:line="240" w:lineRule="auto"/>
        <w:ind w:left="432" w:hanging="432"/>
        <w:contextualSpacing w:val="0"/>
        <w:jc w:val="both"/>
        <w:rPr>
          <w:rFonts w:cstheme="minorHAnsi"/>
          <w:color w:val="000000"/>
          <w:rtl/>
        </w:rPr>
      </w:pPr>
      <w:r w:rsidRPr="00F30EF3">
        <w:rPr>
          <w:rFonts w:cstheme="minorHAnsi"/>
          <w:rtl/>
        </w:rPr>
        <w:t>ينبغي للمؤسسات أن تجري تحليلاً شاملاً للأحكام التشريعية الوطنية، إن وجدت، بشأن ملكية الملكية الفكرية لأن سياسة الملكية الفكرية المؤسسية يجب أن تمتثل لأي أحكام تشريعية وطنية</w:t>
      </w:r>
      <w:r w:rsidR="007D0C94" w:rsidRPr="00F30EF3">
        <w:rPr>
          <w:rStyle w:val="FootnoteReference"/>
          <w:rFonts w:eastAsia="Times New Roman" w:cstheme="minorHAnsi"/>
          <w:rtl/>
          <w:lang w:val="en-US"/>
        </w:rPr>
        <w:footnoteReference w:id="95"/>
      </w:r>
      <w:r w:rsidRPr="00F30EF3">
        <w:rPr>
          <w:rFonts w:cstheme="minorHAnsi"/>
          <w:rtl/>
        </w:rPr>
        <w:t xml:space="preserve"> – فلا يمكن للشخص أن يتعاقد دون الوقوف على التشريعات. وحيثما سكت القانون الوطني أو خضع للتأويل، يمكن أن تصاغ سياسة الملكية الفكرية المؤسسية خصيصاً لتتناسب مع رؤية المؤسسة ورسالتها لتسويق الملكية الفكرية.</w:t>
      </w:r>
    </w:p>
    <w:p w14:paraId="418006AF" w14:textId="77777777" w:rsidR="007D0C94" w:rsidRPr="00F30EF3" w:rsidRDefault="00194209" w:rsidP="00032572">
      <w:pPr>
        <w:pStyle w:val="ListParagraph"/>
        <w:numPr>
          <w:ilvl w:val="0"/>
          <w:numId w:val="19"/>
        </w:numPr>
        <w:spacing w:after="120" w:line="240" w:lineRule="auto"/>
        <w:ind w:left="432" w:hanging="426"/>
        <w:contextualSpacing w:val="0"/>
        <w:jc w:val="both"/>
        <w:rPr>
          <w:rFonts w:eastAsia="Times New Roman" w:cstheme="minorHAnsi"/>
          <w:rtl/>
        </w:rPr>
      </w:pPr>
      <w:r w:rsidRPr="00F30EF3">
        <w:rPr>
          <w:rFonts w:cstheme="minorHAnsi"/>
          <w:rtl/>
        </w:rPr>
        <w:t>في بعض البلدان، ترد الأحكام المتعلقة بملكية الملكية الفكرية في تشريعات الملكية الفكرية؛ بينما في بلدان أخرى تنجم عن قانون العمل</w:t>
      </w:r>
      <w:r w:rsidR="000C3E6E" w:rsidRPr="00F30EF3">
        <w:rPr>
          <w:rStyle w:val="FootnoteReference"/>
          <w:rFonts w:eastAsia="Times New Roman" w:cstheme="minorHAnsi"/>
          <w:rtl/>
          <w:lang w:val="en-US"/>
        </w:rPr>
        <w:footnoteReference w:id="96"/>
      </w:r>
      <w:r w:rsidRPr="00F30EF3">
        <w:rPr>
          <w:rFonts w:cstheme="minorHAnsi"/>
          <w:rtl/>
        </w:rPr>
        <w:t xml:space="preserve"> ولوائح تمويل البحوث وقوانين العقود و/أو قوانين محددة</w:t>
      </w:r>
      <w:r w:rsidR="000C3E6E" w:rsidRPr="00F30EF3">
        <w:rPr>
          <w:rStyle w:val="FootnoteReference"/>
          <w:rFonts w:cstheme="minorHAnsi"/>
          <w:rtl/>
          <w:lang w:val="en-US"/>
        </w:rPr>
        <w:footnoteReference w:id="97"/>
      </w:r>
      <w:r w:rsidR="000C3E6E" w:rsidRPr="00F30EF3">
        <w:rPr>
          <w:rStyle w:val="FootnoteReference"/>
          <w:rFonts w:cstheme="minorHAnsi"/>
          <w:rtl/>
          <w:lang w:val="en-US"/>
        </w:rPr>
        <w:t xml:space="preserve"> </w:t>
      </w:r>
      <w:r w:rsidRPr="00F30EF3">
        <w:rPr>
          <w:rStyle w:val="FootnoteReference"/>
          <w:rFonts w:cstheme="minorHAnsi"/>
          <w:rtl/>
        </w:rPr>
        <w:t xml:space="preserve"> </w:t>
      </w:r>
      <w:r w:rsidRPr="00F30EF3">
        <w:rPr>
          <w:rFonts w:cstheme="minorHAnsi"/>
          <w:rtl/>
        </w:rPr>
        <w:t xml:space="preserve">تتناول الملكية الفكرية للمؤسسات ونقل التكنولوجيا. </w:t>
      </w:r>
    </w:p>
    <w:p w14:paraId="2F3066E8" w14:textId="77777777" w:rsidR="009832CD" w:rsidRPr="00F30EF3" w:rsidRDefault="00194209" w:rsidP="00032572">
      <w:pPr>
        <w:pStyle w:val="ListParagraph"/>
        <w:numPr>
          <w:ilvl w:val="0"/>
          <w:numId w:val="19"/>
        </w:numPr>
        <w:spacing w:after="120" w:line="240" w:lineRule="auto"/>
        <w:ind w:left="432" w:hanging="426"/>
        <w:contextualSpacing w:val="0"/>
        <w:jc w:val="both"/>
        <w:rPr>
          <w:rFonts w:eastAsia="Times New Roman" w:cstheme="minorHAnsi"/>
          <w:rtl/>
        </w:rPr>
      </w:pPr>
      <w:r w:rsidRPr="00F30EF3">
        <w:rPr>
          <w:rFonts w:cstheme="minorHAnsi"/>
          <w:rtl/>
        </w:rPr>
        <w:t>وبالإضافة إلى ذلك، قد تتضمن العديد من الصكوك غير التشريعية أحكاما تتعلق بملكية الملكية الفكرية ونقلها، مثل السياسات والمبادرات الحكومية والقواعد المالية والقواعد المتعلقة بوكالات التمويل الحكومية واللوائح الخاصة بتمويل البحوث وقرارات المحاكم ومدونات الممارسات.</w:t>
      </w:r>
      <w:r w:rsidRPr="00F30EF3">
        <w:rPr>
          <w:rStyle w:val="FootnoteReference"/>
          <w:rFonts w:cstheme="minorHAnsi"/>
          <w:rtl/>
          <w:lang w:val="en-US"/>
        </w:rPr>
        <w:footnoteReference w:id="98"/>
      </w:r>
      <w:r w:rsidRPr="00F30EF3">
        <w:rPr>
          <w:rStyle w:val="FootnoteReference"/>
          <w:rFonts w:cstheme="minorHAnsi"/>
          <w:rtl/>
          <w:lang w:val="en-US"/>
        </w:rPr>
        <w:t xml:space="preserve"> </w:t>
      </w:r>
      <w:r w:rsidRPr="00F30EF3">
        <w:rPr>
          <w:rFonts w:cstheme="minorHAnsi"/>
          <w:rtl/>
        </w:rPr>
        <w:t xml:space="preserve">  </w:t>
      </w:r>
    </w:p>
    <w:p w14:paraId="6EE8AD77" w14:textId="77777777" w:rsidR="00DD0FAD" w:rsidRPr="00F30EF3" w:rsidRDefault="00DD0FAD" w:rsidP="00032572">
      <w:pPr>
        <w:pStyle w:val="ListParagraph"/>
        <w:numPr>
          <w:ilvl w:val="0"/>
          <w:numId w:val="19"/>
        </w:numPr>
        <w:spacing w:after="120" w:line="240" w:lineRule="auto"/>
        <w:ind w:left="432" w:hanging="426"/>
        <w:contextualSpacing w:val="0"/>
        <w:jc w:val="both"/>
        <w:rPr>
          <w:rFonts w:eastAsia="Times New Roman" w:cstheme="minorHAnsi"/>
          <w:rtl/>
        </w:rPr>
      </w:pPr>
      <w:r w:rsidRPr="00F30EF3">
        <w:rPr>
          <w:rFonts w:cstheme="minorHAnsi"/>
          <w:rtl/>
        </w:rPr>
        <w:t xml:space="preserve">وتختلف ملكية الملكية الفكرية في العديد من البلدان فيما بين المؤسسات البحثية العامة غير المؤسسية والجامعات. وقد تكون هناك أيضاً قواعد مختلفة للملكية تنطبق في الحالات التي يُبدع فيها المصنف من خلال التمويل العام أو التمويل الخارجي؛ وتختلف الملكية أحياناً باختلاف الحالة الوظيفية (أستاذ، مساعد، موظف تقني، وما إلى ذلك). وعلاوة على ذلك، قد تكون بعض الأحكام الواردة في التشريعات الوطنية ملزمة؛ بينما ينجم عن أحكام أخرى وضع افتراضي يمكن للمؤسسات تعديله من خلال عقود العمل وسياسات الملكية الفكرية و/أو من خلال العقود الفردية التي تبرم مع الشركاء الصناعيين. </w:t>
      </w:r>
    </w:p>
    <w:p w14:paraId="78AB063E" w14:textId="77777777" w:rsidR="00DD0FAD" w:rsidRPr="00F30EF3" w:rsidRDefault="007D0C94" w:rsidP="00873EF9">
      <w:pPr>
        <w:pStyle w:val="ListParagraph"/>
        <w:numPr>
          <w:ilvl w:val="0"/>
          <w:numId w:val="19"/>
        </w:numPr>
        <w:spacing w:after="120" w:line="240" w:lineRule="auto"/>
        <w:ind w:left="432" w:hanging="426"/>
        <w:contextualSpacing w:val="0"/>
        <w:jc w:val="both"/>
        <w:rPr>
          <w:rFonts w:eastAsia="Times New Roman" w:cstheme="minorHAnsi"/>
          <w:rtl/>
        </w:rPr>
      </w:pPr>
      <w:r w:rsidRPr="00F30EF3">
        <w:rPr>
          <w:rFonts w:cstheme="minorHAnsi"/>
          <w:rtl/>
        </w:rPr>
        <w:t>وسواء كانت التشريعات الوطنية قائمة أو كانت غير موجودة، تعتمد المؤسسات عادةً أحد نظامين لملكية الملكية الفكرية الناشئة في المؤسسات: نموذج ملكية المؤسسة، أو نموذج ملكية المخترع.</w:t>
      </w:r>
    </w:p>
    <w:p w14:paraId="3C3B5198" w14:textId="77777777" w:rsidR="00570582" w:rsidRPr="00F30EF3" w:rsidRDefault="00E3707D" w:rsidP="00873EF9">
      <w:pPr>
        <w:pStyle w:val="ListParagraph"/>
        <w:numPr>
          <w:ilvl w:val="1"/>
          <w:numId w:val="16"/>
        </w:numPr>
        <w:tabs>
          <w:tab w:val="left" w:pos="993"/>
        </w:tabs>
        <w:autoSpaceDE w:val="0"/>
        <w:autoSpaceDN w:val="0"/>
        <w:adjustRightInd w:val="0"/>
        <w:spacing w:after="120" w:line="240" w:lineRule="auto"/>
        <w:contextualSpacing w:val="0"/>
        <w:jc w:val="both"/>
        <w:rPr>
          <w:rFonts w:eastAsia="Times New Roman" w:cstheme="minorHAnsi"/>
          <w:i/>
          <w:iCs/>
          <w:color w:val="0070C0"/>
          <w:rtl/>
        </w:rPr>
      </w:pPr>
      <w:r w:rsidRPr="00F30EF3">
        <w:rPr>
          <w:rFonts w:cstheme="minorHAnsi"/>
          <w:i/>
          <w:iCs/>
          <w:color w:val="0070C0"/>
          <w:rtl/>
        </w:rPr>
        <w:t>نموذج ملكية المؤسسة</w:t>
      </w:r>
    </w:p>
    <w:p w14:paraId="45884426" w14:textId="77777777" w:rsidR="007D0C94" w:rsidRPr="00F30EF3" w:rsidRDefault="007D0C94" w:rsidP="00873EF9">
      <w:pPr>
        <w:pStyle w:val="NormalWeb"/>
        <w:spacing w:before="0" w:beforeAutospacing="0" w:after="120" w:afterAutospacing="0"/>
        <w:ind w:left="426"/>
        <w:jc w:val="both"/>
        <w:rPr>
          <w:rFonts w:asciiTheme="minorHAnsi" w:hAnsiTheme="minorHAnsi" w:cstheme="minorHAnsi"/>
          <w:sz w:val="22"/>
          <w:szCs w:val="22"/>
          <w:rtl/>
        </w:rPr>
      </w:pPr>
      <w:r w:rsidRPr="00F30EF3">
        <w:rPr>
          <w:rFonts w:asciiTheme="minorHAnsi" w:hAnsiTheme="minorHAnsi" w:cstheme="minorHAnsi"/>
          <w:sz w:val="22"/>
          <w:szCs w:val="22"/>
          <w:rtl/>
        </w:rPr>
        <w:t xml:space="preserve">يسمح نموذج ملكية المؤسسة، للمؤسسات الأكاديمية أو البحثية باعتبارها أصحاب العمل بامتلاك جميع حقوق الملكية الفكرية التي ينشئها موظفوها (موظفون، أو طلاب أو زائرون) على اعتبار أنه الوضع الافتراضي القائم، وتأويل ذلك أنهم يعينون المبدعين و/أو يوفرون الموارد للاختراعات أو المصنفات الإبداعية (قد يتغير الوضع الافتراضي في سياق أحكام "فترة التوظيف والنطاق" و"الاستخدام الجوهري" الموضحة في الصفحة 42 أدناه).  </w:t>
      </w:r>
    </w:p>
    <w:p w14:paraId="17AB2D24" w14:textId="0C44F306" w:rsidR="008977C1" w:rsidRPr="00F30EF3" w:rsidRDefault="007D0C94" w:rsidP="00873EF9">
      <w:pPr>
        <w:pStyle w:val="NormalWeb"/>
        <w:spacing w:before="0" w:beforeAutospacing="0" w:after="120" w:afterAutospacing="0"/>
        <w:ind w:left="426"/>
        <w:jc w:val="both"/>
        <w:rPr>
          <w:rFonts w:asciiTheme="minorHAnsi" w:hAnsiTheme="minorHAnsi" w:cstheme="minorHAnsi"/>
          <w:sz w:val="22"/>
          <w:szCs w:val="22"/>
          <w:rtl/>
        </w:rPr>
      </w:pPr>
      <w:r w:rsidRPr="00F30EF3">
        <w:rPr>
          <w:rFonts w:asciiTheme="minorHAnsi" w:hAnsiTheme="minorHAnsi" w:cstheme="minorHAnsi"/>
          <w:sz w:val="22"/>
          <w:szCs w:val="22"/>
          <w:rtl/>
        </w:rPr>
        <w:lastRenderedPageBreak/>
        <w:t>وعادةً ما تُسند إلى المؤسسة مسؤولية حماية الاختراعات ومواصلة تطويرها. وبرز في السنوات الأخيرة اتجاه واضح نحو اتباع نهج الملكية المؤسسية. وتشمل قائمة البلدان التي تطبق هذا المبدأ حالياً؛ البرازيل والصين والدانمرك وألمانيا واليابان وكينيا والنرويج وسنغافورة وجنوب أفريقيا وإسبانيا وتايلند والمملكة المتحدة والولايات المتحدة الأمريكية وغيرها.</w:t>
      </w:r>
      <w:r w:rsidRPr="00F30EF3">
        <w:rPr>
          <w:rStyle w:val="FootnoteReference"/>
          <w:rFonts w:asciiTheme="minorHAnsi" w:hAnsiTheme="minorHAnsi" w:cstheme="minorHAnsi"/>
          <w:sz w:val="22"/>
          <w:szCs w:val="22"/>
          <w:rtl/>
          <w:lang w:val="en-US"/>
        </w:rPr>
        <w:footnoteReference w:id="99"/>
      </w:r>
      <w:r w:rsidRPr="00F30EF3">
        <w:rPr>
          <w:rFonts w:asciiTheme="minorHAnsi" w:hAnsiTheme="minorHAnsi" w:cstheme="minorHAnsi"/>
          <w:sz w:val="22"/>
          <w:szCs w:val="22"/>
          <w:rtl/>
        </w:rPr>
        <w:t xml:space="preserve"> </w:t>
      </w:r>
    </w:p>
    <w:p w14:paraId="1CEF6E8F" w14:textId="77777777" w:rsidR="007D0C94" w:rsidRPr="00F30EF3" w:rsidRDefault="007D0C94" w:rsidP="007D0C94">
      <w:pPr>
        <w:pStyle w:val="NormalWeb"/>
        <w:spacing w:before="0" w:beforeAutospacing="0" w:after="0"/>
        <w:ind w:left="426"/>
        <w:jc w:val="both"/>
        <w:rPr>
          <w:rFonts w:asciiTheme="minorHAnsi" w:hAnsiTheme="minorHAnsi" w:cstheme="minorHAnsi"/>
          <w:sz w:val="22"/>
          <w:szCs w:val="22"/>
          <w:rtl/>
        </w:rPr>
      </w:pPr>
      <w:r w:rsidRPr="00F30EF3">
        <w:rPr>
          <w:rFonts w:asciiTheme="minorHAnsi" w:hAnsiTheme="minorHAnsi" w:cstheme="minorHAnsi"/>
          <w:sz w:val="22"/>
          <w:szCs w:val="22"/>
          <w:rtl/>
        </w:rPr>
        <w:t>وللملكية المؤسسية نظامان أساسيان:</w:t>
      </w:r>
    </w:p>
    <w:p w14:paraId="28712B6F" w14:textId="77777777" w:rsidR="007D0C94" w:rsidRPr="00F30EF3" w:rsidRDefault="007D0C94" w:rsidP="007D0C94">
      <w:pPr>
        <w:pStyle w:val="NormalWeb"/>
        <w:spacing w:before="0" w:beforeAutospacing="0" w:after="0"/>
        <w:ind w:left="426"/>
        <w:jc w:val="both"/>
        <w:rPr>
          <w:rFonts w:asciiTheme="minorHAnsi" w:hAnsiTheme="minorHAnsi" w:cstheme="minorHAnsi"/>
          <w:sz w:val="22"/>
          <w:szCs w:val="22"/>
          <w:rtl/>
        </w:rPr>
      </w:pPr>
      <w:r w:rsidRPr="00F30EF3">
        <w:rPr>
          <w:rFonts w:asciiTheme="minorHAnsi" w:hAnsiTheme="minorHAnsi" w:cstheme="minorHAnsi"/>
          <w:b/>
          <w:bCs/>
          <w:sz w:val="22"/>
          <w:szCs w:val="22"/>
          <w:rtl/>
        </w:rPr>
        <w:t>الملكية التلقائية</w:t>
      </w:r>
      <w:r w:rsidRPr="00F30EF3">
        <w:rPr>
          <w:rFonts w:asciiTheme="minorHAnsi" w:hAnsiTheme="minorHAnsi" w:cstheme="minorHAnsi"/>
          <w:sz w:val="22"/>
          <w:szCs w:val="22"/>
          <w:rtl/>
        </w:rPr>
        <w:t>: فيها تكون المؤسسة هي مالكة حقوق الملكية الفكرية وتكون بموجب نص تشريعي وطني عادةً. ويخضع هذا النهج عادةً لبعض الالتزامات على عاتق المؤسسة وحقوق المبدعين، مثل الحق في تقاسم المنافع. أمثلة: الدانمرك وفنلندا وألمانيا وجنوب أفريقيا والولايات المتحدة الأمريكية.</w:t>
      </w:r>
    </w:p>
    <w:p w14:paraId="189BFFBE" w14:textId="0A52CD08" w:rsidR="007D0C94" w:rsidRPr="00F30EF3"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cstheme="minorHAnsi"/>
          <w:b/>
          <w:bCs/>
          <w:rtl/>
        </w:rPr>
      </w:pPr>
      <w:r w:rsidRPr="00F30EF3">
        <w:rPr>
          <w:rFonts w:cstheme="minorHAnsi"/>
          <w:b/>
          <w:bCs/>
          <w:rtl/>
        </w:rPr>
        <w:t xml:space="preserve">الإطار </w:t>
      </w:r>
      <w:r w:rsidR="008977C1" w:rsidRPr="00F30EF3">
        <w:rPr>
          <w:rFonts w:cstheme="minorHAnsi"/>
          <w:b/>
          <w:bCs/>
          <w:lang w:val="en-US"/>
        </w:rPr>
        <w:t>.2</w:t>
      </w:r>
      <w:r w:rsidR="00ED6997" w:rsidRPr="00F30EF3">
        <w:rPr>
          <w:rFonts w:cstheme="minorHAnsi"/>
          <w:b/>
          <w:bCs/>
          <w:lang w:val="en-US"/>
        </w:rPr>
        <w:t>6</w:t>
      </w:r>
      <w:r w:rsidRPr="00F30EF3">
        <w:rPr>
          <w:rFonts w:cstheme="minorHAnsi"/>
          <w:b/>
          <w:bCs/>
          <w:rtl/>
        </w:rPr>
        <w:t xml:space="preserve"> ملكية المؤسسة - قانون بايه-دول (الولايات المتحدة الأمريكية)</w:t>
      </w:r>
    </w:p>
    <w:p w14:paraId="33AEDB44" w14:textId="77777777" w:rsidR="002A190F" w:rsidRPr="00F30EF3" w:rsidRDefault="002A190F"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lang w:val="en-US"/>
        </w:rPr>
      </w:pPr>
    </w:p>
    <w:p w14:paraId="561E7EDE" w14:textId="183B6BB4" w:rsidR="007D0C94" w:rsidRPr="00F30EF3"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i/>
          <w:iCs/>
          <w:color w:val="943634" w:themeColor="accent2" w:themeShade="BF"/>
          <w:rtl/>
        </w:rPr>
      </w:pPr>
      <w:r w:rsidRPr="00F30EF3">
        <w:rPr>
          <w:rFonts w:cstheme="minorHAnsi"/>
          <w:rtl/>
        </w:rPr>
        <w:t>كان الدافع وراء نموذج ملكية المؤسسة هو سن قانون بايه-دول في الولايات المتحدة الأمريكية. ويمنح هذا القانون الجامعات الحق في امتلاك اختراعات الموظفين الناتجة عن تمويل البحوث التي ترعاها الحكومة الفيدرالية والحق في تسويق اختراعات الموظفين هذه. والغرض الرئيسي من القانون هو منع عدم استخدام الاختراعات والمصنفات الإبداعية الناتجة عن الأبحاث الممولة من أموال دافعي الضرائب.</w:t>
      </w:r>
      <w:r w:rsidR="002A190F" w:rsidRPr="00F30EF3">
        <w:rPr>
          <w:rStyle w:val="FootnoteReference"/>
          <w:rFonts w:cstheme="minorHAnsi"/>
          <w:rtl/>
          <w:lang w:val="en-US"/>
        </w:rPr>
        <w:footnoteReference w:id="100"/>
      </w:r>
      <w:r w:rsidRPr="00F30EF3">
        <w:rPr>
          <w:rFonts w:cstheme="minorHAnsi"/>
          <w:rtl/>
        </w:rPr>
        <w:t xml:space="preserve"> </w:t>
      </w:r>
    </w:p>
    <w:p w14:paraId="6AF5E935" w14:textId="77777777" w:rsidR="007D0C94" w:rsidRPr="00F30EF3" w:rsidRDefault="007D0C94" w:rsidP="00C60DE4">
      <w:pPr>
        <w:pStyle w:val="NormalWeb"/>
        <w:spacing w:before="0" w:beforeAutospacing="0" w:after="0" w:afterAutospacing="0"/>
        <w:ind w:left="425"/>
        <w:jc w:val="both"/>
        <w:rPr>
          <w:rFonts w:asciiTheme="minorHAnsi" w:hAnsiTheme="minorHAnsi" w:cstheme="minorHAnsi"/>
          <w:sz w:val="22"/>
          <w:szCs w:val="22"/>
          <w:lang w:val="en-US"/>
        </w:rPr>
      </w:pPr>
    </w:p>
    <w:p w14:paraId="770078EE" w14:textId="397276CA" w:rsidR="007D0C94" w:rsidRPr="00F30EF3"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b/>
          <w:bCs/>
          <w:rtl/>
        </w:rPr>
      </w:pPr>
      <w:r w:rsidRPr="00F30EF3">
        <w:rPr>
          <w:rFonts w:cstheme="minorHAnsi"/>
          <w:b/>
          <w:bCs/>
          <w:rtl/>
        </w:rPr>
        <w:t>الإطار</w:t>
      </w:r>
      <w:r w:rsidR="00A636FD" w:rsidRPr="00F30EF3">
        <w:rPr>
          <w:rFonts w:cstheme="minorHAnsi"/>
          <w:b/>
          <w:bCs/>
          <w:rtl/>
        </w:rPr>
        <w:t xml:space="preserve"> </w:t>
      </w:r>
      <w:r w:rsidR="008977C1" w:rsidRPr="00F30EF3">
        <w:rPr>
          <w:rFonts w:cstheme="minorHAnsi"/>
          <w:b/>
          <w:bCs/>
        </w:rPr>
        <w:t>.2</w:t>
      </w:r>
      <w:r w:rsidR="001F70D3" w:rsidRPr="00F30EF3">
        <w:rPr>
          <w:rFonts w:cstheme="minorHAnsi"/>
          <w:b/>
          <w:bCs/>
        </w:rPr>
        <w:t>7</w:t>
      </w:r>
      <w:r w:rsidRPr="00F30EF3">
        <w:rPr>
          <w:rFonts w:cstheme="minorHAnsi"/>
          <w:b/>
          <w:bCs/>
          <w:rtl/>
        </w:rPr>
        <w:t xml:space="preserve">  ملكية المؤسسة - </w:t>
      </w:r>
      <w:r w:rsidRPr="00F30EF3">
        <w:rPr>
          <w:rFonts w:cstheme="minorHAnsi"/>
          <w:b/>
          <w:bCs/>
          <w:color w:val="000000" w:themeColor="text1"/>
          <w:rtl/>
        </w:rPr>
        <w:t>قانون جمهورية الصين الشعبية بشأن تقدم العلم والتكنولوجيا</w:t>
      </w:r>
      <w:r w:rsidR="00CC3D49" w:rsidRPr="00F30EF3">
        <w:rPr>
          <w:rStyle w:val="FootnoteReference"/>
          <w:rFonts w:cstheme="minorHAnsi"/>
          <w:color w:val="000000" w:themeColor="text1"/>
          <w:rtl/>
          <w:lang w:val="en-US"/>
        </w:rPr>
        <w:footnoteReference w:id="101"/>
      </w:r>
    </w:p>
    <w:p w14:paraId="682C4B34" w14:textId="77777777" w:rsidR="007D0C94" w:rsidRPr="00F30EF3"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cstheme="minorHAnsi"/>
          <w:b/>
          <w:bCs/>
          <w:lang w:val="en-US"/>
        </w:rPr>
      </w:pPr>
    </w:p>
    <w:p w14:paraId="064DF6C4" w14:textId="77777777" w:rsidR="007D0C94" w:rsidRPr="00F30EF3" w:rsidRDefault="00CC3D49"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b/>
          <w:bCs/>
          <w:rtl/>
        </w:rPr>
      </w:pPr>
      <w:r w:rsidRPr="00F30EF3">
        <w:rPr>
          <w:rFonts w:cstheme="minorHAnsi"/>
          <w:color w:val="000000" w:themeColor="text1"/>
          <w:rtl/>
        </w:rPr>
        <w:t>المادة 20. "</w:t>
      </w:r>
      <w:r w:rsidRPr="00F30EF3">
        <w:rPr>
          <w:rFonts w:cstheme="minorHAnsi"/>
          <w:i/>
          <w:iCs/>
          <w:color w:val="000000" w:themeColor="text1"/>
          <w:rtl/>
        </w:rPr>
        <w:t xml:space="preserve">تُمنح إلى </w:t>
      </w:r>
      <w:r w:rsidRPr="00F30EF3">
        <w:rPr>
          <w:rFonts w:cstheme="minorHAnsi"/>
          <w:b/>
          <w:bCs/>
          <w:i/>
          <w:iCs/>
          <w:color w:val="000000" w:themeColor="text1"/>
          <w:u w:val="single"/>
          <w:rtl/>
        </w:rPr>
        <w:t xml:space="preserve">منفذي المشروعات المخولين، </w:t>
      </w:r>
      <w:r w:rsidRPr="00F30EF3">
        <w:rPr>
          <w:rFonts w:cstheme="minorHAnsi"/>
          <w:i/>
          <w:iCs/>
          <w:color w:val="000000" w:themeColor="text1"/>
          <w:rtl/>
        </w:rPr>
        <w:t>وفقاً للقانون، براءات الاختراعات التي تنشأ في المشروعات التي يمولها الصندوق العلمي والتكنولوجي التي تموله الحكومة أو الخطط العلمية والتكنولوجية، وحقوق المؤلف لبرامج الحاسوب، وحقوق براءة تصميم الأسلاك للدوائر المتكاملة وحقوق السلالات النباتية الجديدة، إلا إذا تعلق الأمر بالأمن والمصالح القوميتين والمصالح الحيوية العامة".</w:t>
      </w:r>
    </w:p>
    <w:p w14:paraId="78006DC1" w14:textId="77777777" w:rsidR="00C60DE4" w:rsidRPr="00F30EF3" w:rsidRDefault="00C60DE4" w:rsidP="00C60DE4">
      <w:pPr>
        <w:pStyle w:val="NormalWeb"/>
        <w:spacing w:before="0" w:beforeAutospacing="0" w:after="0" w:afterAutospacing="0"/>
        <w:ind w:left="425"/>
        <w:jc w:val="both"/>
        <w:rPr>
          <w:rFonts w:asciiTheme="minorHAnsi" w:hAnsiTheme="minorHAnsi" w:cstheme="minorHAnsi"/>
          <w:sz w:val="22"/>
          <w:szCs w:val="22"/>
          <w:lang w:val="en-US"/>
        </w:rPr>
      </w:pPr>
    </w:p>
    <w:p w14:paraId="437F79ED" w14:textId="6FECF166" w:rsidR="007D0C94" w:rsidRPr="00F30EF3"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cstheme="minorHAnsi"/>
          <w:b/>
          <w:bCs/>
          <w:rtl/>
        </w:rPr>
      </w:pPr>
      <w:r w:rsidRPr="00F30EF3">
        <w:rPr>
          <w:rFonts w:cstheme="minorHAnsi"/>
          <w:b/>
          <w:bCs/>
          <w:rtl/>
        </w:rPr>
        <w:t xml:space="preserve">الإطار </w:t>
      </w:r>
      <w:r w:rsidR="0025041D" w:rsidRPr="00F30EF3">
        <w:rPr>
          <w:rFonts w:cstheme="minorHAnsi"/>
          <w:b/>
          <w:bCs/>
        </w:rPr>
        <w:t>.2</w:t>
      </w:r>
      <w:r w:rsidR="001F70D3" w:rsidRPr="00F30EF3">
        <w:rPr>
          <w:rFonts w:cstheme="minorHAnsi"/>
          <w:b/>
          <w:bCs/>
        </w:rPr>
        <w:t>8</w:t>
      </w:r>
      <w:r w:rsidRPr="00F30EF3">
        <w:rPr>
          <w:rFonts w:cstheme="minorHAnsi"/>
          <w:b/>
          <w:bCs/>
          <w:rtl/>
        </w:rPr>
        <w:t xml:space="preserve">  ملكية المؤسسة – قانون حقوق الملكية الفكرية في مجال البحوث والتنمية الممولة من القطاع العام في جنوب أفريقيا</w:t>
      </w:r>
    </w:p>
    <w:p w14:paraId="0C7559D5" w14:textId="77777777" w:rsidR="007D0C94" w:rsidRPr="00F30EF3"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cstheme="minorHAnsi"/>
          <w:b/>
          <w:bCs/>
          <w:lang w:val="en-US"/>
        </w:rPr>
      </w:pPr>
    </w:p>
    <w:p w14:paraId="0D0406F7" w14:textId="77777777" w:rsidR="007D0C94" w:rsidRPr="00F30EF3" w:rsidRDefault="007D0C94" w:rsidP="000810C3">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b/>
          <w:bCs/>
          <w:rtl/>
        </w:rPr>
      </w:pPr>
      <w:r w:rsidRPr="00F30EF3">
        <w:rPr>
          <w:rFonts w:cstheme="minorHAnsi"/>
          <w:i/>
          <w:iCs/>
          <w:color w:val="000000" w:themeColor="text1"/>
          <w:rtl/>
        </w:rPr>
        <w:t>"بموجب القسم 15(2</w:t>
      </w:r>
      <w:r w:rsidRPr="00F30EF3">
        <w:rPr>
          <w:rStyle w:val="FootnoteReference"/>
          <w:rFonts w:cstheme="minorHAnsi"/>
          <w:i/>
          <w:iCs/>
          <w:color w:val="000000" w:themeColor="text1"/>
          <w:rtl/>
          <w:lang w:val="en-US"/>
        </w:rPr>
        <w:footnoteReference w:id="102"/>
      </w:r>
      <w:r w:rsidRPr="00F30EF3">
        <w:rPr>
          <w:rFonts w:cstheme="minorHAnsi"/>
          <w:i/>
          <w:iCs/>
          <w:color w:val="000000" w:themeColor="text1"/>
          <w:rtl/>
        </w:rPr>
        <w:t>)، تكون الملكية الفكرية المنبثقة عن البحوث والتنمية الممولة من القطاع العام مملوكة للمتلقي".</w:t>
      </w:r>
    </w:p>
    <w:p w14:paraId="6E8BE940" w14:textId="77777777" w:rsidR="00C60DE4" w:rsidRPr="00F30EF3" w:rsidRDefault="00C60DE4" w:rsidP="00C60DE4">
      <w:pPr>
        <w:pStyle w:val="NormalWeb"/>
        <w:spacing w:before="0" w:beforeAutospacing="0" w:after="0" w:afterAutospacing="0"/>
        <w:ind w:left="425"/>
        <w:jc w:val="both"/>
        <w:rPr>
          <w:rFonts w:asciiTheme="minorHAnsi" w:hAnsiTheme="minorHAnsi" w:cstheme="minorHAnsi"/>
          <w:sz w:val="22"/>
          <w:szCs w:val="22"/>
          <w:lang w:val="en-US"/>
        </w:rPr>
      </w:pPr>
    </w:p>
    <w:p w14:paraId="08802CF2" w14:textId="77777777" w:rsidR="00570582" w:rsidRPr="00F30EF3" w:rsidRDefault="007D0C94" w:rsidP="00441927">
      <w:pPr>
        <w:pStyle w:val="NormalWeb"/>
        <w:spacing w:before="0" w:beforeAutospacing="0" w:after="0"/>
        <w:ind w:left="426"/>
        <w:jc w:val="both"/>
        <w:rPr>
          <w:rFonts w:asciiTheme="minorHAnsi" w:hAnsiTheme="minorHAnsi" w:cstheme="minorHAnsi"/>
          <w:sz w:val="22"/>
          <w:szCs w:val="22"/>
          <w:rtl/>
        </w:rPr>
      </w:pPr>
      <w:r w:rsidRPr="00F30EF3">
        <w:rPr>
          <w:rFonts w:asciiTheme="minorHAnsi" w:hAnsiTheme="minorHAnsi" w:cstheme="minorHAnsi"/>
          <w:b/>
          <w:bCs/>
          <w:sz w:val="22"/>
          <w:szCs w:val="22"/>
          <w:rtl/>
        </w:rPr>
        <w:t>حقوق الشفعة</w:t>
      </w:r>
      <w:r w:rsidRPr="00F30EF3">
        <w:rPr>
          <w:rFonts w:asciiTheme="minorHAnsi" w:hAnsiTheme="minorHAnsi" w:cstheme="minorHAnsi"/>
          <w:sz w:val="22"/>
          <w:szCs w:val="22"/>
          <w:rtl/>
        </w:rPr>
        <w:t>: إن الموظف/ الباحث هو مالك الملكية الفكرية، ولكن يحق للمؤسسة أن تملك الاختراع لفترة زمنية محددة في غالب الأحيان. وهذا هو النظام المتبّع، على سبيل المثال، في النمسا والجمهورية التشيكية. ويفرض، في معظم هذه النظم، على المؤسسة أن تدفع للمخترع نوعاً من الأجر كتعويض لنقل حق براءة الاختراع إلى المؤسسة. أمثلة: هنغاريا وليتوانيا.</w:t>
      </w:r>
    </w:p>
    <w:p w14:paraId="3848FA95" w14:textId="325FE82C" w:rsidR="003B0981" w:rsidRPr="00F30EF3" w:rsidRDefault="00442434"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rPr>
          <w:rFonts w:cstheme="minorHAnsi"/>
          <w:b/>
          <w:bCs/>
          <w:rtl/>
        </w:rPr>
      </w:pPr>
      <w:r w:rsidRPr="00F30EF3">
        <w:rPr>
          <w:rFonts w:cstheme="minorHAnsi"/>
          <w:b/>
          <w:bCs/>
          <w:rtl/>
        </w:rPr>
        <w:t xml:space="preserve">الإطار </w:t>
      </w:r>
      <w:r w:rsidR="0025041D" w:rsidRPr="00F30EF3">
        <w:rPr>
          <w:rFonts w:cstheme="minorHAnsi"/>
          <w:b/>
          <w:bCs/>
        </w:rPr>
        <w:t>.2</w:t>
      </w:r>
      <w:r w:rsidR="001F70D3" w:rsidRPr="00F30EF3">
        <w:rPr>
          <w:rFonts w:cstheme="minorHAnsi"/>
          <w:b/>
          <w:bCs/>
        </w:rPr>
        <w:t>9</w:t>
      </w:r>
      <w:r w:rsidRPr="00F30EF3">
        <w:rPr>
          <w:rFonts w:cstheme="minorHAnsi"/>
          <w:b/>
          <w:bCs/>
          <w:rtl/>
        </w:rPr>
        <w:t xml:space="preserve"> الأسباب الرئيسية لملكية المؤسسة</w:t>
      </w:r>
      <w:r w:rsidRPr="00F30EF3">
        <w:rPr>
          <w:rFonts w:cstheme="minorHAnsi"/>
          <w:rtl/>
        </w:rPr>
        <w:t xml:space="preserve"> </w:t>
      </w:r>
    </w:p>
    <w:p w14:paraId="62C20895" w14:textId="77777777" w:rsidR="003B0981" w:rsidRPr="00F30EF3" w:rsidRDefault="003B098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rPr>
          <w:rFonts w:cstheme="minorHAnsi"/>
          <w:lang w:val="en-US"/>
        </w:rPr>
      </w:pPr>
    </w:p>
    <w:p w14:paraId="48D02FE5" w14:textId="77777777" w:rsidR="002439B9" w:rsidRPr="00F30EF3" w:rsidRDefault="002439B9"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rPr>
          <w:rFonts w:cstheme="minorHAnsi"/>
          <w:rtl/>
        </w:rPr>
      </w:pPr>
      <w:r w:rsidRPr="00F30EF3">
        <w:rPr>
          <w:rFonts w:cstheme="minorHAnsi"/>
          <w:rtl/>
        </w:rPr>
        <w:t>الملكية ليست ضرورية لضمان هذه الحقوق، ولكنها قد تكون الحل الأكثر فعالية من الناحية العملية. وفيما يلي بعض الأسباب الرئيسية لملكية المؤسسة:</w:t>
      </w:r>
    </w:p>
    <w:p w14:paraId="75CA3004" w14:textId="77777777" w:rsidR="003B0981" w:rsidRPr="00F30EF3" w:rsidRDefault="003B098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rPr>
          <w:rFonts w:cstheme="minorHAnsi"/>
          <w:lang w:val="en-US"/>
        </w:rPr>
      </w:pPr>
    </w:p>
    <w:p w14:paraId="68A102C3" w14:textId="77777777" w:rsidR="002439B9" w:rsidRPr="00F30EF3"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Theme="minorHAnsi" w:hAnsiTheme="minorHAnsi" w:cstheme="minorHAnsi"/>
          <w:sz w:val="22"/>
          <w:szCs w:val="22"/>
          <w:rtl/>
        </w:rPr>
      </w:pPr>
      <w:r w:rsidRPr="00F30EF3">
        <w:rPr>
          <w:rFonts w:asciiTheme="minorHAnsi" w:hAnsiTheme="minorHAnsi" w:cstheme="minorHAnsi"/>
          <w:sz w:val="22"/>
          <w:szCs w:val="22"/>
          <w:rtl/>
        </w:rPr>
        <w:t>تسهل ملكية المؤسسة وإدارتها لحقوق الملكية الفكرية إضفاء الطابع المهني على أنشطة نقل المعرفة وتمكّن الباحثين من التركيز على مهاراتهم البحثية الأساسية؛</w:t>
      </w:r>
    </w:p>
    <w:p w14:paraId="03F3CFAE" w14:textId="77777777" w:rsidR="002439B9" w:rsidRPr="00F30EF3"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Theme="minorHAnsi" w:hAnsiTheme="minorHAnsi" w:cstheme="minorHAnsi"/>
          <w:sz w:val="22"/>
          <w:szCs w:val="22"/>
          <w:rtl/>
        </w:rPr>
      </w:pPr>
      <w:r w:rsidRPr="00F30EF3">
        <w:rPr>
          <w:rFonts w:asciiTheme="minorHAnsi" w:hAnsiTheme="minorHAnsi" w:cstheme="minorHAnsi"/>
          <w:sz w:val="22"/>
          <w:szCs w:val="22"/>
          <w:rtl/>
        </w:rPr>
        <w:t>وتخلق الحافز اللازم للمؤسسة لدعم نقل المعرفة وتعزيزها؛</w:t>
      </w:r>
    </w:p>
    <w:p w14:paraId="3B72FBB6" w14:textId="77777777" w:rsidR="002439B9" w:rsidRPr="00F30EF3"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Theme="minorHAnsi" w:hAnsiTheme="minorHAnsi" w:cstheme="minorHAnsi"/>
          <w:sz w:val="22"/>
          <w:szCs w:val="22"/>
          <w:rtl/>
        </w:rPr>
      </w:pPr>
      <w:r w:rsidRPr="00F30EF3">
        <w:rPr>
          <w:rFonts w:asciiTheme="minorHAnsi" w:hAnsiTheme="minorHAnsi" w:cstheme="minorHAnsi"/>
          <w:sz w:val="22"/>
          <w:szCs w:val="22"/>
          <w:rtl/>
        </w:rPr>
        <w:t>وتعد تكاليف إصدار البراءات باهظة للغاية بالنسبة للباحثين الأفراد (خاصة إذا كان إصدار البراءات يتم في الخارج)؛</w:t>
      </w:r>
    </w:p>
    <w:p w14:paraId="452F431E" w14:textId="77777777" w:rsidR="003B0981" w:rsidRPr="00F30EF3"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Theme="minorHAnsi" w:hAnsiTheme="minorHAnsi" w:cstheme="minorHAnsi"/>
          <w:sz w:val="22"/>
          <w:szCs w:val="22"/>
          <w:rtl/>
        </w:rPr>
      </w:pPr>
      <w:r w:rsidRPr="00F30EF3">
        <w:rPr>
          <w:rFonts w:asciiTheme="minorHAnsi" w:hAnsiTheme="minorHAnsi" w:cstheme="minorHAnsi"/>
          <w:sz w:val="22"/>
          <w:szCs w:val="22"/>
          <w:rtl/>
        </w:rPr>
        <w:t xml:space="preserve">ويوجد العديد من الباحثين الذين يشاركون عموماً في مشروع بحثي ما، ما قد يؤدي إلى تجزئة الملكية وما يتبعه من </w:t>
      </w:r>
      <w:r w:rsidRPr="00F30EF3">
        <w:rPr>
          <w:rFonts w:asciiTheme="minorHAnsi" w:hAnsiTheme="minorHAnsi" w:cstheme="minorHAnsi"/>
          <w:sz w:val="22"/>
          <w:szCs w:val="22"/>
          <w:rtl/>
        </w:rPr>
        <w:lastRenderedPageBreak/>
        <w:t xml:space="preserve">مشكلات محتملة لنقل التكنولوجيا وتسويقها إذا كانت يملكها الباحثون؛ </w:t>
      </w:r>
    </w:p>
    <w:p w14:paraId="412EB31C" w14:textId="77777777" w:rsidR="003B0981" w:rsidRPr="00F30EF3"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Theme="minorHAnsi" w:hAnsiTheme="minorHAnsi" w:cstheme="minorHAnsi"/>
          <w:sz w:val="22"/>
          <w:szCs w:val="22"/>
          <w:rtl/>
        </w:rPr>
      </w:pPr>
      <w:r w:rsidRPr="00F30EF3">
        <w:rPr>
          <w:rFonts w:asciiTheme="minorHAnsi" w:hAnsiTheme="minorHAnsi" w:cstheme="minorHAnsi"/>
          <w:sz w:val="22"/>
          <w:szCs w:val="22"/>
          <w:rtl/>
        </w:rPr>
        <w:t>وقد يدر هذا الأمر دخلاً إضافياً للمؤسسة.</w:t>
      </w:r>
    </w:p>
    <w:p w14:paraId="379A1183" w14:textId="77777777" w:rsidR="003B0981" w:rsidRPr="00F30EF3" w:rsidRDefault="003B0981" w:rsidP="00B7519E">
      <w:pPr>
        <w:pStyle w:val="StyleJustified"/>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ind w:left="426"/>
        <w:rPr>
          <w:rFonts w:asciiTheme="minorHAnsi" w:hAnsiTheme="minorHAnsi" w:cstheme="minorHAnsi"/>
          <w:sz w:val="22"/>
          <w:szCs w:val="22"/>
        </w:rPr>
      </w:pPr>
    </w:p>
    <w:p w14:paraId="2C9EAE5A" w14:textId="60A6D3AA" w:rsidR="00FE0EC7" w:rsidRPr="00F30EF3" w:rsidRDefault="003B0981" w:rsidP="00B7519E">
      <w:pPr>
        <w:pStyle w:val="StyleJustified"/>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ind w:left="426"/>
        <w:rPr>
          <w:rFonts w:asciiTheme="minorHAnsi" w:hAnsiTheme="minorHAnsi" w:cstheme="minorHAnsi"/>
          <w:i/>
          <w:iCs/>
          <w:sz w:val="22"/>
          <w:szCs w:val="22"/>
          <w:rtl/>
        </w:rPr>
      </w:pPr>
      <w:r w:rsidRPr="00F30EF3">
        <w:rPr>
          <w:rFonts w:asciiTheme="minorHAnsi" w:hAnsiTheme="minorHAnsi" w:cstheme="minorHAnsi"/>
          <w:i/>
          <w:iCs/>
          <w:sz w:val="22"/>
          <w:szCs w:val="22"/>
          <w:rtl/>
        </w:rPr>
        <w:t>المصدر:</w:t>
      </w:r>
      <w:hyperlink r:id="rId82" w:history="1">
        <w:r w:rsidRPr="00F30EF3">
          <w:rPr>
            <w:rFonts w:asciiTheme="minorHAnsi" w:hAnsiTheme="minorHAnsi" w:cstheme="minorHAnsi"/>
            <w:i/>
            <w:iCs/>
            <w:sz w:val="22"/>
            <w:szCs w:val="22"/>
            <w:rtl/>
          </w:rPr>
          <w:t xml:space="preserve"> </w:t>
        </w:r>
        <w:r w:rsidRPr="00F30EF3">
          <w:rPr>
            <w:rStyle w:val="Hyperlink"/>
            <w:rFonts w:asciiTheme="minorHAnsi" w:hAnsiTheme="minorHAnsi" w:cstheme="minorHAnsi"/>
            <w:i/>
            <w:iCs/>
            <w:sz w:val="22"/>
            <w:szCs w:val="22"/>
            <w:rtl/>
          </w:rPr>
          <w:t xml:space="preserve">تطوير أطر الملكية الفكرية لتسهيل نقل التكنولوجيا بين الجامعات </w:t>
        </w:r>
        <w:r w:rsidR="0025041D" w:rsidRPr="00F30EF3">
          <w:rPr>
            <w:rStyle w:val="Hyperlink"/>
            <w:rFonts w:asciiTheme="minorHAnsi" w:hAnsiTheme="minorHAnsi" w:cstheme="minorHAnsi" w:hint="cs"/>
            <w:i/>
            <w:iCs/>
            <w:sz w:val="22"/>
            <w:szCs w:val="22"/>
            <w:rtl/>
          </w:rPr>
          <w:t>و</w:t>
        </w:r>
        <w:r w:rsidRPr="00F30EF3">
          <w:rPr>
            <w:rStyle w:val="Hyperlink"/>
            <w:rFonts w:asciiTheme="minorHAnsi" w:hAnsiTheme="minorHAnsi" w:cstheme="minorHAnsi"/>
            <w:i/>
            <w:iCs/>
            <w:sz w:val="22"/>
            <w:szCs w:val="22"/>
            <w:rtl/>
          </w:rPr>
          <w:t>ا</w:t>
        </w:r>
        <w:r w:rsidR="0025041D" w:rsidRPr="00F30EF3">
          <w:rPr>
            <w:rStyle w:val="Hyperlink"/>
            <w:rFonts w:asciiTheme="minorHAnsi" w:hAnsiTheme="minorHAnsi" w:cstheme="minorHAnsi" w:hint="cs"/>
            <w:i/>
            <w:iCs/>
            <w:sz w:val="22"/>
            <w:szCs w:val="22"/>
            <w:rtl/>
          </w:rPr>
          <w:t>ل</w:t>
        </w:r>
        <w:r w:rsidRPr="00F30EF3">
          <w:rPr>
            <w:rStyle w:val="Hyperlink"/>
            <w:rFonts w:asciiTheme="minorHAnsi" w:hAnsiTheme="minorHAnsi" w:cstheme="minorHAnsi"/>
            <w:i/>
            <w:iCs/>
            <w:sz w:val="22"/>
            <w:szCs w:val="22"/>
            <w:rtl/>
          </w:rPr>
          <w:t>قطاع الصناعي، قائمة مرجعية بالإجراءات الممكنة</w:t>
        </w:r>
      </w:hyperlink>
    </w:p>
    <w:p w14:paraId="588CAE9A" w14:textId="77777777" w:rsidR="00EC79C0" w:rsidRPr="00F30EF3" w:rsidRDefault="00D02C14" w:rsidP="00465F60">
      <w:pPr>
        <w:pStyle w:val="ListParagraph"/>
        <w:numPr>
          <w:ilvl w:val="1"/>
          <w:numId w:val="16"/>
        </w:numPr>
        <w:tabs>
          <w:tab w:val="left" w:pos="993"/>
        </w:tabs>
        <w:autoSpaceDE w:val="0"/>
        <w:autoSpaceDN w:val="0"/>
        <w:adjustRightInd w:val="0"/>
        <w:spacing w:after="120" w:line="240" w:lineRule="auto"/>
        <w:contextualSpacing w:val="0"/>
        <w:jc w:val="both"/>
        <w:rPr>
          <w:rFonts w:eastAsia="Times New Roman" w:cstheme="minorHAnsi"/>
          <w:i/>
          <w:iCs/>
          <w:color w:val="0070C0"/>
          <w:rtl/>
        </w:rPr>
      </w:pPr>
      <w:r w:rsidRPr="00F30EF3">
        <w:rPr>
          <w:rFonts w:cstheme="minorHAnsi"/>
          <w:i/>
          <w:iCs/>
          <w:color w:val="0070C0"/>
          <w:rtl/>
        </w:rPr>
        <w:t>نموذج ملكية المخترع</w:t>
      </w:r>
    </w:p>
    <w:p w14:paraId="040288A8" w14:textId="77777777" w:rsidR="00E3707D" w:rsidRPr="00F30EF3" w:rsidRDefault="00E3707D" w:rsidP="00E3707D">
      <w:pPr>
        <w:pStyle w:val="NormalWeb"/>
        <w:spacing w:before="0" w:beforeAutospacing="0" w:after="0"/>
        <w:ind w:left="426"/>
        <w:jc w:val="both"/>
        <w:rPr>
          <w:rFonts w:asciiTheme="minorHAnsi" w:hAnsiTheme="minorHAnsi" w:cstheme="minorHAnsi"/>
          <w:sz w:val="22"/>
          <w:szCs w:val="22"/>
          <w:rtl/>
        </w:rPr>
      </w:pPr>
      <w:r w:rsidRPr="00F30EF3">
        <w:rPr>
          <w:rFonts w:asciiTheme="minorHAnsi" w:hAnsiTheme="minorHAnsi" w:cstheme="minorHAnsi"/>
          <w:sz w:val="22"/>
          <w:szCs w:val="22"/>
          <w:rtl/>
        </w:rPr>
        <w:t>يسمح نموذج ملكية المخترع (ويُطلق عليه أيضاً "</w:t>
      </w:r>
      <w:r w:rsidRPr="00F30EF3">
        <w:rPr>
          <w:rFonts w:asciiTheme="minorHAnsi" w:hAnsiTheme="minorHAnsi" w:cstheme="minorHAnsi"/>
          <w:color w:val="0070C0"/>
          <w:sz w:val="22"/>
          <w:szCs w:val="22"/>
          <w:rtl/>
        </w:rPr>
        <w:t>امتياز الأستاذ</w:t>
      </w:r>
      <w:r w:rsidRPr="00F30EF3">
        <w:rPr>
          <w:rFonts w:asciiTheme="minorHAnsi" w:hAnsiTheme="minorHAnsi" w:cstheme="minorHAnsi"/>
          <w:sz w:val="22"/>
          <w:szCs w:val="22"/>
          <w:rtl/>
        </w:rPr>
        <w:t>") للعاملين بالمؤسسة (الموظفين) وهم المبدعون الأصليون بالحصول على الحقوق الكاملة للملكية الفكرية التي أبدعوها. وهو ما يتيح لهم وليس للمؤسسة أن يقرروا بشأن حماية اختراعاتهم ببراءة وكيفية تطوير إبداعاتهم، حتى لو استندت تلك الأخيرة إلى أبحاث ممولة من القطاع العام. وعادة ما تملك المؤسسة ترخيصاً ما لاستخدام الملكية الفكرية. وفي بعض الحالات، تتقاسم المؤسسة المنافع مع المخترع، إن وفرت له دعماً كبيراً لنقل التكنولوجيا. ويهدف هذا المفهوم إلى تحفيز الأكاديميين على المشاركة بفاعلية أكبر في تسويق مخرجات البحوث. ولكن لكي يعمل هذا النموذج، يُشترط أن يكون المخترعون في المؤسسة لديهم الدافع الذاتي للاختراع وأن يتمتعوا بمهارات ريادة الأعمال. وتشتمل الأمثلة على الدول التي تعتمد نموذج ملكية المخترع على كل من كندا، وإيطاليا، والسويد</w:t>
      </w:r>
      <w:r w:rsidRPr="00F30EF3">
        <w:rPr>
          <w:rStyle w:val="FootnoteReference"/>
          <w:rFonts w:asciiTheme="minorHAnsi" w:hAnsiTheme="minorHAnsi" w:cstheme="minorHAnsi"/>
          <w:sz w:val="22"/>
          <w:szCs w:val="22"/>
          <w:rtl/>
          <w:lang w:val="en-US"/>
        </w:rPr>
        <w:footnoteReference w:id="103"/>
      </w:r>
      <w:r w:rsidRPr="00F30EF3">
        <w:rPr>
          <w:rFonts w:asciiTheme="minorHAnsi" w:hAnsiTheme="minorHAnsi" w:cstheme="minorHAnsi"/>
          <w:sz w:val="22"/>
          <w:szCs w:val="22"/>
          <w:rtl/>
        </w:rPr>
        <w:t xml:space="preserve">. </w:t>
      </w:r>
    </w:p>
    <w:p w14:paraId="70415072" w14:textId="10771A09" w:rsidR="00FE0EC7" w:rsidRPr="00F30EF3" w:rsidRDefault="00B35E86"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b/>
          <w:bCs/>
          <w:rtl/>
        </w:rPr>
      </w:pPr>
      <w:bookmarkStart w:id="154" w:name="Box30"/>
      <w:r w:rsidRPr="00F30EF3">
        <w:rPr>
          <w:rFonts w:cstheme="minorHAnsi"/>
          <w:b/>
          <w:bCs/>
          <w:rtl/>
        </w:rPr>
        <w:t>الإطار</w:t>
      </w:r>
      <w:bookmarkEnd w:id="154"/>
      <w:r w:rsidR="00465F60" w:rsidRPr="00F30EF3">
        <w:rPr>
          <w:rFonts w:cstheme="minorHAnsi"/>
          <w:b/>
          <w:bCs/>
        </w:rPr>
        <w:t>.</w:t>
      </w:r>
      <w:r w:rsidR="001F70D3" w:rsidRPr="00F30EF3">
        <w:rPr>
          <w:rFonts w:cstheme="minorHAnsi"/>
          <w:b/>
          <w:bCs/>
        </w:rPr>
        <w:t>30</w:t>
      </w:r>
      <w:r w:rsidRPr="00F30EF3">
        <w:rPr>
          <w:rFonts w:cstheme="minorHAnsi"/>
          <w:b/>
          <w:bCs/>
          <w:rtl/>
        </w:rPr>
        <w:t xml:space="preserve"> ملكية المخترع - جامعة واترلو (كندا)</w:t>
      </w:r>
    </w:p>
    <w:p w14:paraId="14B82731" w14:textId="77777777" w:rsidR="00B35E86" w:rsidRPr="00F30EF3" w:rsidRDefault="00B35E86"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b/>
          <w:bCs/>
          <w:lang w:val="en-US"/>
        </w:rPr>
      </w:pPr>
    </w:p>
    <w:p w14:paraId="77C44D5A" w14:textId="57E5EC53" w:rsidR="004A5F27" w:rsidRPr="00F30EF3" w:rsidRDefault="00C01039"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rtl/>
        </w:rPr>
      </w:pPr>
      <w:r w:rsidRPr="00F30EF3">
        <w:rPr>
          <w:rFonts w:cstheme="minorHAnsi"/>
          <w:rtl/>
        </w:rPr>
        <w:t xml:space="preserve">في كندا، تختلف القواعد الخاصة بملكية الجامعات الملكية الفكرية على صعيد المقاطعات. ويمكن تقسيم السياسات المطبقة في الجامعات إلى ثلاث مجموعات رئيسية من النماذج: "1" ملكية الجامعة، والتي تتطلب التنازل الإلزامي عن الملكية الفكرية لصالح الجامعة وستدير الجامعة عملية التسويق؛ "2" وملكية المخترع، التي تتيح للمخترع اختيار إما التنازل عن الملكية إلى الجامعة أو الاحتفاظ بها؛ "3" والملكية المشتركة للملكية الفكرية بين الجامعة والمخترع. </w:t>
      </w:r>
    </w:p>
    <w:p w14:paraId="40D86BA2" w14:textId="77777777" w:rsidR="004A5F27" w:rsidRPr="00F30EF3" w:rsidRDefault="004A5F27"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lang w:val="en-US"/>
        </w:rPr>
      </w:pPr>
    </w:p>
    <w:p w14:paraId="49A5FC18" w14:textId="7E76AF1D" w:rsidR="00FE0EC7" w:rsidRPr="00F30EF3" w:rsidRDefault="00FE0EC7"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rtl/>
        </w:rPr>
      </w:pPr>
      <w:r w:rsidRPr="00F30EF3">
        <w:rPr>
          <w:rFonts w:cstheme="minorHAnsi"/>
          <w:rtl/>
        </w:rPr>
        <w:t>وتُعد جامعة واترلو أحد أنجح الجامعات في ريادة الأعمال في كندا التي تطبق نموذج ملكية المخترع. وشعار هذه الجامعة هو "</w:t>
      </w:r>
      <w:r w:rsidRPr="00F30EF3">
        <w:rPr>
          <w:rFonts w:cstheme="minorHAnsi"/>
          <w:i/>
          <w:iCs/>
          <w:rtl/>
        </w:rPr>
        <w:t>كل ما تكتشفه في واترلو ملكك</w:t>
      </w:r>
      <w:r w:rsidRPr="00F30EF3">
        <w:rPr>
          <w:rFonts w:cstheme="minorHAnsi"/>
          <w:rtl/>
        </w:rPr>
        <w:t>".  وفيما يلي المبادئ الرئيسية لسياسة الجامعة</w:t>
      </w:r>
      <w:r w:rsidR="000F5B08" w:rsidRPr="00F30EF3">
        <w:rPr>
          <w:rStyle w:val="FootnoteReference"/>
          <w:rFonts w:cstheme="minorHAnsi"/>
          <w:rtl/>
          <w:lang w:val="en-US"/>
        </w:rPr>
        <w:footnoteReference w:id="104"/>
      </w:r>
      <w:r w:rsidRPr="00F30EF3">
        <w:rPr>
          <w:rFonts w:cstheme="minorHAnsi"/>
          <w:rtl/>
        </w:rPr>
        <w:t>:</w:t>
      </w:r>
    </w:p>
    <w:p w14:paraId="7FC5012D" w14:textId="77777777" w:rsidR="000F5B08" w:rsidRPr="00F30EF3" w:rsidRDefault="000F5B08"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cstheme="minorHAnsi"/>
          <w:rtl/>
        </w:rPr>
      </w:pPr>
      <w:r w:rsidRPr="00F30EF3">
        <w:rPr>
          <w:rFonts w:cstheme="minorHAnsi"/>
          <w:rtl/>
        </w:rPr>
        <w:t>تعود الملكية الفكرية التي تنشأ خلال فترة التدريس والبحث إلى المُبدع.</w:t>
      </w:r>
    </w:p>
    <w:p w14:paraId="43CB2118" w14:textId="77777777" w:rsidR="0077465B" w:rsidRPr="00F30EF3" w:rsidRDefault="0077465B"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cstheme="minorHAnsi"/>
          <w:rtl/>
        </w:rPr>
      </w:pPr>
      <w:r w:rsidRPr="00F30EF3">
        <w:rPr>
          <w:rFonts w:cstheme="minorHAnsi"/>
          <w:rtl/>
        </w:rPr>
        <w:t xml:space="preserve">غير أن الجامعة تحتفظ بملكية حقوق الملكية الفكرية في المصنفات التي تنشأ على اعتبار أنها تكون </w:t>
      </w:r>
      <w:r w:rsidRPr="00F30EF3">
        <w:rPr>
          <w:rFonts w:cstheme="minorHAnsi"/>
          <w:i/>
          <w:iCs/>
          <w:rtl/>
        </w:rPr>
        <w:t>مهاماً مسندة</w:t>
      </w:r>
      <w:r w:rsidRPr="00F30EF3">
        <w:rPr>
          <w:rFonts w:cstheme="minorHAnsi"/>
          <w:rtl/>
        </w:rPr>
        <w:t xml:space="preserve"> على نحو محدد خلال ممارسة الأنشطة الإدارية.</w:t>
      </w:r>
    </w:p>
    <w:p w14:paraId="62C17866" w14:textId="77777777" w:rsidR="0077465B" w:rsidRPr="00F30EF3" w:rsidRDefault="0077465B"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cstheme="minorHAnsi"/>
          <w:rtl/>
        </w:rPr>
      </w:pPr>
      <w:r w:rsidRPr="00F30EF3">
        <w:rPr>
          <w:rFonts w:cstheme="minorHAnsi"/>
          <w:rtl/>
        </w:rPr>
        <w:t>حيث إن المُبدع هو صاحب المصنفات العلمية، فإن الجامعة تمتلك ترخيصاً غير استئثاري ومجاني وغير قابل للإلغاء لنسخ هذه المصنفات و/أو استخدامها في أنشطة تدريسية وبحثية أخرى.</w:t>
      </w:r>
    </w:p>
    <w:p w14:paraId="3334C35D" w14:textId="77777777" w:rsidR="0077465B" w:rsidRPr="00F30EF3" w:rsidRDefault="0077465B"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cstheme="minorHAnsi"/>
          <w:rtl/>
        </w:rPr>
      </w:pPr>
      <w:r w:rsidRPr="00F30EF3">
        <w:rPr>
          <w:rFonts w:cstheme="minorHAnsi"/>
          <w:rtl/>
        </w:rPr>
        <w:t>يُترقب من المُبدع أن يقر بفضل الجامعة على مساهماتها.</w:t>
      </w:r>
    </w:p>
    <w:p w14:paraId="0A378641" w14:textId="77777777" w:rsidR="00FF01E3" w:rsidRPr="00F30EF3" w:rsidRDefault="00FF01E3"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cstheme="minorHAnsi"/>
          <w:rtl/>
        </w:rPr>
      </w:pPr>
      <w:r w:rsidRPr="00F30EF3">
        <w:rPr>
          <w:rFonts w:cstheme="minorHAnsi"/>
          <w:rtl/>
        </w:rPr>
        <w:t>إذا اختار المخترع الاستعانة بمساعدة الجامعة على استغلال حقوق براءته، فعليه أن يتنازل عن جميع الحقوق المضمّنة في البراءة لصالح الجامعة.</w:t>
      </w:r>
    </w:p>
    <w:p w14:paraId="0F261953" w14:textId="77777777" w:rsidR="000F5B08" w:rsidRPr="00F30EF3" w:rsidRDefault="000F5B08"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cstheme="minorHAnsi"/>
          <w:lang w:val="en-US"/>
        </w:rPr>
      </w:pPr>
    </w:p>
    <w:p w14:paraId="43A630FC" w14:textId="77777777" w:rsidR="00BB56BE" w:rsidRPr="00F30EF3" w:rsidRDefault="00BB56BE" w:rsidP="00B7519E">
      <w:pPr>
        <w:rPr>
          <w:rFonts w:cstheme="minorHAnsi"/>
          <w:lang w:val="en-US"/>
        </w:rPr>
      </w:pPr>
    </w:p>
    <w:p w14:paraId="59B2175A" w14:textId="132FAC4B" w:rsidR="00441927" w:rsidRPr="00F30EF3" w:rsidRDefault="00AA1427" w:rsidP="00007B07">
      <w:pPr>
        <w:pStyle w:val="ListParagraph"/>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eastAsia="Times New Roman" w:cstheme="minorHAnsi"/>
          <w:b/>
          <w:bCs/>
          <w:rtl/>
        </w:rPr>
      </w:pPr>
      <w:r w:rsidRPr="00F30EF3">
        <w:rPr>
          <w:rFonts w:cstheme="minorHAnsi"/>
          <w:b/>
          <w:bCs/>
          <w:rtl/>
        </w:rPr>
        <w:t xml:space="preserve">الإطار </w:t>
      </w:r>
      <w:r w:rsidR="00A97432" w:rsidRPr="00F30EF3">
        <w:rPr>
          <w:rFonts w:cstheme="minorHAnsi"/>
          <w:b/>
          <w:bCs/>
        </w:rPr>
        <w:t>.</w:t>
      </w:r>
      <w:r w:rsidR="001F70D3" w:rsidRPr="00F30EF3">
        <w:rPr>
          <w:rFonts w:cstheme="minorHAnsi"/>
          <w:b/>
          <w:bCs/>
        </w:rPr>
        <w:t>31</w:t>
      </w:r>
      <w:r w:rsidRPr="00F30EF3">
        <w:rPr>
          <w:rFonts w:cstheme="minorHAnsi"/>
          <w:b/>
          <w:bCs/>
          <w:rtl/>
        </w:rPr>
        <w:t xml:space="preserve"> نصائح لتفحص الوضع القانوني الخاص بملكية الملكية الفكرية</w:t>
      </w:r>
      <w:r w:rsidRPr="00F30EF3">
        <w:rPr>
          <w:rFonts w:cstheme="minorHAnsi"/>
          <w:rtl/>
        </w:rPr>
        <w:t xml:space="preserve"> </w:t>
      </w:r>
    </w:p>
    <w:p w14:paraId="2036AF70" w14:textId="77777777" w:rsidR="000444D5" w:rsidRPr="00F30EF3" w:rsidRDefault="000444D5" w:rsidP="00007B07">
      <w:pPr>
        <w:pStyle w:val="ListParagraph"/>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eastAsia="Times New Roman" w:cstheme="minorHAnsi"/>
          <w:b/>
          <w:bCs/>
          <w:lang w:val="en-US"/>
        </w:rPr>
      </w:pPr>
    </w:p>
    <w:p w14:paraId="6CF52A0F" w14:textId="77777777" w:rsidR="00441927" w:rsidRPr="00F30EF3" w:rsidRDefault="00EC79C0"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eastAsia="Times New Roman" w:cstheme="minorHAnsi"/>
          <w:rtl/>
        </w:rPr>
      </w:pPr>
      <w:r w:rsidRPr="00F30EF3">
        <w:rPr>
          <w:rFonts w:cstheme="minorHAnsi"/>
          <w:rtl/>
        </w:rPr>
        <w:t>كن على دراية بأن الوضع الافتراضي للملكية بالنسبة للبراءات قد يختلف عن الوضع الافتراضي بالنسبة لحق المؤلف.</w:t>
      </w:r>
    </w:p>
    <w:p w14:paraId="145B8181" w14:textId="77777777" w:rsidR="00441927" w:rsidRPr="00F30EF3" w:rsidRDefault="00441927" w:rsidP="00007B07">
      <w:pPr>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eastAsia="Times New Roman" w:cstheme="minorHAnsi"/>
          <w:lang w:val="en-US"/>
        </w:rPr>
      </w:pPr>
    </w:p>
    <w:p w14:paraId="1583F5AD" w14:textId="5242AC5F" w:rsidR="00441927" w:rsidRPr="00F30EF3" w:rsidRDefault="00441927"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eastAsia="Times New Roman" w:cstheme="minorHAnsi"/>
          <w:rtl/>
        </w:rPr>
      </w:pPr>
      <w:r w:rsidRPr="00F30EF3">
        <w:rPr>
          <w:rFonts w:cstheme="minorHAnsi"/>
          <w:rtl/>
        </w:rPr>
        <w:t>استعن بمحامٍ محلي ذو خبرة لإجراء تحليل دقيق لقوانين البلد وسياساتها</w:t>
      </w:r>
      <w:r w:rsidRPr="00F30EF3">
        <w:rPr>
          <w:rFonts w:cstheme="minorHAnsi"/>
          <w:b/>
          <w:bCs/>
          <w:rtl/>
        </w:rPr>
        <w:t xml:space="preserve"> </w:t>
      </w:r>
      <w:r w:rsidRPr="00F30EF3">
        <w:rPr>
          <w:rFonts w:cstheme="minorHAnsi"/>
          <w:rtl/>
        </w:rPr>
        <w:t xml:space="preserve">المتعلقة بقضايا الملكية فيما يخص الملكية الفكرية التي تنشأ في المؤسسات.  وتمثل </w:t>
      </w:r>
      <w:hyperlink r:id="rId83" w:history="1">
        <w:r w:rsidRPr="00F30EF3">
          <w:rPr>
            <w:rStyle w:val="Hyperlink"/>
            <w:rFonts w:cstheme="minorHAnsi"/>
            <w:i/>
            <w:iCs/>
            <w:rtl/>
          </w:rPr>
          <w:t>القائمة المرجعية لواضعي سياسات الويبو</w:t>
        </w:r>
      </w:hyperlink>
      <w:r w:rsidR="003A33DC" w:rsidRPr="00F30EF3">
        <w:rPr>
          <w:rFonts w:cstheme="minorHAnsi"/>
          <w:rtl/>
        </w:rPr>
        <w:t xml:space="preserve"> </w:t>
      </w:r>
      <w:r w:rsidRPr="00F30EF3">
        <w:rPr>
          <w:rFonts w:cstheme="minorHAnsi"/>
          <w:rtl/>
        </w:rPr>
        <w:t xml:space="preserve">نقطة انطلاق المفيدة لهذا التمرين. ولمزيد من المعلومات حول قوانين الملكية الفكرية في مختلف البلدان، قم بزيارة </w:t>
      </w:r>
      <w:hyperlink r:id="rId84" w:history="1">
        <w:r w:rsidRPr="00F30EF3">
          <w:rPr>
            <w:rStyle w:val="Hyperlink"/>
            <w:rFonts w:cstheme="minorHAnsi"/>
            <w:rtl/>
          </w:rPr>
          <w:t>قاعدة بيانات ويبو لكس</w:t>
        </w:r>
      </w:hyperlink>
      <w:r w:rsidRPr="00F30EF3">
        <w:rPr>
          <w:rFonts w:cstheme="minorHAnsi"/>
          <w:rtl/>
        </w:rPr>
        <w:t xml:space="preserve"> ومجموعة أدوات</w:t>
      </w:r>
      <w:r w:rsidR="003A33DC" w:rsidRPr="00F30EF3">
        <w:rPr>
          <w:rFonts w:cstheme="minorHAnsi"/>
          <w:rtl/>
        </w:rPr>
        <w:t xml:space="preserve"> </w:t>
      </w:r>
      <w:hyperlink r:id="rId85" w:history="1">
        <w:r w:rsidRPr="00F30EF3">
          <w:rPr>
            <w:rStyle w:val="Hyperlink"/>
            <w:rFonts w:cstheme="minorHAnsi"/>
          </w:rPr>
          <w:t>Toolbox</w:t>
        </w:r>
      </w:hyperlink>
      <w:r w:rsidRPr="00F30EF3">
        <w:rPr>
          <w:rFonts w:cstheme="minorHAnsi"/>
          <w:rtl/>
        </w:rPr>
        <w:t xml:space="preserve"> الذي توجد في تعاون رابط </w:t>
      </w:r>
      <w:r w:rsidRPr="00F30EF3">
        <w:rPr>
          <w:rFonts w:cstheme="minorHAnsi"/>
        </w:rPr>
        <w:t>HEIP</w:t>
      </w:r>
      <w:r w:rsidRPr="00F30EF3">
        <w:rPr>
          <w:rFonts w:cstheme="minorHAnsi"/>
          <w:rtl/>
        </w:rPr>
        <w:t xml:space="preserve">. </w:t>
      </w:r>
    </w:p>
    <w:p w14:paraId="0274B017" w14:textId="77777777" w:rsidR="000444D5" w:rsidRPr="00F30EF3" w:rsidRDefault="000444D5" w:rsidP="00007B07">
      <w:pPr>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eastAsia="Times New Roman" w:cstheme="minorHAnsi"/>
          <w:lang w:val="en-US"/>
        </w:rPr>
      </w:pPr>
    </w:p>
    <w:p w14:paraId="51940559" w14:textId="77777777" w:rsidR="000444D5" w:rsidRPr="00F30EF3" w:rsidRDefault="000444D5"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cstheme="minorHAnsi"/>
          <w:rtl/>
        </w:rPr>
      </w:pPr>
      <w:r w:rsidRPr="00F30EF3">
        <w:rPr>
          <w:rFonts w:cstheme="minorHAnsi"/>
          <w:rtl/>
        </w:rPr>
        <w:lastRenderedPageBreak/>
        <w:t>يجب أن تتضمن سياسة الملكية الفكرية صكاً (مثل اتفاق المشاركة) يلزم جميع الموظفين والطلاب والزائرين بالتنازل عن حقوق أي اختراع يتم ابتكاره نتيجة لأبحاثهم لصالح الكيان، إذا سمح القانون الوطني والسياسة المؤسسية بذلك.</w:t>
      </w:r>
    </w:p>
    <w:p w14:paraId="369DFA81" w14:textId="3654C13C" w:rsidR="00A97432" w:rsidRPr="00F30EF3" w:rsidRDefault="00A97432">
      <w:pPr>
        <w:bidi w:val="0"/>
        <w:rPr>
          <w:rFonts w:cstheme="minorHAnsi"/>
          <w:rtl/>
          <w:lang w:val="en-US"/>
        </w:rPr>
      </w:pPr>
      <w:r w:rsidRPr="00F30EF3">
        <w:rPr>
          <w:rFonts w:cstheme="minorHAnsi"/>
          <w:rtl/>
          <w:lang w:val="en-US"/>
        </w:rPr>
        <w:br w:type="page"/>
      </w:r>
    </w:p>
    <w:p w14:paraId="478C9C73" w14:textId="77777777" w:rsidR="00E27A4C" w:rsidRPr="00F30EF3" w:rsidRDefault="00C1731A">
      <w:pPr>
        <w:spacing w:after="0" w:line="240" w:lineRule="auto"/>
        <w:ind w:left="567" w:hanging="567"/>
        <w:jc w:val="both"/>
        <w:rPr>
          <w:rFonts w:eastAsia="Times New Roman" w:cstheme="minorHAnsi"/>
          <w:b/>
          <w:bCs/>
          <w:color w:val="0070C0"/>
          <w:sz w:val="24"/>
          <w:szCs w:val="24"/>
          <w:rtl/>
        </w:rPr>
      </w:pPr>
      <w:r w:rsidRPr="00F30EF3">
        <w:rPr>
          <w:rFonts w:cstheme="minorHAnsi"/>
          <w:b/>
          <w:bCs/>
          <w:color w:val="0070C0"/>
          <w:sz w:val="24"/>
          <w:szCs w:val="24"/>
          <w:rtl/>
        </w:rPr>
        <w:lastRenderedPageBreak/>
        <w:t>القاعدة الثانية:  النظر في الممارسات المعتمدة و/أو الفضلى؟</w:t>
      </w:r>
      <w:r w:rsidRPr="00F30EF3">
        <w:rPr>
          <w:rFonts w:cstheme="minorHAnsi"/>
          <w:sz w:val="24"/>
          <w:szCs w:val="24"/>
          <w:rtl/>
        </w:rPr>
        <w:t xml:space="preserve"> </w:t>
      </w:r>
    </w:p>
    <w:p w14:paraId="785ABBD8" w14:textId="77777777" w:rsidR="006D4C88" w:rsidRPr="00F30EF3" w:rsidRDefault="006D4C88">
      <w:pPr>
        <w:spacing w:after="0" w:line="240" w:lineRule="auto"/>
        <w:jc w:val="both"/>
        <w:rPr>
          <w:rFonts w:eastAsia="Times New Roman" w:cstheme="minorHAnsi"/>
          <w:lang w:val="en-US"/>
        </w:rPr>
      </w:pPr>
    </w:p>
    <w:p w14:paraId="4BE54607" w14:textId="77777777" w:rsidR="00320668" w:rsidRPr="00F30EF3" w:rsidRDefault="00320668" w:rsidP="005D4538">
      <w:pPr>
        <w:pStyle w:val="ListParagraph"/>
        <w:numPr>
          <w:ilvl w:val="0"/>
          <w:numId w:val="19"/>
        </w:numPr>
        <w:autoSpaceDE w:val="0"/>
        <w:autoSpaceDN w:val="0"/>
        <w:adjustRightInd w:val="0"/>
        <w:spacing w:after="120" w:line="240" w:lineRule="auto"/>
        <w:ind w:left="432" w:hanging="432"/>
        <w:contextualSpacing w:val="0"/>
        <w:jc w:val="both"/>
        <w:rPr>
          <w:rFonts w:eastAsia="Times New Roman" w:cstheme="minorHAnsi"/>
          <w:rtl/>
        </w:rPr>
      </w:pPr>
      <w:r w:rsidRPr="00F30EF3">
        <w:rPr>
          <w:rFonts w:cstheme="minorHAnsi"/>
          <w:rtl/>
        </w:rPr>
        <w:t xml:space="preserve">قد تأخذ سياسة الملكية الفكرية في اعتبارها الممارسات التاريخية/المعتمدة للمؤسسة والمعايير والتقاليد القائمة في التخصصات الأكاديمية المتنوعة بالإضافة إلى الممارسات الدولية الفضلى.  </w:t>
      </w:r>
    </w:p>
    <w:p w14:paraId="167F33F2" w14:textId="62DBA1EF" w:rsidR="00320668" w:rsidRPr="00F30EF3" w:rsidRDefault="00320668" w:rsidP="005D4538">
      <w:pPr>
        <w:pStyle w:val="ListParagraph"/>
        <w:numPr>
          <w:ilvl w:val="0"/>
          <w:numId w:val="19"/>
        </w:numPr>
        <w:autoSpaceDE w:val="0"/>
        <w:autoSpaceDN w:val="0"/>
        <w:adjustRightInd w:val="0"/>
        <w:spacing w:after="120" w:line="240" w:lineRule="auto"/>
        <w:ind w:left="432" w:hanging="432"/>
        <w:contextualSpacing w:val="0"/>
        <w:jc w:val="both"/>
        <w:rPr>
          <w:rFonts w:eastAsia="Times New Roman" w:cstheme="minorHAnsi"/>
          <w:rtl/>
        </w:rPr>
      </w:pPr>
      <w:r w:rsidRPr="00F30EF3">
        <w:rPr>
          <w:rFonts w:cstheme="minorHAnsi"/>
          <w:rtl/>
        </w:rPr>
        <w:t>وقد وضعت بعض الحكومات أو الوكالات "الممارسات الفضلى" لملكية الملكية الفكرية وإدارتها في المؤسسات، مثل جمعية مديري التكنولوجيا بالجامعات (</w:t>
      </w:r>
      <w:hyperlink r:id="rId86" w:history="1">
        <w:r w:rsidRPr="00F30EF3">
          <w:rPr>
            <w:rStyle w:val="Hyperlink"/>
            <w:rFonts w:cstheme="minorHAnsi"/>
          </w:rPr>
          <w:t>AUTM</w:t>
        </w:r>
      </w:hyperlink>
      <w:r w:rsidRPr="00F30EF3">
        <w:rPr>
          <w:rFonts w:cstheme="minorHAnsi"/>
          <w:rtl/>
        </w:rPr>
        <w:t>)؛</w:t>
      </w:r>
      <w:r w:rsidRPr="00F30EF3">
        <w:rPr>
          <w:rStyle w:val="FootnoteReference"/>
          <w:rFonts w:eastAsia="Times New Roman" w:cstheme="minorHAnsi"/>
          <w:rtl/>
          <w:lang w:val="en-US"/>
        </w:rPr>
        <w:footnoteReference w:id="105"/>
      </w:r>
      <w:r w:rsidRPr="00F30EF3">
        <w:rPr>
          <w:rFonts w:cstheme="minorHAnsi"/>
          <w:rtl/>
        </w:rPr>
        <w:t xml:space="preserve"> المركز الدولي لنقل التكنولوجيا البيئية (</w:t>
      </w:r>
      <w:hyperlink r:id="rId87" w:history="1">
        <w:r w:rsidRPr="00F30EF3">
          <w:rPr>
            <w:rStyle w:val="Hyperlink"/>
            <w:rFonts w:cstheme="minorHAnsi"/>
          </w:rPr>
          <w:t>ICETT</w:t>
        </w:r>
      </w:hyperlink>
      <w:r w:rsidRPr="00F30EF3">
        <w:rPr>
          <w:rFonts w:cstheme="minorHAnsi"/>
          <w:rtl/>
        </w:rPr>
        <w:t>)؛</w:t>
      </w:r>
      <w:r w:rsidRPr="00F30EF3">
        <w:rPr>
          <w:rStyle w:val="FootnoteReference"/>
          <w:rFonts w:eastAsia="Times New Roman" w:cstheme="minorHAnsi"/>
          <w:rtl/>
          <w:lang w:val="en-US"/>
        </w:rPr>
        <w:footnoteReference w:id="106"/>
      </w:r>
      <w:r w:rsidRPr="00F30EF3">
        <w:rPr>
          <w:rFonts w:cstheme="minorHAnsi"/>
          <w:rtl/>
        </w:rPr>
        <w:t xml:space="preserve"> ومنظمة تسويق المعارف في المنطقة الأسترالية الآسيوية (</w:t>
      </w:r>
      <w:hyperlink r:id="rId88" w:history="1">
        <w:r w:rsidRPr="00F30EF3">
          <w:rPr>
            <w:rStyle w:val="Hyperlink"/>
            <w:rFonts w:cstheme="minorHAnsi"/>
          </w:rPr>
          <w:t>KCA</w:t>
        </w:r>
      </w:hyperlink>
      <w:r w:rsidRPr="00F30EF3">
        <w:rPr>
          <w:rFonts w:cstheme="minorHAnsi"/>
          <w:rtl/>
        </w:rPr>
        <w:t>)؛</w:t>
      </w:r>
      <w:r w:rsidRPr="00F30EF3">
        <w:rPr>
          <w:rStyle w:val="FootnoteReference"/>
          <w:rFonts w:eastAsia="Times New Roman" w:cstheme="minorHAnsi"/>
          <w:rtl/>
          <w:lang w:val="en-US"/>
        </w:rPr>
        <w:footnoteReference w:id="107"/>
      </w:r>
      <w:hyperlink r:id="rId89" w:history="1">
        <w:r w:rsidRPr="00F30EF3">
          <w:rPr>
            <w:rStyle w:val="Hyperlink"/>
            <w:rFonts w:cstheme="minorHAnsi"/>
            <w:rtl/>
          </w:rPr>
          <w:t>؛ والرابطة الكندية لتسويق التكنولوجيا (</w:t>
        </w:r>
        <w:r w:rsidRPr="00F30EF3">
          <w:rPr>
            <w:rStyle w:val="Hyperlink"/>
            <w:rFonts w:cstheme="minorHAnsi"/>
          </w:rPr>
          <w:t>ACCT</w:t>
        </w:r>
        <w:r w:rsidRPr="00F30EF3">
          <w:rPr>
            <w:rStyle w:val="Hyperlink"/>
            <w:rFonts w:cstheme="minorHAnsi"/>
            <w:rtl/>
          </w:rPr>
          <w:t>)</w:t>
        </w:r>
      </w:hyperlink>
      <w:r w:rsidRPr="00F30EF3">
        <w:rPr>
          <w:rFonts w:cstheme="minorHAnsi"/>
          <w:rtl/>
        </w:rPr>
        <w:t>؛</w:t>
      </w:r>
      <w:r w:rsidRPr="00F30EF3">
        <w:rPr>
          <w:rStyle w:val="FootnoteReference"/>
          <w:rFonts w:eastAsia="Times New Roman" w:cstheme="minorHAnsi"/>
          <w:rtl/>
          <w:lang w:val="en-US"/>
        </w:rPr>
        <w:footnoteReference w:id="108"/>
      </w:r>
      <w:r w:rsidRPr="00F30EF3">
        <w:rPr>
          <w:rFonts w:cstheme="minorHAnsi"/>
          <w:rtl/>
        </w:rPr>
        <w:t xml:space="preserve"> رابطة الصلات بين البحوث الجامعية وقطاع الصناعة (</w:t>
      </w:r>
      <w:hyperlink r:id="rId90" w:history="1">
        <w:r w:rsidRPr="00F30EF3">
          <w:rPr>
            <w:rStyle w:val="Hyperlink"/>
            <w:rFonts w:cstheme="minorHAnsi"/>
          </w:rPr>
          <w:t>AURIL</w:t>
        </w:r>
      </w:hyperlink>
      <w:r w:rsidRPr="00F30EF3">
        <w:rPr>
          <w:rFonts w:cstheme="minorHAnsi"/>
          <w:rtl/>
        </w:rPr>
        <w:t>).</w:t>
      </w:r>
      <w:r w:rsidRPr="00F30EF3">
        <w:rPr>
          <w:rStyle w:val="FootnoteReference"/>
          <w:rFonts w:eastAsia="Times New Roman" w:cstheme="minorHAnsi"/>
          <w:rtl/>
          <w:lang w:val="en-US"/>
        </w:rPr>
        <w:footnoteReference w:id="109"/>
      </w:r>
      <w:r w:rsidRPr="00F30EF3">
        <w:rPr>
          <w:rFonts w:cstheme="minorHAnsi"/>
          <w:rtl/>
        </w:rPr>
        <w:t xml:space="preserve">  وفي حين أن هذه الممارسات الفضلى عادةً غير ملزمة، إلا أن أخذها بعين الاعتبار قد يعود بالنفع.  </w:t>
      </w:r>
    </w:p>
    <w:p w14:paraId="28F8952B" w14:textId="77777777" w:rsidR="00A7087B" w:rsidRPr="00F30EF3" w:rsidRDefault="00A7087B" w:rsidP="00C37C98">
      <w:pPr>
        <w:autoSpaceDE w:val="0"/>
        <w:autoSpaceDN w:val="0"/>
        <w:adjustRightInd w:val="0"/>
        <w:spacing w:after="0" w:line="240" w:lineRule="auto"/>
        <w:jc w:val="both"/>
        <w:rPr>
          <w:rFonts w:eastAsia="Times New Roman" w:cstheme="minorHAnsi"/>
          <w:lang w:val="en-US"/>
        </w:rPr>
      </w:pPr>
    </w:p>
    <w:p w14:paraId="637F6CAF" w14:textId="77777777" w:rsidR="000D7090" w:rsidRPr="00F30EF3" w:rsidRDefault="00C1731A">
      <w:pPr>
        <w:spacing w:after="0" w:line="240" w:lineRule="auto"/>
        <w:ind w:left="567" w:hanging="567"/>
        <w:jc w:val="both"/>
        <w:rPr>
          <w:rFonts w:eastAsia="Times New Roman" w:cstheme="minorHAnsi"/>
          <w:b/>
          <w:bCs/>
          <w:color w:val="0070C0"/>
          <w:sz w:val="24"/>
          <w:szCs w:val="24"/>
          <w:rtl/>
        </w:rPr>
      </w:pPr>
      <w:r w:rsidRPr="00F30EF3">
        <w:rPr>
          <w:rFonts w:cstheme="minorHAnsi"/>
          <w:b/>
          <w:bCs/>
          <w:color w:val="0070C0"/>
          <w:sz w:val="24"/>
          <w:szCs w:val="24"/>
          <w:rtl/>
        </w:rPr>
        <w:t>القاعدة الثالثة:  تحت أي ظروف يجب أن تمتلك المؤسسة حقوق الملكية الفكرية؟</w:t>
      </w:r>
    </w:p>
    <w:p w14:paraId="2A795C27" w14:textId="77777777" w:rsidR="006D4C88" w:rsidRPr="00F30EF3" w:rsidRDefault="006D4C88">
      <w:pPr>
        <w:pStyle w:val="ListParagraph"/>
        <w:spacing w:after="0" w:line="240" w:lineRule="auto"/>
        <w:rPr>
          <w:rFonts w:eastAsia="Times New Roman" w:cstheme="minorHAnsi"/>
          <w:b/>
          <w:bCs/>
          <w:lang w:val="en-US"/>
        </w:rPr>
      </w:pPr>
    </w:p>
    <w:p w14:paraId="0CD11133" w14:textId="77777777" w:rsidR="00320668" w:rsidRPr="00F30EF3" w:rsidRDefault="00A73241" w:rsidP="005D4538">
      <w:pPr>
        <w:pStyle w:val="ListParagraph"/>
        <w:numPr>
          <w:ilvl w:val="0"/>
          <w:numId w:val="19"/>
        </w:numPr>
        <w:spacing w:after="120" w:line="240" w:lineRule="auto"/>
        <w:ind w:left="426" w:hanging="426"/>
        <w:contextualSpacing w:val="0"/>
        <w:jc w:val="both"/>
        <w:rPr>
          <w:rFonts w:cstheme="minorHAnsi"/>
          <w:rtl/>
        </w:rPr>
      </w:pPr>
      <w:r w:rsidRPr="00F30EF3">
        <w:rPr>
          <w:rFonts w:cstheme="minorHAnsi"/>
          <w:rtl/>
        </w:rPr>
        <w:t>يتمثل الاعتبار الرئيسي في أن يكون الاعتزام على تعزيز أكبر قدر ممكن من النفاذ إلى الملكية الفكرية للمؤسسة وبحوثها وتعظيم المنافع الاقتصادية والاجتماعية.</w:t>
      </w:r>
    </w:p>
    <w:p w14:paraId="0DA1DB25" w14:textId="77777777" w:rsidR="00320668" w:rsidRPr="00F30EF3" w:rsidRDefault="00320668" w:rsidP="005D4538">
      <w:pPr>
        <w:pStyle w:val="ListParagraph"/>
        <w:numPr>
          <w:ilvl w:val="0"/>
          <w:numId w:val="19"/>
        </w:numPr>
        <w:spacing w:after="120" w:line="240" w:lineRule="auto"/>
        <w:ind w:left="426" w:hanging="426"/>
        <w:contextualSpacing w:val="0"/>
        <w:jc w:val="both"/>
        <w:rPr>
          <w:rFonts w:cstheme="minorHAnsi"/>
          <w:rtl/>
        </w:rPr>
      </w:pPr>
      <w:r w:rsidRPr="00F30EF3">
        <w:rPr>
          <w:rFonts w:cstheme="minorHAnsi"/>
          <w:rtl/>
        </w:rPr>
        <w:t xml:space="preserve">وفي إطار أي تشريعات وطنية معمول بها، يجب على المؤسسة تقديم توضيح على الأقل، فيما يخص الخيارات المدرجة أدناه، حول أي ملكية فكرية ستملكها المؤسسة من ضمن الملكيات الفكرية التي أبدعها موظفوها أو طلابها أو زائروها:  </w:t>
      </w:r>
    </w:p>
    <w:p w14:paraId="1560CEF8" w14:textId="77777777" w:rsidR="00320668" w:rsidRPr="00F30EF3" w:rsidRDefault="00320668" w:rsidP="00B7519E">
      <w:pPr>
        <w:pStyle w:val="ListParagraph"/>
        <w:spacing w:after="0" w:line="240" w:lineRule="auto"/>
        <w:ind w:left="426"/>
        <w:jc w:val="both"/>
        <w:rPr>
          <w:rFonts w:cstheme="minorHAnsi"/>
          <w:lang w:val="en-US"/>
        </w:rPr>
      </w:pPr>
    </w:p>
    <w:p w14:paraId="3DF0C03C" w14:textId="77777777" w:rsidR="002439B9" w:rsidRPr="00F30EF3" w:rsidRDefault="00320668" w:rsidP="009D4A54">
      <w:pPr>
        <w:pStyle w:val="StyleJustified"/>
        <w:numPr>
          <w:ilvl w:val="0"/>
          <w:numId w:val="46"/>
        </w:numPr>
        <w:spacing w:line="240" w:lineRule="auto"/>
        <w:ind w:hanging="294"/>
        <w:rPr>
          <w:rFonts w:asciiTheme="minorHAnsi" w:hAnsiTheme="minorHAnsi" w:cstheme="minorHAnsi"/>
          <w:sz w:val="22"/>
          <w:szCs w:val="22"/>
          <w:rtl/>
        </w:rPr>
      </w:pPr>
      <w:r w:rsidRPr="00F30EF3">
        <w:rPr>
          <w:rFonts w:asciiTheme="minorHAnsi" w:hAnsiTheme="minorHAnsi" w:cstheme="minorHAnsi"/>
          <w:sz w:val="22"/>
          <w:szCs w:val="22"/>
          <w:rtl/>
        </w:rPr>
        <w:t>البحث الممول من القطاع العام؛</w:t>
      </w:r>
    </w:p>
    <w:p w14:paraId="580B83DB" w14:textId="77777777" w:rsidR="009712A9" w:rsidRPr="00F30EF3" w:rsidRDefault="009712A9" w:rsidP="009D4A54">
      <w:pPr>
        <w:pStyle w:val="StyleJustified"/>
        <w:numPr>
          <w:ilvl w:val="0"/>
          <w:numId w:val="46"/>
        </w:numPr>
        <w:spacing w:line="240" w:lineRule="auto"/>
        <w:ind w:hanging="294"/>
        <w:rPr>
          <w:rFonts w:asciiTheme="minorHAnsi" w:hAnsiTheme="minorHAnsi" w:cstheme="minorHAnsi"/>
          <w:sz w:val="22"/>
          <w:szCs w:val="22"/>
          <w:rtl/>
        </w:rPr>
      </w:pPr>
      <w:r w:rsidRPr="00F30EF3">
        <w:rPr>
          <w:rFonts w:asciiTheme="minorHAnsi" w:hAnsiTheme="minorHAnsi" w:cstheme="minorHAnsi"/>
          <w:sz w:val="22"/>
          <w:szCs w:val="22"/>
          <w:rtl/>
        </w:rPr>
        <w:t>ملكية فكرية تنشأ من خلال الاعتماد على موارد المؤسسة على نحو بالغ؛</w:t>
      </w:r>
    </w:p>
    <w:p w14:paraId="4CCE3C07" w14:textId="77777777" w:rsidR="009712A9" w:rsidRPr="00F30EF3" w:rsidRDefault="00F11556" w:rsidP="009D4A54">
      <w:pPr>
        <w:pStyle w:val="StyleJustified"/>
        <w:numPr>
          <w:ilvl w:val="0"/>
          <w:numId w:val="46"/>
        </w:numPr>
        <w:spacing w:line="240" w:lineRule="auto"/>
        <w:ind w:hanging="294"/>
        <w:rPr>
          <w:rFonts w:asciiTheme="minorHAnsi" w:hAnsiTheme="minorHAnsi" w:cstheme="minorHAnsi"/>
          <w:sz w:val="22"/>
          <w:szCs w:val="22"/>
          <w:rtl/>
        </w:rPr>
      </w:pPr>
      <w:r w:rsidRPr="00F30EF3">
        <w:rPr>
          <w:rFonts w:asciiTheme="minorHAnsi" w:hAnsiTheme="minorHAnsi" w:cstheme="minorHAnsi"/>
          <w:sz w:val="22"/>
          <w:szCs w:val="22"/>
          <w:rtl/>
        </w:rPr>
        <w:t>عمل مكلف به ممول من القطاع الخاص؛</w:t>
      </w:r>
    </w:p>
    <w:p w14:paraId="1EE1BFB9" w14:textId="77777777" w:rsidR="009712A9" w:rsidRPr="00F30EF3" w:rsidRDefault="00F11556" w:rsidP="009D4A54">
      <w:pPr>
        <w:pStyle w:val="StyleJustified"/>
        <w:numPr>
          <w:ilvl w:val="0"/>
          <w:numId w:val="46"/>
        </w:numPr>
        <w:spacing w:line="240" w:lineRule="auto"/>
        <w:ind w:hanging="294"/>
        <w:rPr>
          <w:rFonts w:asciiTheme="minorHAnsi" w:hAnsiTheme="minorHAnsi" w:cstheme="minorHAnsi"/>
          <w:sz w:val="22"/>
          <w:szCs w:val="22"/>
          <w:rtl/>
        </w:rPr>
      </w:pPr>
      <w:r w:rsidRPr="00F30EF3">
        <w:rPr>
          <w:rFonts w:asciiTheme="minorHAnsi" w:hAnsiTheme="minorHAnsi" w:cstheme="minorHAnsi"/>
          <w:sz w:val="22"/>
          <w:szCs w:val="22"/>
          <w:rtl/>
        </w:rPr>
        <w:t>مصنفات خاصة بالموظفين؛</w:t>
      </w:r>
    </w:p>
    <w:p w14:paraId="5584D441" w14:textId="77777777" w:rsidR="009712A9" w:rsidRPr="00F30EF3" w:rsidRDefault="00F11556" w:rsidP="009D4A54">
      <w:pPr>
        <w:pStyle w:val="StyleJustified"/>
        <w:numPr>
          <w:ilvl w:val="0"/>
          <w:numId w:val="46"/>
        </w:numPr>
        <w:spacing w:line="240" w:lineRule="auto"/>
        <w:ind w:hanging="294"/>
        <w:rPr>
          <w:rFonts w:asciiTheme="minorHAnsi" w:hAnsiTheme="minorHAnsi" w:cstheme="minorHAnsi"/>
          <w:sz w:val="22"/>
          <w:szCs w:val="22"/>
          <w:rtl/>
        </w:rPr>
      </w:pPr>
      <w:r w:rsidRPr="00F30EF3">
        <w:rPr>
          <w:rFonts w:asciiTheme="minorHAnsi" w:hAnsiTheme="minorHAnsi" w:cstheme="minorHAnsi"/>
          <w:sz w:val="22"/>
          <w:szCs w:val="22"/>
          <w:rtl/>
        </w:rPr>
        <w:t>المصنفات العلمية</w:t>
      </w:r>
    </w:p>
    <w:p w14:paraId="63CF965B" w14:textId="77777777" w:rsidR="009712A9" w:rsidRPr="00F30EF3" w:rsidRDefault="00F11556" w:rsidP="009D4A54">
      <w:pPr>
        <w:pStyle w:val="StyleJustified"/>
        <w:numPr>
          <w:ilvl w:val="0"/>
          <w:numId w:val="46"/>
        </w:numPr>
        <w:spacing w:line="240" w:lineRule="auto"/>
        <w:ind w:hanging="294"/>
        <w:rPr>
          <w:rFonts w:asciiTheme="minorHAnsi" w:hAnsiTheme="minorHAnsi" w:cstheme="minorHAnsi"/>
          <w:sz w:val="22"/>
          <w:szCs w:val="22"/>
          <w:rtl/>
        </w:rPr>
      </w:pPr>
      <w:r w:rsidRPr="00F30EF3">
        <w:rPr>
          <w:rFonts w:asciiTheme="minorHAnsi" w:hAnsiTheme="minorHAnsi" w:cstheme="minorHAnsi"/>
          <w:sz w:val="22"/>
          <w:szCs w:val="22"/>
          <w:rtl/>
        </w:rPr>
        <w:t>أطروحات الطلاب؛</w:t>
      </w:r>
    </w:p>
    <w:p w14:paraId="2DC80B9C" w14:textId="77777777" w:rsidR="009712A9" w:rsidRPr="00F30EF3" w:rsidRDefault="00320668" w:rsidP="009D4A54">
      <w:pPr>
        <w:pStyle w:val="StyleJustified"/>
        <w:numPr>
          <w:ilvl w:val="0"/>
          <w:numId w:val="46"/>
        </w:numPr>
        <w:spacing w:line="240" w:lineRule="auto"/>
        <w:ind w:hanging="294"/>
        <w:rPr>
          <w:rFonts w:asciiTheme="minorHAnsi" w:hAnsiTheme="minorHAnsi" w:cstheme="minorHAnsi"/>
          <w:sz w:val="22"/>
          <w:szCs w:val="22"/>
          <w:rtl/>
        </w:rPr>
      </w:pPr>
      <w:r w:rsidRPr="00F30EF3">
        <w:rPr>
          <w:rFonts w:asciiTheme="minorHAnsi" w:hAnsiTheme="minorHAnsi" w:cstheme="minorHAnsi"/>
          <w:sz w:val="22"/>
          <w:szCs w:val="22"/>
          <w:rtl/>
        </w:rPr>
        <w:t>الملكية الفكرية التي تنشأ من الطلاب والزائرين؛</w:t>
      </w:r>
    </w:p>
    <w:p w14:paraId="6E721E62" w14:textId="77777777" w:rsidR="009712A9" w:rsidRPr="00F30EF3" w:rsidRDefault="00320668" w:rsidP="009D4A54">
      <w:pPr>
        <w:pStyle w:val="StyleJustified"/>
        <w:numPr>
          <w:ilvl w:val="0"/>
          <w:numId w:val="46"/>
        </w:numPr>
        <w:spacing w:line="240" w:lineRule="auto"/>
        <w:ind w:hanging="294"/>
        <w:rPr>
          <w:rFonts w:asciiTheme="minorHAnsi" w:hAnsiTheme="minorHAnsi" w:cstheme="minorHAnsi"/>
          <w:sz w:val="22"/>
          <w:szCs w:val="22"/>
          <w:rtl/>
        </w:rPr>
      </w:pPr>
      <w:r w:rsidRPr="00F30EF3">
        <w:rPr>
          <w:rFonts w:asciiTheme="minorHAnsi" w:hAnsiTheme="minorHAnsi" w:cstheme="minorHAnsi"/>
          <w:sz w:val="22"/>
          <w:szCs w:val="22"/>
          <w:rtl/>
        </w:rPr>
        <w:t>الملكية الفكرية التي تنشأ في سياق المشروعات البحثية التعاونية أو المشتركة.</w:t>
      </w:r>
    </w:p>
    <w:p w14:paraId="2B049714" w14:textId="77777777" w:rsidR="00320668" w:rsidRPr="00F30EF3" w:rsidRDefault="00320668" w:rsidP="00B7519E">
      <w:pPr>
        <w:pStyle w:val="StyleJustified"/>
        <w:spacing w:line="240" w:lineRule="auto"/>
        <w:rPr>
          <w:rFonts w:asciiTheme="minorHAnsi" w:hAnsiTheme="minorHAnsi" w:cstheme="minorHAnsi"/>
          <w:sz w:val="22"/>
          <w:szCs w:val="22"/>
        </w:rPr>
      </w:pPr>
    </w:p>
    <w:p w14:paraId="6A24AF4F" w14:textId="77777777" w:rsidR="00320668" w:rsidRPr="00F30EF3" w:rsidRDefault="00320668" w:rsidP="009D4A54">
      <w:pPr>
        <w:pStyle w:val="ListParagraph"/>
        <w:numPr>
          <w:ilvl w:val="0"/>
          <w:numId w:val="127"/>
        </w:numPr>
        <w:ind w:left="426" w:hanging="426"/>
        <w:jc w:val="both"/>
        <w:rPr>
          <w:rFonts w:eastAsia="Times New Roman" w:cstheme="minorHAnsi"/>
          <w:rtl/>
        </w:rPr>
      </w:pPr>
      <w:r w:rsidRPr="00F30EF3">
        <w:rPr>
          <w:rFonts w:cstheme="minorHAnsi"/>
          <w:rtl/>
        </w:rPr>
        <w:t>وبعض الأمثلة على كيفية تمييز المؤسسات لهذا النهج في الملكية موضحة أدناه:</w:t>
      </w:r>
    </w:p>
    <w:p w14:paraId="1C6649C3" w14:textId="77777777" w:rsidR="008D5210" w:rsidRPr="00F30EF3" w:rsidRDefault="008D5210" w:rsidP="00734F31">
      <w:pPr>
        <w:pStyle w:val="ListParagraph"/>
        <w:spacing w:after="0" w:line="240" w:lineRule="auto"/>
        <w:ind w:left="426"/>
        <w:jc w:val="both"/>
        <w:rPr>
          <w:rFonts w:eastAsia="Times New Roman" w:cstheme="minorHAnsi"/>
          <w:lang w:val="en-US"/>
        </w:rPr>
      </w:pPr>
    </w:p>
    <w:p w14:paraId="1B286C13" w14:textId="51B2450E" w:rsidR="00B452C5" w:rsidRPr="00F30EF3"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b/>
          <w:bCs/>
          <w:rtl/>
        </w:rPr>
      </w:pPr>
      <w:r w:rsidRPr="00F30EF3">
        <w:rPr>
          <w:rFonts w:cstheme="minorHAnsi"/>
          <w:b/>
          <w:bCs/>
          <w:rtl/>
        </w:rPr>
        <w:t xml:space="preserve">الإطار </w:t>
      </w:r>
      <w:r w:rsidR="005D4538" w:rsidRPr="00F30EF3">
        <w:rPr>
          <w:rFonts w:cstheme="minorHAnsi"/>
          <w:b/>
          <w:bCs/>
        </w:rPr>
        <w:t>.</w:t>
      </w:r>
      <w:r w:rsidR="00576133" w:rsidRPr="00F30EF3">
        <w:rPr>
          <w:rFonts w:cstheme="minorHAnsi"/>
          <w:b/>
          <w:bCs/>
        </w:rPr>
        <w:t>32</w:t>
      </w:r>
      <w:r w:rsidRPr="00F30EF3">
        <w:rPr>
          <w:rFonts w:cstheme="minorHAnsi"/>
          <w:b/>
          <w:bCs/>
          <w:rtl/>
        </w:rPr>
        <w:t>ملكية مؤسسة نموذجية: جامعة جوهانسبرغ (جنوب أفريقيا)</w:t>
      </w:r>
    </w:p>
    <w:p w14:paraId="78C6CB26" w14:textId="77777777" w:rsidR="00320668" w:rsidRPr="00F30EF3"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eastAsia="Times New Roman" w:cstheme="minorHAnsi"/>
          <w:lang w:val="en-US"/>
        </w:rPr>
      </w:pPr>
    </w:p>
    <w:p w14:paraId="7D6C5E1F" w14:textId="77777777" w:rsidR="00194209" w:rsidRPr="00F30EF3" w:rsidRDefault="0019420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b/>
          <w:bCs/>
          <w:rtl/>
        </w:rPr>
      </w:pPr>
      <w:r w:rsidRPr="00F30EF3">
        <w:rPr>
          <w:rFonts w:cstheme="minorHAnsi"/>
          <w:rtl/>
        </w:rPr>
        <w:t>"</w:t>
      </w:r>
      <w:r w:rsidRPr="00F30EF3">
        <w:rPr>
          <w:rFonts w:cstheme="minorHAnsi"/>
          <w:i/>
          <w:iCs/>
          <w:rtl/>
        </w:rPr>
        <w:t>جميع حقوق الملكية الفكرية التي تنشأ من الخدمات التي يقدمها الموظفون على مدار فترة ونطاق عملهم الطبيعيين في الجامعة تعود إلى الجامعة، مع مراعاة الاستثناءات المنصوص عليها في البند4.3.2.4 أدناه.</w:t>
      </w:r>
      <w:r w:rsidRPr="00F30EF3">
        <w:rPr>
          <w:rFonts w:cstheme="minorHAnsi"/>
          <w:rtl/>
        </w:rPr>
        <w:t xml:space="preserve">" </w:t>
      </w:r>
    </w:p>
    <w:p w14:paraId="4163CC10" w14:textId="77777777" w:rsidR="0086360F" w:rsidRPr="00F30EF3" w:rsidRDefault="0086360F" w:rsidP="00734F31">
      <w:pPr>
        <w:pStyle w:val="ListParagraph"/>
        <w:spacing w:after="0" w:line="240" w:lineRule="auto"/>
        <w:ind w:left="426"/>
        <w:jc w:val="both"/>
        <w:rPr>
          <w:rFonts w:eastAsia="Times New Roman" w:cstheme="minorHAnsi"/>
          <w:lang w:val="en-US"/>
        </w:rPr>
      </w:pPr>
    </w:p>
    <w:p w14:paraId="2C9864F2" w14:textId="5A662868" w:rsidR="001C6398" w:rsidRPr="00F30EF3"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b/>
          <w:bCs/>
          <w:rtl/>
        </w:rPr>
      </w:pPr>
      <w:r w:rsidRPr="00F30EF3">
        <w:rPr>
          <w:rFonts w:cstheme="minorHAnsi"/>
          <w:b/>
          <w:bCs/>
          <w:rtl/>
        </w:rPr>
        <w:t xml:space="preserve">الإطار </w:t>
      </w:r>
      <w:r w:rsidR="00576133" w:rsidRPr="00F30EF3">
        <w:rPr>
          <w:rFonts w:cstheme="minorHAnsi"/>
          <w:b/>
          <w:bCs/>
        </w:rPr>
        <w:t>.33</w:t>
      </w:r>
      <w:r w:rsidR="00576133" w:rsidRPr="00F30EF3">
        <w:rPr>
          <w:rFonts w:cstheme="minorHAnsi" w:hint="cs"/>
          <w:b/>
          <w:bCs/>
          <w:rtl/>
        </w:rPr>
        <w:t xml:space="preserve"> </w:t>
      </w:r>
      <w:r w:rsidRPr="00F30EF3">
        <w:rPr>
          <w:rFonts w:cstheme="minorHAnsi"/>
          <w:b/>
          <w:bCs/>
          <w:rtl/>
        </w:rPr>
        <w:t>ملكية مؤسسة نموذجية: المعهد التكنولوجي في كوستاريكا</w:t>
      </w:r>
      <w:r w:rsidRPr="00F30EF3">
        <w:rPr>
          <w:rFonts w:cstheme="minorHAnsi"/>
          <w:rtl/>
        </w:rPr>
        <w:t xml:space="preserve"> </w:t>
      </w:r>
    </w:p>
    <w:p w14:paraId="6D65574D" w14:textId="77777777" w:rsidR="00320668" w:rsidRPr="00F30EF3"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lang w:val="en-US"/>
        </w:rPr>
      </w:pPr>
    </w:p>
    <w:p w14:paraId="63D3186F" w14:textId="77777777" w:rsidR="001C6398" w:rsidRPr="00F30EF3" w:rsidRDefault="0043542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b/>
          <w:bCs/>
          <w:rtl/>
        </w:rPr>
      </w:pPr>
      <w:r w:rsidRPr="00F30EF3">
        <w:rPr>
          <w:rFonts w:cstheme="minorHAnsi"/>
          <w:rtl/>
        </w:rPr>
        <w:t>المادة 6 - "</w:t>
      </w:r>
      <w:r w:rsidRPr="00F30EF3">
        <w:rPr>
          <w:rFonts w:cstheme="minorHAnsi"/>
          <w:i/>
          <w:iCs/>
          <w:rtl/>
        </w:rPr>
        <w:t>سيمتلك المعهد التكنولوجي في كوستاريكا حقوق الملكية الصناعية المتعلقة بنتائج النشاط الأكاديمي. ومع ذلك، يحتفظ المخترعون بحقهم في أن يُعترف بهم بصفتهم مخترعين وأن يحصلوا على تعويض عن استغلالهم اقتصادياً.</w:t>
      </w:r>
      <w:r w:rsidRPr="00F30EF3">
        <w:rPr>
          <w:rFonts w:cstheme="minorHAnsi"/>
          <w:rtl/>
        </w:rPr>
        <w:t>"</w:t>
      </w:r>
    </w:p>
    <w:p w14:paraId="345D5715" w14:textId="77777777" w:rsidR="00435428" w:rsidRPr="00F30EF3" w:rsidRDefault="0043542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b/>
          <w:bCs/>
          <w:rtl/>
        </w:rPr>
      </w:pPr>
      <w:r w:rsidRPr="00F30EF3">
        <w:rPr>
          <w:rFonts w:cstheme="minorHAnsi"/>
          <w:rtl/>
        </w:rPr>
        <w:t>المادة 13</w:t>
      </w:r>
      <w:r w:rsidRPr="00F30EF3">
        <w:rPr>
          <w:rFonts w:cstheme="minorHAnsi"/>
          <w:b/>
          <w:bCs/>
          <w:rtl/>
        </w:rPr>
        <w:t xml:space="preserve"> </w:t>
      </w:r>
      <w:r w:rsidRPr="00F30EF3">
        <w:rPr>
          <w:rFonts w:cstheme="minorHAnsi"/>
          <w:rtl/>
        </w:rPr>
        <w:t>– "</w:t>
      </w:r>
      <w:r w:rsidRPr="00F30EF3">
        <w:rPr>
          <w:rFonts w:cstheme="minorHAnsi"/>
          <w:i/>
          <w:iCs/>
          <w:rtl/>
        </w:rPr>
        <w:t xml:space="preserve">ستكون ملكية الحقوق التي قد تنشأ عن الاختراعات والابتكارات أو المصنفات التي تنتج عن موظفي المعهد التكنولوجي في كوستاريكا أو طلابه، وفقاً لما هو منصوص عليه في هذه اللوائح، خارج نطاق المعهد، وستكون ملكاً للمخترع </w:t>
      </w:r>
      <w:r w:rsidRPr="00F30EF3">
        <w:rPr>
          <w:rFonts w:cstheme="minorHAnsi"/>
          <w:i/>
          <w:iCs/>
          <w:rtl/>
        </w:rPr>
        <w:lastRenderedPageBreak/>
        <w:t>أو المبتكر أو المؤلف، دون استخدام معدات أو أدوات المعهد، إذا لم تكن مرتبطة مباشرة أو غير مباشرة بالبحث الذي يجرونه في المعهد. في حالة الشك، يقع عبء الإثبات على عاتق الموظف أو الطالب".</w:t>
      </w:r>
    </w:p>
    <w:p w14:paraId="7BE284A9" w14:textId="77777777" w:rsidR="00CE53E4" w:rsidRPr="00F30EF3" w:rsidRDefault="00CE53E4" w:rsidP="00734F31">
      <w:pPr>
        <w:pStyle w:val="ListParagraph"/>
        <w:spacing w:after="0" w:line="240" w:lineRule="auto"/>
        <w:ind w:left="426"/>
        <w:jc w:val="both"/>
        <w:rPr>
          <w:rFonts w:eastAsia="Times New Roman" w:cstheme="minorHAnsi"/>
          <w:lang w:val="en-US"/>
        </w:rPr>
      </w:pPr>
    </w:p>
    <w:p w14:paraId="490CFD6C" w14:textId="77777777" w:rsidR="00727733" w:rsidRPr="00F30EF3" w:rsidRDefault="00727733" w:rsidP="00734F31">
      <w:pPr>
        <w:pStyle w:val="ListParagraph"/>
        <w:spacing w:after="0" w:line="240" w:lineRule="auto"/>
        <w:ind w:left="426"/>
        <w:jc w:val="both"/>
        <w:rPr>
          <w:rFonts w:eastAsia="Times New Roman" w:cstheme="minorHAnsi"/>
          <w:lang w:val="en-US"/>
        </w:rPr>
      </w:pPr>
    </w:p>
    <w:p w14:paraId="12630316" w14:textId="162FCBB7" w:rsidR="00B452C5" w:rsidRPr="00F30EF3"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b/>
          <w:bCs/>
          <w:rtl/>
        </w:rPr>
      </w:pPr>
      <w:r w:rsidRPr="00F30EF3">
        <w:rPr>
          <w:rFonts w:cstheme="minorHAnsi"/>
          <w:b/>
          <w:bCs/>
          <w:rtl/>
        </w:rPr>
        <w:t xml:space="preserve">الإطار </w:t>
      </w:r>
      <w:r w:rsidR="00986949" w:rsidRPr="00F30EF3">
        <w:rPr>
          <w:rFonts w:cstheme="minorHAnsi"/>
          <w:b/>
          <w:bCs/>
        </w:rPr>
        <w:t>.</w:t>
      </w:r>
      <w:r w:rsidR="00E7015D" w:rsidRPr="00F30EF3">
        <w:rPr>
          <w:rFonts w:cstheme="minorHAnsi"/>
          <w:b/>
          <w:bCs/>
        </w:rPr>
        <w:t>34</w:t>
      </w:r>
      <w:r w:rsidRPr="00F30EF3">
        <w:rPr>
          <w:rFonts w:cstheme="minorHAnsi"/>
          <w:b/>
          <w:bCs/>
          <w:rtl/>
        </w:rPr>
        <w:t xml:space="preserve"> مثال - ملكية المخترع/المبدع: جامعة كالجاري (كندا)</w:t>
      </w:r>
    </w:p>
    <w:p w14:paraId="7B7A1737" w14:textId="77777777" w:rsidR="00320668" w:rsidRPr="00F30EF3"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eastAsia="Times New Roman" w:cstheme="minorHAnsi"/>
          <w:lang w:val="en-US"/>
        </w:rPr>
      </w:pPr>
    </w:p>
    <w:p w14:paraId="15D989FA" w14:textId="77777777" w:rsidR="008D5210" w:rsidRPr="00F30EF3" w:rsidRDefault="008D5210"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b/>
          <w:bCs/>
          <w:rtl/>
        </w:rPr>
      </w:pPr>
      <w:r w:rsidRPr="00F30EF3">
        <w:rPr>
          <w:rFonts w:cstheme="minorHAnsi"/>
          <w:rtl/>
        </w:rPr>
        <w:t>"</w:t>
      </w:r>
      <w:r w:rsidRPr="00F30EF3">
        <w:rPr>
          <w:rFonts w:cstheme="minorHAnsi"/>
          <w:i/>
          <w:iCs/>
          <w:rtl/>
        </w:rPr>
        <w:t>تنتقل ملكية الملكية الفكرية وجميع الحقوق المتعلقة بالملكية إلى مبدعها ما لم تكن مؤهلة بموجب القانون أو الاتفاقات الكتابية على النقيض من ذلك.</w:t>
      </w:r>
      <w:r w:rsidR="00B452C5" w:rsidRPr="00F30EF3">
        <w:rPr>
          <w:rStyle w:val="FootnoteReference"/>
          <w:rFonts w:eastAsia="Times New Roman" w:cstheme="minorHAnsi"/>
          <w:i/>
          <w:iCs/>
          <w:rtl/>
          <w:lang w:val="en-US"/>
        </w:rPr>
        <w:footnoteReference w:id="110"/>
      </w:r>
    </w:p>
    <w:p w14:paraId="558EEC00" w14:textId="77777777" w:rsidR="0086360F" w:rsidRPr="00F30EF3" w:rsidRDefault="0086360F" w:rsidP="00734F31">
      <w:pPr>
        <w:pStyle w:val="ListParagraph"/>
        <w:spacing w:after="0" w:line="240" w:lineRule="auto"/>
        <w:ind w:left="426"/>
        <w:jc w:val="both"/>
        <w:rPr>
          <w:rFonts w:eastAsia="Times New Roman" w:cstheme="minorHAnsi"/>
          <w:lang w:val="en-US"/>
        </w:rPr>
      </w:pPr>
    </w:p>
    <w:p w14:paraId="67008DF8" w14:textId="15657E75" w:rsidR="00407101" w:rsidRPr="00F30EF3"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b/>
          <w:bCs/>
          <w:rtl/>
        </w:rPr>
      </w:pPr>
      <w:r w:rsidRPr="00F30EF3">
        <w:rPr>
          <w:rFonts w:cstheme="minorHAnsi"/>
          <w:b/>
          <w:bCs/>
          <w:rtl/>
        </w:rPr>
        <w:t xml:space="preserve">الإطار </w:t>
      </w:r>
      <w:r w:rsidR="00986949" w:rsidRPr="00F30EF3">
        <w:rPr>
          <w:rFonts w:cstheme="minorHAnsi"/>
          <w:b/>
          <w:bCs/>
        </w:rPr>
        <w:t>.3</w:t>
      </w:r>
      <w:r w:rsidR="00E7015D" w:rsidRPr="00F30EF3">
        <w:rPr>
          <w:rFonts w:cstheme="minorHAnsi"/>
          <w:b/>
          <w:bCs/>
        </w:rPr>
        <w:t>5</w:t>
      </w:r>
      <w:r w:rsidRPr="00F30EF3">
        <w:rPr>
          <w:rFonts w:cstheme="minorHAnsi"/>
          <w:b/>
          <w:bCs/>
          <w:rtl/>
        </w:rPr>
        <w:t xml:space="preserve"> مثال - القواعد على أساس فئة الملكية الفكرية: الجامعة الأمريكية في بيروت (لبنان)</w:t>
      </w:r>
    </w:p>
    <w:p w14:paraId="1B53585C" w14:textId="77777777" w:rsidR="00320668" w:rsidRPr="00F30EF3"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b/>
          <w:bCs/>
          <w:lang w:val="en-US"/>
        </w:rPr>
      </w:pPr>
    </w:p>
    <w:p w14:paraId="67717F29" w14:textId="77777777" w:rsidR="00407101" w:rsidRPr="00F30EF3" w:rsidRDefault="001A07C5"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i/>
          <w:iCs/>
          <w:rtl/>
        </w:rPr>
      </w:pPr>
      <w:r w:rsidRPr="00F30EF3">
        <w:rPr>
          <w:rFonts w:cstheme="minorHAnsi"/>
          <w:i/>
          <w:iCs/>
          <w:rtl/>
        </w:rPr>
        <w:t>"الملكية الفكرية: تنقسم إلى مجموعتين:</w:t>
      </w:r>
      <w:r w:rsidRPr="00F30EF3">
        <w:rPr>
          <w:rFonts w:cstheme="minorHAnsi"/>
          <w:rtl/>
        </w:rPr>
        <w:t xml:space="preserve"> </w:t>
      </w:r>
    </w:p>
    <w:p w14:paraId="08283B83" w14:textId="77777777" w:rsidR="00407101" w:rsidRPr="00F30EF3"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i/>
          <w:iCs/>
          <w:rtl/>
        </w:rPr>
      </w:pPr>
      <w:r w:rsidRPr="00F30EF3">
        <w:rPr>
          <w:rFonts w:cstheme="minorHAnsi"/>
          <w:i/>
          <w:iCs/>
          <w:rtl/>
        </w:rPr>
        <w:t>أ. النتائج التقليدية للمنح الدراسية الأكاديمية، أي الكتب الدراسية والمصنفات الأدبية والإبداعات الفنية والقطع الأثرية.</w:t>
      </w:r>
      <w:r w:rsidRPr="00F30EF3">
        <w:rPr>
          <w:rFonts w:cstheme="minorHAnsi"/>
          <w:rtl/>
        </w:rPr>
        <w:t xml:space="preserve"> </w:t>
      </w:r>
    </w:p>
    <w:p w14:paraId="0A7FCE7C" w14:textId="77777777" w:rsidR="00407101" w:rsidRPr="00F30EF3"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i/>
          <w:iCs/>
          <w:rtl/>
        </w:rPr>
      </w:pPr>
      <w:r w:rsidRPr="00F30EF3">
        <w:rPr>
          <w:rFonts w:cstheme="minorHAnsi"/>
          <w:i/>
          <w:iCs/>
          <w:rtl/>
        </w:rPr>
        <w:t>ب. النتائج الجديدة للأبحاث، مثل المنتجات وطُرق الصنع والآلات والبرمجيات والتكنولوجيا البيولوجية، وما إلى ذلك.</w:t>
      </w:r>
    </w:p>
    <w:p w14:paraId="64211FDF" w14:textId="77777777" w:rsidR="00407101" w:rsidRPr="00F30EF3"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i/>
          <w:iCs/>
          <w:lang w:val="en-US"/>
        </w:rPr>
      </w:pPr>
    </w:p>
    <w:p w14:paraId="65D08A06" w14:textId="77777777" w:rsidR="00407101" w:rsidRPr="00F30EF3"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i/>
          <w:iCs/>
          <w:rtl/>
        </w:rPr>
      </w:pPr>
      <w:r w:rsidRPr="00F30EF3">
        <w:rPr>
          <w:rFonts w:cstheme="minorHAnsi"/>
          <w:i/>
          <w:iCs/>
          <w:rtl/>
        </w:rPr>
        <w:t>تُعد الملكية الفكرية في المجموعة الأولى (التقليدية) ملكية استئثارية للمؤلف. يُنظر إلى هذه الملكيات الفكرية على أنها تسهم بشكل كامل في مصلحة الجامعة من خلال إنشائها واستخدامها في التدريس ومواصلة التطوير وتعزيز المكانة الأكاديمية للجامعة. وهكذا، ما لم يكن هناك دليل صريح على أن المصنف كان بتكليف خصيصاً من الجامعة، تظل حقوق الملكية الفكرية مع المؤلفين وتقتصر حقوق الجامعة على الاستخدام المجاني (من دون تكلفة) في مجال التدريس والبحث.</w:t>
      </w:r>
    </w:p>
    <w:p w14:paraId="0C4BE41F" w14:textId="77777777" w:rsidR="00407101" w:rsidRPr="00F30EF3"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i/>
          <w:iCs/>
          <w:lang w:val="en-US"/>
        </w:rPr>
      </w:pPr>
    </w:p>
    <w:p w14:paraId="567B27DE" w14:textId="77777777" w:rsidR="00407101" w:rsidRPr="00F30EF3"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i/>
          <w:iCs/>
          <w:rtl/>
        </w:rPr>
      </w:pPr>
      <w:r w:rsidRPr="00F30EF3">
        <w:rPr>
          <w:rFonts w:cstheme="minorHAnsi"/>
          <w:i/>
          <w:iCs/>
          <w:rtl/>
        </w:rPr>
        <w:t>في المجموعة الثانية، يكون الافتراض القوي للملكية للجامعة (مع حق المنشئ في تقاسم المنافع المتأتية منها). وما لم يوجد دليل مقنع وصريح على تطوير الملكية الفكرية من دون استخدام موارد الجامعة و/أو مرافقها، فإن ملكية الملكية الفكرية تُسند إلى الجامعة ويلتزم المنشئون بالتوقيع على وثائق التنازل القانونية المناسبة عند الطلب.</w:t>
      </w:r>
    </w:p>
    <w:p w14:paraId="4DB548BD" w14:textId="77777777" w:rsidR="001A07C5" w:rsidRPr="00F30EF3" w:rsidRDefault="001A07C5" w:rsidP="00734F31">
      <w:pPr>
        <w:pStyle w:val="ListParagraph"/>
        <w:spacing w:after="0" w:line="240" w:lineRule="auto"/>
        <w:jc w:val="both"/>
        <w:rPr>
          <w:rFonts w:eastAsia="Times New Roman" w:cstheme="minorHAnsi"/>
          <w:lang w:val="en-US"/>
        </w:rPr>
      </w:pPr>
    </w:p>
    <w:p w14:paraId="3EB45360" w14:textId="2F2FC5A6" w:rsidR="00785EFF" w:rsidRPr="00F30EF3"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b/>
          <w:bCs/>
          <w:rtl/>
        </w:rPr>
      </w:pPr>
      <w:r w:rsidRPr="00F30EF3">
        <w:rPr>
          <w:rFonts w:cstheme="minorHAnsi"/>
          <w:b/>
          <w:bCs/>
          <w:rtl/>
        </w:rPr>
        <w:t xml:space="preserve">الإطار </w:t>
      </w:r>
      <w:r w:rsidR="00986949" w:rsidRPr="00F30EF3">
        <w:rPr>
          <w:rFonts w:cstheme="minorHAnsi"/>
          <w:b/>
          <w:bCs/>
        </w:rPr>
        <w:t>.3</w:t>
      </w:r>
      <w:r w:rsidR="00E7015D" w:rsidRPr="00F30EF3">
        <w:rPr>
          <w:rFonts w:cstheme="minorHAnsi"/>
          <w:b/>
          <w:bCs/>
        </w:rPr>
        <w:t>6</w:t>
      </w:r>
      <w:r w:rsidRPr="00F30EF3">
        <w:rPr>
          <w:rFonts w:cstheme="minorHAnsi"/>
          <w:b/>
          <w:bCs/>
          <w:rtl/>
        </w:rPr>
        <w:t xml:space="preserve"> مثال - القواعد المبنية على أساس نوع المنشئ: جامعة فيكتوريا في ويلينغتون (نيوزيلندا)</w:t>
      </w:r>
    </w:p>
    <w:p w14:paraId="26EF661D" w14:textId="77777777" w:rsidR="00320668" w:rsidRPr="00F30EF3"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b/>
          <w:bCs/>
          <w:lang w:val="en-US"/>
        </w:rPr>
      </w:pPr>
    </w:p>
    <w:p w14:paraId="492D3103" w14:textId="77777777" w:rsidR="00785EFF" w:rsidRPr="00F30EF3" w:rsidRDefault="00785EFF"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i/>
          <w:iCs/>
          <w:rtl/>
        </w:rPr>
      </w:pPr>
      <w:r w:rsidRPr="00F30EF3">
        <w:rPr>
          <w:rFonts w:cstheme="minorHAnsi"/>
          <w:rtl/>
        </w:rPr>
        <w:t>1.5 -</w:t>
      </w:r>
      <w:r w:rsidRPr="00F30EF3">
        <w:rPr>
          <w:rFonts w:cstheme="minorHAnsi"/>
          <w:i/>
          <w:iCs/>
          <w:rtl/>
        </w:rPr>
        <w:t xml:space="preserve"> "ملكية الملكية الفكرية. بموجب هذه السياسة، قد تكون الملكية الفكرية مملوكة بشكل مختلف من قِبَل الموظفين والطلاب الجامعيين وطلاب الأبحاث والجامعة والأطراف الثالثة وشعب الماوري والأكاديميين الزائرين".</w:t>
      </w:r>
      <w:r w:rsidRPr="00F30EF3">
        <w:rPr>
          <w:rStyle w:val="FootnoteReference"/>
          <w:rFonts w:cstheme="minorHAnsi"/>
          <w:i/>
          <w:iCs/>
          <w:rtl/>
          <w:lang w:val="en-US"/>
        </w:rPr>
        <w:footnoteReference w:id="111"/>
      </w:r>
    </w:p>
    <w:p w14:paraId="65BE2F0F" w14:textId="77777777" w:rsidR="00422745" w:rsidRPr="00F30EF3" w:rsidRDefault="00422745" w:rsidP="00DD3615">
      <w:pPr>
        <w:pStyle w:val="ListParagraph"/>
        <w:spacing w:after="0" w:line="240" w:lineRule="auto"/>
        <w:ind w:left="0"/>
        <w:jc w:val="both"/>
        <w:rPr>
          <w:rFonts w:eastAsia="Times New Roman" w:cstheme="minorHAnsi"/>
          <w:lang w:val="en-US"/>
        </w:rPr>
      </w:pPr>
    </w:p>
    <w:p w14:paraId="4C202CAA" w14:textId="5C6426FA" w:rsidR="001640A7" w:rsidRPr="00F30EF3" w:rsidRDefault="001640A7" w:rsidP="001640A7">
      <w:pPr>
        <w:pStyle w:val="ListParagraph"/>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eastAsia="Times New Roman" w:cstheme="minorHAnsi"/>
          <w:b/>
          <w:bCs/>
          <w:rtl/>
        </w:rPr>
      </w:pPr>
      <w:r w:rsidRPr="00F30EF3">
        <w:rPr>
          <w:rFonts w:cstheme="minorHAnsi"/>
          <w:b/>
          <w:bCs/>
          <w:rtl/>
        </w:rPr>
        <w:t xml:space="preserve">الإطار </w:t>
      </w:r>
      <w:r w:rsidR="00986949" w:rsidRPr="00F30EF3">
        <w:rPr>
          <w:rFonts w:cstheme="minorHAnsi"/>
          <w:b/>
          <w:bCs/>
        </w:rPr>
        <w:t>.3</w:t>
      </w:r>
      <w:r w:rsidR="00E7015D" w:rsidRPr="00F30EF3">
        <w:rPr>
          <w:rFonts w:cstheme="minorHAnsi"/>
          <w:b/>
          <w:bCs/>
        </w:rPr>
        <w:t>7</w:t>
      </w:r>
      <w:r w:rsidRPr="00F30EF3">
        <w:rPr>
          <w:rFonts w:cstheme="minorHAnsi"/>
          <w:b/>
          <w:bCs/>
          <w:rtl/>
        </w:rPr>
        <w:t xml:space="preserve"> نصائح لتحديد قواعد ملكية الملكية الفكرية</w:t>
      </w:r>
    </w:p>
    <w:p w14:paraId="095E43E9" w14:textId="77777777" w:rsidR="001640A7" w:rsidRPr="00F30EF3" w:rsidRDefault="001640A7" w:rsidP="001640A7">
      <w:pPr>
        <w:pStyle w:val="ListParagraph"/>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eastAsia="Times New Roman" w:cstheme="minorHAnsi"/>
          <w:b/>
          <w:bCs/>
          <w:lang w:val="en-US"/>
        </w:rPr>
      </w:pPr>
    </w:p>
    <w:p w14:paraId="0060066F" w14:textId="77777777" w:rsidR="001640A7" w:rsidRPr="00F30EF3" w:rsidRDefault="001640A7"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eastAsia="Times New Roman" w:cstheme="minorHAnsi"/>
          <w:rtl/>
        </w:rPr>
      </w:pPr>
      <w:r w:rsidRPr="00F30EF3">
        <w:rPr>
          <w:rFonts w:cstheme="minorHAnsi"/>
          <w:rtl/>
        </w:rPr>
        <w:t xml:space="preserve">اتبع </w:t>
      </w:r>
      <w:r w:rsidRPr="00F30EF3">
        <w:rPr>
          <w:rFonts w:cstheme="minorHAnsi"/>
          <w:u w:val="single"/>
          <w:rtl/>
        </w:rPr>
        <w:t>طريقة الثلاث خطوات</w:t>
      </w:r>
      <w:r w:rsidRPr="00F30EF3">
        <w:rPr>
          <w:rFonts w:cstheme="minorHAnsi"/>
          <w:rtl/>
        </w:rPr>
        <w:t>: ما الذي ينص عليه القانون؟</w:t>
      </w:r>
      <w:r w:rsidRPr="00F30EF3">
        <w:rPr>
          <w:rFonts w:cstheme="minorHAnsi"/>
          <w:rtl/>
        </w:rPr>
        <w:sym w:font="Symbol" w:char="F0AE"/>
      </w:r>
      <w:r w:rsidRPr="00F30EF3">
        <w:rPr>
          <w:rFonts w:cstheme="minorHAnsi"/>
          <w:rtl/>
        </w:rPr>
        <w:t xml:space="preserve">  ما هي الممارسات المعمول بها أو الفضلى؟</w:t>
      </w:r>
      <w:r w:rsidRPr="00F30EF3">
        <w:rPr>
          <w:rFonts w:cstheme="minorHAnsi"/>
          <w:rtl/>
        </w:rPr>
        <w:sym w:font="Symbol" w:char="F0AE"/>
      </w:r>
      <w:r w:rsidRPr="00F30EF3">
        <w:rPr>
          <w:rFonts w:cstheme="minorHAnsi"/>
          <w:rtl/>
        </w:rPr>
        <w:t xml:space="preserve">  متى يجب أن تمتلك المؤسسة الملكية الفكرية؟ </w:t>
      </w:r>
    </w:p>
    <w:p w14:paraId="7EE37A0E" w14:textId="77777777" w:rsidR="001640A7" w:rsidRPr="00F30EF3" w:rsidRDefault="001640A7" w:rsidP="001640A7">
      <w:pPr>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eastAsia="Times New Roman" w:cstheme="minorHAnsi"/>
          <w:lang w:val="en-US"/>
        </w:rPr>
      </w:pPr>
    </w:p>
    <w:p w14:paraId="77CE71F5" w14:textId="77777777" w:rsidR="00A73241" w:rsidRPr="00F30EF3" w:rsidRDefault="00A73241"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eastAsia="Times New Roman" w:cstheme="minorHAnsi"/>
          <w:rtl/>
        </w:rPr>
      </w:pPr>
      <w:r w:rsidRPr="00F30EF3">
        <w:rPr>
          <w:rFonts w:cstheme="minorHAnsi"/>
          <w:rtl/>
        </w:rPr>
        <w:t xml:space="preserve">إلى أقصى حد ممكن، </w:t>
      </w:r>
      <w:r w:rsidRPr="00F30EF3">
        <w:rPr>
          <w:rFonts w:cstheme="minorHAnsi"/>
          <w:u w:val="single"/>
          <w:rtl/>
        </w:rPr>
        <w:t>تجنب تجزئة حقوق الملكية</w:t>
      </w:r>
      <w:r w:rsidRPr="00F30EF3">
        <w:rPr>
          <w:rFonts w:cstheme="minorHAnsi"/>
          <w:rtl/>
        </w:rPr>
        <w:t>، التي تُشكّل عائقاً أمام التسويق الفعّال.</w:t>
      </w:r>
    </w:p>
    <w:p w14:paraId="45F6AA6E" w14:textId="77777777" w:rsidR="00A73241" w:rsidRPr="00F30EF3" w:rsidRDefault="00A73241" w:rsidP="00B7519E">
      <w:p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567"/>
        <w:jc w:val="both"/>
        <w:rPr>
          <w:rFonts w:eastAsia="Times New Roman" w:cstheme="minorHAnsi"/>
          <w:lang w:val="en-US"/>
        </w:rPr>
      </w:pPr>
    </w:p>
    <w:p w14:paraId="22F5237E" w14:textId="77777777" w:rsidR="001640A7" w:rsidRPr="00F30EF3" w:rsidRDefault="001640A7"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eastAsia="Times New Roman" w:cstheme="minorHAnsi"/>
          <w:rtl/>
        </w:rPr>
      </w:pPr>
      <w:r w:rsidRPr="00F30EF3">
        <w:rPr>
          <w:rFonts w:cstheme="minorHAnsi"/>
          <w:rtl/>
        </w:rPr>
        <w:t xml:space="preserve">ثمة سمة قوية من سمات التقاليد الأكاديمية تتمثل في حاجة الباحثين إلى </w:t>
      </w:r>
      <w:r w:rsidRPr="00F30EF3">
        <w:rPr>
          <w:rFonts w:cstheme="minorHAnsi"/>
          <w:u w:val="single"/>
          <w:rtl/>
        </w:rPr>
        <w:t>حقوق نشر</w:t>
      </w:r>
      <w:r w:rsidRPr="00F30EF3">
        <w:rPr>
          <w:rFonts w:cstheme="minorHAnsi"/>
          <w:rtl/>
        </w:rPr>
        <w:t xml:space="preserve"> غير مقيدة لمصنفاتهم. ومن الممكن التعامل مع ذلك بصورة مستقلة عن حقوق الملكية/الوصول. </w:t>
      </w:r>
    </w:p>
    <w:p w14:paraId="315F50F9" w14:textId="77777777" w:rsidR="001640A7" w:rsidRPr="00F30EF3" w:rsidRDefault="001640A7" w:rsidP="00B7519E">
      <w:p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567"/>
        <w:jc w:val="both"/>
        <w:rPr>
          <w:rFonts w:eastAsia="Times New Roman" w:cstheme="minorHAnsi"/>
          <w:lang w:val="en-US"/>
        </w:rPr>
      </w:pPr>
    </w:p>
    <w:p w14:paraId="30B21CC7" w14:textId="77777777" w:rsidR="001640A7" w:rsidRPr="00F30EF3" w:rsidRDefault="001640A7"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eastAsia="Times New Roman" w:cstheme="minorHAnsi"/>
          <w:rtl/>
        </w:rPr>
      </w:pPr>
      <w:r w:rsidRPr="00F30EF3">
        <w:rPr>
          <w:rFonts w:cstheme="minorHAnsi"/>
          <w:color w:val="000000"/>
          <w:rtl/>
        </w:rPr>
        <w:t xml:space="preserve">من المهم توافر قواعد وسياسات واضحة بشأن ملكية الملكية الفكرية، وفي الوقت ذاته </w:t>
      </w:r>
      <w:r w:rsidRPr="00F30EF3">
        <w:rPr>
          <w:rFonts w:cstheme="minorHAnsi"/>
          <w:color w:val="000000"/>
          <w:u w:val="single"/>
          <w:rtl/>
        </w:rPr>
        <w:t>الاعتراف بمساهمة</w:t>
      </w:r>
      <w:r w:rsidRPr="00F30EF3">
        <w:rPr>
          <w:rFonts w:cstheme="minorHAnsi"/>
          <w:color w:val="000000"/>
          <w:rtl/>
        </w:rPr>
        <w:t xml:space="preserve"> المبدعين على نحوٍ ملائم وتحديد مَن يجب أن </w:t>
      </w:r>
      <w:r w:rsidRPr="00F30EF3">
        <w:rPr>
          <w:rFonts w:cstheme="minorHAnsi"/>
          <w:color w:val="000000"/>
          <w:u w:val="single"/>
          <w:rtl/>
        </w:rPr>
        <w:t>يشارك في أي منافع</w:t>
      </w:r>
      <w:r w:rsidRPr="00F30EF3">
        <w:rPr>
          <w:rFonts w:cstheme="minorHAnsi"/>
          <w:color w:val="000000"/>
          <w:rtl/>
        </w:rPr>
        <w:t xml:space="preserve"> ناتجة عن الملكية الفكرية المتطورة.</w:t>
      </w:r>
    </w:p>
    <w:p w14:paraId="3C06BA3C" w14:textId="77777777" w:rsidR="00422745" w:rsidRPr="00F30EF3" w:rsidRDefault="00422745" w:rsidP="00DD3615">
      <w:pPr>
        <w:pStyle w:val="ListParagraph"/>
        <w:spacing w:after="0" w:line="240" w:lineRule="auto"/>
        <w:ind w:left="0"/>
        <w:jc w:val="both"/>
        <w:rPr>
          <w:rFonts w:eastAsia="Times New Roman" w:cstheme="minorHAnsi"/>
          <w:lang w:val="en-US"/>
        </w:rPr>
      </w:pPr>
    </w:p>
    <w:p w14:paraId="6923759F" w14:textId="77777777" w:rsidR="002466A5" w:rsidRPr="00F30EF3" w:rsidRDefault="00C1731A" w:rsidP="002F3C51">
      <w:pPr>
        <w:pStyle w:val="Heading3"/>
        <w:rPr>
          <w:rFonts w:asciiTheme="minorHAnsi" w:hAnsiTheme="minorHAnsi" w:cstheme="minorHAnsi"/>
          <w:sz w:val="24"/>
          <w:szCs w:val="24"/>
          <w:rtl/>
        </w:rPr>
      </w:pPr>
      <w:bookmarkStart w:id="155" w:name="_Article_5.1_–"/>
      <w:bookmarkStart w:id="156" w:name="_Toc516160060"/>
      <w:bookmarkStart w:id="157" w:name="_Toc516219403"/>
      <w:bookmarkStart w:id="158" w:name="_Toc516496045"/>
      <w:bookmarkStart w:id="159" w:name="_Toc516829417"/>
      <w:bookmarkStart w:id="160" w:name="_Toc494115967"/>
      <w:bookmarkEnd w:id="155"/>
      <w:r w:rsidRPr="00F30EF3">
        <w:rPr>
          <w:rFonts w:asciiTheme="minorHAnsi" w:hAnsiTheme="minorHAnsi" w:cstheme="minorHAnsi"/>
          <w:sz w:val="24"/>
          <w:szCs w:val="24"/>
          <w:rtl/>
        </w:rPr>
        <w:lastRenderedPageBreak/>
        <w:t>المادة 1.5 – الملكية الفكرية التي ينشئها الموظفون</w:t>
      </w:r>
      <w:bookmarkEnd w:id="156"/>
      <w:bookmarkEnd w:id="157"/>
      <w:bookmarkEnd w:id="158"/>
      <w:bookmarkEnd w:id="159"/>
      <w:bookmarkEnd w:id="160"/>
      <w:r w:rsidRPr="00F30EF3">
        <w:rPr>
          <w:rFonts w:asciiTheme="minorHAnsi" w:hAnsiTheme="minorHAnsi" w:cstheme="minorHAnsi"/>
          <w:sz w:val="24"/>
          <w:szCs w:val="24"/>
          <w:rtl/>
        </w:rPr>
        <w:t xml:space="preserve"> </w:t>
      </w:r>
    </w:p>
    <w:p w14:paraId="10644F33" w14:textId="77777777" w:rsidR="00457084" w:rsidRPr="00F30EF3" w:rsidRDefault="00457084" w:rsidP="00E7015D">
      <w:pPr>
        <w:pStyle w:val="ListParagraph"/>
        <w:spacing w:after="120" w:line="240" w:lineRule="auto"/>
        <w:ind w:left="0"/>
        <w:contextualSpacing w:val="0"/>
        <w:jc w:val="both"/>
        <w:rPr>
          <w:rFonts w:eastAsia="Times New Roman" w:cstheme="minorHAnsi"/>
          <w:rtl/>
        </w:rPr>
      </w:pPr>
      <w:r w:rsidRPr="00F30EF3">
        <w:rPr>
          <w:rFonts w:cstheme="minorHAnsi"/>
          <w:rtl/>
        </w:rPr>
        <w:t xml:space="preserve">وفقاً للقاعدة 1 أعلاه، ينبغي للمؤسسات أولاً تحليل النظام القانوني الوطني الافتراضي لاختراعات الموظفين ونواتجهم الإبداعية.  وحيثما لا يوجد التشريع أو لا يتعرض لهذا الأمر، يمكن صياغة أحكام مناسبة بشأن سياسة الملكية الفكرية المؤسسية. </w:t>
      </w:r>
    </w:p>
    <w:p w14:paraId="5370C43A" w14:textId="77777777" w:rsidR="00C3375C" w:rsidRPr="00F30EF3" w:rsidRDefault="00C60DE4" w:rsidP="009743BC">
      <w:pPr>
        <w:pStyle w:val="ListParagraph"/>
        <w:spacing w:after="0" w:line="240" w:lineRule="auto"/>
        <w:ind w:left="0"/>
        <w:jc w:val="both"/>
        <w:rPr>
          <w:rFonts w:eastAsia="Times New Roman" w:cstheme="minorHAnsi"/>
          <w:b/>
          <w:bCs/>
          <w:color w:val="0070C0"/>
          <w:rtl/>
        </w:rPr>
      </w:pPr>
      <w:r w:rsidRPr="00F30EF3">
        <w:rPr>
          <w:rFonts w:cstheme="minorHAnsi"/>
          <w:b/>
          <w:bCs/>
          <w:color w:val="0070C0"/>
          <w:rtl/>
        </w:rPr>
        <w:t>المادة 1.1.5 - ملكية المؤسسة</w:t>
      </w:r>
    </w:p>
    <w:p w14:paraId="2824BCD0" w14:textId="77777777" w:rsidR="00C3375C" w:rsidRPr="00F30EF3" w:rsidRDefault="00C3375C" w:rsidP="009743BC">
      <w:pPr>
        <w:pStyle w:val="ListParagraph"/>
        <w:spacing w:after="0" w:line="240" w:lineRule="auto"/>
        <w:ind w:left="0"/>
        <w:jc w:val="both"/>
        <w:rPr>
          <w:rFonts w:eastAsia="Times New Roman" w:cstheme="minorHAnsi"/>
          <w:lang w:val="en-US"/>
        </w:rPr>
      </w:pPr>
    </w:p>
    <w:p w14:paraId="246C45F1" w14:textId="77777777" w:rsidR="00457084" w:rsidRPr="00F30EF3" w:rsidRDefault="00457084" w:rsidP="00E7015D">
      <w:pPr>
        <w:pStyle w:val="ListParagraph"/>
        <w:tabs>
          <w:tab w:val="right" w:pos="2276"/>
        </w:tabs>
        <w:spacing w:after="0" w:line="240" w:lineRule="auto"/>
        <w:ind w:left="0"/>
        <w:jc w:val="both"/>
        <w:rPr>
          <w:rFonts w:eastAsia="Times New Roman" w:cstheme="minorHAnsi"/>
          <w:rtl/>
        </w:rPr>
      </w:pPr>
      <w:r w:rsidRPr="00F30EF3">
        <w:rPr>
          <w:rFonts w:cstheme="minorHAnsi"/>
          <w:rtl/>
        </w:rPr>
        <w:t xml:space="preserve">تقضي المادة 5.1.1 بانتقال ملكية الملكية الفكرية إلى المؤسسة، حيث أنشأ الموظفون الملكية الفكرية </w:t>
      </w:r>
      <w:r w:rsidRPr="00F30EF3">
        <w:rPr>
          <w:rFonts w:cstheme="minorHAnsi"/>
          <w:i/>
          <w:iCs/>
          <w:rtl/>
        </w:rPr>
        <w:t xml:space="preserve">في سياق العمل </w:t>
      </w:r>
      <w:r w:rsidRPr="00F30EF3">
        <w:rPr>
          <w:rFonts w:cstheme="minorHAnsi"/>
          <w:i/>
          <w:iCs/>
          <w:u w:val="single"/>
          <w:rtl/>
        </w:rPr>
        <w:t>أو</w:t>
      </w:r>
      <w:r w:rsidRPr="00F30EF3">
        <w:rPr>
          <w:rFonts w:cstheme="minorHAnsi"/>
          <w:i/>
          <w:iCs/>
          <w:rtl/>
        </w:rPr>
        <w:t xml:space="preserve"> من خلال الاستخدام الكبير:  </w:t>
      </w:r>
    </w:p>
    <w:p w14:paraId="68C3E1E0" w14:textId="77777777" w:rsidR="00457084" w:rsidRPr="00F30EF3" w:rsidRDefault="00457084" w:rsidP="009743BC">
      <w:pPr>
        <w:pStyle w:val="ListParagraph"/>
        <w:spacing w:after="0" w:line="240" w:lineRule="auto"/>
        <w:ind w:left="0"/>
        <w:jc w:val="both"/>
        <w:rPr>
          <w:rFonts w:eastAsia="Times New Roman" w:cstheme="minorHAnsi"/>
          <w:lang w:val="en-US"/>
        </w:rPr>
      </w:pPr>
    </w:p>
    <w:p w14:paraId="3DBD3879" w14:textId="43F4240E" w:rsidR="00457084" w:rsidRPr="00F30EF3" w:rsidRDefault="00457084" w:rsidP="00464282">
      <w:pPr>
        <w:pStyle w:val="ListParagraph"/>
        <w:numPr>
          <w:ilvl w:val="0"/>
          <w:numId w:val="3"/>
        </w:numPr>
        <w:spacing w:after="0" w:line="240" w:lineRule="auto"/>
        <w:ind w:left="426" w:hanging="426"/>
        <w:jc w:val="both"/>
        <w:rPr>
          <w:rFonts w:eastAsia="Times New Roman" w:cstheme="minorHAnsi"/>
          <w:rtl/>
        </w:rPr>
      </w:pPr>
      <w:r w:rsidRPr="00F30EF3">
        <w:rPr>
          <w:rFonts w:cstheme="minorHAnsi"/>
          <w:b/>
          <w:bCs/>
          <w:rtl/>
        </w:rPr>
        <w:t xml:space="preserve">المادة 1.1.5 (أ)، </w:t>
      </w:r>
      <w:r w:rsidRPr="00F30EF3">
        <w:rPr>
          <w:rFonts w:cstheme="minorHAnsi"/>
          <w:b/>
          <w:bCs/>
          <w:i/>
          <w:iCs/>
          <w:rtl/>
        </w:rPr>
        <w:t>في سياق ونطاق عمله</w:t>
      </w:r>
      <w:r w:rsidRPr="00F30EF3">
        <w:rPr>
          <w:rFonts w:cstheme="minorHAnsi"/>
          <w:i/>
          <w:iCs/>
          <w:rtl/>
        </w:rPr>
        <w:t>:</w:t>
      </w:r>
      <w:r w:rsidRPr="00F30EF3">
        <w:rPr>
          <w:rFonts w:cstheme="minorHAnsi"/>
          <w:rtl/>
        </w:rPr>
        <w:t xml:space="preserve"> إذا ابتكر أحد الموظفين "</w:t>
      </w:r>
      <w:r w:rsidRPr="00F30EF3">
        <w:rPr>
          <w:rFonts w:cstheme="minorHAnsi"/>
          <w:i/>
          <w:iCs/>
          <w:rtl/>
        </w:rPr>
        <w:t>في سياق ونطاق عمله</w:t>
      </w:r>
      <w:r w:rsidRPr="00F30EF3">
        <w:rPr>
          <w:rFonts w:cstheme="minorHAnsi"/>
          <w:rtl/>
        </w:rPr>
        <w:t>"، فمن العدل والمعقول أن تمتلك المؤسسة الملكية الفكرية الناتجة. ومع ذلك، في حالة إنشاء الملكية الفكرية أو تطويرها خارج سياق ونطاق العمل، فإن المؤسسة لا يحق لها تلقائياً ملكية الملكية الفكرية هذه. وهذا يعكس النظام الافتراضي العام الذي تتبناه معظم البلدان فيما يخص الاختراعات التي يبتكرها الموظفون.</w:t>
      </w:r>
    </w:p>
    <w:p w14:paraId="1F2C5B97" w14:textId="77777777" w:rsidR="00457084" w:rsidRPr="00F30EF3" w:rsidRDefault="00457084" w:rsidP="00457084">
      <w:pPr>
        <w:spacing w:after="0" w:line="240" w:lineRule="auto"/>
        <w:jc w:val="both"/>
        <w:rPr>
          <w:rFonts w:eastAsia="Times New Roman" w:cstheme="minorHAnsi"/>
          <w:lang w:val="en-US"/>
        </w:rPr>
      </w:pPr>
    </w:p>
    <w:p w14:paraId="03C27D56" w14:textId="77777777" w:rsidR="00457084" w:rsidRPr="00F30EF3" w:rsidRDefault="00457084" w:rsidP="00457084">
      <w:pPr>
        <w:pStyle w:val="ListParagraph"/>
        <w:spacing w:line="240" w:lineRule="auto"/>
        <w:ind w:left="426"/>
        <w:jc w:val="both"/>
        <w:rPr>
          <w:rFonts w:cstheme="minorHAnsi"/>
          <w:rtl/>
        </w:rPr>
      </w:pPr>
      <w:r w:rsidRPr="00F30EF3">
        <w:rPr>
          <w:rFonts w:cstheme="minorHAnsi"/>
          <w:rtl/>
        </w:rPr>
        <w:t>إن تحديد ما إذا كانت الملكية الفكرية قد جرى إنشاؤها في سياق ونطاق العمل مسألة واقعية، ومن ثم جرى تطوير اختبارات مختلفة للمساعدة في هذا القرار.</w:t>
      </w:r>
      <w:r w:rsidRPr="00F30EF3">
        <w:rPr>
          <w:rStyle w:val="FootnoteReference"/>
          <w:rFonts w:eastAsia="Times New Roman" w:cstheme="minorHAnsi"/>
          <w:rtl/>
          <w:lang w:val="en-US"/>
        </w:rPr>
        <w:footnoteReference w:id="112"/>
      </w:r>
      <w:r w:rsidRPr="00F30EF3">
        <w:rPr>
          <w:rFonts w:cstheme="minorHAnsi"/>
          <w:rtl/>
        </w:rPr>
        <w:t xml:space="preserve"> في بعض الأنظمة القانونية، نُصّ على أن "مسار" العمل/المهام هو ببساطة ما جرى توظيف الموظف من أجله.</w:t>
      </w:r>
      <w:r w:rsidRPr="00F30EF3">
        <w:rPr>
          <w:rStyle w:val="FootnoteReference"/>
          <w:rFonts w:eastAsia="Times New Roman" w:cstheme="minorHAnsi"/>
          <w:rtl/>
          <w:lang w:val="en-US"/>
        </w:rPr>
        <w:footnoteReference w:id="113"/>
      </w:r>
      <w:r w:rsidRPr="00F30EF3">
        <w:rPr>
          <w:rFonts w:cstheme="minorHAnsi"/>
          <w:rtl/>
        </w:rPr>
        <w:t xml:space="preserve"> في قضية </w:t>
      </w:r>
      <w:r w:rsidRPr="00F30EF3">
        <w:rPr>
          <w:rFonts w:cstheme="minorHAnsi"/>
          <w:i/>
          <w:iCs/>
        </w:rPr>
        <w:t>King</w:t>
      </w:r>
      <w:r w:rsidRPr="00F30EF3">
        <w:rPr>
          <w:rFonts w:cstheme="minorHAnsi"/>
          <w:i/>
          <w:iCs/>
          <w:rtl/>
        </w:rPr>
        <w:t xml:space="preserve"> ضد </w:t>
      </w:r>
      <w:r w:rsidRPr="00F30EF3">
        <w:rPr>
          <w:rFonts w:cstheme="minorHAnsi"/>
          <w:i/>
          <w:iCs/>
        </w:rPr>
        <w:t>SA Weather Service</w:t>
      </w:r>
      <w:r w:rsidRPr="00F30EF3">
        <w:rPr>
          <w:rStyle w:val="FootnoteReference"/>
          <w:rFonts w:eastAsia="Times New Roman" w:cstheme="minorHAnsi"/>
          <w:i/>
          <w:iCs/>
          <w:lang w:val="en-US"/>
        </w:rPr>
        <w:footnoteReference w:id="114"/>
      </w:r>
      <w:r w:rsidRPr="00F30EF3">
        <w:rPr>
          <w:rFonts w:cstheme="minorHAnsi"/>
          <w:rtl/>
        </w:rPr>
        <w:t xml:space="preserve"> كانت ملكية حق المؤلف لبرنامج حاسوب موضع خلاف. وأشارت المحكمة إلى أن عبارة "في سياق العمل" هي مفهوم أساسي في قانون العمل (المعروف سابقاً باسم قانون السيد والخادم). وأشارت المحكمة إلى أن تقرير ما إذا كان المصنف قد جرى تأليفه في سياق عمل الموظف أم لا يظل إلى حد كبير مسألة واقعية لا تعتمد على شروط عقد العمل فحسب، بل أيضاً على الظروف المعينة التي جرى فيها إنشاء العمل المعيّن. </w:t>
      </w:r>
    </w:p>
    <w:p w14:paraId="574EF8AC" w14:textId="77777777" w:rsidR="00457084" w:rsidRPr="00F30EF3" w:rsidRDefault="00457084" w:rsidP="00457084">
      <w:pPr>
        <w:spacing w:after="0" w:line="240" w:lineRule="auto"/>
        <w:ind w:left="426"/>
        <w:jc w:val="both"/>
        <w:rPr>
          <w:rFonts w:eastAsia="Times New Roman" w:cstheme="minorHAnsi"/>
          <w:rtl/>
        </w:rPr>
      </w:pPr>
      <w:r w:rsidRPr="00F30EF3">
        <w:rPr>
          <w:rFonts w:cstheme="minorHAnsi"/>
          <w:rtl/>
        </w:rPr>
        <w:t>لاحظ أيضاً أن بعض المؤسسات تستخدم "السياق والنطاق" بدلاً من "السياق".</w:t>
      </w:r>
      <w:r w:rsidRPr="00F30EF3">
        <w:rPr>
          <w:rStyle w:val="FootnoteReference"/>
          <w:rFonts w:eastAsia="Times New Roman" w:cstheme="minorHAnsi"/>
          <w:rtl/>
          <w:lang w:val="en-US"/>
        </w:rPr>
        <w:footnoteReference w:id="115"/>
      </w:r>
      <w:r w:rsidRPr="00F30EF3">
        <w:rPr>
          <w:rFonts w:cstheme="minorHAnsi"/>
          <w:rtl/>
        </w:rPr>
        <w:t xml:space="preserve"> سيحدد القانون الوطني المصطلح المُراد استخدامه. </w:t>
      </w:r>
    </w:p>
    <w:p w14:paraId="0BA6D3AD" w14:textId="77777777" w:rsidR="00653E56" w:rsidRPr="00F30EF3" w:rsidRDefault="00653E56" w:rsidP="00734F31">
      <w:pPr>
        <w:pStyle w:val="ListParagraph"/>
        <w:spacing w:after="0" w:line="240" w:lineRule="auto"/>
        <w:ind w:left="851"/>
        <w:jc w:val="both"/>
        <w:rPr>
          <w:rFonts w:eastAsia="Times New Roman" w:cstheme="minorHAnsi"/>
          <w:lang w:val="en-US"/>
        </w:rPr>
      </w:pPr>
    </w:p>
    <w:p w14:paraId="1A134A9F" w14:textId="52C7D765" w:rsidR="00457084" w:rsidRPr="00F30EF3" w:rsidRDefault="00457084" w:rsidP="00464282">
      <w:pPr>
        <w:pStyle w:val="ListParagraph"/>
        <w:numPr>
          <w:ilvl w:val="1"/>
          <w:numId w:val="3"/>
        </w:numPr>
        <w:spacing w:after="0" w:line="240" w:lineRule="auto"/>
        <w:ind w:left="426" w:hanging="426"/>
        <w:jc w:val="both"/>
        <w:rPr>
          <w:rFonts w:cstheme="minorHAnsi"/>
          <w:b/>
          <w:bCs/>
          <w:rtl/>
        </w:rPr>
      </w:pPr>
      <w:r w:rsidRPr="00F30EF3">
        <w:rPr>
          <w:rFonts w:cstheme="minorHAnsi"/>
          <w:b/>
          <w:bCs/>
          <w:rtl/>
        </w:rPr>
        <w:t xml:space="preserve"> المادة 1.1.5 (ب)، </w:t>
      </w:r>
      <w:r w:rsidRPr="00F30EF3">
        <w:rPr>
          <w:rFonts w:cstheme="minorHAnsi"/>
          <w:b/>
          <w:bCs/>
          <w:i/>
          <w:iCs/>
          <w:rtl/>
        </w:rPr>
        <w:t>الاستخدام الكبير</w:t>
      </w:r>
      <w:r w:rsidRPr="00F30EF3">
        <w:rPr>
          <w:rFonts w:cstheme="minorHAnsi"/>
          <w:i/>
          <w:iCs/>
          <w:rtl/>
        </w:rPr>
        <w:t>:</w:t>
      </w:r>
      <w:r w:rsidRPr="00F30EF3">
        <w:rPr>
          <w:rFonts w:cstheme="minorHAnsi"/>
          <w:rtl/>
        </w:rPr>
        <w:t xml:space="preserve"> يكمن السبب الأساسي في أن نتاج العمل الذي يضطلع به الأفراد الذين توظفهم المؤسسة مع الاستخدام الكبير لموارد المؤسسة (الراتب والمرافق والخبرة والموارد الأخرى) يُشكل ملكية فكرية ينبغي أن تمتلكها المؤسسة وتحميها وتستخدمها. </w:t>
      </w:r>
    </w:p>
    <w:p w14:paraId="71228722" w14:textId="77777777" w:rsidR="00457084" w:rsidRPr="00F30EF3" w:rsidRDefault="00457084" w:rsidP="00457084">
      <w:pPr>
        <w:spacing w:after="0" w:line="240" w:lineRule="auto"/>
        <w:jc w:val="both"/>
        <w:rPr>
          <w:rFonts w:cstheme="minorHAnsi"/>
          <w:b/>
          <w:bCs/>
          <w:lang w:val="en-US"/>
        </w:rPr>
      </w:pPr>
    </w:p>
    <w:p w14:paraId="54A7073B" w14:textId="77777777" w:rsidR="00457084" w:rsidRPr="00F30EF3" w:rsidRDefault="00457084" w:rsidP="00457084">
      <w:pPr>
        <w:shd w:val="clear" w:color="auto" w:fill="FFFFFF" w:themeFill="background1"/>
        <w:autoSpaceDE w:val="0"/>
        <w:autoSpaceDN w:val="0"/>
        <w:adjustRightInd w:val="0"/>
        <w:spacing w:after="0" w:line="240" w:lineRule="auto"/>
        <w:ind w:left="426"/>
        <w:jc w:val="both"/>
        <w:rPr>
          <w:rFonts w:cstheme="minorHAnsi"/>
          <w:rtl/>
        </w:rPr>
      </w:pPr>
      <w:r w:rsidRPr="00F30EF3">
        <w:rPr>
          <w:rFonts w:cstheme="minorHAnsi"/>
          <w:rtl/>
        </w:rPr>
        <w:t>لا بد من الوضوح في فهم مصطلحي "الموارد" و"الاستخدام الكبير".</w:t>
      </w:r>
    </w:p>
    <w:p w14:paraId="26CD4138" w14:textId="77777777" w:rsidR="00457084" w:rsidRPr="00F30EF3" w:rsidRDefault="00457084" w:rsidP="00457084">
      <w:pPr>
        <w:shd w:val="clear" w:color="auto" w:fill="FFFFFF" w:themeFill="background1"/>
        <w:autoSpaceDE w:val="0"/>
        <w:autoSpaceDN w:val="0"/>
        <w:adjustRightInd w:val="0"/>
        <w:spacing w:after="0" w:line="240" w:lineRule="auto"/>
        <w:ind w:left="426"/>
        <w:jc w:val="both"/>
        <w:rPr>
          <w:rFonts w:cstheme="minorHAnsi"/>
          <w:lang w:val="en-US"/>
        </w:rPr>
      </w:pPr>
    </w:p>
    <w:p w14:paraId="2B4BD291" w14:textId="77777777" w:rsidR="00457084" w:rsidRPr="00F30EF3" w:rsidRDefault="00457084" w:rsidP="00457084">
      <w:pPr>
        <w:tabs>
          <w:tab w:val="left" w:pos="993"/>
        </w:tabs>
        <w:spacing w:after="0" w:line="240" w:lineRule="auto"/>
        <w:ind w:left="426"/>
        <w:jc w:val="both"/>
        <w:rPr>
          <w:rFonts w:eastAsia="Times New Roman" w:cstheme="minorHAnsi"/>
          <w:rtl/>
        </w:rPr>
      </w:pPr>
      <w:r w:rsidRPr="00F30EF3">
        <w:rPr>
          <w:rFonts w:cstheme="minorHAnsi"/>
          <w:rtl/>
        </w:rPr>
        <w:t>"</w:t>
      </w:r>
      <w:r w:rsidRPr="00F30EF3">
        <w:rPr>
          <w:rFonts w:cstheme="minorHAnsi"/>
          <w:b/>
          <w:bCs/>
          <w:rtl/>
        </w:rPr>
        <w:t>الموارد</w:t>
      </w:r>
      <w:r w:rsidRPr="00F30EF3">
        <w:rPr>
          <w:rFonts w:cstheme="minorHAnsi"/>
          <w:rtl/>
        </w:rPr>
        <w:t xml:space="preserve">" تشير عادةً إلى (أ) مرافق المؤسسة (المباني ومختبرات الأبحاث والمعدات والمراكز الحاسوبية في الحرم الجامعي)؛ ولا تشمل هذه المرافق عادةً مكتبات المؤسسة؛ أو (ب) الموارد البشرية (الموظفون)؛ أو (ج) التمويلات (المنح أو العقود أو أشكال الدعم الأخرى التي تقدمها المؤسسة أو الجهات الراعية الخارجية). </w:t>
      </w:r>
    </w:p>
    <w:p w14:paraId="16D9DA9F" w14:textId="77777777" w:rsidR="00457084" w:rsidRPr="00F30EF3" w:rsidRDefault="00457084" w:rsidP="00457084">
      <w:pPr>
        <w:tabs>
          <w:tab w:val="left" w:pos="993"/>
        </w:tabs>
        <w:spacing w:after="0" w:line="240" w:lineRule="auto"/>
        <w:ind w:left="426"/>
        <w:jc w:val="both"/>
        <w:rPr>
          <w:rFonts w:eastAsia="Times New Roman" w:cstheme="minorHAnsi"/>
          <w:rtl/>
        </w:rPr>
      </w:pPr>
      <w:r w:rsidRPr="00F30EF3">
        <w:rPr>
          <w:rFonts w:cstheme="minorHAnsi"/>
          <w:rtl/>
        </w:rPr>
        <w:t>"</w:t>
      </w:r>
      <w:r w:rsidRPr="00F30EF3">
        <w:rPr>
          <w:rFonts w:cstheme="minorHAnsi"/>
          <w:b/>
          <w:bCs/>
          <w:rtl/>
        </w:rPr>
        <w:t>الاستخدام الكبير</w:t>
      </w:r>
      <w:r w:rsidRPr="00F30EF3">
        <w:rPr>
          <w:rFonts w:cstheme="minorHAnsi"/>
          <w:rtl/>
        </w:rPr>
        <w:t xml:space="preserve">" (يُشار إليه أيضاً باسم "الاستخدام الجوهري") يعني أن استخدام هذه الموارد يجب أن يكون مهماً لإنشاء الملكية الفكرية. </w:t>
      </w:r>
    </w:p>
    <w:p w14:paraId="3EA4C65A" w14:textId="77777777" w:rsidR="00457084" w:rsidRPr="00F30EF3" w:rsidRDefault="00457084" w:rsidP="00457084">
      <w:pPr>
        <w:tabs>
          <w:tab w:val="left" w:pos="993"/>
        </w:tabs>
        <w:spacing w:after="0" w:line="240" w:lineRule="auto"/>
        <w:ind w:left="426"/>
        <w:jc w:val="both"/>
        <w:rPr>
          <w:rFonts w:eastAsia="Times New Roman" w:cstheme="minorHAnsi"/>
          <w:lang w:val="en-US"/>
        </w:rPr>
      </w:pPr>
    </w:p>
    <w:p w14:paraId="525A3433" w14:textId="77777777" w:rsidR="00457084" w:rsidRPr="00F30EF3" w:rsidRDefault="00457084" w:rsidP="00457084">
      <w:pPr>
        <w:tabs>
          <w:tab w:val="left" w:pos="993"/>
        </w:tabs>
        <w:spacing w:after="0" w:line="240" w:lineRule="auto"/>
        <w:ind w:left="426"/>
        <w:jc w:val="both"/>
        <w:rPr>
          <w:rFonts w:eastAsia="Times New Roman" w:cstheme="minorHAnsi"/>
          <w:rtl/>
        </w:rPr>
      </w:pPr>
      <w:r w:rsidRPr="00F30EF3">
        <w:rPr>
          <w:rFonts w:cstheme="minorHAnsi"/>
          <w:rtl/>
        </w:rPr>
        <w:t>تتضمن بعض السياسات قياسات محددة، مع وضع حد أدنى للتكلفة - على سبيل المثال "</w:t>
      </w:r>
      <w:r w:rsidRPr="00F30EF3">
        <w:rPr>
          <w:rFonts w:cstheme="minorHAnsi"/>
          <w:i/>
          <w:iCs/>
          <w:rtl/>
        </w:rPr>
        <w:t>يعتبر الاستخدام كبيراً إذا كانت الموارد المستخدمة ستكلف الأستاذ [</w:t>
      </w:r>
      <w:r w:rsidRPr="00F30EF3">
        <w:rPr>
          <w:rFonts w:cstheme="minorHAnsi"/>
          <w:i/>
          <w:iCs/>
        </w:rPr>
        <w:t>X</w:t>
      </w:r>
      <w:r w:rsidRPr="00F30EF3">
        <w:rPr>
          <w:rFonts w:cstheme="minorHAnsi"/>
          <w:i/>
          <w:iCs/>
          <w:rtl/>
        </w:rPr>
        <w:t xml:space="preserve"> دولار] حال دفعها من ماله الخاص</w:t>
      </w:r>
      <w:r w:rsidRPr="00F30EF3">
        <w:rPr>
          <w:rFonts w:cstheme="minorHAnsi"/>
          <w:rtl/>
        </w:rPr>
        <w:t>."</w:t>
      </w:r>
    </w:p>
    <w:p w14:paraId="699169A2" w14:textId="77777777" w:rsidR="00457084" w:rsidRPr="00F30EF3" w:rsidRDefault="00457084" w:rsidP="00457084">
      <w:pPr>
        <w:tabs>
          <w:tab w:val="left" w:pos="993"/>
        </w:tabs>
        <w:spacing w:after="0" w:line="240" w:lineRule="auto"/>
        <w:ind w:left="426"/>
        <w:jc w:val="both"/>
        <w:rPr>
          <w:rFonts w:eastAsia="Times New Roman" w:cstheme="minorHAnsi"/>
          <w:lang w:val="en-US"/>
        </w:rPr>
      </w:pPr>
    </w:p>
    <w:p w14:paraId="0A8E5547" w14:textId="77777777" w:rsidR="00457084" w:rsidRPr="00F30EF3" w:rsidRDefault="00457084" w:rsidP="00457084">
      <w:pPr>
        <w:tabs>
          <w:tab w:val="left" w:pos="993"/>
        </w:tabs>
        <w:spacing w:after="0" w:line="240" w:lineRule="auto"/>
        <w:ind w:left="426"/>
        <w:jc w:val="both"/>
        <w:rPr>
          <w:rFonts w:eastAsia="Times New Roman" w:cstheme="minorHAnsi"/>
          <w:rtl/>
        </w:rPr>
      </w:pPr>
      <w:r w:rsidRPr="00F30EF3">
        <w:rPr>
          <w:rFonts w:cstheme="minorHAnsi"/>
          <w:rtl/>
        </w:rPr>
        <w:t>قد يمثل الإشراف كذلك استخداماً كبيراً في بعض البلدان.</w:t>
      </w:r>
    </w:p>
    <w:p w14:paraId="116A4E13" w14:textId="77777777" w:rsidR="00457084" w:rsidRPr="00F30EF3" w:rsidRDefault="00457084" w:rsidP="00457084">
      <w:pPr>
        <w:tabs>
          <w:tab w:val="left" w:pos="993"/>
        </w:tabs>
        <w:spacing w:after="0" w:line="240" w:lineRule="auto"/>
        <w:ind w:left="426"/>
        <w:jc w:val="both"/>
        <w:rPr>
          <w:rFonts w:eastAsia="Times New Roman" w:cstheme="minorHAnsi"/>
          <w:lang w:val="en-US"/>
        </w:rPr>
      </w:pPr>
    </w:p>
    <w:p w14:paraId="3641FB1B" w14:textId="77777777" w:rsidR="00457084" w:rsidRPr="00F30EF3" w:rsidRDefault="00457084" w:rsidP="00457084">
      <w:pPr>
        <w:tabs>
          <w:tab w:val="left" w:pos="993"/>
        </w:tabs>
        <w:spacing w:after="0" w:line="240" w:lineRule="auto"/>
        <w:ind w:left="426"/>
        <w:jc w:val="both"/>
        <w:rPr>
          <w:rFonts w:eastAsia="Times New Roman" w:cstheme="minorHAnsi"/>
          <w:rtl/>
        </w:rPr>
      </w:pPr>
      <w:r w:rsidRPr="00F30EF3">
        <w:rPr>
          <w:rFonts w:cstheme="minorHAnsi"/>
          <w:rtl/>
        </w:rPr>
        <w:lastRenderedPageBreak/>
        <w:t xml:space="preserve">كما يوصى بتحديد ما </w:t>
      </w:r>
      <w:r w:rsidRPr="00F30EF3">
        <w:rPr>
          <w:rFonts w:cstheme="minorHAnsi"/>
          <w:i/>
          <w:iCs/>
          <w:rtl/>
        </w:rPr>
        <w:t>لا</w:t>
      </w:r>
      <w:r w:rsidRPr="00F30EF3">
        <w:rPr>
          <w:rFonts w:cstheme="minorHAnsi"/>
          <w:rtl/>
        </w:rPr>
        <w:t xml:space="preserve"> يُعتبر استخداماً كبيراً. على سبيل المثال، "1" الاستخدام العرضي لمرافق المؤسسة أو مواردها (على سبيل المثال، الاستخدام العرضي للمعدات المكتبية والاستعانة بالموظفين المكتبيين)؛ و/أو "2" الاستخدام الواسع لمرفق متاح بشكل عام لجميع الموظفين أو الطلاب أو الزائرين (على سبيل المثال، مرافق المكتبة والمرافق المتاحة للجمهور العام والموظفين الإداريين)؛ و/أو "3" إذا دفع منشئ الملكية الفكرية للمؤسسة القيمة السوقية العادلة للمرافق والمعدات (حسبما تفرضها المؤسسة فعلياً على المستخدمين الخارجيين)</w:t>
      </w:r>
      <w:r w:rsidRPr="00F30EF3">
        <w:rPr>
          <w:rStyle w:val="FootnoteReference"/>
          <w:rFonts w:eastAsia="Times New Roman" w:cstheme="minorHAnsi"/>
          <w:rtl/>
          <w:lang w:val="en-US"/>
        </w:rPr>
        <w:footnoteReference w:id="116"/>
      </w:r>
      <w:r w:rsidRPr="00F30EF3">
        <w:rPr>
          <w:rFonts w:cstheme="minorHAnsi"/>
          <w:rtl/>
        </w:rPr>
        <w:t xml:space="preserve"> قبل أن يصبح استخدام هذه المرافق والمعدات كبيراً؛ و/أو (هـ) لا يستخدم المنشئ الوقت المخصص للمؤسسة لأن الأنشطة مسموح بها فيما يخص "الاستشارات الفردية والأنشطة الخارجية" (تنصح المؤسسات بوضع سياسة بشأن الاستشارات الفردية والأنشطة الخارجية).</w:t>
      </w:r>
    </w:p>
    <w:p w14:paraId="1C4B0A3C" w14:textId="77777777" w:rsidR="00913537" w:rsidRPr="00F30EF3" w:rsidRDefault="00913537" w:rsidP="00734F31">
      <w:pPr>
        <w:spacing w:after="0" w:line="240" w:lineRule="auto"/>
        <w:jc w:val="both"/>
        <w:rPr>
          <w:rFonts w:cstheme="minorHAnsi"/>
          <w:b/>
          <w:bCs/>
          <w:lang w:val="en-US"/>
        </w:rPr>
      </w:pPr>
    </w:p>
    <w:p w14:paraId="05D467F5" w14:textId="32FFFEBA" w:rsidR="0034402A" w:rsidRPr="00F30EF3" w:rsidRDefault="0034402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b/>
          <w:bCs/>
          <w:rtl/>
        </w:rPr>
      </w:pPr>
      <w:r w:rsidRPr="00F30EF3">
        <w:rPr>
          <w:rFonts w:cstheme="minorHAnsi"/>
          <w:b/>
          <w:bCs/>
          <w:rtl/>
        </w:rPr>
        <w:t xml:space="preserve">الإطار </w:t>
      </w:r>
      <w:r w:rsidR="005C6FAF" w:rsidRPr="00F30EF3">
        <w:rPr>
          <w:rFonts w:cstheme="minorHAnsi"/>
          <w:b/>
          <w:bCs/>
        </w:rPr>
        <w:t>.</w:t>
      </w:r>
      <w:r w:rsidR="00417FF9" w:rsidRPr="00F30EF3">
        <w:rPr>
          <w:rFonts w:cstheme="minorHAnsi"/>
          <w:b/>
          <w:bCs/>
        </w:rPr>
        <w:t>38</w:t>
      </w:r>
      <w:r w:rsidRPr="00F30EF3">
        <w:rPr>
          <w:rFonts w:cstheme="minorHAnsi"/>
          <w:b/>
          <w:bCs/>
          <w:rtl/>
        </w:rPr>
        <w:t xml:space="preserve">  تعريف الاستخدام الكبير - كلية بودوين (الولايات المتحدة)</w:t>
      </w:r>
      <w:r w:rsidRPr="00F30EF3">
        <w:rPr>
          <w:rStyle w:val="FootnoteReference"/>
          <w:rFonts w:cstheme="minorHAnsi"/>
          <w:b/>
          <w:bCs/>
          <w:rtl/>
          <w:lang w:val="en-US"/>
        </w:rPr>
        <w:footnoteReference w:id="117"/>
      </w:r>
    </w:p>
    <w:p w14:paraId="40A4D268" w14:textId="77777777" w:rsidR="0034402A" w:rsidRPr="00F30EF3" w:rsidRDefault="0034402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b/>
          <w:bCs/>
          <w:lang w:val="en-US"/>
        </w:rPr>
      </w:pPr>
    </w:p>
    <w:p w14:paraId="0E28C6A9" w14:textId="77777777" w:rsidR="0034402A" w:rsidRPr="00F30EF3" w:rsidRDefault="0034402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i/>
          <w:iCs/>
          <w:rtl/>
        </w:rPr>
      </w:pPr>
      <w:r w:rsidRPr="00F30EF3">
        <w:rPr>
          <w:rFonts w:cstheme="minorHAnsi"/>
          <w:i/>
          <w:iCs/>
          <w:rtl/>
        </w:rPr>
        <w:t>"3" "الاستخدام الكبير لموارد الكلية" يعني أن الكلية قدمت الدعم من خلال توفير موارد من الدرجة أو النوعية التي لا يتم توفيرها بصورة منتظمة لجميع أعضاء هيئة التدريس ويشمل الدعم الخاص، إما في شكل تمويل، أو استخدام المرافق أو الاستعانة بالموظفين.  على سبيل المثال، فإن توفير مساحة مختبر أو استوديو أو معدات شاملة مخصصة لاستخدام أحد أعضاء هيئة التدريس أو دعم تكنولوجيا المعلومات الموسع من أحد الموظفين يتضمن الاستخدام الكبير لموارد الكلية.  ومع ذلك، فإن الاستخدام العادي للحواسيب المكتبية ومكتبات الكلية والموارد السكرتارية أو الإدارية المحدودة، بما في ذلك الدعم الروتيني من قسم تكنولوجيا المعلومات بالكلية، وتوفير المكاتب، لا يُشكل استخداماً كبيراً لموارد الكلية.  بالإضافة إلى ذلك، لا يعتبر تمويل الكلية لإجازات التفرغ والتمويل المقدم من خلال لجنة موارد هيئة التدريس استخداماً جوهرياً لموارد الكلية.</w:t>
      </w:r>
    </w:p>
    <w:p w14:paraId="4D5A03EE" w14:textId="77777777" w:rsidR="0034402A" w:rsidRPr="00F30EF3" w:rsidRDefault="0034402A" w:rsidP="0034402A">
      <w:pPr>
        <w:pStyle w:val="ListParagraph"/>
        <w:spacing w:line="240" w:lineRule="auto"/>
        <w:ind w:left="0"/>
        <w:jc w:val="both"/>
        <w:rPr>
          <w:rFonts w:cstheme="minorHAnsi"/>
          <w:lang w:val="en-US"/>
        </w:rPr>
      </w:pPr>
    </w:p>
    <w:p w14:paraId="1155A6B1" w14:textId="77777777" w:rsidR="008648D5" w:rsidRPr="00F30EF3" w:rsidRDefault="008648D5" w:rsidP="00464282">
      <w:pPr>
        <w:pStyle w:val="ListParagraph"/>
        <w:numPr>
          <w:ilvl w:val="0"/>
          <w:numId w:val="3"/>
        </w:numPr>
        <w:spacing w:after="0" w:line="240" w:lineRule="auto"/>
        <w:ind w:left="426" w:hanging="426"/>
        <w:jc w:val="both"/>
        <w:rPr>
          <w:rFonts w:cstheme="minorHAnsi"/>
          <w:rtl/>
        </w:rPr>
      </w:pPr>
      <w:r w:rsidRPr="00F30EF3">
        <w:rPr>
          <w:rFonts w:cstheme="minorHAnsi"/>
          <w:b/>
          <w:bCs/>
          <w:rtl/>
        </w:rPr>
        <w:t xml:space="preserve">المادة 1.1.5، </w:t>
      </w:r>
      <w:r w:rsidRPr="00F30EF3">
        <w:rPr>
          <w:rFonts w:cstheme="minorHAnsi"/>
          <w:b/>
          <w:bCs/>
          <w:i/>
          <w:iCs/>
          <w:rtl/>
        </w:rPr>
        <w:t xml:space="preserve">في سياق العمل </w:t>
      </w:r>
      <w:r w:rsidRPr="00F30EF3">
        <w:rPr>
          <w:rFonts w:cstheme="minorHAnsi"/>
          <w:b/>
          <w:bCs/>
          <w:i/>
          <w:iCs/>
          <w:u w:val="single"/>
          <w:rtl/>
        </w:rPr>
        <w:t>أو</w:t>
      </w:r>
      <w:r w:rsidRPr="00F30EF3">
        <w:rPr>
          <w:rFonts w:cstheme="minorHAnsi"/>
          <w:b/>
          <w:bCs/>
          <w:i/>
          <w:iCs/>
          <w:rtl/>
        </w:rPr>
        <w:t xml:space="preserve"> من خلال الاستخدام الكبير:  </w:t>
      </w:r>
      <w:r w:rsidRPr="00F30EF3">
        <w:rPr>
          <w:rFonts w:cstheme="minorHAnsi"/>
          <w:rtl/>
        </w:rPr>
        <w:t>يعني هذا أن الملكية تنتقل إلى المؤسسة طالما هناك استخدام كبير للموارد، حتى لو تم إنشاء الملكية الفكرية خارج نطاق المهام. لقد قبلت العديد من المؤسسات "غلاف حقوق الملكية" هذا المحدد من خلال "الاستخدام الكبير للموارد أو المرافق". وتجدر الإشارة إلى أن بعض الأحكام في التشريع الوطني تتناول المصنفات التي يجري إنشاؤها خارج سياق العمل.  وسيكون أي حكم في سياسة الملكية الفكرية يتعارض مع مثل هذا القانون باطلاً ولاغياً.</w:t>
      </w:r>
      <w:r w:rsidRPr="00F30EF3">
        <w:rPr>
          <w:rFonts w:cstheme="minorHAnsi"/>
          <w:vertAlign w:val="superscript"/>
          <w:rtl/>
          <w:lang w:val="en-US"/>
        </w:rPr>
        <w:footnoteReference w:id="118"/>
      </w:r>
      <w:r w:rsidRPr="00F30EF3">
        <w:rPr>
          <w:rFonts w:cstheme="minorHAnsi"/>
          <w:rtl/>
        </w:rPr>
        <w:t xml:space="preserve"> تنشئ أحكام أخرى وضعاً افتراضياً يمكن للمؤسسات تعديله من خلال سياسة الملكية الفكرية الخاصة بها، و/أو من خلال العقود الفردية.</w:t>
      </w:r>
    </w:p>
    <w:p w14:paraId="1DE896FD" w14:textId="77777777" w:rsidR="008648D5" w:rsidRPr="00F30EF3" w:rsidRDefault="008648D5" w:rsidP="008648D5">
      <w:pPr>
        <w:pStyle w:val="ListParagraph"/>
        <w:spacing w:after="0" w:line="240" w:lineRule="auto"/>
        <w:ind w:left="851"/>
        <w:jc w:val="both"/>
        <w:rPr>
          <w:rFonts w:eastAsia="Times New Roman" w:cstheme="minorHAnsi"/>
          <w:color w:val="000000"/>
          <w:lang w:val="en-US"/>
        </w:rPr>
      </w:pPr>
    </w:p>
    <w:p w14:paraId="7EF534B5" w14:textId="77777777" w:rsidR="00C3375C" w:rsidRPr="00F30EF3" w:rsidRDefault="00C60DE4" w:rsidP="00B7519E">
      <w:pPr>
        <w:pStyle w:val="ListParagraph"/>
        <w:spacing w:after="0" w:line="240" w:lineRule="auto"/>
        <w:ind w:left="0"/>
        <w:jc w:val="both"/>
        <w:rPr>
          <w:rFonts w:eastAsia="Times New Roman" w:cstheme="minorHAnsi"/>
          <w:b/>
          <w:bCs/>
          <w:color w:val="0070C0"/>
          <w:sz w:val="24"/>
          <w:szCs w:val="24"/>
          <w:rtl/>
        </w:rPr>
      </w:pPr>
      <w:r w:rsidRPr="00F30EF3">
        <w:rPr>
          <w:rFonts w:cstheme="minorHAnsi"/>
          <w:b/>
          <w:bCs/>
          <w:color w:val="0070C0"/>
          <w:sz w:val="24"/>
          <w:szCs w:val="24"/>
          <w:rtl/>
        </w:rPr>
        <w:t>المادة 2.1.5 - ملكية الموظفين</w:t>
      </w:r>
    </w:p>
    <w:p w14:paraId="1FF40AED" w14:textId="77777777" w:rsidR="003A76D9" w:rsidRPr="00F30EF3" w:rsidRDefault="003A76D9" w:rsidP="00B7519E">
      <w:pPr>
        <w:pStyle w:val="ListParagraph"/>
        <w:spacing w:after="0" w:line="240" w:lineRule="auto"/>
        <w:ind w:left="0"/>
        <w:jc w:val="both"/>
        <w:rPr>
          <w:rFonts w:eastAsia="Times New Roman" w:cstheme="minorHAnsi"/>
          <w:b/>
          <w:bCs/>
          <w:color w:val="0070C0"/>
          <w:lang w:val="en-US"/>
        </w:rPr>
      </w:pPr>
    </w:p>
    <w:p w14:paraId="7053F3A5" w14:textId="77777777" w:rsidR="008648D5" w:rsidRPr="00F30EF3" w:rsidRDefault="008648D5" w:rsidP="00464282">
      <w:pPr>
        <w:pStyle w:val="ListParagraph"/>
        <w:numPr>
          <w:ilvl w:val="0"/>
          <w:numId w:val="3"/>
        </w:numPr>
        <w:tabs>
          <w:tab w:val="left" w:pos="426"/>
        </w:tabs>
        <w:spacing w:after="0" w:line="240" w:lineRule="auto"/>
        <w:ind w:left="426" w:hanging="426"/>
        <w:jc w:val="both"/>
        <w:rPr>
          <w:rFonts w:eastAsia="Times New Roman" w:cstheme="minorHAnsi"/>
          <w:rtl/>
        </w:rPr>
      </w:pPr>
      <w:r w:rsidRPr="00F30EF3">
        <w:rPr>
          <w:rFonts w:cstheme="minorHAnsi"/>
          <w:b/>
          <w:bCs/>
          <w:rtl/>
        </w:rPr>
        <w:t xml:space="preserve">المادة 2.1.5، </w:t>
      </w:r>
      <w:r w:rsidRPr="00F30EF3">
        <w:rPr>
          <w:rFonts w:cstheme="minorHAnsi"/>
          <w:b/>
          <w:bCs/>
          <w:i/>
          <w:iCs/>
          <w:rtl/>
        </w:rPr>
        <w:t xml:space="preserve">خارج سياق العمل </w:t>
      </w:r>
      <w:r w:rsidRPr="00F30EF3">
        <w:rPr>
          <w:rFonts w:cstheme="minorHAnsi"/>
          <w:b/>
          <w:bCs/>
          <w:i/>
          <w:iCs/>
          <w:u w:val="single"/>
          <w:rtl/>
        </w:rPr>
        <w:t>و</w:t>
      </w:r>
      <w:r w:rsidRPr="00F30EF3">
        <w:rPr>
          <w:rFonts w:cstheme="minorHAnsi"/>
          <w:b/>
          <w:bCs/>
          <w:i/>
          <w:iCs/>
          <w:rtl/>
        </w:rPr>
        <w:t>دون استخدام كبير</w:t>
      </w:r>
      <w:r w:rsidRPr="00F30EF3">
        <w:rPr>
          <w:rFonts w:cstheme="minorHAnsi"/>
          <w:b/>
          <w:bCs/>
          <w:rtl/>
        </w:rPr>
        <w:t xml:space="preserve">:  </w:t>
      </w:r>
      <w:r w:rsidRPr="00F30EF3">
        <w:rPr>
          <w:rFonts w:cstheme="minorHAnsi"/>
          <w:rtl/>
        </w:rPr>
        <w:t xml:space="preserve">تنتقل ملكية الملكية الفكرية التي ينشئها الموظف وتقع خارج سياق العمل ودون استخدام كبير لموارد المؤسسة أو مرافقها إلى الموظف.  نشير مرة أخرى إلى أن بعض الأحكام في التشريع الوطني تتناول المصنفات التي أُنشِئَت خارج سياق العمل. </w:t>
      </w:r>
    </w:p>
    <w:p w14:paraId="5FB70111" w14:textId="77777777" w:rsidR="008648D5" w:rsidRPr="00F30EF3" w:rsidRDefault="008648D5" w:rsidP="009479F6">
      <w:pPr>
        <w:pStyle w:val="ListParagraph"/>
        <w:tabs>
          <w:tab w:val="left" w:pos="426"/>
        </w:tabs>
        <w:spacing w:after="0" w:line="240" w:lineRule="auto"/>
        <w:ind w:left="426" w:hanging="426"/>
        <w:jc w:val="both"/>
        <w:rPr>
          <w:rFonts w:eastAsia="Times New Roman" w:cstheme="minorHAnsi"/>
          <w:rtl/>
        </w:rPr>
      </w:pPr>
      <w:r w:rsidRPr="00F30EF3">
        <w:rPr>
          <w:rFonts w:cstheme="minorHAnsi"/>
          <w:rtl/>
        </w:rPr>
        <w:t xml:space="preserve"> </w:t>
      </w:r>
    </w:p>
    <w:p w14:paraId="0AB0DA65" w14:textId="77777777" w:rsidR="008648D5" w:rsidRPr="00F30EF3" w:rsidRDefault="008648D5" w:rsidP="00464282">
      <w:pPr>
        <w:pStyle w:val="ListParagraph"/>
        <w:numPr>
          <w:ilvl w:val="0"/>
          <w:numId w:val="3"/>
        </w:numPr>
        <w:tabs>
          <w:tab w:val="left" w:pos="426"/>
        </w:tabs>
        <w:spacing w:after="0" w:line="240" w:lineRule="auto"/>
        <w:ind w:left="426" w:hanging="426"/>
        <w:jc w:val="both"/>
        <w:rPr>
          <w:rFonts w:eastAsia="Times New Roman" w:cstheme="minorHAnsi"/>
          <w:b/>
          <w:bCs/>
          <w:rtl/>
        </w:rPr>
      </w:pPr>
      <w:r w:rsidRPr="00F30EF3">
        <w:rPr>
          <w:rFonts w:cstheme="minorHAnsi"/>
          <w:b/>
          <w:bCs/>
          <w:rtl/>
        </w:rPr>
        <w:t xml:space="preserve">المادة 2.1.5، </w:t>
      </w:r>
      <w:r w:rsidRPr="00F30EF3">
        <w:rPr>
          <w:rFonts w:cstheme="minorHAnsi"/>
          <w:b/>
          <w:bCs/>
          <w:i/>
          <w:iCs/>
          <w:rtl/>
        </w:rPr>
        <w:t>المصنفات العلمية</w:t>
      </w:r>
      <w:r w:rsidRPr="00F30EF3">
        <w:rPr>
          <w:rFonts w:cstheme="minorHAnsi"/>
          <w:b/>
          <w:bCs/>
          <w:rtl/>
        </w:rPr>
        <w:t xml:space="preserve">: </w:t>
      </w:r>
      <w:r w:rsidRPr="00F30EF3">
        <w:rPr>
          <w:rFonts w:cstheme="minorHAnsi"/>
          <w:rtl/>
        </w:rPr>
        <w:t>ترد مناقشة ذلك بالكامل في المادة 5.5.</w:t>
      </w:r>
    </w:p>
    <w:p w14:paraId="3DB719C7" w14:textId="77777777" w:rsidR="0034402A" w:rsidRPr="00F30EF3" w:rsidRDefault="0034402A" w:rsidP="00B7519E">
      <w:pPr>
        <w:tabs>
          <w:tab w:val="left" w:pos="426"/>
        </w:tabs>
        <w:spacing w:after="0" w:line="240" w:lineRule="auto"/>
        <w:jc w:val="both"/>
        <w:rPr>
          <w:rFonts w:eastAsia="Times New Roman" w:cstheme="minorHAnsi"/>
          <w:b/>
          <w:bCs/>
          <w:lang w:val="en-US"/>
        </w:rPr>
      </w:pPr>
    </w:p>
    <w:p w14:paraId="1549E9F2" w14:textId="234BA906" w:rsidR="005D5986" w:rsidRPr="00F30EF3" w:rsidRDefault="0034402A" w:rsidP="005C6FAF">
      <w:pPr>
        <w:pStyle w:val="ListParagraph"/>
        <w:numPr>
          <w:ilvl w:val="0"/>
          <w:numId w:val="3"/>
        </w:numPr>
        <w:tabs>
          <w:tab w:val="left" w:pos="426"/>
        </w:tabs>
        <w:spacing w:after="0" w:line="240" w:lineRule="auto"/>
        <w:ind w:left="426" w:hanging="426"/>
        <w:jc w:val="both"/>
        <w:rPr>
          <w:rFonts w:eastAsia="Times New Roman" w:cstheme="minorHAnsi"/>
          <w:b/>
          <w:bCs/>
        </w:rPr>
      </w:pPr>
      <w:r w:rsidRPr="00F30EF3">
        <w:rPr>
          <w:rFonts w:cstheme="minorHAnsi"/>
          <w:b/>
          <w:bCs/>
          <w:color w:val="000000" w:themeColor="text1"/>
          <w:shd w:val="clear" w:color="auto" w:fill="FFFFFF" w:themeFill="background1"/>
          <w:rtl/>
        </w:rPr>
        <w:t>[الخيار]</w:t>
      </w:r>
      <w:r w:rsidRPr="00F30EF3">
        <w:rPr>
          <w:rFonts w:cstheme="minorHAnsi"/>
          <w:b/>
          <w:bCs/>
          <w:i/>
          <w:iCs/>
          <w:color w:val="000000" w:themeColor="text1"/>
          <w:shd w:val="clear" w:color="auto" w:fill="FFFFFF" w:themeFill="background1"/>
          <w:rtl/>
        </w:rPr>
        <w:t>، حقوق الملكية الفكرية الأخرى، حسبما يقتضيه القانون الوطني، أو التي لا تستطيع المؤسسة أو لا ترغب في المطالبة بملكيتها وقد أبلغت المؤسسة عن ذلك كتابياً</w:t>
      </w:r>
      <w:r w:rsidRPr="00F30EF3">
        <w:rPr>
          <w:rFonts w:cstheme="minorHAnsi"/>
          <w:b/>
          <w:bCs/>
          <w:i/>
          <w:iCs/>
          <w:shd w:val="clear" w:color="auto" w:fill="FFFFFF" w:themeFill="background1"/>
          <w:rtl/>
        </w:rPr>
        <w:t>]</w:t>
      </w:r>
      <w:r w:rsidRPr="00F30EF3">
        <w:rPr>
          <w:rFonts w:cstheme="minorHAnsi"/>
          <w:b/>
          <w:bCs/>
          <w:shd w:val="clear" w:color="auto" w:fill="FFFFFF" w:themeFill="background1"/>
          <w:rtl/>
        </w:rPr>
        <w:t>:</w:t>
      </w:r>
      <w:r w:rsidRPr="00F30EF3">
        <w:rPr>
          <w:rFonts w:cstheme="minorHAnsi"/>
          <w:shd w:val="clear" w:color="auto" w:fill="FFFFFF" w:themeFill="background1"/>
          <w:rtl/>
        </w:rPr>
        <w:t xml:space="preserve">  قد تكون هناك </w:t>
      </w:r>
      <w:r w:rsidRPr="00F30EF3">
        <w:rPr>
          <w:rFonts w:cstheme="minorHAnsi"/>
          <w:rtl/>
        </w:rPr>
        <w:t xml:space="preserve">حالات تختار فيها مؤسسة ما عدم الاحتفاظ بملكية الملكية الفكرية المُطوَّرة في المؤسسة وتُقدم هذه الملكية الفكرية إلى الموظف حال رغب في تولي ملكية الملكية الفكرية. ويمكن أن يحدث ذلك في مراحل مختلفة عبر "سلسلة قيمة الابتكار" من واقع تقييم مكتب إدارة الملكية الفكرية الذي يقرر أنه لا توجد قيمة للبحث عن حماية الملكية الفكرية القانونية، أو في حالة إصدار تقرير بحث مدمر للجِدَّة أو إعداد تقرير تحليل جدوى تقنية واقتصادية ضعيف.  </w:t>
      </w:r>
    </w:p>
    <w:p w14:paraId="4FA09C17" w14:textId="77777777" w:rsidR="00B30378" w:rsidRPr="00F30EF3" w:rsidRDefault="00B30378" w:rsidP="00BE34FB">
      <w:pPr>
        <w:pStyle w:val="ListParagraph"/>
        <w:spacing w:after="0" w:line="240" w:lineRule="auto"/>
        <w:ind w:left="0"/>
        <w:jc w:val="both"/>
        <w:rPr>
          <w:rFonts w:eastAsia="Times New Roman" w:cstheme="minorHAnsi"/>
          <w:b/>
          <w:bCs/>
          <w:color w:val="0070C0"/>
          <w:lang w:val="en-US"/>
        </w:rPr>
      </w:pPr>
    </w:p>
    <w:p w14:paraId="5F90FA84" w14:textId="77777777" w:rsidR="00496448" w:rsidRPr="00F30EF3" w:rsidRDefault="00C60DE4" w:rsidP="0097732D">
      <w:pPr>
        <w:pStyle w:val="ListParagraph"/>
        <w:keepNext/>
        <w:keepLines/>
        <w:spacing w:after="0" w:line="240" w:lineRule="auto"/>
        <w:ind w:left="0"/>
        <w:jc w:val="both"/>
        <w:rPr>
          <w:rFonts w:eastAsia="Times New Roman" w:cstheme="minorHAnsi"/>
          <w:b/>
          <w:bCs/>
          <w:color w:val="0070C0"/>
          <w:sz w:val="24"/>
          <w:szCs w:val="24"/>
          <w:rtl/>
        </w:rPr>
      </w:pPr>
      <w:r w:rsidRPr="00F30EF3">
        <w:rPr>
          <w:rFonts w:cstheme="minorHAnsi"/>
          <w:b/>
          <w:bCs/>
          <w:color w:val="0070C0"/>
          <w:sz w:val="24"/>
          <w:szCs w:val="24"/>
          <w:rtl/>
        </w:rPr>
        <w:lastRenderedPageBreak/>
        <w:t>المادة 3.1.5 - الملكية الفكرية التي ينشئها الموظفون بموجب عقود البحث</w:t>
      </w:r>
    </w:p>
    <w:p w14:paraId="57E783D3" w14:textId="77777777" w:rsidR="00496448" w:rsidRPr="00F30EF3" w:rsidRDefault="00496448" w:rsidP="0097732D">
      <w:pPr>
        <w:pStyle w:val="ListParagraph"/>
        <w:keepNext/>
        <w:keepLines/>
        <w:spacing w:after="0" w:line="240" w:lineRule="auto"/>
        <w:ind w:left="0"/>
        <w:jc w:val="both"/>
        <w:rPr>
          <w:rFonts w:eastAsia="Times New Roman" w:cstheme="minorHAnsi"/>
          <w:b/>
          <w:bCs/>
          <w:lang w:val="en-US"/>
        </w:rPr>
      </w:pPr>
    </w:p>
    <w:p w14:paraId="67B928BD" w14:textId="21E72BEE" w:rsidR="0034402A" w:rsidRPr="00F30EF3" w:rsidRDefault="0034402A" w:rsidP="0097732D">
      <w:pPr>
        <w:pStyle w:val="ListParagraph"/>
        <w:keepNext/>
        <w:keepLines/>
        <w:numPr>
          <w:ilvl w:val="0"/>
          <w:numId w:val="12"/>
        </w:numPr>
        <w:spacing w:line="240" w:lineRule="auto"/>
        <w:ind w:left="360"/>
        <w:jc w:val="both"/>
        <w:rPr>
          <w:rFonts w:cstheme="minorHAnsi"/>
          <w:rtl/>
        </w:rPr>
      </w:pPr>
      <w:r w:rsidRPr="00F30EF3">
        <w:rPr>
          <w:rFonts w:cstheme="minorHAnsi"/>
          <w:b/>
          <w:bCs/>
          <w:rtl/>
        </w:rPr>
        <w:t xml:space="preserve">المادة 3.1.5، </w:t>
      </w:r>
      <w:r w:rsidRPr="00F30EF3">
        <w:rPr>
          <w:rFonts w:cstheme="minorHAnsi"/>
          <w:b/>
          <w:bCs/>
          <w:i/>
          <w:iCs/>
          <w:rtl/>
        </w:rPr>
        <w:t>تنظِّم شروط عقد البحث ملكية الملكية الفكرية التي ينشئها الموظفون</w:t>
      </w:r>
      <w:r w:rsidRPr="00F30EF3">
        <w:rPr>
          <w:rFonts w:cstheme="minorHAnsi"/>
          <w:b/>
          <w:bCs/>
          <w:rtl/>
        </w:rPr>
        <w:t xml:space="preserve">: </w:t>
      </w:r>
      <w:r w:rsidRPr="00F30EF3">
        <w:rPr>
          <w:rFonts w:cstheme="minorHAnsi"/>
          <w:rtl/>
        </w:rPr>
        <w:t xml:space="preserve">كما هو موضح سابقاً، لا يمكن التعاقد خارج نطاق التشريع. وعليه، وبما أن التشريع لا ينص على أحكام الملكية، فإن الشروط المُتفق عليها بشكل متبادل في عقد البحث تنظِّم ملكية الملكية الفكرية التي ينشئها أحد الموظفين في سياق مشروع بحثي. وقد اتبعت بعض المؤسسات نهجاً إزاء ملكية الملكية الفكرية، حيث يعتبر الحق في تملك الملكية الفكرية التي ينشئها أحد الموظفين أمراً قابلاً للتفاوض في العقود المُبرمة مع شريك خارجي أو الجهة الراعية للبحث. وقد أثبتت التجربة أن منح الملكية في الملكية الفكرية من خلال "شراء" الملكية الفكرية أمر محفوف بالمشاكل. ومن المرجح أن يؤدي التخلي عن الملكية بهذه الطريقة إلى إعاقة تحقيق أهداف ضمان استفادة الجمهور من الملكية الفكرية للمؤسسة، وتوفير فوائد طويلة الأجل للمؤسسة وموظفيها، وعرقلة تطوير نظام نقل التكنولوجيا الجامعي القائم على الملكية الفكرية المستدام والناجح. وبالمثل، يرى البعض أنه ينبغي للمؤسسة أن تتسم بالمرونة فيما يتعلق بملكية الملكية الفكرية التي ينشئها الموظفون في الترتيبات التعاونية. ليس هناك شك في أن المتعاونون سوف يطالبون بهذه الملكية، لأي سبب من الأسباب. ومع ذلك، إذا تمسكت مؤسسة بسياسة مطلقة للملكية مرتبطة بشكلٍ مطلق بأبوة الاختراع وملكية الملكية الفكرية لموظفيها، فإن المفاوضات تصبح مُبسطة. لمزيد من التفاصيل، انظر </w:t>
      </w:r>
      <w:hyperlink w:anchor="_ARTICLE_7_–" w:history="1">
        <w:r w:rsidRPr="00F30EF3">
          <w:rPr>
            <w:rStyle w:val="Hyperlink"/>
            <w:rFonts w:cstheme="minorHAnsi"/>
            <w:rtl/>
          </w:rPr>
          <w:t>المادة 7</w:t>
        </w:r>
      </w:hyperlink>
      <w:r w:rsidRPr="00F30EF3">
        <w:rPr>
          <w:rFonts w:cstheme="minorHAnsi"/>
          <w:rtl/>
        </w:rPr>
        <w:t>.</w:t>
      </w:r>
    </w:p>
    <w:p w14:paraId="455CDADD" w14:textId="77777777" w:rsidR="00496448" w:rsidRPr="00F30EF3" w:rsidRDefault="00496448" w:rsidP="00496448">
      <w:pPr>
        <w:pStyle w:val="ListParagraph"/>
        <w:spacing w:line="240" w:lineRule="auto"/>
        <w:ind w:left="360"/>
        <w:jc w:val="both"/>
        <w:rPr>
          <w:rFonts w:cstheme="minorHAnsi"/>
          <w:lang w:val="en-US"/>
        </w:rPr>
      </w:pPr>
    </w:p>
    <w:p w14:paraId="164521F6" w14:textId="59708BB3" w:rsidR="00496448" w:rsidRPr="00F30EF3" w:rsidRDefault="00496448" w:rsidP="00464282">
      <w:pPr>
        <w:pStyle w:val="ListParagraph"/>
        <w:numPr>
          <w:ilvl w:val="0"/>
          <w:numId w:val="12"/>
        </w:numPr>
        <w:spacing w:line="240" w:lineRule="auto"/>
        <w:ind w:left="360"/>
        <w:jc w:val="both"/>
        <w:rPr>
          <w:rFonts w:cstheme="minorHAnsi"/>
          <w:rtl/>
        </w:rPr>
      </w:pPr>
      <w:r w:rsidRPr="00F30EF3">
        <w:rPr>
          <w:rFonts w:cstheme="minorHAnsi"/>
          <w:rtl/>
        </w:rPr>
        <w:t>لا يمكن إلزام المتعاقدين الخارجيين بسياسة الملكية الفكرية إلا من خلال الأحكام التعاقدية. في حالة تعيين هؤلاء المتعاقدين من أجل الاختراع أو الإبداع، ينبغي أن ينص عقد البحث على أن المؤسسة تمتلك الملكية الفكرية. في معظم المؤسسات، يجري التعامل مع ملكية الملكية الفكرية للمتعاقد على أساس كل عقد على حدة وليس هناك ملكية شاملة لكل الملكية الفكرية الخاصة بالمتعاقد.</w:t>
      </w:r>
    </w:p>
    <w:p w14:paraId="75348D64" w14:textId="77777777" w:rsidR="00332D42" w:rsidRPr="00F30EF3" w:rsidRDefault="00332D42" w:rsidP="00B7519E">
      <w:pPr>
        <w:pStyle w:val="Heading3"/>
        <w:spacing w:before="360"/>
        <w:rPr>
          <w:rFonts w:asciiTheme="minorHAnsi" w:hAnsiTheme="minorHAnsi" w:cstheme="minorHAnsi"/>
          <w:sz w:val="24"/>
          <w:szCs w:val="24"/>
          <w:rtl/>
        </w:rPr>
      </w:pPr>
      <w:bookmarkStart w:id="161" w:name="_Toc494115968"/>
      <w:bookmarkStart w:id="162" w:name="_Toc516160061"/>
      <w:bookmarkStart w:id="163" w:name="_Toc516219404"/>
      <w:bookmarkStart w:id="164" w:name="_Toc516496046"/>
      <w:bookmarkStart w:id="165" w:name="_Toc516829418"/>
      <w:r w:rsidRPr="00F30EF3">
        <w:rPr>
          <w:rFonts w:asciiTheme="minorHAnsi" w:hAnsiTheme="minorHAnsi" w:cstheme="minorHAnsi"/>
          <w:sz w:val="24"/>
          <w:szCs w:val="24"/>
          <w:rtl/>
        </w:rPr>
        <w:t>المادة 2.5 – الملكية الفكرية التي ينشئها الطلاب</w:t>
      </w:r>
      <w:bookmarkEnd w:id="161"/>
      <w:bookmarkEnd w:id="162"/>
      <w:bookmarkEnd w:id="163"/>
      <w:bookmarkEnd w:id="164"/>
      <w:bookmarkEnd w:id="165"/>
    </w:p>
    <w:p w14:paraId="7C2129EA" w14:textId="77777777" w:rsidR="0034402A" w:rsidRPr="00F30EF3" w:rsidRDefault="0034402A" w:rsidP="0034402A">
      <w:pPr>
        <w:pStyle w:val="ListParagraph"/>
        <w:shd w:val="clear" w:color="auto" w:fill="FFFFFF"/>
        <w:spacing w:after="0" w:line="240" w:lineRule="auto"/>
        <w:ind w:left="0"/>
        <w:jc w:val="both"/>
        <w:rPr>
          <w:rFonts w:eastAsia="Calibri" w:cstheme="minorHAnsi"/>
          <w:rtl/>
        </w:rPr>
      </w:pPr>
      <w:r w:rsidRPr="00F30EF3">
        <w:rPr>
          <w:rFonts w:cstheme="minorHAnsi"/>
          <w:rtl/>
        </w:rPr>
        <w:t>تعمل المؤسسات بصورة وثيقة وعلى نحوٍ متزايد مع القطاع في مجال البحث والتطوير التطبيقي، وبالتالي ليس فقط الموظفون ولكن الطلاب الذين يمولهم القطاع أو يعملون في مشاريع بحثية جامعية تتسم بالقدرة على إنشاء الملكية الفكرية.</w:t>
      </w:r>
    </w:p>
    <w:p w14:paraId="1F51E820" w14:textId="77777777" w:rsidR="0034402A" w:rsidRPr="00F30EF3" w:rsidRDefault="0034402A" w:rsidP="0034402A">
      <w:pPr>
        <w:pStyle w:val="NoSpacing"/>
        <w:shd w:val="clear" w:color="auto" w:fill="FFFFFF" w:themeFill="background1"/>
        <w:jc w:val="both"/>
        <w:rPr>
          <w:rFonts w:eastAsia="Times New Roman" w:cstheme="minorHAnsi"/>
          <w:lang w:val="en-US"/>
        </w:rPr>
      </w:pPr>
    </w:p>
    <w:p w14:paraId="2442DFAE" w14:textId="4DAC40B2" w:rsidR="0034402A" w:rsidRPr="00F30EF3" w:rsidRDefault="0034402A" w:rsidP="0034402A">
      <w:pPr>
        <w:pStyle w:val="CommentText"/>
        <w:jc w:val="both"/>
        <w:rPr>
          <w:rFonts w:eastAsia="Times New Roman" w:cstheme="minorHAnsi"/>
          <w:sz w:val="22"/>
          <w:szCs w:val="22"/>
          <w:rtl/>
        </w:rPr>
      </w:pPr>
      <w:r w:rsidRPr="00F30EF3">
        <w:rPr>
          <w:rFonts w:cstheme="minorHAnsi"/>
          <w:sz w:val="22"/>
          <w:szCs w:val="22"/>
          <w:rtl/>
        </w:rPr>
        <w:t>وغالباً ما تكون ملكية الملكية الفكرية التي ينشئها الطلاب مسألة خلافية.  وغالباً ما تفرق المؤسسة بين فئتين مختلفتين من الطلاب (الطلاب الجامعيين وطلاب الدراسات العليا) والذين بدورهم قد يكون لديهم علاقات تعاقدية مختلفة مع جامعتهم على أساس التمويل الخاص بهم. ويُعتبر بعض الطلاب موظفين بجانب كونهم طلاباً</w:t>
      </w:r>
      <w:r w:rsidRPr="00F30EF3">
        <w:rPr>
          <w:rStyle w:val="FootnoteReference"/>
          <w:rFonts w:eastAsia="Times New Roman" w:cstheme="minorHAnsi"/>
          <w:sz w:val="22"/>
          <w:szCs w:val="22"/>
          <w:rtl/>
          <w:lang w:val="en-US"/>
        </w:rPr>
        <w:footnoteReference w:id="119"/>
      </w:r>
      <w:r w:rsidRPr="00F30EF3">
        <w:rPr>
          <w:rFonts w:cstheme="minorHAnsi"/>
          <w:sz w:val="22"/>
          <w:szCs w:val="22"/>
          <w:rtl/>
        </w:rPr>
        <w:t xml:space="preserve">. </w:t>
      </w:r>
    </w:p>
    <w:p w14:paraId="348BD7B3" w14:textId="77777777" w:rsidR="00430532" w:rsidRPr="00F30EF3" w:rsidRDefault="00430532" w:rsidP="00734F31">
      <w:pPr>
        <w:pStyle w:val="NoSpacing"/>
        <w:shd w:val="clear" w:color="auto" w:fill="FFFFFF" w:themeFill="background1"/>
        <w:jc w:val="both"/>
        <w:rPr>
          <w:rFonts w:eastAsia="Times New Roman" w:cstheme="minorHAnsi"/>
          <w:lang w:val="en-US" w:eastAsia="en-ZA"/>
        </w:rPr>
      </w:pPr>
    </w:p>
    <w:p w14:paraId="73DEBE6C" w14:textId="77777777" w:rsidR="00E17BEE" w:rsidRPr="00F30EF3" w:rsidRDefault="00C60DE4" w:rsidP="00B7519E">
      <w:pPr>
        <w:pStyle w:val="ListParagraph"/>
        <w:spacing w:after="0" w:line="240" w:lineRule="auto"/>
        <w:ind w:left="0"/>
        <w:jc w:val="both"/>
        <w:rPr>
          <w:rFonts w:eastAsia="Times New Roman" w:cstheme="minorHAnsi"/>
          <w:b/>
          <w:bCs/>
          <w:color w:val="0070C0"/>
          <w:sz w:val="24"/>
          <w:szCs w:val="24"/>
          <w:rtl/>
        </w:rPr>
      </w:pPr>
      <w:r w:rsidRPr="00F30EF3">
        <w:rPr>
          <w:rFonts w:cstheme="minorHAnsi"/>
          <w:b/>
          <w:bCs/>
          <w:color w:val="0070C0"/>
          <w:sz w:val="24"/>
          <w:szCs w:val="24"/>
          <w:rtl/>
        </w:rPr>
        <w:t>المادة 1.2.5 - ملكية الطالب</w:t>
      </w:r>
    </w:p>
    <w:p w14:paraId="433C319E" w14:textId="77777777" w:rsidR="003A76D9" w:rsidRPr="00F30EF3" w:rsidRDefault="003A76D9" w:rsidP="00B7519E">
      <w:pPr>
        <w:pStyle w:val="ListParagraph"/>
        <w:spacing w:after="0" w:line="240" w:lineRule="auto"/>
        <w:ind w:left="0"/>
        <w:jc w:val="both"/>
        <w:rPr>
          <w:rFonts w:eastAsia="Times New Roman" w:cstheme="minorHAnsi"/>
          <w:b/>
          <w:bCs/>
          <w:color w:val="0070C0"/>
          <w:lang w:val="en-US"/>
        </w:rPr>
      </w:pPr>
    </w:p>
    <w:p w14:paraId="774841F4" w14:textId="3CF45185" w:rsidR="0034402A" w:rsidRPr="00F30EF3" w:rsidRDefault="0034402A" w:rsidP="009D4A54">
      <w:pPr>
        <w:pStyle w:val="ListParagraph"/>
        <w:numPr>
          <w:ilvl w:val="0"/>
          <w:numId w:val="47"/>
        </w:numPr>
        <w:shd w:val="clear" w:color="auto" w:fill="FFFFFF" w:themeFill="background1"/>
        <w:tabs>
          <w:tab w:val="left" w:pos="1701"/>
        </w:tabs>
        <w:autoSpaceDE w:val="0"/>
        <w:autoSpaceDN w:val="0"/>
        <w:adjustRightInd w:val="0"/>
        <w:spacing w:after="0" w:line="240" w:lineRule="auto"/>
        <w:ind w:left="426" w:hanging="426"/>
        <w:jc w:val="both"/>
        <w:rPr>
          <w:rFonts w:eastAsia="Times New Roman" w:cstheme="minorHAnsi"/>
          <w:rtl/>
        </w:rPr>
      </w:pPr>
      <w:r w:rsidRPr="00F30EF3">
        <w:rPr>
          <w:rFonts w:cstheme="minorHAnsi"/>
          <w:b/>
          <w:bCs/>
          <w:rtl/>
        </w:rPr>
        <w:t xml:space="preserve">المادة 1.2.5، </w:t>
      </w:r>
      <w:r w:rsidRPr="00F30EF3">
        <w:rPr>
          <w:rFonts w:cstheme="minorHAnsi"/>
          <w:b/>
          <w:bCs/>
          <w:i/>
          <w:iCs/>
          <w:rtl/>
        </w:rPr>
        <w:t>الملكية الفكرية التي ينشئها الطالب في سياق الدراسة</w:t>
      </w:r>
      <w:r w:rsidRPr="00F30EF3">
        <w:rPr>
          <w:rFonts w:cstheme="minorHAnsi"/>
          <w:b/>
          <w:bCs/>
          <w:rtl/>
        </w:rPr>
        <w:t>:</w:t>
      </w:r>
      <w:r w:rsidRPr="00F30EF3">
        <w:rPr>
          <w:rFonts w:cstheme="minorHAnsi"/>
          <w:rtl/>
        </w:rPr>
        <w:t xml:space="preserve"> ينبغي أن يمتلك الطلاب حق المؤلف في الأطروحات والرسائل العلمية وكذلك المصنفات العلمية، وعادةً المنشورات. تجدر الإشارة إلى أن هذا لا يعني أن المشرف لن يكون مؤلفاً مشاركاً لمقال منشور من أطروحة - يجري تحديد ذلك من خلال الممارسات الأكاديمية التقليدية والاتفاق المُبرم بين المشرف والطالب. هذا أمر مهم لأنه عند نشر مصنف أكاديمي، سيلزم نقل الحقوق إلى شركة النشر. لذلك يلزم أن يتملك الطالب الحقوق حتى يتمكن من نقلها.</w:t>
      </w:r>
    </w:p>
    <w:p w14:paraId="2A171964" w14:textId="77777777" w:rsidR="00E17BEE" w:rsidRPr="00F30EF3" w:rsidRDefault="00E17BEE" w:rsidP="00E17BEE">
      <w:pPr>
        <w:shd w:val="clear" w:color="auto" w:fill="FFFFFF" w:themeFill="background1"/>
        <w:tabs>
          <w:tab w:val="left" w:pos="1701"/>
        </w:tabs>
        <w:autoSpaceDE w:val="0"/>
        <w:autoSpaceDN w:val="0"/>
        <w:adjustRightInd w:val="0"/>
        <w:spacing w:after="0" w:line="240" w:lineRule="auto"/>
        <w:jc w:val="both"/>
        <w:rPr>
          <w:rFonts w:eastAsia="Times New Roman" w:cstheme="minorHAnsi"/>
          <w:lang w:val="en-US"/>
        </w:rPr>
      </w:pPr>
    </w:p>
    <w:p w14:paraId="5335CC98" w14:textId="77777777" w:rsidR="00E17BEE" w:rsidRPr="00F30EF3" w:rsidRDefault="00C60DE4" w:rsidP="00B7519E">
      <w:pPr>
        <w:pStyle w:val="ListParagraph"/>
        <w:spacing w:after="0" w:line="240" w:lineRule="auto"/>
        <w:ind w:left="0"/>
        <w:jc w:val="both"/>
        <w:rPr>
          <w:rFonts w:eastAsia="Times New Roman" w:cstheme="minorHAnsi"/>
          <w:b/>
          <w:bCs/>
          <w:color w:val="0070C0"/>
          <w:sz w:val="24"/>
          <w:szCs w:val="24"/>
          <w:rtl/>
        </w:rPr>
      </w:pPr>
      <w:r w:rsidRPr="00F30EF3">
        <w:rPr>
          <w:rFonts w:cstheme="minorHAnsi"/>
          <w:b/>
          <w:bCs/>
          <w:color w:val="0070C0"/>
          <w:sz w:val="24"/>
          <w:szCs w:val="24"/>
          <w:rtl/>
        </w:rPr>
        <w:t>المادة 2.2.5 - الأطروحات أو الرسائل العلمية</w:t>
      </w:r>
    </w:p>
    <w:p w14:paraId="51F6D70F" w14:textId="77777777" w:rsidR="003A76D9" w:rsidRPr="00F30EF3" w:rsidRDefault="003A76D9" w:rsidP="00B7519E">
      <w:pPr>
        <w:pStyle w:val="ListParagraph"/>
        <w:spacing w:after="0" w:line="240" w:lineRule="auto"/>
        <w:ind w:left="0"/>
        <w:jc w:val="both"/>
        <w:rPr>
          <w:rFonts w:eastAsia="Times New Roman" w:cstheme="minorHAnsi"/>
          <w:b/>
          <w:bCs/>
          <w:color w:val="0070C0"/>
          <w:lang w:val="en-US"/>
        </w:rPr>
      </w:pPr>
    </w:p>
    <w:p w14:paraId="05A52D40" w14:textId="2C0A98D2" w:rsidR="009D4213" w:rsidRPr="00F30EF3" w:rsidRDefault="009D4213" w:rsidP="009D4A54">
      <w:pPr>
        <w:pStyle w:val="ListParagraph"/>
        <w:numPr>
          <w:ilvl w:val="0"/>
          <w:numId w:val="128"/>
        </w:numPr>
        <w:tabs>
          <w:tab w:val="left" w:pos="851"/>
        </w:tabs>
        <w:spacing w:after="0" w:line="240" w:lineRule="auto"/>
        <w:ind w:left="426" w:hanging="426"/>
        <w:jc w:val="both"/>
        <w:rPr>
          <w:rFonts w:cstheme="minorHAnsi"/>
          <w:rtl/>
        </w:rPr>
      </w:pPr>
      <w:r w:rsidRPr="00F30EF3">
        <w:rPr>
          <w:rFonts w:cstheme="minorHAnsi"/>
          <w:b/>
          <w:bCs/>
          <w:rtl/>
        </w:rPr>
        <w:t xml:space="preserve">المادة 2.2.5، [الخيار 1] </w:t>
      </w:r>
      <w:r w:rsidRPr="00F30EF3">
        <w:rPr>
          <w:rFonts w:cstheme="minorHAnsi"/>
          <w:b/>
          <w:bCs/>
          <w:i/>
          <w:iCs/>
          <w:rtl/>
        </w:rPr>
        <w:t>يجب على الطالب تقديم أطروحته أو رسالته العلمية النهائية إلى المستودع المؤسسي</w:t>
      </w:r>
      <w:r w:rsidRPr="00F30EF3">
        <w:rPr>
          <w:rFonts w:cstheme="minorHAnsi"/>
          <w:rtl/>
        </w:rPr>
        <w:t xml:space="preserve">: هذا التزام مؤسسي؛ فهو ليس اختيارياً عادةً وغالباً ما يتم تضمينه في عملية تسجيل الطالب. </w:t>
      </w:r>
    </w:p>
    <w:p w14:paraId="2CC598B6" w14:textId="77777777" w:rsidR="009D4213" w:rsidRPr="00F30EF3" w:rsidRDefault="009D4213" w:rsidP="00B7519E">
      <w:pPr>
        <w:pStyle w:val="ListParagraph"/>
        <w:tabs>
          <w:tab w:val="left" w:pos="851"/>
        </w:tabs>
        <w:spacing w:after="0" w:line="240" w:lineRule="auto"/>
        <w:ind w:left="426"/>
        <w:jc w:val="both"/>
        <w:rPr>
          <w:rFonts w:cstheme="minorHAnsi"/>
          <w:lang w:val="en-US"/>
        </w:rPr>
      </w:pPr>
    </w:p>
    <w:p w14:paraId="33805B41" w14:textId="2D95851C" w:rsidR="009D4213" w:rsidRPr="00F30EF3" w:rsidRDefault="009D4213" w:rsidP="009D4A54">
      <w:pPr>
        <w:pStyle w:val="ListParagraph"/>
        <w:numPr>
          <w:ilvl w:val="0"/>
          <w:numId w:val="128"/>
        </w:numPr>
        <w:tabs>
          <w:tab w:val="left" w:pos="851"/>
        </w:tabs>
        <w:spacing w:after="0" w:line="240" w:lineRule="auto"/>
        <w:ind w:left="426" w:hanging="426"/>
        <w:jc w:val="both"/>
        <w:rPr>
          <w:rFonts w:cstheme="minorHAnsi"/>
          <w:rtl/>
        </w:rPr>
      </w:pPr>
      <w:r w:rsidRPr="00F30EF3">
        <w:rPr>
          <w:rFonts w:cstheme="minorHAnsi"/>
          <w:b/>
          <w:bCs/>
          <w:rtl/>
        </w:rPr>
        <w:t>المادة 2.2.5، [الخيار 2]</w:t>
      </w:r>
      <w:r w:rsidRPr="00F30EF3">
        <w:rPr>
          <w:rFonts w:cstheme="minorHAnsi"/>
          <w:rtl/>
        </w:rPr>
        <w:t xml:space="preserve"> </w:t>
      </w:r>
      <w:r w:rsidRPr="00F30EF3">
        <w:rPr>
          <w:rFonts w:cstheme="minorHAnsi"/>
          <w:b/>
          <w:bCs/>
          <w:i/>
          <w:iCs/>
          <w:rtl/>
        </w:rPr>
        <w:t>يجب على الطالب منح المؤسسة ترخيصاً من دون إتاوة لاستنساخ أطروحته أو رسالته العلمية وتوزيع نسخ منها على الجمهور:</w:t>
      </w:r>
      <w:r w:rsidRPr="00F30EF3">
        <w:rPr>
          <w:rStyle w:val="FootnoteReference"/>
          <w:rFonts w:cstheme="minorHAnsi"/>
          <w:b/>
          <w:bCs/>
          <w:i/>
          <w:iCs/>
          <w:rtl/>
          <w:lang w:val="en-US"/>
        </w:rPr>
        <w:footnoteReference w:id="120"/>
      </w:r>
      <w:r w:rsidRPr="00F30EF3">
        <w:rPr>
          <w:rFonts w:cstheme="minorHAnsi"/>
          <w:b/>
          <w:bCs/>
          <w:i/>
          <w:iCs/>
          <w:rtl/>
        </w:rPr>
        <w:t xml:space="preserve"> </w:t>
      </w:r>
      <w:r w:rsidRPr="00F30EF3">
        <w:rPr>
          <w:rFonts w:cstheme="minorHAnsi"/>
          <w:rtl/>
        </w:rPr>
        <w:t>إذا أقرت المؤسسة بأن الملكية الفكرية في الأطروحة أو الرسالة العلمية تخص الطالب، فيلزم على الطالب أن يمنح المؤسسة حقوق نسخ وتوزيع نسخ من الوثيقة. إن منح مثل هذا الترخيص من شأنه أن يحول دون انتهاك المؤسسة لحق المؤلف الخاص بالطالب في الأطروحة أو الرسالة العلمية.</w:t>
      </w:r>
    </w:p>
    <w:p w14:paraId="5E399DFC" w14:textId="77777777" w:rsidR="00E17BEE" w:rsidRPr="00F30EF3" w:rsidRDefault="00E17BEE" w:rsidP="00E17BEE">
      <w:pPr>
        <w:shd w:val="clear" w:color="auto" w:fill="FFFFFF" w:themeFill="background1"/>
        <w:tabs>
          <w:tab w:val="left" w:pos="1701"/>
        </w:tabs>
        <w:autoSpaceDE w:val="0"/>
        <w:autoSpaceDN w:val="0"/>
        <w:adjustRightInd w:val="0"/>
        <w:spacing w:after="0" w:line="240" w:lineRule="auto"/>
        <w:jc w:val="both"/>
        <w:rPr>
          <w:rFonts w:eastAsia="Times New Roman" w:cstheme="minorHAnsi"/>
          <w:lang w:val="en-US"/>
        </w:rPr>
      </w:pPr>
    </w:p>
    <w:p w14:paraId="636EB06D" w14:textId="77777777" w:rsidR="00E17BEE" w:rsidRPr="00F30EF3" w:rsidRDefault="00C60DE4" w:rsidP="00B7519E">
      <w:pPr>
        <w:pStyle w:val="ListParagraph"/>
        <w:spacing w:after="0" w:line="240" w:lineRule="auto"/>
        <w:ind w:left="0"/>
        <w:jc w:val="both"/>
        <w:rPr>
          <w:rFonts w:eastAsia="Times New Roman" w:cstheme="minorHAnsi"/>
          <w:b/>
          <w:bCs/>
          <w:color w:val="0070C0"/>
          <w:sz w:val="24"/>
          <w:szCs w:val="24"/>
          <w:rtl/>
        </w:rPr>
      </w:pPr>
      <w:r w:rsidRPr="00F30EF3">
        <w:rPr>
          <w:rFonts w:cstheme="minorHAnsi"/>
          <w:b/>
          <w:bCs/>
          <w:color w:val="0070C0"/>
          <w:sz w:val="24"/>
          <w:szCs w:val="24"/>
          <w:rtl/>
        </w:rPr>
        <w:t>المادة 3.2.5، ملكية المؤسسة:</w:t>
      </w:r>
    </w:p>
    <w:p w14:paraId="2873244F" w14:textId="77777777" w:rsidR="003A76D9" w:rsidRPr="00F30EF3" w:rsidRDefault="003A76D9" w:rsidP="00B7519E">
      <w:pPr>
        <w:pStyle w:val="ListParagraph"/>
        <w:spacing w:after="0" w:line="240" w:lineRule="auto"/>
        <w:ind w:left="0"/>
        <w:jc w:val="both"/>
        <w:rPr>
          <w:rFonts w:eastAsia="Times New Roman" w:cstheme="minorHAnsi"/>
          <w:b/>
          <w:bCs/>
          <w:color w:val="0070C0"/>
          <w:lang w:val="en-US"/>
        </w:rPr>
      </w:pPr>
    </w:p>
    <w:p w14:paraId="6444B4F4" w14:textId="5C204E53" w:rsidR="009D4213" w:rsidRPr="00F30EF3" w:rsidRDefault="009D4213" w:rsidP="009D4A54">
      <w:pPr>
        <w:pStyle w:val="NoSpacing"/>
        <w:numPr>
          <w:ilvl w:val="0"/>
          <w:numId w:val="48"/>
        </w:numPr>
        <w:shd w:val="clear" w:color="auto" w:fill="FFFFFF" w:themeFill="background1"/>
        <w:bidi/>
        <w:ind w:left="426" w:hanging="426"/>
        <w:jc w:val="both"/>
        <w:rPr>
          <w:rFonts w:eastAsia="Times New Roman" w:cstheme="minorHAnsi"/>
          <w:rtl/>
        </w:rPr>
      </w:pPr>
      <w:r w:rsidRPr="00F30EF3">
        <w:rPr>
          <w:rFonts w:cstheme="minorHAnsi"/>
          <w:b/>
          <w:bCs/>
          <w:rtl/>
        </w:rPr>
        <w:t xml:space="preserve">المادة 3.2.5، </w:t>
      </w:r>
      <w:r w:rsidRPr="00F30EF3">
        <w:rPr>
          <w:rFonts w:cstheme="minorHAnsi"/>
          <w:b/>
          <w:bCs/>
          <w:i/>
          <w:iCs/>
          <w:rtl/>
        </w:rPr>
        <w:t>ملكية المؤسسة</w:t>
      </w:r>
      <w:r w:rsidRPr="00F30EF3">
        <w:rPr>
          <w:rFonts w:cstheme="minorHAnsi"/>
          <w:b/>
          <w:bCs/>
          <w:rtl/>
        </w:rPr>
        <w:t>:</w:t>
      </w:r>
      <w:r w:rsidRPr="00F30EF3">
        <w:rPr>
          <w:rFonts w:cstheme="minorHAnsi"/>
          <w:rtl/>
        </w:rPr>
        <w:t xml:space="preserve"> إذا استخدم الطالب موارد المؤسسة استخداماً كبيراً (انظر المادة 1.1.5(ب) أعلاه) أو حيثما يعمل الطالب في مشروع بحثي للمؤسسة، فينبغي أن تمتلك المؤسسة الملكية الفكرية. يجب أن يستبعد الاستخدام الكبير في هذه الحالة الإشراف حيث لا يستطيع الطالب عادةً إجراء بحث من دون إشراف. </w:t>
      </w:r>
    </w:p>
    <w:p w14:paraId="3ADECEB4" w14:textId="77777777" w:rsidR="009D4213" w:rsidRPr="00F30EF3" w:rsidRDefault="009D4213" w:rsidP="009D4213">
      <w:pPr>
        <w:pStyle w:val="NoSpacing"/>
        <w:shd w:val="clear" w:color="auto" w:fill="FFFFFF" w:themeFill="background1"/>
        <w:ind w:left="426"/>
        <w:jc w:val="both"/>
        <w:rPr>
          <w:rFonts w:eastAsia="Times New Roman" w:cstheme="minorHAnsi"/>
          <w:lang w:val="en-US" w:eastAsia="en-ZA"/>
        </w:rPr>
      </w:pPr>
    </w:p>
    <w:p w14:paraId="10ACB5F8" w14:textId="77777777" w:rsidR="009D4213" w:rsidRPr="00F30EF3" w:rsidRDefault="00C60DE4" w:rsidP="009D4213">
      <w:pPr>
        <w:pStyle w:val="ListParagraph"/>
        <w:spacing w:after="0" w:line="240" w:lineRule="auto"/>
        <w:ind w:left="0"/>
        <w:jc w:val="both"/>
        <w:rPr>
          <w:rFonts w:eastAsia="Times New Roman" w:cstheme="minorHAnsi"/>
          <w:b/>
          <w:bCs/>
          <w:color w:val="0070C0"/>
          <w:sz w:val="24"/>
          <w:szCs w:val="24"/>
          <w:rtl/>
        </w:rPr>
      </w:pPr>
      <w:r w:rsidRPr="00F30EF3">
        <w:rPr>
          <w:rFonts w:cstheme="minorHAnsi"/>
          <w:b/>
          <w:bCs/>
          <w:color w:val="0070C0"/>
          <w:sz w:val="24"/>
          <w:szCs w:val="24"/>
          <w:rtl/>
        </w:rPr>
        <w:t>المادة 4.2.5 - الملكية الفكرية الناشئة عن عقود البحث</w:t>
      </w:r>
    </w:p>
    <w:p w14:paraId="4CCDB81F" w14:textId="77777777" w:rsidR="009D4213" w:rsidRPr="00F30EF3" w:rsidRDefault="009D4213" w:rsidP="009D4213">
      <w:pPr>
        <w:pStyle w:val="NoSpacing"/>
        <w:shd w:val="clear" w:color="auto" w:fill="FFFFFF" w:themeFill="background1"/>
        <w:ind w:left="426"/>
        <w:jc w:val="both"/>
        <w:rPr>
          <w:rFonts w:eastAsia="Times New Roman" w:cstheme="minorHAnsi"/>
          <w:lang w:val="en-US" w:eastAsia="en-ZA"/>
        </w:rPr>
      </w:pPr>
    </w:p>
    <w:p w14:paraId="0B1D4C9D" w14:textId="77777777" w:rsidR="009D4213" w:rsidRPr="00F30EF3" w:rsidRDefault="009D4213" w:rsidP="009D4A54">
      <w:pPr>
        <w:pStyle w:val="NoSpacing"/>
        <w:numPr>
          <w:ilvl w:val="0"/>
          <w:numId w:val="48"/>
        </w:numPr>
        <w:shd w:val="clear" w:color="auto" w:fill="FFFFFF" w:themeFill="background1"/>
        <w:bidi/>
        <w:ind w:left="426" w:hanging="426"/>
        <w:jc w:val="both"/>
        <w:rPr>
          <w:rFonts w:eastAsia="Times New Roman" w:cstheme="minorHAnsi"/>
          <w:rtl/>
        </w:rPr>
      </w:pPr>
      <w:r w:rsidRPr="00F30EF3">
        <w:rPr>
          <w:rFonts w:cstheme="minorHAnsi"/>
          <w:b/>
          <w:bCs/>
          <w:rtl/>
        </w:rPr>
        <w:t xml:space="preserve">المادة 4.2.5، </w:t>
      </w:r>
      <w:r w:rsidRPr="00F30EF3">
        <w:rPr>
          <w:rFonts w:cstheme="minorHAnsi"/>
          <w:b/>
          <w:bCs/>
          <w:i/>
          <w:iCs/>
          <w:rtl/>
        </w:rPr>
        <w:t>تنظم شروط عقد البحث ملكية الملكية الفكرية التي ينشئها الطالب في سياق عقد البحث المذكور:</w:t>
      </w:r>
      <w:r w:rsidRPr="00F30EF3">
        <w:rPr>
          <w:rFonts w:cstheme="minorHAnsi"/>
          <w:rtl/>
        </w:rPr>
        <w:t xml:space="preserve"> حيثما يعمل طالب في مشروع بحثي، فإن شروط عقد البحث ستحدد عموماً ملكية الملكية الفكرية. </w:t>
      </w:r>
    </w:p>
    <w:p w14:paraId="7E10E438" w14:textId="77777777" w:rsidR="00430532" w:rsidRPr="00F30EF3" w:rsidRDefault="00430532" w:rsidP="00734F31">
      <w:pPr>
        <w:pStyle w:val="NoSpacing"/>
        <w:shd w:val="clear" w:color="auto" w:fill="FFFFFF" w:themeFill="background1"/>
        <w:jc w:val="both"/>
        <w:rPr>
          <w:rFonts w:eastAsia="Times New Roman" w:cstheme="minorHAnsi"/>
          <w:lang w:val="en-US" w:eastAsia="en-ZA"/>
        </w:rPr>
      </w:pPr>
    </w:p>
    <w:p w14:paraId="69103998" w14:textId="77777777" w:rsidR="00E17BEE" w:rsidRPr="00F30EF3" w:rsidRDefault="00C60DE4" w:rsidP="00B7519E">
      <w:pPr>
        <w:pStyle w:val="ListParagraph"/>
        <w:spacing w:after="0" w:line="240" w:lineRule="auto"/>
        <w:ind w:left="0"/>
        <w:jc w:val="both"/>
        <w:rPr>
          <w:rFonts w:eastAsia="Times New Roman" w:cstheme="minorHAnsi"/>
          <w:b/>
          <w:bCs/>
          <w:color w:val="0070C0"/>
          <w:sz w:val="24"/>
          <w:szCs w:val="24"/>
          <w:rtl/>
        </w:rPr>
      </w:pPr>
      <w:r w:rsidRPr="00F30EF3">
        <w:rPr>
          <w:rFonts w:cstheme="minorHAnsi"/>
          <w:b/>
          <w:bCs/>
          <w:color w:val="0070C0"/>
          <w:sz w:val="24"/>
          <w:szCs w:val="24"/>
          <w:rtl/>
        </w:rPr>
        <w:t>المادة 5.2.5 - المسؤوليات المتعلقة بملكية المؤسسة</w:t>
      </w:r>
    </w:p>
    <w:p w14:paraId="2E7E62CC" w14:textId="77777777" w:rsidR="003A76D9" w:rsidRPr="00F30EF3" w:rsidRDefault="003A76D9" w:rsidP="00B7519E">
      <w:pPr>
        <w:pStyle w:val="ListParagraph"/>
        <w:spacing w:after="0" w:line="240" w:lineRule="auto"/>
        <w:ind w:left="0"/>
        <w:jc w:val="both"/>
        <w:rPr>
          <w:rFonts w:eastAsia="Times New Roman" w:cstheme="minorHAnsi"/>
          <w:b/>
          <w:bCs/>
          <w:color w:val="0070C0"/>
          <w:lang w:val="en-US"/>
        </w:rPr>
      </w:pPr>
    </w:p>
    <w:p w14:paraId="41A0F923" w14:textId="77777777" w:rsidR="009D4213" w:rsidRPr="00F30EF3" w:rsidRDefault="009D4213" w:rsidP="005A5132">
      <w:pPr>
        <w:pStyle w:val="ListParagraph"/>
        <w:numPr>
          <w:ilvl w:val="0"/>
          <w:numId w:val="48"/>
        </w:numPr>
        <w:spacing w:after="120"/>
        <w:ind w:left="432" w:hanging="426"/>
        <w:contextualSpacing w:val="0"/>
        <w:jc w:val="both"/>
        <w:rPr>
          <w:rFonts w:cstheme="minorHAnsi"/>
          <w:rtl/>
        </w:rPr>
      </w:pPr>
      <w:r w:rsidRPr="00F30EF3">
        <w:rPr>
          <w:rFonts w:cstheme="minorHAnsi"/>
          <w:b/>
          <w:bCs/>
          <w:rtl/>
        </w:rPr>
        <w:t xml:space="preserve">المادة 5.2.5، </w:t>
      </w:r>
      <w:r w:rsidRPr="00F30EF3">
        <w:rPr>
          <w:rFonts w:cstheme="minorHAnsi"/>
          <w:b/>
          <w:bCs/>
          <w:i/>
          <w:iCs/>
          <w:rtl/>
        </w:rPr>
        <w:t>توضيح أسباب التنازل عن حقوق الملكية الفكرية</w:t>
      </w:r>
      <w:r w:rsidRPr="00F30EF3">
        <w:rPr>
          <w:rFonts w:cstheme="minorHAnsi"/>
          <w:rtl/>
        </w:rPr>
        <w:t>:  في حالة ملكية الملكية الفكرية للمؤسسة، تلتزم المؤسسة بإبلاغ الطالب بالآثار المترتبة على ملكية الملكية الفكرية.</w:t>
      </w:r>
    </w:p>
    <w:p w14:paraId="44EAE45D" w14:textId="77777777" w:rsidR="009D4213" w:rsidRPr="00F30EF3" w:rsidRDefault="009D4213" w:rsidP="005A5132">
      <w:pPr>
        <w:pStyle w:val="ListParagraph"/>
        <w:numPr>
          <w:ilvl w:val="0"/>
          <w:numId w:val="129"/>
        </w:numPr>
        <w:autoSpaceDE w:val="0"/>
        <w:autoSpaceDN w:val="0"/>
        <w:adjustRightInd w:val="0"/>
        <w:spacing w:after="120" w:line="240" w:lineRule="auto"/>
        <w:ind w:left="432" w:hanging="426"/>
        <w:contextualSpacing w:val="0"/>
        <w:jc w:val="both"/>
        <w:rPr>
          <w:rFonts w:cstheme="minorHAnsi"/>
          <w:rtl/>
        </w:rPr>
      </w:pPr>
      <w:r w:rsidRPr="00F30EF3">
        <w:rPr>
          <w:rFonts w:cstheme="minorHAnsi"/>
          <w:b/>
          <w:bCs/>
          <w:i/>
          <w:iCs/>
          <w:rtl/>
        </w:rPr>
        <w:t>إسداء النصيحة للطالب بالحصول على مشورة مستقلة بشأن التنازل</w:t>
      </w:r>
      <w:r w:rsidRPr="00F30EF3">
        <w:rPr>
          <w:rFonts w:cstheme="minorHAnsi"/>
          <w:rtl/>
        </w:rPr>
        <w:t>:  في حالة عدم تنازل الطالب عن الملكية الفكرية للمؤسسة، تلتزم المؤسسة بإسداء النصيحة للطالب بالحصول على مشورة الخبراء بشأن حقوقه والتزاماته.</w:t>
      </w:r>
    </w:p>
    <w:p w14:paraId="109F12FD" w14:textId="77777777" w:rsidR="009D4213" w:rsidRPr="00F30EF3" w:rsidRDefault="009D4213" w:rsidP="005A5132">
      <w:pPr>
        <w:pStyle w:val="ListParagraph"/>
        <w:numPr>
          <w:ilvl w:val="0"/>
          <w:numId w:val="129"/>
        </w:numPr>
        <w:autoSpaceDE w:val="0"/>
        <w:autoSpaceDN w:val="0"/>
        <w:adjustRightInd w:val="0"/>
        <w:spacing w:after="120" w:line="240" w:lineRule="auto"/>
        <w:ind w:left="432" w:hanging="426"/>
        <w:contextualSpacing w:val="0"/>
        <w:jc w:val="both"/>
        <w:rPr>
          <w:rFonts w:cstheme="minorHAnsi"/>
          <w:rtl/>
        </w:rPr>
      </w:pPr>
      <w:r w:rsidRPr="00F30EF3">
        <w:rPr>
          <w:rFonts w:cstheme="minorHAnsi"/>
          <w:b/>
          <w:bCs/>
          <w:i/>
          <w:iCs/>
          <w:rtl/>
        </w:rPr>
        <w:t>الحصول على سند تنازل من الطالب عن جميع حقوق الملكية الفكرية الناشئة عن عقد البحث أو مشروع البحث الخاص بالطالب، حيثما كان ذلك مناسباً، نظير تقاسم الإيرادات على النحو المنصوص عليه في المادة 10؛</w:t>
      </w:r>
      <w:r w:rsidRPr="00F30EF3">
        <w:rPr>
          <w:rFonts w:cstheme="minorHAnsi"/>
          <w:rtl/>
        </w:rPr>
        <w:t xml:space="preserve"> ينبغي للمؤسسة أن تحصل على سند التنازل من الطالب. يمكن كذلك نقل ملكية الملكية الفكرية للطالب إلى طرف آخر في إطار مخطط المنح المالية</w:t>
      </w:r>
    </w:p>
    <w:p w14:paraId="6DC4C990" w14:textId="345F3FE6" w:rsidR="009D4213" w:rsidRPr="00F30EF3" w:rsidRDefault="009D4213" w:rsidP="009D4A54">
      <w:pPr>
        <w:pStyle w:val="ListParagraph"/>
        <w:numPr>
          <w:ilvl w:val="0"/>
          <w:numId w:val="129"/>
        </w:numPr>
        <w:autoSpaceDE w:val="0"/>
        <w:autoSpaceDN w:val="0"/>
        <w:adjustRightInd w:val="0"/>
        <w:spacing w:after="0" w:line="240" w:lineRule="auto"/>
        <w:ind w:left="426" w:hanging="426"/>
        <w:jc w:val="both"/>
        <w:rPr>
          <w:rFonts w:cstheme="minorHAnsi"/>
          <w:rtl/>
        </w:rPr>
      </w:pPr>
      <w:r w:rsidRPr="00F30EF3">
        <w:rPr>
          <w:rFonts w:cstheme="minorHAnsi"/>
          <w:b/>
          <w:bCs/>
          <w:i/>
          <w:iCs/>
          <w:rtl/>
        </w:rPr>
        <w:t>سحب الطالب من مشروع البحث أو عقد البحث إذا اختار الطالب عدم التنازل عن حقوق الملكية الفكرية ذات الصلة للمؤسسة.</w:t>
      </w:r>
      <w:r w:rsidRPr="00F30EF3">
        <w:rPr>
          <w:rFonts w:cstheme="minorHAnsi"/>
          <w:rtl/>
        </w:rPr>
        <w:t xml:space="preserve"> في حالة رفض الطالب التنازل عن الملكية الفكرية، ينبغي للمؤسسة إتاحة وسيلة لإخراج الطالب من المشروع أو العقد. ينبغي أن يكون هذا الأمر هو الحل الأخير وينبغي بدلاً من ذلك الاستعانة بوسائل أخرى في البداية، مثل الوساطة، في محاولة لتسوية الخلاف أولاً.</w:t>
      </w:r>
    </w:p>
    <w:p w14:paraId="31759DC9" w14:textId="77777777" w:rsidR="009D4213" w:rsidRPr="00F30EF3" w:rsidRDefault="009D4213" w:rsidP="00B7519E">
      <w:pPr>
        <w:pStyle w:val="ListParagraph"/>
        <w:autoSpaceDE w:val="0"/>
        <w:autoSpaceDN w:val="0"/>
        <w:adjustRightInd w:val="0"/>
        <w:spacing w:after="0" w:line="240" w:lineRule="auto"/>
        <w:ind w:left="426"/>
        <w:jc w:val="both"/>
        <w:rPr>
          <w:rFonts w:cstheme="minorHAnsi"/>
          <w:lang w:val="en-US"/>
        </w:rPr>
      </w:pPr>
    </w:p>
    <w:p w14:paraId="08330742" w14:textId="77777777" w:rsidR="009D4213" w:rsidRPr="00F30EF3" w:rsidRDefault="00C60DE4" w:rsidP="00B7519E">
      <w:pPr>
        <w:pStyle w:val="ListParagraph"/>
        <w:spacing w:after="0" w:line="240" w:lineRule="auto"/>
        <w:ind w:left="0"/>
        <w:jc w:val="both"/>
        <w:rPr>
          <w:rFonts w:eastAsia="Times New Roman" w:cstheme="minorHAnsi"/>
          <w:b/>
          <w:bCs/>
          <w:color w:val="0070C0"/>
          <w:sz w:val="24"/>
          <w:szCs w:val="24"/>
          <w:rtl/>
        </w:rPr>
      </w:pPr>
      <w:r w:rsidRPr="00F30EF3">
        <w:rPr>
          <w:rFonts w:cstheme="minorHAnsi"/>
          <w:b/>
          <w:bCs/>
          <w:color w:val="0070C0"/>
          <w:sz w:val="24"/>
          <w:szCs w:val="24"/>
          <w:rtl/>
        </w:rPr>
        <w:t>المادة 6.2.5 - المنح المالية/المنح الدراسية</w:t>
      </w:r>
    </w:p>
    <w:p w14:paraId="28AA1D49" w14:textId="77777777" w:rsidR="003A76D9" w:rsidRPr="00F30EF3" w:rsidRDefault="003A76D9" w:rsidP="00B7519E">
      <w:pPr>
        <w:pStyle w:val="ListParagraph"/>
        <w:spacing w:after="0" w:line="240" w:lineRule="auto"/>
        <w:ind w:left="0"/>
        <w:jc w:val="both"/>
        <w:rPr>
          <w:rFonts w:eastAsia="Times New Roman" w:cstheme="minorHAnsi"/>
          <w:b/>
          <w:bCs/>
          <w:color w:val="0070C0"/>
          <w:lang w:val="en-US"/>
        </w:rPr>
      </w:pPr>
    </w:p>
    <w:p w14:paraId="213236BD" w14:textId="4406CA89" w:rsidR="009D4213" w:rsidRPr="00F30EF3" w:rsidRDefault="009D4213" w:rsidP="009D4A54">
      <w:pPr>
        <w:pStyle w:val="ListParagraph"/>
        <w:numPr>
          <w:ilvl w:val="0"/>
          <w:numId w:val="130"/>
        </w:numPr>
        <w:shd w:val="clear" w:color="auto" w:fill="FFFFFF"/>
        <w:spacing w:after="0" w:line="240" w:lineRule="auto"/>
        <w:ind w:left="426" w:hanging="426"/>
        <w:jc w:val="both"/>
        <w:rPr>
          <w:rFonts w:eastAsia="Times New Roman" w:cstheme="minorHAnsi"/>
          <w:rtl/>
        </w:rPr>
      </w:pPr>
      <w:r w:rsidRPr="00F30EF3">
        <w:rPr>
          <w:rFonts w:cstheme="minorHAnsi"/>
          <w:b/>
          <w:bCs/>
          <w:rtl/>
        </w:rPr>
        <w:t xml:space="preserve">المادة 6.2.5، </w:t>
      </w:r>
      <w:r w:rsidRPr="00F30EF3">
        <w:rPr>
          <w:rFonts w:cstheme="minorHAnsi"/>
          <w:b/>
          <w:bCs/>
          <w:i/>
          <w:iCs/>
          <w:rtl/>
        </w:rPr>
        <w:t>المنح المالية، المنح الدراسية</w:t>
      </w:r>
      <w:r w:rsidRPr="00F30EF3">
        <w:rPr>
          <w:rFonts w:cstheme="minorHAnsi"/>
          <w:b/>
          <w:bCs/>
          <w:rtl/>
        </w:rPr>
        <w:t xml:space="preserve">: </w:t>
      </w:r>
      <w:r w:rsidRPr="00F30EF3">
        <w:rPr>
          <w:rFonts w:cstheme="minorHAnsi"/>
          <w:rtl/>
        </w:rPr>
        <w:t xml:space="preserve">إذا قدّم طرف خارجي منحة مالية أو منحة دراسية لطالب، ولم تكن هذه المنحة المالية أو المنحة الدراسية جزءاً من مشروع بحثي أو عقد بحثي، فيجوز للطرف الخارجي التفاوض على ملكية الملكية الفكرية التي طورها الطالب. هذا بشرط ألا يكون هذا الترتيب مخالفاً لأحكام التشريعات الوطنية.  </w:t>
      </w:r>
    </w:p>
    <w:p w14:paraId="1E6AB380" w14:textId="77777777" w:rsidR="00E17BEE" w:rsidRPr="00F30EF3" w:rsidRDefault="00E17BEE" w:rsidP="00734F31">
      <w:pPr>
        <w:pStyle w:val="ListParagraph"/>
        <w:shd w:val="clear" w:color="auto" w:fill="FFFFFF"/>
        <w:spacing w:after="0" w:line="240" w:lineRule="auto"/>
        <w:ind w:left="0"/>
        <w:jc w:val="both"/>
        <w:rPr>
          <w:rFonts w:eastAsia="Times New Roman" w:cstheme="minorHAnsi"/>
          <w:lang w:val="en-US"/>
        </w:rPr>
      </w:pPr>
    </w:p>
    <w:p w14:paraId="7E74E9DF" w14:textId="77777777" w:rsidR="00E17BEE" w:rsidRPr="00F30EF3" w:rsidRDefault="00C60DE4" w:rsidP="00D41639">
      <w:pPr>
        <w:pStyle w:val="ListParagraph"/>
        <w:spacing w:after="120" w:line="240" w:lineRule="auto"/>
        <w:ind w:left="0"/>
        <w:contextualSpacing w:val="0"/>
        <w:jc w:val="both"/>
        <w:rPr>
          <w:rFonts w:eastAsia="Times New Roman" w:cstheme="minorHAnsi"/>
          <w:b/>
          <w:bCs/>
          <w:color w:val="0070C0"/>
          <w:sz w:val="24"/>
          <w:szCs w:val="24"/>
          <w:rtl/>
        </w:rPr>
      </w:pPr>
      <w:r w:rsidRPr="00F30EF3">
        <w:rPr>
          <w:rFonts w:cstheme="minorHAnsi"/>
          <w:b/>
          <w:bCs/>
          <w:color w:val="0070C0"/>
          <w:sz w:val="24"/>
          <w:szCs w:val="24"/>
          <w:rtl/>
        </w:rPr>
        <w:t>المادة 7.2.5 - الملكية الفكرية المملوكة للطالب</w:t>
      </w:r>
    </w:p>
    <w:p w14:paraId="4F730200" w14:textId="77EF8284" w:rsidR="009D4213" w:rsidRPr="00F30EF3" w:rsidRDefault="009D4213" w:rsidP="00D41639">
      <w:pPr>
        <w:pStyle w:val="ListParagraph"/>
        <w:numPr>
          <w:ilvl w:val="0"/>
          <w:numId w:val="130"/>
        </w:numPr>
        <w:spacing w:after="120" w:line="240" w:lineRule="auto"/>
        <w:ind w:left="426" w:hanging="426"/>
        <w:contextualSpacing w:val="0"/>
        <w:jc w:val="both"/>
        <w:rPr>
          <w:rFonts w:eastAsia="Times New Roman" w:cstheme="minorHAnsi"/>
          <w:rtl/>
        </w:rPr>
      </w:pPr>
      <w:r w:rsidRPr="00F30EF3">
        <w:rPr>
          <w:rFonts w:cstheme="minorHAnsi"/>
          <w:b/>
          <w:bCs/>
          <w:rtl/>
        </w:rPr>
        <w:t xml:space="preserve">المادة 5.2.7، الخيار 1، </w:t>
      </w:r>
      <w:r w:rsidRPr="00F30EF3">
        <w:rPr>
          <w:rFonts w:cstheme="minorHAnsi"/>
          <w:b/>
          <w:bCs/>
          <w:i/>
          <w:iCs/>
          <w:rtl/>
        </w:rPr>
        <w:t>قد يلزم على الطلاب التنازل عن الملكية الفكرية</w:t>
      </w:r>
      <w:r w:rsidRPr="00F30EF3">
        <w:rPr>
          <w:rFonts w:cstheme="minorHAnsi"/>
          <w:b/>
          <w:bCs/>
          <w:rtl/>
        </w:rPr>
        <w:t xml:space="preserve">: </w:t>
      </w:r>
      <w:r w:rsidRPr="00F30EF3">
        <w:rPr>
          <w:rFonts w:cstheme="minorHAnsi"/>
          <w:rtl/>
        </w:rPr>
        <w:t>قد يختار مكتب إدارة الملكية الفكرية مساعدة الطالب في تسويق الملكية الفكرية المملوكة له. قد يتضمن ذلك تنازل الطالب عن الملكية الفكرية للمؤسسة، ثم تتولى المؤسسة إدارة التسويق من خلال تقديم حوافز مالية أو غير مالية للطالب.</w:t>
      </w:r>
    </w:p>
    <w:p w14:paraId="1FDA0503" w14:textId="77777777" w:rsidR="00163415" w:rsidRPr="00F30EF3" w:rsidRDefault="009D4213" w:rsidP="00D41639">
      <w:pPr>
        <w:pStyle w:val="ListParagraph"/>
        <w:numPr>
          <w:ilvl w:val="0"/>
          <w:numId w:val="130"/>
        </w:numPr>
        <w:spacing w:after="120" w:line="240" w:lineRule="auto"/>
        <w:ind w:left="426" w:hanging="426"/>
        <w:contextualSpacing w:val="0"/>
        <w:jc w:val="both"/>
        <w:rPr>
          <w:rFonts w:cstheme="minorHAnsi"/>
          <w:rtl/>
        </w:rPr>
      </w:pPr>
      <w:r w:rsidRPr="00F30EF3">
        <w:rPr>
          <w:rFonts w:cstheme="minorHAnsi"/>
          <w:b/>
          <w:bCs/>
          <w:rtl/>
        </w:rPr>
        <w:t xml:space="preserve">المادة 7.2.5، الخيار 2: </w:t>
      </w:r>
      <w:r w:rsidRPr="00F30EF3">
        <w:rPr>
          <w:rFonts w:cstheme="minorHAnsi"/>
          <w:rtl/>
        </w:rPr>
        <w:t>بدلاً من ذلك، يمكن استكشاف خيارات متنوعة حيث يحتفظ الطالب بملكية الملكية الفكرية ويساعد مكتب إدارة الملكية الفكرية الطالب على أساس نوع "الخدمات" مقابل رسوم أو حسبما هو مُتفق عليه خلافاً لذلك.</w:t>
      </w:r>
    </w:p>
    <w:p w14:paraId="79927F88" w14:textId="1A8D0FE2" w:rsidR="00014D53" w:rsidRPr="00F30EF3" w:rsidRDefault="00267F59" w:rsidP="00D41639">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120" w:line="240" w:lineRule="auto"/>
        <w:ind w:left="0"/>
        <w:contextualSpacing w:val="0"/>
        <w:jc w:val="both"/>
        <w:rPr>
          <w:rFonts w:cstheme="minorHAnsi"/>
          <w:b/>
          <w:bCs/>
          <w:rtl/>
        </w:rPr>
      </w:pPr>
      <w:r w:rsidRPr="00F30EF3">
        <w:rPr>
          <w:rFonts w:cstheme="minorHAnsi"/>
          <w:b/>
          <w:bCs/>
          <w:rtl/>
        </w:rPr>
        <w:t xml:space="preserve">الإطار </w:t>
      </w:r>
      <w:r w:rsidR="001049BF" w:rsidRPr="00F30EF3">
        <w:rPr>
          <w:rFonts w:cstheme="minorHAnsi"/>
          <w:b/>
          <w:bCs/>
        </w:rPr>
        <w:t>.3</w:t>
      </w:r>
      <w:r w:rsidR="00D41639" w:rsidRPr="00F30EF3">
        <w:rPr>
          <w:rFonts w:cstheme="minorHAnsi"/>
          <w:b/>
          <w:bCs/>
        </w:rPr>
        <w:t>9</w:t>
      </w:r>
      <w:r w:rsidRPr="00F30EF3">
        <w:rPr>
          <w:rFonts w:cstheme="minorHAnsi"/>
          <w:b/>
          <w:bCs/>
          <w:rtl/>
        </w:rPr>
        <w:t xml:space="preserve"> نصائح - الملكية الفكرية للطالب</w:t>
      </w:r>
    </w:p>
    <w:p w14:paraId="454E1F0C" w14:textId="1F75F961" w:rsidR="00332D42" w:rsidRPr="00F30EF3" w:rsidRDefault="00332D42" w:rsidP="00B30378">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0"/>
        <w:jc w:val="both"/>
        <w:rPr>
          <w:rFonts w:eastAsia="Times New Roman" w:cstheme="minorHAnsi"/>
          <w:rtl/>
        </w:rPr>
      </w:pPr>
      <w:r w:rsidRPr="00F30EF3">
        <w:rPr>
          <w:rFonts w:cstheme="minorHAnsi"/>
          <w:rtl/>
        </w:rPr>
        <w:t>هناك أوقات يعمل فيها الطلاب على تطوير الملكية الفكرية وهناك حالات ينبغي أن تمتلك فيها المؤسسة الملكية الفكرية للطالب، حتى يمكن تسويق مجموعة أكبر من الملكية الفكرية للمؤسسة على سبيل المثال. في هذه الحالة، ستكون المؤسسة بحاجة إلى:</w:t>
      </w:r>
    </w:p>
    <w:p w14:paraId="6109D63D" w14:textId="77777777" w:rsidR="00332D42" w:rsidRPr="00F30EF3" w:rsidRDefault="00163415" w:rsidP="00B30378">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567" w:hanging="567"/>
        <w:jc w:val="both"/>
        <w:rPr>
          <w:rFonts w:eastAsia="Times New Roman" w:cstheme="minorHAnsi"/>
          <w:rtl/>
        </w:rPr>
      </w:pPr>
      <w:r w:rsidRPr="00F30EF3">
        <w:rPr>
          <w:rFonts w:cstheme="minorHAnsi"/>
          <w:rtl/>
        </w:rPr>
        <w:t>سياسة مناسبة للملكية الفكرية للطالب؛</w:t>
      </w:r>
    </w:p>
    <w:p w14:paraId="516CDBEB" w14:textId="77777777" w:rsidR="00332D42" w:rsidRPr="00F30EF3" w:rsidRDefault="00332D42" w:rsidP="00B30378">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567" w:hanging="567"/>
        <w:jc w:val="both"/>
        <w:rPr>
          <w:rFonts w:eastAsia="Times New Roman" w:cstheme="minorHAnsi"/>
          <w:rtl/>
        </w:rPr>
      </w:pPr>
      <w:r w:rsidRPr="00F30EF3">
        <w:rPr>
          <w:rFonts w:cstheme="minorHAnsi"/>
          <w:rtl/>
        </w:rPr>
        <w:t>ووثائق تعاقدية مناسبة (على سبيل المثال، التنازلات) من أجل إنفاذ السياسة؛</w:t>
      </w:r>
    </w:p>
    <w:p w14:paraId="583DA694" w14:textId="77777777" w:rsidR="00332D42" w:rsidRPr="00F30EF3" w:rsidRDefault="00332D42" w:rsidP="00B30378">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567" w:hanging="567"/>
        <w:jc w:val="both"/>
        <w:rPr>
          <w:rFonts w:eastAsia="Times New Roman" w:cstheme="minorHAnsi"/>
          <w:rtl/>
        </w:rPr>
      </w:pPr>
      <w:r w:rsidRPr="00F30EF3">
        <w:rPr>
          <w:rFonts w:cstheme="minorHAnsi"/>
          <w:rtl/>
        </w:rPr>
        <w:t>وإجراءات مناسبة لضمان توقيع الوثائق.</w:t>
      </w:r>
    </w:p>
    <w:p w14:paraId="502C5E4C" w14:textId="4136266C" w:rsidR="00AA1832" w:rsidRPr="00F30EF3" w:rsidRDefault="00332D42" w:rsidP="00332D42">
      <w:pPr>
        <w:spacing w:after="0" w:line="240" w:lineRule="auto"/>
        <w:jc w:val="both"/>
        <w:rPr>
          <w:rFonts w:cstheme="minorHAnsi"/>
          <w:rtl/>
        </w:rPr>
      </w:pPr>
      <w:r w:rsidRPr="00F30EF3">
        <w:rPr>
          <w:rFonts w:cstheme="minorHAnsi"/>
          <w:rtl/>
        </w:rPr>
        <w:t xml:space="preserve">   </w:t>
      </w:r>
    </w:p>
    <w:p w14:paraId="556CD546" w14:textId="77777777" w:rsidR="00AA1832" w:rsidRPr="00F30EF3" w:rsidRDefault="00AA1832">
      <w:pPr>
        <w:bidi w:val="0"/>
        <w:rPr>
          <w:rFonts w:cstheme="minorHAnsi"/>
          <w:rtl/>
        </w:rPr>
      </w:pPr>
      <w:r w:rsidRPr="00F30EF3">
        <w:rPr>
          <w:rFonts w:cstheme="minorHAnsi"/>
          <w:rtl/>
        </w:rPr>
        <w:br w:type="page"/>
      </w:r>
    </w:p>
    <w:p w14:paraId="512A5DFA" w14:textId="32A1C4D8" w:rsidR="00163415" w:rsidRPr="00F30EF3"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cstheme="minorHAnsi"/>
          <w:b/>
          <w:bCs/>
          <w:rtl/>
        </w:rPr>
      </w:pPr>
      <w:bookmarkStart w:id="166" w:name="_Toc494115969"/>
      <w:r w:rsidRPr="00F30EF3">
        <w:rPr>
          <w:rFonts w:cstheme="minorHAnsi"/>
          <w:b/>
          <w:bCs/>
          <w:rtl/>
        </w:rPr>
        <w:lastRenderedPageBreak/>
        <w:t xml:space="preserve">الإطار </w:t>
      </w:r>
      <w:r w:rsidR="00AA1832" w:rsidRPr="00F30EF3">
        <w:rPr>
          <w:rFonts w:cstheme="minorHAnsi"/>
          <w:b/>
          <w:bCs/>
        </w:rPr>
        <w:t>.</w:t>
      </w:r>
      <w:r w:rsidR="00D41639" w:rsidRPr="00F30EF3">
        <w:rPr>
          <w:rFonts w:cstheme="minorHAnsi"/>
          <w:b/>
          <w:bCs/>
        </w:rPr>
        <w:t>40</w:t>
      </w:r>
      <w:r w:rsidRPr="00F30EF3">
        <w:rPr>
          <w:rFonts w:cstheme="minorHAnsi"/>
          <w:b/>
          <w:bCs/>
          <w:rtl/>
        </w:rPr>
        <w:t xml:space="preserve"> مثال من جامعة كيب تاون بجنوب أفريقيا</w:t>
      </w:r>
      <w:r w:rsidRPr="00F30EF3">
        <w:rPr>
          <w:rStyle w:val="FootnoteReference"/>
          <w:rFonts w:cstheme="minorHAnsi"/>
          <w:b/>
          <w:bCs/>
          <w:rtl/>
          <w:lang w:val="en-US"/>
        </w:rPr>
        <w:footnoteReference w:id="121"/>
      </w:r>
    </w:p>
    <w:p w14:paraId="61642DE3" w14:textId="77777777" w:rsidR="00163415" w:rsidRPr="00F30EF3"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cstheme="minorHAnsi"/>
          <w:lang w:val="en-US"/>
        </w:rPr>
      </w:pPr>
    </w:p>
    <w:p w14:paraId="5B415726" w14:textId="77777777" w:rsidR="00163415" w:rsidRPr="00F30EF3"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cstheme="minorHAnsi"/>
          <w:i/>
          <w:iCs/>
          <w:rtl/>
        </w:rPr>
      </w:pPr>
      <w:r w:rsidRPr="00F30EF3">
        <w:rPr>
          <w:rFonts w:cstheme="minorHAnsi"/>
          <w:i/>
          <w:iCs/>
          <w:rtl/>
        </w:rPr>
        <w:t>10.6 في حالة مشاركة الطلاب في أنشطة قد تؤدي إلى تطوير الملكية الفكرية التي قد تدعي جامعة كيب تاون أو طرف آخر ملكيتها، تنطبق الشروط التالية:</w:t>
      </w:r>
    </w:p>
    <w:p w14:paraId="74B9260B" w14:textId="77777777" w:rsidR="00163415" w:rsidRPr="00F30EF3"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cstheme="minorHAnsi"/>
          <w:i/>
          <w:iCs/>
          <w:lang w:val="en-US"/>
        </w:rPr>
      </w:pPr>
    </w:p>
    <w:p w14:paraId="7DF55AA5" w14:textId="77777777" w:rsidR="00163415" w:rsidRPr="00F30EF3"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eastAsia="Times New Roman" w:cstheme="minorHAnsi"/>
          <w:i/>
          <w:iCs/>
          <w:rtl/>
        </w:rPr>
      </w:pPr>
      <w:r w:rsidRPr="00F30EF3">
        <w:rPr>
          <w:rFonts w:cstheme="minorHAnsi"/>
          <w:i/>
          <w:iCs/>
          <w:rtl/>
        </w:rPr>
        <w:t>- 1.10.6 ستتم حماية حقوق الطالب في الملكية الفكرية في أي أطروحات أو منشورات ناشئة عن البحث؛</w:t>
      </w:r>
    </w:p>
    <w:p w14:paraId="48A36673" w14:textId="77777777" w:rsidR="00163415" w:rsidRPr="00F30EF3"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eastAsia="Times New Roman" w:cstheme="minorHAnsi"/>
          <w:i/>
          <w:iCs/>
          <w:lang w:val="en-US" w:eastAsia="en-US"/>
        </w:rPr>
      </w:pPr>
    </w:p>
    <w:p w14:paraId="3F9E2304" w14:textId="77777777" w:rsidR="00163415" w:rsidRPr="00F30EF3"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eastAsia="Times New Roman" w:cstheme="minorHAnsi"/>
          <w:i/>
          <w:iCs/>
          <w:rtl/>
        </w:rPr>
      </w:pPr>
      <w:r w:rsidRPr="00F30EF3">
        <w:rPr>
          <w:rFonts w:cstheme="minorHAnsi"/>
          <w:i/>
          <w:iCs/>
          <w:rtl/>
        </w:rPr>
        <w:t>- 2.10.6 لن يتم إنهاء خيارات الطالب المهنية المستقبلية باختيار العمل في مجال بحثي سري؛</w:t>
      </w:r>
    </w:p>
    <w:p w14:paraId="30B2371B" w14:textId="77777777" w:rsidR="00163415" w:rsidRPr="00F30EF3"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eastAsia="Times New Roman" w:cstheme="minorHAnsi"/>
          <w:i/>
          <w:iCs/>
          <w:lang w:val="en-US" w:eastAsia="en-US"/>
        </w:rPr>
      </w:pPr>
    </w:p>
    <w:p w14:paraId="3FF8DACE" w14:textId="77777777" w:rsidR="00163415" w:rsidRPr="00F30EF3"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eastAsia="Times New Roman" w:cstheme="minorHAnsi"/>
          <w:i/>
          <w:iCs/>
          <w:rtl/>
        </w:rPr>
      </w:pPr>
      <w:r w:rsidRPr="00F30EF3">
        <w:rPr>
          <w:rFonts w:cstheme="minorHAnsi"/>
          <w:i/>
          <w:iCs/>
          <w:rtl/>
        </w:rPr>
        <w:t>- 3.10.6 سيتم توضيح طبيعة العمل للطلاب قبل الاضطلاع بالنشاط الذي يؤدي إلى الملكية الفكرية المؤهلة للمطالبة؛</w:t>
      </w:r>
    </w:p>
    <w:p w14:paraId="48EEDC10" w14:textId="77777777" w:rsidR="00163415" w:rsidRPr="00F30EF3"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eastAsia="Times New Roman" w:cstheme="minorHAnsi"/>
          <w:i/>
          <w:iCs/>
          <w:lang w:val="en-US" w:eastAsia="en-US"/>
        </w:rPr>
      </w:pPr>
    </w:p>
    <w:p w14:paraId="0E7D39BE" w14:textId="77777777" w:rsidR="00163415" w:rsidRPr="00F30EF3"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eastAsia="Times New Roman" w:cstheme="minorHAnsi"/>
          <w:i/>
          <w:iCs/>
          <w:rtl/>
        </w:rPr>
      </w:pPr>
      <w:r w:rsidRPr="00F30EF3">
        <w:rPr>
          <w:rFonts w:cstheme="minorHAnsi"/>
          <w:i/>
          <w:iCs/>
          <w:rtl/>
        </w:rPr>
        <w:t>- 4.10.6 لن يوقع الطلاب على أي اتفاق سرية وملكية للملكية الفكرية إلا بعد إخطارهم على نحوٍِ ملائم من قِبَل الباحث الرئيسي أو المشرف عليهم بشأن محتويات الاتفاق؛</w:t>
      </w:r>
    </w:p>
    <w:p w14:paraId="751CDF06" w14:textId="77777777" w:rsidR="00163415" w:rsidRPr="00F30EF3"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cstheme="minorHAnsi"/>
          <w:i/>
          <w:iCs/>
          <w:lang w:val="en-US"/>
        </w:rPr>
      </w:pPr>
    </w:p>
    <w:p w14:paraId="6FA4E170" w14:textId="77777777" w:rsidR="00163415" w:rsidRPr="00F30EF3"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cstheme="minorHAnsi"/>
          <w:i/>
          <w:iCs/>
          <w:rtl/>
        </w:rPr>
      </w:pPr>
      <w:r w:rsidRPr="00F30EF3">
        <w:rPr>
          <w:rFonts w:cstheme="minorHAnsi"/>
          <w:i/>
          <w:iCs/>
          <w:rtl/>
        </w:rPr>
        <w:t xml:space="preserve"> - 5.10.6 يخضع أي تأخيرات في نشر الأطروحة ينشأ عن اتفاق سرية لموافقة مجلس درجات الدكتوراه لأطروحات الدكتوراه، أو هيئة التدريس ونائب رئيس الجامعة لأطروحات الماجستير، لفترات مدتها 6 أشهر، وتصل إلى عامين بحد أقصى.</w:t>
      </w:r>
    </w:p>
    <w:p w14:paraId="2369740F" w14:textId="77777777" w:rsidR="00163415" w:rsidRPr="00F30EF3"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cstheme="minorHAnsi"/>
          <w:i/>
          <w:iCs/>
          <w:lang w:val="en-US"/>
        </w:rPr>
      </w:pPr>
    </w:p>
    <w:p w14:paraId="1F962C5B" w14:textId="77777777" w:rsidR="00163415" w:rsidRPr="00F30EF3"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eastAsia="Times New Roman" w:cstheme="minorHAnsi"/>
          <w:i/>
          <w:iCs/>
          <w:rtl/>
        </w:rPr>
      </w:pPr>
      <w:r w:rsidRPr="00F30EF3">
        <w:rPr>
          <w:rFonts w:cstheme="minorHAnsi"/>
          <w:i/>
          <w:iCs/>
          <w:rtl/>
        </w:rPr>
        <w:t>11.6 حيثما يشارك طلاب جامعة كيب تاون في أبحاث بمؤسسات تابعة لجامعة كيب تاون أو في مؤسسات أخرى غير جامعة كيب تاون، ينبغي التوصل إلى اتفاق مع المؤسسة بشأن حقوق الطالب في الملكية الفكرية بهدف ضمان الحفاظ على حقوق الطالب بموجب هذه السياسة بقدر ما هو ممكن عملياً.</w:t>
      </w:r>
    </w:p>
    <w:p w14:paraId="5F306EC8" w14:textId="77777777" w:rsidR="00163415" w:rsidRPr="00F30EF3"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eastAsia="Times New Roman" w:cstheme="minorHAnsi"/>
          <w:i/>
          <w:iCs/>
          <w:lang w:val="en-US"/>
        </w:rPr>
      </w:pPr>
    </w:p>
    <w:p w14:paraId="6016D2AF" w14:textId="77777777" w:rsidR="00163415" w:rsidRPr="00F30EF3"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eastAsia="Times New Roman" w:cstheme="minorHAnsi"/>
          <w:i/>
          <w:iCs/>
          <w:rtl/>
        </w:rPr>
      </w:pPr>
      <w:r w:rsidRPr="00F30EF3">
        <w:rPr>
          <w:rFonts w:cstheme="minorHAnsi"/>
          <w:i/>
          <w:iCs/>
          <w:rtl/>
        </w:rPr>
        <w:t>12.6 يجب على المشرفين الذين يختارون الإشراف على أحد الطلاب في مجال من المرجح أن يؤدي إلى إنشاء الملكية الفكرية التي مُنِح المُمَوِّل حقوقاً فيها بموجب اتفاق بحثي ممول، ضمان إتمام اتفاق السرية والتنازل عن الملكية الفكرية، الذي قد يُشكل جزءاً من مذكرة تفاهم بين الطالب والمشرف، مع الطالب قبل بدء العمل. قد يؤدي ذلك إلى عدم توافر بعض المشاريع للطلاب الذين يختارون عدم التوقيع على اتفاق السرية والتنازل عن الملكية الفكرية.</w:t>
      </w:r>
    </w:p>
    <w:p w14:paraId="669D7038" w14:textId="77777777" w:rsidR="00014D53" w:rsidRPr="00F30EF3" w:rsidRDefault="00014D53" w:rsidP="00B7519E">
      <w:pPr>
        <w:pStyle w:val="Heading3"/>
        <w:spacing w:before="360"/>
        <w:rPr>
          <w:rFonts w:asciiTheme="minorHAnsi" w:hAnsiTheme="minorHAnsi" w:cstheme="minorHAnsi"/>
          <w:sz w:val="24"/>
          <w:szCs w:val="24"/>
          <w:rtl/>
        </w:rPr>
      </w:pPr>
      <w:bookmarkStart w:id="167" w:name="_Article_5.3_–"/>
      <w:bookmarkStart w:id="168" w:name="_Toc516160062"/>
      <w:bookmarkStart w:id="169" w:name="_Toc516219405"/>
      <w:bookmarkStart w:id="170" w:name="_Toc516496047"/>
      <w:bookmarkStart w:id="171" w:name="_Toc516829419"/>
      <w:bookmarkEnd w:id="167"/>
      <w:r w:rsidRPr="00F30EF3">
        <w:rPr>
          <w:rFonts w:asciiTheme="minorHAnsi" w:hAnsiTheme="minorHAnsi" w:cstheme="minorHAnsi"/>
          <w:sz w:val="24"/>
          <w:szCs w:val="24"/>
          <w:rtl/>
        </w:rPr>
        <w:t xml:space="preserve">المادة 3.5 - الملكية الفكرية التي ينشئها </w:t>
      </w:r>
      <w:bookmarkEnd w:id="166"/>
      <w:r w:rsidRPr="00F30EF3">
        <w:rPr>
          <w:rFonts w:asciiTheme="minorHAnsi" w:hAnsiTheme="minorHAnsi" w:cstheme="minorHAnsi"/>
          <w:sz w:val="24"/>
          <w:szCs w:val="24"/>
          <w:rtl/>
        </w:rPr>
        <w:t>الزائرون</w:t>
      </w:r>
      <w:bookmarkEnd w:id="168"/>
      <w:bookmarkEnd w:id="169"/>
      <w:bookmarkEnd w:id="170"/>
      <w:bookmarkEnd w:id="171"/>
    </w:p>
    <w:p w14:paraId="40E6FCB8" w14:textId="77777777" w:rsidR="009710D0" w:rsidRPr="00F30EF3" w:rsidRDefault="009710D0" w:rsidP="009710D0">
      <w:pPr>
        <w:autoSpaceDE w:val="0"/>
        <w:autoSpaceDN w:val="0"/>
        <w:adjustRightInd w:val="0"/>
        <w:spacing w:after="0" w:line="240" w:lineRule="auto"/>
        <w:jc w:val="both"/>
        <w:rPr>
          <w:rFonts w:cstheme="minorHAnsi"/>
          <w:rtl/>
        </w:rPr>
      </w:pPr>
      <w:r w:rsidRPr="00F30EF3">
        <w:rPr>
          <w:rFonts w:cstheme="minorHAnsi"/>
          <w:rtl/>
        </w:rPr>
        <w:t xml:space="preserve">هناك مجموعة كاملة من الأفراد الذين يعملون في المؤسسة أو معها، ولكنهم ليسوا موظفين ولا طلاباً بالمؤسسة. من الممكن أن يكونوا زائرين أكاديميين، أو أفراداً يشغلون مناصب شرفية في المؤسسة، أو أشخاصاً يعملون لدى منظمات تتعاون مع المؤسسة، وغير ذلك. يتم استخدام مصطلح جماعي "الزائرين" بالنسبة لهؤلاء الأفراد، لأنهم بحاجة إلى الحصول على اتفاق تنازل مع المؤسسة للسماح لهم بإجراء البحوث أو التدريس. </w:t>
      </w:r>
    </w:p>
    <w:p w14:paraId="7879F9A7" w14:textId="77777777" w:rsidR="00014D53" w:rsidRPr="00F30EF3" w:rsidRDefault="00014D53" w:rsidP="00014D53">
      <w:pPr>
        <w:autoSpaceDE w:val="0"/>
        <w:autoSpaceDN w:val="0"/>
        <w:adjustRightInd w:val="0"/>
        <w:spacing w:after="0" w:line="240" w:lineRule="auto"/>
        <w:jc w:val="both"/>
        <w:rPr>
          <w:rFonts w:cstheme="minorHAnsi"/>
          <w:lang w:val="en-US"/>
        </w:rPr>
      </w:pPr>
    </w:p>
    <w:p w14:paraId="7A6B8190" w14:textId="77777777" w:rsidR="00E17BEE" w:rsidRPr="00F30EF3" w:rsidRDefault="0043748B" w:rsidP="00E17BEE">
      <w:pPr>
        <w:rPr>
          <w:rFonts w:eastAsia="Times New Roman" w:cstheme="minorHAnsi"/>
          <w:b/>
          <w:bCs/>
          <w:color w:val="0070C0"/>
          <w:sz w:val="24"/>
          <w:szCs w:val="24"/>
          <w:rtl/>
        </w:rPr>
      </w:pPr>
      <w:r w:rsidRPr="00F30EF3">
        <w:rPr>
          <w:rFonts w:cstheme="minorHAnsi"/>
          <w:b/>
          <w:bCs/>
          <w:color w:val="0070C0"/>
          <w:sz w:val="24"/>
          <w:szCs w:val="24"/>
          <w:rtl/>
        </w:rPr>
        <w:t>المادة 1.3.5 - ملكية المؤسسة</w:t>
      </w:r>
    </w:p>
    <w:p w14:paraId="095661EF" w14:textId="746E72BE" w:rsidR="003A76D9" w:rsidRPr="00F30EF3" w:rsidRDefault="003A76D9" w:rsidP="009D4A54">
      <w:pPr>
        <w:pStyle w:val="ListParagraph"/>
        <w:numPr>
          <w:ilvl w:val="0"/>
          <w:numId w:val="47"/>
        </w:numPr>
        <w:tabs>
          <w:tab w:val="left" w:pos="1701"/>
        </w:tabs>
        <w:autoSpaceDE w:val="0"/>
        <w:autoSpaceDN w:val="0"/>
        <w:adjustRightInd w:val="0"/>
        <w:spacing w:after="0" w:line="240" w:lineRule="auto"/>
        <w:ind w:left="426" w:hanging="426"/>
        <w:jc w:val="both"/>
        <w:rPr>
          <w:rFonts w:cstheme="minorHAnsi"/>
          <w:rtl/>
        </w:rPr>
      </w:pPr>
      <w:r w:rsidRPr="00F30EF3">
        <w:rPr>
          <w:rFonts w:cstheme="minorHAnsi"/>
          <w:b/>
          <w:bCs/>
          <w:rtl/>
        </w:rPr>
        <w:t xml:space="preserve">المادة 1.3.5، </w:t>
      </w:r>
      <w:r w:rsidRPr="00F30EF3">
        <w:rPr>
          <w:rFonts w:cstheme="minorHAnsi"/>
          <w:b/>
          <w:bCs/>
          <w:i/>
          <w:iCs/>
          <w:rtl/>
        </w:rPr>
        <w:t>السياق والنطاق؛ أو الاستخدام الكبير</w:t>
      </w:r>
      <w:r w:rsidRPr="00F30EF3">
        <w:rPr>
          <w:rFonts w:cstheme="minorHAnsi"/>
          <w:b/>
          <w:bCs/>
          <w:rtl/>
        </w:rPr>
        <w:t>:</w:t>
      </w:r>
      <w:r w:rsidRPr="00F30EF3">
        <w:rPr>
          <w:rFonts w:cstheme="minorHAnsi"/>
          <w:rtl/>
        </w:rPr>
        <w:t xml:space="preserve"> تُطبق القواعد ذاتها التي تنطبق على الموظفين على الزائرين. انظر </w:t>
      </w:r>
      <w:hyperlink w:anchor="_Article_5.1_–" w:history="1">
        <w:r w:rsidRPr="00F30EF3">
          <w:rPr>
            <w:rStyle w:val="Hyperlink"/>
            <w:rFonts w:cstheme="minorHAnsi"/>
            <w:rtl/>
          </w:rPr>
          <w:t>المادة 1.1.5</w:t>
        </w:r>
      </w:hyperlink>
      <w:r w:rsidRPr="00F30EF3">
        <w:rPr>
          <w:rFonts w:cstheme="minorHAnsi"/>
          <w:rtl/>
        </w:rPr>
        <w:t>. تنص سياسة الملكية الفكرية المؤسسية بوجه عام على أن أي ملكية فكرية ينشئها الزائر مملوكة للمؤسسة المضيفة. في الحالات التي قد يجري فيها البدء في البحث والتطوير في المؤسسة الخاصة بالزائر، قد تكون الملكية المشتركة ملائمة. ومع ذلك، من أجل تجنب مخاطر الملكية المشتركة، يوصى بتوضيح تفاصيل حول مّن سيتولى مسؤولية تسويق هذه الملكية الفكرية في اتفاق التنازل أو حتى في سياسة الملكية الفكرية.</w:t>
      </w:r>
    </w:p>
    <w:p w14:paraId="51F7C199" w14:textId="77777777" w:rsidR="00E17BEE" w:rsidRPr="00F30EF3" w:rsidRDefault="00E17BEE" w:rsidP="00E17BEE">
      <w:pPr>
        <w:pStyle w:val="ListParagraph"/>
        <w:tabs>
          <w:tab w:val="left" w:pos="1701"/>
        </w:tabs>
        <w:autoSpaceDE w:val="0"/>
        <w:autoSpaceDN w:val="0"/>
        <w:adjustRightInd w:val="0"/>
        <w:spacing w:after="0" w:line="240" w:lineRule="auto"/>
        <w:ind w:left="426"/>
        <w:jc w:val="both"/>
        <w:rPr>
          <w:rFonts w:cstheme="minorHAnsi"/>
          <w:lang w:val="en-US"/>
        </w:rPr>
      </w:pPr>
    </w:p>
    <w:p w14:paraId="28CAF821" w14:textId="77777777" w:rsidR="00E17BEE" w:rsidRPr="00F30EF3" w:rsidRDefault="0043748B" w:rsidP="00E17BEE">
      <w:pPr>
        <w:rPr>
          <w:rFonts w:eastAsia="Times New Roman" w:cstheme="minorHAnsi"/>
          <w:b/>
          <w:bCs/>
          <w:color w:val="0070C0"/>
          <w:sz w:val="24"/>
          <w:szCs w:val="24"/>
          <w:rtl/>
        </w:rPr>
      </w:pPr>
      <w:r w:rsidRPr="00F30EF3">
        <w:rPr>
          <w:rFonts w:cstheme="minorHAnsi"/>
          <w:b/>
          <w:bCs/>
          <w:color w:val="0070C0"/>
          <w:sz w:val="24"/>
          <w:szCs w:val="24"/>
          <w:rtl/>
        </w:rPr>
        <w:t>المادة 2.3.5 - الملكية الفكرية للمؤسسة</w:t>
      </w:r>
    </w:p>
    <w:p w14:paraId="0D9DD2E6" w14:textId="54709E4A" w:rsidR="003A76D9" w:rsidRPr="00F30EF3" w:rsidRDefault="003A76D9" w:rsidP="009D4A54">
      <w:pPr>
        <w:pStyle w:val="ListParagraph"/>
        <w:numPr>
          <w:ilvl w:val="0"/>
          <w:numId w:val="47"/>
        </w:numPr>
        <w:tabs>
          <w:tab w:val="left" w:pos="1701"/>
        </w:tabs>
        <w:autoSpaceDE w:val="0"/>
        <w:autoSpaceDN w:val="0"/>
        <w:adjustRightInd w:val="0"/>
        <w:spacing w:after="0" w:line="240" w:lineRule="auto"/>
        <w:ind w:left="426" w:hanging="426"/>
        <w:jc w:val="both"/>
        <w:rPr>
          <w:rFonts w:cstheme="minorHAnsi"/>
          <w:rtl/>
        </w:rPr>
      </w:pPr>
      <w:r w:rsidRPr="00F30EF3">
        <w:rPr>
          <w:rFonts w:cstheme="minorHAnsi"/>
          <w:b/>
          <w:bCs/>
          <w:rtl/>
        </w:rPr>
        <w:t xml:space="preserve">المادة 2.3.5، </w:t>
      </w:r>
      <w:r w:rsidRPr="00F30EF3">
        <w:rPr>
          <w:rFonts w:cstheme="minorHAnsi"/>
          <w:b/>
          <w:bCs/>
          <w:i/>
          <w:iCs/>
          <w:rtl/>
        </w:rPr>
        <w:t>عند مغادرة المؤسسة، يجب على الزائر التوقيع على [...] كشف الملكية الفكرية</w:t>
      </w:r>
      <w:r w:rsidRPr="00F30EF3">
        <w:rPr>
          <w:rFonts w:cstheme="minorHAnsi"/>
          <w:b/>
          <w:bCs/>
          <w:rtl/>
        </w:rPr>
        <w:t>:</w:t>
      </w:r>
      <w:r w:rsidRPr="00F30EF3">
        <w:rPr>
          <w:rFonts w:cstheme="minorHAnsi"/>
          <w:rtl/>
        </w:rPr>
        <w:t xml:space="preserve">  تحدد المادتان </w:t>
      </w:r>
      <w:hyperlink w:anchor="_Article_8.1_–" w:history="1">
        <w:r w:rsidRPr="00F30EF3">
          <w:rPr>
            <w:rStyle w:val="Hyperlink"/>
            <w:rFonts w:cstheme="minorHAnsi"/>
            <w:rtl/>
          </w:rPr>
          <w:t>2.1.8</w:t>
        </w:r>
      </w:hyperlink>
      <w:r w:rsidRPr="00F30EF3">
        <w:rPr>
          <w:rFonts w:cstheme="minorHAnsi"/>
          <w:rtl/>
        </w:rPr>
        <w:t xml:space="preserve"> و</w:t>
      </w:r>
      <w:hyperlink w:anchor="_Article_8.3_–" w:history="1">
        <w:r w:rsidRPr="00F30EF3">
          <w:rPr>
            <w:rStyle w:val="Hyperlink"/>
            <w:rFonts w:cstheme="minorHAnsi"/>
            <w:rtl/>
          </w:rPr>
          <w:t>3.1.8</w:t>
        </w:r>
      </w:hyperlink>
      <w:r w:rsidRPr="00F30EF3">
        <w:rPr>
          <w:rFonts w:cstheme="minorHAnsi"/>
          <w:rtl/>
        </w:rPr>
        <w:t xml:space="preserve"> الإجراءات التي يجب اتباعها من أجل القيام </w:t>
      </w:r>
      <w:r w:rsidR="004D77C7" w:rsidRPr="00F30EF3">
        <w:rPr>
          <w:rFonts w:cstheme="minorHAnsi" w:hint="cs"/>
          <w:rtl/>
        </w:rPr>
        <w:t>ب</w:t>
      </w:r>
      <w:r w:rsidRPr="00F30EF3">
        <w:rPr>
          <w:rFonts w:cstheme="minorHAnsi"/>
          <w:rtl/>
        </w:rPr>
        <w:t>كشف كامل.</w:t>
      </w:r>
    </w:p>
    <w:p w14:paraId="7AB06AE9" w14:textId="77777777" w:rsidR="00014D53" w:rsidRPr="00F30EF3" w:rsidRDefault="00014D53" w:rsidP="004D77C7">
      <w:pPr>
        <w:keepNext/>
        <w:keepLines/>
        <w:tabs>
          <w:tab w:val="left" w:pos="851"/>
        </w:tabs>
        <w:spacing w:after="120"/>
        <w:jc w:val="both"/>
        <w:rPr>
          <w:rFonts w:cstheme="minorHAnsi"/>
          <w:b/>
          <w:bCs/>
          <w:color w:val="0070C0"/>
          <w:sz w:val="24"/>
          <w:szCs w:val="24"/>
          <w:rtl/>
        </w:rPr>
      </w:pPr>
      <w:r w:rsidRPr="00F30EF3">
        <w:rPr>
          <w:rFonts w:cstheme="minorHAnsi"/>
          <w:b/>
          <w:bCs/>
          <w:color w:val="0070C0"/>
          <w:sz w:val="24"/>
          <w:szCs w:val="24"/>
          <w:rtl/>
        </w:rPr>
        <w:lastRenderedPageBreak/>
        <w:t>المادة 4.5 - قواعد خاصة لمواد الدورة التدريبية</w:t>
      </w:r>
    </w:p>
    <w:p w14:paraId="5D027709" w14:textId="4B3F5382" w:rsidR="00EC1B44" w:rsidRPr="00F30EF3" w:rsidRDefault="00EC1B44" w:rsidP="004D77C7">
      <w:pPr>
        <w:pStyle w:val="ListParagraph"/>
        <w:keepNext/>
        <w:keepLines/>
        <w:numPr>
          <w:ilvl w:val="0"/>
          <w:numId w:val="49"/>
        </w:numPr>
        <w:autoSpaceDE w:val="0"/>
        <w:autoSpaceDN w:val="0"/>
        <w:adjustRightInd w:val="0"/>
        <w:spacing w:after="120" w:line="240" w:lineRule="auto"/>
        <w:ind w:left="426" w:hanging="426"/>
        <w:contextualSpacing w:val="0"/>
        <w:jc w:val="both"/>
        <w:rPr>
          <w:rFonts w:eastAsia="Times New Roman" w:cstheme="minorHAnsi"/>
          <w:rtl/>
        </w:rPr>
      </w:pPr>
      <w:r w:rsidRPr="00F30EF3">
        <w:rPr>
          <w:rFonts w:cstheme="minorHAnsi"/>
          <w:b/>
          <w:bCs/>
          <w:rtl/>
        </w:rPr>
        <w:t xml:space="preserve">المادة 1.4.5 - </w:t>
      </w:r>
      <w:r w:rsidRPr="00F30EF3">
        <w:rPr>
          <w:rFonts w:cstheme="minorHAnsi"/>
          <w:b/>
          <w:bCs/>
          <w:i/>
          <w:iCs/>
          <w:rtl/>
        </w:rPr>
        <w:t>ملكية المؤسسة</w:t>
      </w:r>
      <w:r w:rsidRPr="00F30EF3">
        <w:rPr>
          <w:rFonts w:cstheme="minorHAnsi"/>
          <w:b/>
          <w:bCs/>
          <w:rtl/>
        </w:rPr>
        <w:t>:</w:t>
      </w:r>
      <w:r w:rsidRPr="00F30EF3">
        <w:rPr>
          <w:rFonts w:cstheme="minorHAnsi"/>
          <w:rtl/>
        </w:rPr>
        <w:t xml:space="preserve"> تلتزم المؤسسات بالاستثمار المستمر وتطوير مواد الدورة التدريبية وأنماط التنفيذ التي تستفيد من التطورات التكنولوجية بما يسمح بالتعلّم المُوزَّع وعن بُعد. وتتضمن مواد الدورة التدريبية حالياً العديد من أشكال الملكية الفكرية المختلفة، مثل الملكية الفكرية في المواد الورقية، والوسائط الرقمية، والمحتوى على شبكة الإنترنت، والبث، والمواد المرئية والمسموعة، والبرامج.</w:t>
      </w:r>
    </w:p>
    <w:p w14:paraId="2F6A5941" w14:textId="2394E996" w:rsidR="00EC1B44" w:rsidRPr="00F30EF3" w:rsidRDefault="00EC1B44" w:rsidP="004D77C7">
      <w:pPr>
        <w:pStyle w:val="ListParagraph"/>
        <w:numPr>
          <w:ilvl w:val="0"/>
          <w:numId w:val="49"/>
        </w:numPr>
        <w:tabs>
          <w:tab w:val="left" w:pos="426"/>
        </w:tabs>
        <w:spacing w:after="120" w:line="240" w:lineRule="auto"/>
        <w:ind w:left="426" w:hanging="426"/>
        <w:contextualSpacing w:val="0"/>
        <w:jc w:val="both"/>
        <w:rPr>
          <w:rFonts w:eastAsia="Times New Roman" w:cstheme="minorHAnsi"/>
          <w:rtl/>
        </w:rPr>
      </w:pPr>
      <w:r w:rsidRPr="00F30EF3">
        <w:rPr>
          <w:rFonts w:cstheme="minorHAnsi"/>
          <w:b/>
          <w:bCs/>
          <w:rtl/>
        </w:rPr>
        <w:t xml:space="preserve">المادة 2.4.5، </w:t>
      </w:r>
      <w:r w:rsidRPr="00F30EF3">
        <w:rPr>
          <w:rFonts w:cstheme="minorHAnsi"/>
          <w:b/>
          <w:bCs/>
          <w:i/>
          <w:iCs/>
          <w:rtl/>
        </w:rPr>
        <w:t>الترخيص:</w:t>
      </w:r>
      <w:r w:rsidRPr="00F30EF3">
        <w:rPr>
          <w:rFonts w:cstheme="minorHAnsi"/>
          <w:b/>
          <w:bCs/>
          <w:rtl/>
        </w:rPr>
        <w:t xml:space="preserve"> </w:t>
      </w:r>
      <w:r w:rsidRPr="00F30EF3">
        <w:rPr>
          <w:rFonts w:cstheme="minorHAnsi"/>
          <w:rtl/>
        </w:rPr>
        <w:t>ملاحظة: يوضح تعريف مواد الدورة التدريبية أن مواد تلك الدورة التدريبية يجري إعدادها أساساً لأغراض التدريس. يُمنح منشئو مواد الدورة التدريبية ترخيصاً لاستخدام مواد الدورة التدريبية لأغراض التدريس والبحث. ولا تطالب المؤسسات عادةً بملكية الملكية الفكرية في مواد الدورة المُعَدّة للاستخدام الشخصي والرجوع إليها في التدريس (على سبيل المثال، كملاحظات شخصية وتعليقات توضيحية لدعم مواد التدريس، والتي لا يتم تقديمها للطلاب).</w:t>
      </w:r>
    </w:p>
    <w:p w14:paraId="1DEEE94F" w14:textId="77777777" w:rsidR="00014D53" w:rsidRPr="00F30EF3" w:rsidRDefault="00014D53" w:rsidP="004D77C7">
      <w:pPr>
        <w:tabs>
          <w:tab w:val="left" w:pos="851"/>
        </w:tabs>
        <w:spacing w:after="120"/>
        <w:jc w:val="both"/>
        <w:rPr>
          <w:rFonts w:cstheme="minorHAnsi"/>
          <w:sz w:val="24"/>
          <w:szCs w:val="24"/>
          <w:rtl/>
        </w:rPr>
      </w:pPr>
      <w:r w:rsidRPr="00F30EF3">
        <w:rPr>
          <w:rFonts w:cstheme="minorHAnsi"/>
          <w:b/>
          <w:bCs/>
          <w:color w:val="0070C0"/>
          <w:sz w:val="24"/>
          <w:szCs w:val="24"/>
          <w:rtl/>
        </w:rPr>
        <w:t>المادة 5.5 - قواعد خاصة للمصنفات العلمية</w:t>
      </w:r>
    </w:p>
    <w:p w14:paraId="7179353E" w14:textId="77777777" w:rsidR="00EC1B44" w:rsidRPr="00F30EF3" w:rsidRDefault="00EC1B44" w:rsidP="004D77C7">
      <w:pPr>
        <w:spacing w:after="120" w:line="240" w:lineRule="auto"/>
        <w:jc w:val="both"/>
        <w:rPr>
          <w:rFonts w:cstheme="minorHAnsi"/>
          <w:rtl/>
        </w:rPr>
      </w:pPr>
      <w:r w:rsidRPr="00F30EF3">
        <w:rPr>
          <w:rFonts w:cstheme="minorHAnsi"/>
          <w:rtl/>
        </w:rPr>
        <w:t xml:space="preserve">من المهم مواءمة الممارسات الأكاديمية مع سياسة الملكية الفكرية بشأن ملكية المنشورات الأكاديمية. يمكن النظر في خيارين للسياسة. </w:t>
      </w:r>
    </w:p>
    <w:p w14:paraId="51FC788B" w14:textId="77777777" w:rsidR="00EC1B44" w:rsidRPr="00F30EF3" w:rsidRDefault="00EC1B44" w:rsidP="004D77C7">
      <w:pPr>
        <w:pStyle w:val="ListParagraph"/>
        <w:numPr>
          <w:ilvl w:val="0"/>
          <w:numId w:val="50"/>
        </w:numPr>
        <w:autoSpaceDE w:val="0"/>
        <w:autoSpaceDN w:val="0"/>
        <w:adjustRightInd w:val="0"/>
        <w:spacing w:after="120" w:line="240" w:lineRule="auto"/>
        <w:ind w:hanging="288"/>
        <w:contextualSpacing w:val="0"/>
        <w:jc w:val="both"/>
        <w:rPr>
          <w:rFonts w:eastAsia="Times New Roman" w:cstheme="minorHAnsi"/>
          <w:rtl/>
        </w:rPr>
      </w:pPr>
      <w:r w:rsidRPr="00F30EF3">
        <w:rPr>
          <w:rFonts w:cstheme="minorHAnsi"/>
          <w:rtl/>
        </w:rPr>
        <w:t>يتمثل الخيار الأول في التعامل مع ملكية المصنفات المحمية بموجب حق المؤلف بشكلٍ منفصل عن قواعد ملكية الملكية الفكرية الأخرى. على سبيل المثال، قد تنص السياسة على: "</w:t>
      </w:r>
      <w:r w:rsidRPr="00F30EF3">
        <w:rPr>
          <w:rFonts w:cstheme="minorHAnsi"/>
          <w:i/>
          <w:iCs/>
          <w:rtl/>
        </w:rPr>
        <w:t>يمتلك المؤلفون حقوق المؤلف إلا في حالة استخدام دعم الجامعة في إنشاء المصنف"</w:t>
      </w:r>
      <w:r w:rsidRPr="00F30EF3">
        <w:rPr>
          <w:rStyle w:val="FootnoteReference"/>
          <w:rFonts w:eastAsia="Times New Roman" w:cstheme="minorHAnsi"/>
          <w:i/>
          <w:iCs/>
          <w:rtl/>
          <w:lang w:val="en-US"/>
        </w:rPr>
        <w:footnoteReference w:id="122"/>
      </w:r>
      <w:r w:rsidRPr="00F30EF3">
        <w:rPr>
          <w:rFonts w:cstheme="minorHAnsi"/>
          <w:rtl/>
        </w:rPr>
        <w:t xml:space="preserve"> أو "</w:t>
      </w:r>
      <w:r w:rsidRPr="00F30EF3">
        <w:rPr>
          <w:rFonts w:cstheme="minorHAnsi"/>
          <w:i/>
          <w:iCs/>
          <w:rtl/>
        </w:rPr>
        <w:t>تظل جميع الحقوق مع المبدع ما لم (أ) يكن المصنف مصنفاً مصمماً للتأجير؛ أو (ب) تتولى الجامعة تمويل المصنف؛ أو (ج) يتم إجراء المصنف بتكليف من الجامعة؛ أو (د) تستخدم موارد الجامعة بشكلٍ كبير في إعداد المصنف</w:t>
      </w:r>
      <w:r w:rsidRPr="00F30EF3">
        <w:rPr>
          <w:rFonts w:cstheme="minorHAnsi"/>
          <w:rtl/>
        </w:rPr>
        <w:t>"</w:t>
      </w:r>
      <w:r w:rsidRPr="00F30EF3">
        <w:rPr>
          <w:rStyle w:val="FootnoteReference"/>
          <w:rFonts w:eastAsia="Times New Roman" w:cstheme="minorHAnsi"/>
          <w:rtl/>
          <w:lang w:val="en-US"/>
        </w:rPr>
        <w:footnoteReference w:id="123"/>
      </w:r>
      <w:r w:rsidRPr="00F30EF3">
        <w:rPr>
          <w:rFonts w:cstheme="minorHAnsi"/>
          <w:rtl/>
        </w:rPr>
        <w:t xml:space="preserve"> أو "</w:t>
      </w:r>
      <w:r w:rsidRPr="00F30EF3">
        <w:rPr>
          <w:rFonts w:cstheme="minorHAnsi"/>
          <w:i/>
          <w:iCs/>
          <w:rtl/>
        </w:rPr>
        <w:t>يمتلك المبدع حقوق المؤلف ما لم تصدر الجامعة تكليفاً بهذا المصنف</w:t>
      </w:r>
      <w:r w:rsidRPr="00F30EF3">
        <w:rPr>
          <w:rFonts w:cstheme="minorHAnsi"/>
          <w:rtl/>
        </w:rPr>
        <w:t>".</w:t>
      </w:r>
      <w:r w:rsidRPr="00F30EF3">
        <w:rPr>
          <w:rStyle w:val="FootnoteReference"/>
          <w:rFonts w:eastAsia="Times New Roman" w:cstheme="minorHAnsi"/>
          <w:rtl/>
          <w:lang w:val="en-US"/>
        </w:rPr>
        <w:footnoteReference w:id="124"/>
      </w:r>
    </w:p>
    <w:p w14:paraId="43A58FC6" w14:textId="77777777" w:rsidR="00EC1B44" w:rsidRPr="00F30EF3" w:rsidRDefault="00EC1B44" w:rsidP="004D77C7">
      <w:pPr>
        <w:pStyle w:val="ListParagraph"/>
        <w:numPr>
          <w:ilvl w:val="0"/>
          <w:numId w:val="50"/>
        </w:numPr>
        <w:autoSpaceDE w:val="0"/>
        <w:autoSpaceDN w:val="0"/>
        <w:adjustRightInd w:val="0"/>
        <w:spacing w:after="120" w:line="240" w:lineRule="auto"/>
        <w:ind w:hanging="288"/>
        <w:contextualSpacing w:val="0"/>
        <w:jc w:val="both"/>
        <w:rPr>
          <w:rFonts w:eastAsia="Times New Roman" w:cstheme="minorHAnsi"/>
          <w:rtl/>
        </w:rPr>
      </w:pPr>
      <w:r w:rsidRPr="00F30EF3">
        <w:rPr>
          <w:rFonts w:cstheme="minorHAnsi"/>
          <w:rtl/>
        </w:rPr>
        <w:t>ثمة خيار ثانٍ يتمثل في النص على أن المؤسسة تمتلك من حيث المبدأ جميع حقوق الملكية الفكرية التي ينشئها موظفوها، باستثناء "المصنفات العلمية". ومن الأمثلة على المصنفات التي تندرج ضمن نطاق "المصنفات العلمية" الكتب والفصول في الكتب والمقالات والمونوغرامات والمدونات والأطروحات والرسائل العلمية.</w:t>
      </w:r>
      <w:r w:rsidRPr="00F30EF3">
        <w:rPr>
          <w:rStyle w:val="FootnoteReference"/>
          <w:rFonts w:eastAsia="Times New Roman" w:cstheme="minorHAnsi"/>
          <w:rtl/>
          <w:lang w:val="en-US"/>
        </w:rPr>
        <w:footnoteReference w:id="125"/>
      </w:r>
      <w:r w:rsidRPr="00F30EF3">
        <w:rPr>
          <w:rFonts w:cstheme="minorHAnsi"/>
          <w:rtl/>
        </w:rPr>
        <w:t xml:space="preserve">   </w:t>
      </w:r>
    </w:p>
    <w:p w14:paraId="41897C37" w14:textId="77777777" w:rsidR="00C01408" w:rsidRPr="00F30EF3" w:rsidRDefault="00C01408" w:rsidP="004D77C7">
      <w:pPr>
        <w:spacing w:after="120" w:line="240" w:lineRule="auto"/>
        <w:ind w:left="284" w:hanging="284"/>
        <w:jc w:val="both"/>
        <w:rPr>
          <w:rFonts w:eastAsia="Times New Roman" w:cstheme="minorHAnsi"/>
          <w:lang w:val="en-US"/>
        </w:rPr>
      </w:pPr>
    </w:p>
    <w:p w14:paraId="526F294A" w14:textId="77777777" w:rsidR="00194209" w:rsidRPr="00F30EF3" w:rsidRDefault="00C01408" w:rsidP="004D77C7">
      <w:pPr>
        <w:spacing w:after="120" w:line="240" w:lineRule="auto"/>
        <w:jc w:val="both"/>
        <w:rPr>
          <w:rFonts w:eastAsia="Times New Roman" w:cstheme="minorHAnsi"/>
          <w:rtl/>
        </w:rPr>
      </w:pPr>
      <w:r w:rsidRPr="00F30EF3">
        <w:rPr>
          <w:rFonts w:cstheme="minorHAnsi"/>
          <w:rtl/>
        </w:rPr>
        <w:t>يعكس النموذج الخيار الثاني، الذي يبدو أن العديد من المؤسسات تتبعه في سياسات الملكية الفكرية الخاصة بها.</w:t>
      </w:r>
      <w:r w:rsidR="00194209" w:rsidRPr="00F30EF3">
        <w:rPr>
          <w:rStyle w:val="FootnoteReference"/>
          <w:rFonts w:eastAsia="Times New Roman" w:cstheme="minorHAnsi"/>
          <w:rtl/>
          <w:lang w:val="en-US"/>
        </w:rPr>
        <w:footnoteReference w:id="126"/>
      </w:r>
      <w:r w:rsidRPr="00F30EF3">
        <w:rPr>
          <w:rFonts w:cstheme="minorHAnsi"/>
          <w:rtl/>
        </w:rPr>
        <w:t xml:space="preserve">  </w:t>
      </w:r>
    </w:p>
    <w:p w14:paraId="0D8FD786" w14:textId="58CDA1AC" w:rsidR="00EC1B44" w:rsidRPr="00F30EF3" w:rsidRDefault="00EC1B44" w:rsidP="004D77C7">
      <w:pPr>
        <w:pStyle w:val="ListParagraph"/>
        <w:numPr>
          <w:ilvl w:val="1"/>
          <w:numId w:val="3"/>
        </w:numPr>
        <w:shd w:val="clear" w:color="auto" w:fill="FFFFFF"/>
        <w:autoSpaceDE w:val="0"/>
        <w:autoSpaceDN w:val="0"/>
        <w:adjustRightInd w:val="0"/>
        <w:spacing w:after="120" w:line="240" w:lineRule="auto"/>
        <w:ind w:left="426" w:hanging="426"/>
        <w:contextualSpacing w:val="0"/>
        <w:jc w:val="both"/>
        <w:rPr>
          <w:rFonts w:eastAsia="Times New Roman" w:cstheme="minorHAnsi"/>
          <w:rtl/>
        </w:rPr>
      </w:pPr>
      <w:r w:rsidRPr="00F30EF3">
        <w:rPr>
          <w:rFonts w:cstheme="minorHAnsi"/>
          <w:b/>
          <w:bCs/>
          <w:rtl/>
        </w:rPr>
        <w:t>المادة 1.5.5</w:t>
      </w:r>
      <w:r w:rsidRPr="00F30EF3">
        <w:rPr>
          <w:rFonts w:cstheme="minorHAnsi"/>
          <w:i/>
          <w:iCs/>
          <w:rtl/>
        </w:rPr>
        <w:t>:</w:t>
      </w:r>
      <w:r w:rsidRPr="00F30EF3">
        <w:rPr>
          <w:rFonts w:cstheme="minorHAnsi"/>
          <w:rtl/>
        </w:rPr>
        <w:t xml:space="preserve"> تتنازل المؤسسة عن حقوقها في حقوق المؤلف في المصنفات العلمية المُعَدّة فقط في إطار تعزيز العمل الأكاديمي (المادة 2.1.5). تُوصف المصنفات العلمية عادة لأنها قراءة إلزامية أو يتم استخدامها في سياق التدريس (على سبيل المثال كتاب دراسي مُحدد). هذا لا يجعل المصنف العلمي جزءاً من مواد الدورة التدريبية. إلا في حال دمج مصنف علمي في مواد الدورة التدريبية، فسينطبق الوضع الافتراضي لملكية الملكية الفكرية المؤسسية.</w:t>
      </w:r>
    </w:p>
    <w:p w14:paraId="152DDD82" w14:textId="147757A2" w:rsidR="00EC1B44" w:rsidRPr="00F30EF3" w:rsidRDefault="00EC1B44" w:rsidP="004D77C7">
      <w:pPr>
        <w:pStyle w:val="ListParagraph"/>
        <w:numPr>
          <w:ilvl w:val="0"/>
          <w:numId w:val="33"/>
        </w:numPr>
        <w:shd w:val="clear" w:color="auto" w:fill="FFFFFF"/>
        <w:spacing w:after="120" w:line="240" w:lineRule="auto"/>
        <w:ind w:left="426" w:hanging="426"/>
        <w:contextualSpacing w:val="0"/>
        <w:jc w:val="both"/>
        <w:rPr>
          <w:rFonts w:eastAsia="Times New Roman" w:cstheme="minorHAnsi"/>
          <w:rtl/>
        </w:rPr>
      </w:pPr>
      <w:r w:rsidRPr="00F30EF3">
        <w:rPr>
          <w:rFonts w:cstheme="minorHAnsi"/>
          <w:b/>
          <w:bCs/>
          <w:rtl/>
        </w:rPr>
        <w:t xml:space="preserve">المادتان 2.5.5 و3.5.5، </w:t>
      </w:r>
      <w:r w:rsidRPr="00F30EF3">
        <w:rPr>
          <w:rFonts w:cstheme="minorHAnsi"/>
          <w:b/>
          <w:bCs/>
          <w:i/>
          <w:iCs/>
          <w:rtl/>
        </w:rPr>
        <w:t>المستودع المؤسسي</w:t>
      </w:r>
      <w:r w:rsidRPr="00F30EF3">
        <w:rPr>
          <w:rFonts w:cstheme="minorHAnsi"/>
          <w:b/>
          <w:bCs/>
          <w:rtl/>
        </w:rPr>
        <w:t xml:space="preserve"> </w:t>
      </w:r>
      <w:r w:rsidRPr="00F30EF3">
        <w:rPr>
          <w:rFonts w:cstheme="minorHAnsi"/>
          <w:b/>
          <w:bCs/>
          <w:i/>
          <w:iCs/>
          <w:rtl/>
        </w:rPr>
        <w:t>والترخيص الممنوح للمؤسسة</w:t>
      </w:r>
      <w:r w:rsidRPr="00F30EF3">
        <w:rPr>
          <w:rFonts w:cstheme="minorHAnsi"/>
          <w:b/>
          <w:bCs/>
          <w:rtl/>
        </w:rPr>
        <w:t>.</w:t>
      </w:r>
      <w:r w:rsidRPr="00F30EF3">
        <w:rPr>
          <w:rFonts w:cstheme="minorHAnsi"/>
          <w:rtl/>
        </w:rPr>
        <w:t xml:space="preserve"> حينما ترجع ملكية المصنفات العلمية إلى المبدعين (الموظفين أو الزائرين)، تقتضي الممارسة الجيدة أن تُمنح المؤسسة حقوقاً معينة لنسخ و/أو استخدام المصنف لأغراض أكاديمية من دون إتاوة.  </w:t>
      </w:r>
    </w:p>
    <w:p w14:paraId="1C736A97" w14:textId="41699FAB" w:rsidR="00194209" w:rsidRPr="00F30EF3" w:rsidRDefault="00C10B33" w:rsidP="004D77C7">
      <w:pPr>
        <w:pStyle w:val="ListParagraph"/>
        <w:numPr>
          <w:ilvl w:val="0"/>
          <w:numId w:val="33"/>
        </w:numPr>
        <w:shd w:val="clear" w:color="auto" w:fill="FFFFFF"/>
        <w:spacing w:after="120" w:line="240" w:lineRule="auto"/>
        <w:ind w:left="426" w:hanging="426"/>
        <w:contextualSpacing w:val="0"/>
        <w:jc w:val="both"/>
        <w:rPr>
          <w:rFonts w:eastAsia="Times New Roman" w:cstheme="minorHAnsi"/>
          <w:rtl/>
        </w:rPr>
      </w:pPr>
      <w:r w:rsidRPr="00F30EF3">
        <w:rPr>
          <w:rFonts w:cstheme="minorHAnsi"/>
          <w:b/>
          <w:bCs/>
          <w:rtl/>
        </w:rPr>
        <w:t xml:space="preserve">المادتان 2.5.5 و3.5.5، </w:t>
      </w:r>
      <w:r w:rsidRPr="00F30EF3">
        <w:rPr>
          <w:rFonts w:cstheme="minorHAnsi"/>
          <w:b/>
          <w:bCs/>
          <w:i/>
          <w:iCs/>
          <w:rtl/>
        </w:rPr>
        <w:t>الترخيص الممنوح للمؤسسة</w:t>
      </w:r>
      <w:r w:rsidRPr="00F30EF3">
        <w:rPr>
          <w:rFonts w:cstheme="minorHAnsi"/>
          <w:b/>
          <w:bCs/>
          <w:rtl/>
        </w:rPr>
        <w:t>.</w:t>
      </w:r>
      <w:r w:rsidRPr="00F30EF3">
        <w:rPr>
          <w:rFonts w:cstheme="minorHAnsi"/>
          <w:rtl/>
        </w:rPr>
        <w:t xml:space="preserve"> حينما ترجع ملكية المصنفات العلمية إلى المبدعين (الموظفين أو الزائرين)، تقتضي الممارسة الجيدة أن تُمنح المؤسسة حقوقاً معينة لنسخ و/أو استخدام المصنف لأغراض أكاديمية من دون إتاوة.  </w:t>
      </w:r>
    </w:p>
    <w:p w14:paraId="12CCF308" w14:textId="50EF6FF1" w:rsidR="00C10B33" w:rsidRPr="00F30EF3" w:rsidRDefault="00C10B33" w:rsidP="00661B83">
      <w:pPr>
        <w:tabs>
          <w:tab w:val="left" w:pos="851"/>
        </w:tabs>
        <w:spacing w:before="120" w:after="120"/>
        <w:jc w:val="both"/>
        <w:rPr>
          <w:rFonts w:cstheme="minorHAnsi"/>
          <w:sz w:val="24"/>
          <w:szCs w:val="24"/>
          <w:rtl/>
        </w:rPr>
      </w:pPr>
      <w:bookmarkStart w:id="172" w:name="_Toc494115971"/>
      <w:r w:rsidRPr="00F30EF3">
        <w:rPr>
          <w:rFonts w:cstheme="minorHAnsi"/>
          <w:b/>
          <w:bCs/>
          <w:color w:val="0070C0"/>
          <w:sz w:val="24"/>
          <w:szCs w:val="24"/>
          <w:rtl/>
        </w:rPr>
        <w:t xml:space="preserve">المادة </w:t>
      </w:r>
      <w:r w:rsidR="00E60B33" w:rsidRPr="00F30EF3">
        <w:rPr>
          <w:rFonts w:cstheme="minorHAnsi"/>
          <w:b/>
          <w:bCs/>
          <w:color w:val="0070C0"/>
          <w:sz w:val="24"/>
          <w:szCs w:val="24"/>
        </w:rPr>
        <w:t>5</w:t>
      </w:r>
      <w:r w:rsidRPr="00F30EF3">
        <w:rPr>
          <w:rFonts w:cstheme="minorHAnsi"/>
          <w:b/>
          <w:bCs/>
          <w:color w:val="0070C0"/>
          <w:sz w:val="24"/>
          <w:szCs w:val="24"/>
          <w:rtl/>
        </w:rPr>
        <w:t>-</w:t>
      </w:r>
      <w:r w:rsidR="00E60B33" w:rsidRPr="00F30EF3">
        <w:rPr>
          <w:rFonts w:cstheme="minorHAnsi"/>
          <w:b/>
          <w:bCs/>
          <w:color w:val="0070C0"/>
          <w:sz w:val="24"/>
          <w:szCs w:val="24"/>
        </w:rPr>
        <w:t>6</w:t>
      </w:r>
      <w:r w:rsidRPr="00F30EF3">
        <w:rPr>
          <w:rFonts w:cstheme="minorHAnsi"/>
          <w:b/>
          <w:bCs/>
          <w:color w:val="0070C0"/>
          <w:sz w:val="24"/>
          <w:szCs w:val="24"/>
          <w:rtl/>
        </w:rPr>
        <w:t xml:space="preserve"> - الحقوق المعنوية</w:t>
      </w:r>
      <w:bookmarkEnd w:id="172"/>
    </w:p>
    <w:p w14:paraId="5B943B05" w14:textId="77777777" w:rsidR="00EC1B44" w:rsidRPr="00F30EF3" w:rsidRDefault="00EC1B44" w:rsidP="00661B83">
      <w:pPr>
        <w:pStyle w:val="ListParagraph"/>
        <w:numPr>
          <w:ilvl w:val="0"/>
          <w:numId w:val="33"/>
        </w:numPr>
        <w:spacing w:after="120" w:line="240" w:lineRule="auto"/>
        <w:ind w:left="432" w:hanging="432"/>
        <w:contextualSpacing w:val="0"/>
        <w:jc w:val="both"/>
        <w:rPr>
          <w:rFonts w:cstheme="minorHAnsi"/>
          <w:rtl/>
        </w:rPr>
      </w:pPr>
      <w:r w:rsidRPr="00F30EF3">
        <w:rPr>
          <w:rFonts w:cstheme="minorHAnsi"/>
          <w:b/>
          <w:bCs/>
          <w:rtl/>
        </w:rPr>
        <w:t xml:space="preserve">المادة 1.6.5، </w:t>
      </w:r>
      <w:r w:rsidRPr="00F30EF3">
        <w:rPr>
          <w:rFonts w:cstheme="minorHAnsi"/>
          <w:b/>
          <w:bCs/>
          <w:i/>
          <w:iCs/>
          <w:rtl/>
        </w:rPr>
        <w:t>الاعتراف</w:t>
      </w:r>
      <w:r w:rsidRPr="00F30EF3">
        <w:rPr>
          <w:rFonts w:cstheme="minorHAnsi"/>
          <w:rtl/>
        </w:rPr>
        <w:t>: يحمي حق المؤلف الحقوق المعنوية والاقتصادية للمؤلف. تتعلق الحقوق المعنوية بالعلاقة بين المؤلفين ومصنفاتهم. وتشمل الحقوق المعنوية للمؤلفين من بين أمور أخرى حق الأبوة وحق السلامة. حق الأبوة هو الحق في التعرف على هوية مؤلف المصنف. وحق السلامة هو الحق في الاعتراض على سوء معاملة المصنف.</w:t>
      </w:r>
    </w:p>
    <w:p w14:paraId="4EDAD0EB" w14:textId="77777777" w:rsidR="00EC1B44" w:rsidRPr="00F30EF3" w:rsidRDefault="00EC1B44" w:rsidP="00661B83">
      <w:pPr>
        <w:pStyle w:val="ListParagraph"/>
        <w:numPr>
          <w:ilvl w:val="0"/>
          <w:numId w:val="33"/>
        </w:numPr>
        <w:spacing w:after="120" w:line="240" w:lineRule="auto"/>
        <w:ind w:left="432" w:hanging="432"/>
        <w:contextualSpacing w:val="0"/>
        <w:jc w:val="both"/>
        <w:rPr>
          <w:rFonts w:cstheme="minorHAnsi"/>
          <w:rtl/>
        </w:rPr>
      </w:pPr>
      <w:r w:rsidRPr="00F30EF3">
        <w:rPr>
          <w:rFonts w:cstheme="minorHAnsi"/>
          <w:b/>
          <w:bCs/>
          <w:rtl/>
        </w:rPr>
        <w:lastRenderedPageBreak/>
        <w:t xml:space="preserve">المادة 2.6.5، </w:t>
      </w:r>
      <w:r w:rsidRPr="00F30EF3">
        <w:rPr>
          <w:rFonts w:cstheme="minorHAnsi"/>
          <w:b/>
          <w:bCs/>
          <w:i/>
          <w:iCs/>
          <w:rtl/>
        </w:rPr>
        <w:t>الحقوق الممنوحة</w:t>
      </w:r>
      <w:r w:rsidRPr="00F30EF3">
        <w:rPr>
          <w:rFonts w:cstheme="minorHAnsi"/>
          <w:rtl/>
        </w:rPr>
        <w:t>: من المهم إدراك أنه على الرغم من أن حق المؤلف ينتقل إلى المؤسسة، إلا أن الموظف - المؤلف لا يزال قادراً على إنفاذ حقوقه المعنوية في المصنف</w:t>
      </w:r>
    </w:p>
    <w:p w14:paraId="4628E6DD" w14:textId="73721DED" w:rsidR="00EC1B44" w:rsidRPr="00F30EF3" w:rsidRDefault="00EC1B44" w:rsidP="00661B83">
      <w:pPr>
        <w:pStyle w:val="ListParagraph"/>
        <w:numPr>
          <w:ilvl w:val="0"/>
          <w:numId w:val="33"/>
        </w:numPr>
        <w:spacing w:after="120" w:line="240" w:lineRule="auto"/>
        <w:ind w:left="426" w:hanging="426"/>
        <w:contextualSpacing w:val="0"/>
        <w:jc w:val="both"/>
        <w:rPr>
          <w:rFonts w:cstheme="minorHAnsi"/>
          <w:rtl/>
        </w:rPr>
      </w:pPr>
      <w:r w:rsidRPr="00F30EF3">
        <w:rPr>
          <w:rFonts w:cstheme="minorHAnsi"/>
          <w:b/>
          <w:bCs/>
          <w:rtl/>
        </w:rPr>
        <w:t xml:space="preserve">المادة 3.6.5، </w:t>
      </w:r>
      <w:r w:rsidRPr="00F30EF3">
        <w:rPr>
          <w:rFonts w:cstheme="minorHAnsi"/>
          <w:b/>
          <w:bCs/>
          <w:i/>
          <w:iCs/>
          <w:rtl/>
        </w:rPr>
        <w:t>عدم التنازل:</w:t>
      </w:r>
      <w:r w:rsidRPr="00F30EF3">
        <w:rPr>
          <w:rFonts w:cstheme="minorHAnsi"/>
          <w:rtl/>
        </w:rPr>
        <w:t xml:space="preserve"> في بعض الأنظمة الوطنية، يجوز التنازل عن الحقوق المعنوية. تنص سياسة الملكية الفكرية على أن المؤسسة لا تلزم الموظفين أو الزائرين أو الطلاب بالتنازل عن حقوقهم المعنوية كشرط للعمل أو التعيين أو التسجيل أو التمويل، حيث يشمل مصدر التمويل الأموال العامة، أو التمويل من طرف خارجي أو جهة راعية خارجية.</w:t>
      </w:r>
    </w:p>
    <w:p w14:paraId="2A2D81B4" w14:textId="77777777" w:rsidR="002414E6" w:rsidRPr="00F30EF3" w:rsidRDefault="002414E6" w:rsidP="00661B83">
      <w:pPr>
        <w:tabs>
          <w:tab w:val="left" w:pos="851"/>
        </w:tabs>
        <w:spacing w:after="120"/>
        <w:jc w:val="both"/>
        <w:rPr>
          <w:rFonts w:cstheme="minorHAnsi"/>
          <w:sz w:val="24"/>
          <w:szCs w:val="24"/>
          <w:rtl/>
        </w:rPr>
      </w:pPr>
      <w:bookmarkStart w:id="173" w:name="_Toc494115972"/>
      <w:r w:rsidRPr="00F30EF3">
        <w:rPr>
          <w:rFonts w:cstheme="minorHAnsi"/>
          <w:b/>
          <w:bCs/>
          <w:color w:val="0070C0"/>
          <w:sz w:val="24"/>
          <w:szCs w:val="24"/>
          <w:rtl/>
        </w:rPr>
        <w:t>المادة 7.5 - الملك العام</w:t>
      </w:r>
      <w:bookmarkEnd w:id="173"/>
    </w:p>
    <w:p w14:paraId="2ED5B2EE" w14:textId="77777777" w:rsidR="00EC1B44" w:rsidRPr="00F30EF3" w:rsidRDefault="00EC1B44" w:rsidP="00661B83">
      <w:pPr>
        <w:pStyle w:val="ListParagraph"/>
        <w:numPr>
          <w:ilvl w:val="0"/>
          <w:numId w:val="51"/>
        </w:numPr>
        <w:tabs>
          <w:tab w:val="clear" w:pos="357"/>
          <w:tab w:val="num" w:pos="426"/>
        </w:tabs>
        <w:spacing w:after="120" w:line="240" w:lineRule="auto"/>
        <w:ind w:left="425" w:hanging="425"/>
        <w:contextualSpacing w:val="0"/>
        <w:jc w:val="both"/>
        <w:rPr>
          <w:rFonts w:cstheme="minorHAnsi"/>
          <w:rtl/>
        </w:rPr>
      </w:pPr>
      <w:r w:rsidRPr="00F30EF3">
        <w:rPr>
          <w:rFonts w:cstheme="minorHAnsi"/>
          <w:b/>
          <w:bCs/>
          <w:rtl/>
        </w:rPr>
        <w:t>المادتان 1.7.5 و2،</w:t>
      </w:r>
      <w:r w:rsidRPr="00F30EF3">
        <w:rPr>
          <w:rFonts w:cstheme="minorHAnsi"/>
          <w:b/>
          <w:bCs/>
          <w:color w:val="000000" w:themeColor="text1"/>
          <w:rtl/>
        </w:rPr>
        <w:t xml:space="preserve"> </w:t>
      </w:r>
      <w:r w:rsidRPr="00F30EF3">
        <w:rPr>
          <w:rFonts w:cstheme="minorHAnsi"/>
          <w:b/>
          <w:bCs/>
          <w:i/>
          <w:iCs/>
          <w:color w:val="000000" w:themeColor="text1"/>
          <w:rtl/>
        </w:rPr>
        <w:t>الملك العام والإصدار في الملك العام</w:t>
      </w:r>
      <w:r w:rsidRPr="00F30EF3">
        <w:rPr>
          <w:rFonts w:cstheme="minorHAnsi"/>
          <w:color w:val="000000" w:themeColor="text1"/>
          <w:rtl/>
        </w:rPr>
        <w:t xml:space="preserve">: </w:t>
      </w:r>
      <w:r w:rsidRPr="00F30EF3">
        <w:rPr>
          <w:rFonts w:cstheme="minorHAnsi"/>
          <w:rtl/>
        </w:rPr>
        <w:t>قد لا يكون تسويق الملكية الفكرية ملائماً دائماً، وفي بعض الأحيان يكون أفضل ما يساعد على نقل المعرفة هو وضع الملكية الفكرية في الملك العام دون تسجيل الملكية الفكرية للحماية و/أو جعل الملكية الفكرية مفتوحة المصدر مقابل رسم رمزي أو مجاناً. تواجه النماذج التقليدية لاستغلال المحتوى بشكل عام تحديات بسبب نماذج مثل حركة النفاذ المفتوح الدولي للأبحاث</w:t>
      </w:r>
      <w:r w:rsidRPr="00F30EF3">
        <w:rPr>
          <w:rStyle w:val="FootnoteReference"/>
          <w:rFonts w:cstheme="minorHAnsi"/>
          <w:rtl/>
          <w:lang w:val="en-US"/>
        </w:rPr>
        <w:footnoteReference w:id="127"/>
      </w:r>
      <w:r w:rsidRPr="00F30EF3">
        <w:rPr>
          <w:rFonts w:cstheme="minorHAnsi"/>
          <w:rtl/>
        </w:rPr>
        <w:t xml:space="preserve"> وحركة الموارد التعليمية المفتوحة.</w:t>
      </w:r>
      <w:r w:rsidRPr="00F30EF3">
        <w:rPr>
          <w:rStyle w:val="FootnoteReference"/>
          <w:rFonts w:cstheme="minorHAnsi"/>
          <w:rtl/>
          <w:lang w:val="en-US"/>
        </w:rPr>
        <w:footnoteReference w:id="128"/>
      </w:r>
      <w:r w:rsidRPr="00F30EF3">
        <w:rPr>
          <w:rFonts w:cstheme="minorHAnsi"/>
          <w:rtl/>
        </w:rPr>
        <w:t xml:space="preserve"> لا يعني قرار تعزيز إصدار الموارد التعليمية المفتوحة في المؤسسة إصدار جميع مواد التدريس والتعلم بموجب تراخيص مفتوحة. وينبغي أن توفر سياسة الموارد التعليمية المفتوحة مجموعة من الخيارات، حيث يمكن إصدار المادة ذاتها بموجب ترخيص مجموعة المشاع الإبداعي للاستخدام غير التجاري، وبموجب ترخيص أكثر تقييداً (و/أو مقابل إتاوة) للاستخدام التجاري. </w:t>
      </w:r>
    </w:p>
    <w:p w14:paraId="03A35E44" w14:textId="77777777" w:rsidR="00EC1B44" w:rsidRPr="00F30EF3" w:rsidRDefault="00EC1B44" w:rsidP="00661B83">
      <w:pPr>
        <w:pStyle w:val="ListParagraph"/>
        <w:numPr>
          <w:ilvl w:val="0"/>
          <w:numId w:val="51"/>
        </w:numPr>
        <w:tabs>
          <w:tab w:val="clear" w:pos="357"/>
          <w:tab w:val="num" w:pos="426"/>
        </w:tabs>
        <w:spacing w:after="120" w:line="240" w:lineRule="auto"/>
        <w:ind w:left="425" w:hanging="425"/>
        <w:contextualSpacing w:val="0"/>
        <w:jc w:val="both"/>
        <w:rPr>
          <w:rFonts w:cstheme="minorHAnsi"/>
          <w:rtl/>
        </w:rPr>
      </w:pPr>
      <w:r w:rsidRPr="00F30EF3">
        <w:rPr>
          <w:rFonts w:cstheme="minorHAnsi"/>
          <w:rtl/>
        </w:rPr>
        <w:t>تؤثر الموارد التعليمية المفتوحة على الملكية والتأليف.</w:t>
      </w:r>
      <w:r w:rsidRPr="00F30EF3">
        <w:rPr>
          <w:rStyle w:val="FootnoteReference"/>
          <w:rFonts w:cstheme="minorHAnsi"/>
          <w:rtl/>
          <w:lang w:val="en-US"/>
        </w:rPr>
        <w:footnoteReference w:id="129"/>
      </w:r>
      <w:r w:rsidRPr="00F30EF3">
        <w:rPr>
          <w:rFonts w:cstheme="minorHAnsi"/>
          <w:rtl/>
        </w:rPr>
        <w:t xml:space="preserve"> ينبغي تحديد مواد الدورة التي تتضمن مواد طرف آخر (ترخيص داخلي)، بالإضافة إلى الموارد التعليمية المفتوحة وتمييزها. لا ينبغي إصدار الملكية الفكرية للمؤسسة باعتبارها موارد تعليمية مفتوحة ما لم يتم تخليص جميع الحقوق. يصعّب تخليص الحقوق في المواد الخاصة بطرف آخر (المواد المُرخصة داخلياً) ضمن مواد الدورة إصدارها باعتبارها موارد تعليمية مفتوحة في كثير من الحالات (خاصةً فيما يتعلق بمحتوى الوسائط المتعددة لدى أصحاب حقوق متعددين) وقد تتحمل المؤسسة المسؤولية عن التعدي على حق المؤلف في حالة إصدار مواد مُرخصة داخلياً عن غير قصد كموارد تعليمية مفتوحة. </w:t>
      </w:r>
    </w:p>
    <w:p w14:paraId="722F3526" w14:textId="77777777" w:rsidR="00EC1B44" w:rsidRPr="00F30EF3" w:rsidRDefault="0043748B" w:rsidP="00661B83">
      <w:pPr>
        <w:pStyle w:val="ListParagraph"/>
        <w:numPr>
          <w:ilvl w:val="0"/>
          <w:numId w:val="51"/>
        </w:numPr>
        <w:autoSpaceDE w:val="0"/>
        <w:autoSpaceDN w:val="0"/>
        <w:adjustRightInd w:val="0"/>
        <w:spacing w:after="120" w:line="240" w:lineRule="auto"/>
        <w:contextualSpacing w:val="0"/>
        <w:jc w:val="both"/>
        <w:rPr>
          <w:rFonts w:cstheme="minorHAnsi"/>
          <w:rtl/>
        </w:rPr>
      </w:pPr>
      <w:r w:rsidRPr="00F30EF3">
        <w:rPr>
          <w:rFonts w:cstheme="minorHAnsi"/>
          <w:b/>
          <w:bCs/>
          <w:rtl/>
        </w:rPr>
        <w:t>الخيار.</w:t>
      </w:r>
      <w:r w:rsidRPr="00F30EF3">
        <w:rPr>
          <w:rFonts w:cstheme="minorHAnsi"/>
          <w:rtl/>
        </w:rPr>
        <w:t xml:space="preserve"> يمكن إضافة البنود التالية، حال رغبت المؤسسة في الإشارة إلى حقوق المبدعين والأطراف الخارجية:</w:t>
      </w:r>
    </w:p>
    <w:p w14:paraId="3F7333B8" w14:textId="77777777" w:rsidR="00EC1B44" w:rsidRPr="00F30EF3" w:rsidRDefault="00EC1B44" w:rsidP="00661B83">
      <w:pPr>
        <w:autoSpaceDE w:val="0"/>
        <w:autoSpaceDN w:val="0"/>
        <w:adjustRightInd w:val="0"/>
        <w:spacing w:after="120" w:line="240" w:lineRule="auto"/>
        <w:ind w:left="851"/>
        <w:jc w:val="both"/>
        <w:rPr>
          <w:rFonts w:cstheme="minorHAnsi"/>
          <w:rtl/>
        </w:rPr>
      </w:pPr>
      <w:r w:rsidRPr="00F30EF3">
        <w:rPr>
          <w:rFonts w:cstheme="minorHAnsi"/>
          <w:b/>
          <w:bCs/>
        </w:rPr>
        <w:t>X.7.5</w:t>
      </w:r>
      <w:r w:rsidRPr="00F30EF3">
        <w:rPr>
          <w:rFonts w:cstheme="minorHAnsi"/>
          <w:b/>
          <w:bCs/>
          <w:rtl/>
        </w:rPr>
        <w:t>.</w:t>
      </w:r>
      <w:r w:rsidRPr="00F30EF3">
        <w:rPr>
          <w:rFonts w:cstheme="minorHAnsi"/>
          <w:rtl/>
        </w:rPr>
        <w:t xml:space="preserve">  </w:t>
      </w:r>
      <w:r w:rsidRPr="00F30EF3">
        <w:rPr>
          <w:rFonts w:cstheme="minorHAnsi"/>
          <w:i/>
          <w:iCs/>
          <w:rtl/>
        </w:rPr>
        <w:t>"إذا كان أحد الموظفين أو الطلاب يرى أن أفضل ما يساعد على نقل المعرفة هو وضع الملكية الفكرية في الملك العام، فيجب عليه مناقشة هذا الأمر والاتفاق عليه مع المفوّض أو المستشار الأكاديمي أو المشرف، حسبما يكون مناسباً".</w:t>
      </w:r>
    </w:p>
    <w:p w14:paraId="62408608" w14:textId="1A2E1884" w:rsidR="00EC1B44" w:rsidRPr="00F30EF3" w:rsidRDefault="00EC1B44" w:rsidP="00661B83">
      <w:pPr>
        <w:autoSpaceDE w:val="0"/>
        <w:autoSpaceDN w:val="0"/>
        <w:adjustRightInd w:val="0"/>
        <w:spacing w:after="120" w:line="240" w:lineRule="auto"/>
        <w:ind w:left="851"/>
        <w:jc w:val="both"/>
        <w:rPr>
          <w:rFonts w:cstheme="minorHAnsi"/>
          <w:rtl/>
        </w:rPr>
      </w:pPr>
      <w:r w:rsidRPr="00F30EF3">
        <w:rPr>
          <w:rFonts w:cstheme="minorHAnsi"/>
          <w:b/>
          <w:bCs/>
          <w:rtl/>
        </w:rPr>
        <w:t>5.</w:t>
      </w:r>
      <w:r w:rsidR="00E60B33" w:rsidRPr="00F30EF3">
        <w:rPr>
          <w:rFonts w:cstheme="minorHAnsi"/>
          <w:b/>
          <w:bCs/>
        </w:rPr>
        <w:t>7</w:t>
      </w:r>
      <w:r w:rsidRPr="00F30EF3">
        <w:rPr>
          <w:rFonts w:cstheme="minorHAnsi"/>
          <w:b/>
          <w:bCs/>
          <w:rtl/>
        </w:rPr>
        <w:t>.</w:t>
      </w:r>
      <w:r w:rsidRPr="00F30EF3">
        <w:rPr>
          <w:rFonts w:cstheme="minorHAnsi"/>
          <w:b/>
          <w:bCs/>
        </w:rPr>
        <w:t>X</w:t>
      </w:r>
      <w:r w:rsidRPr="00F30EF3">
        <w:rPr>
          <w:rFonts w:cstheme="minorHAnsi"/>
          <w:rtl/>
        </w:rPr>
        <w:t>. "</w:t>
      </w:r>
      <w:r w:rsidRPr="00F30EF3">
        <w:rPr>
          <w:rFonts w:cstheme="minorHAnsi"/>
          <w:i/>
          <w:iCs/>
          <w:rtl/>
        </w:rPr>
        <w:t>في حالة إنشاء الملكية الفكرية بدعم من طرف خارجي، فحينها يجب على [المفوّض أو المستشار الأكاديمي أو المشرف، حسبما يكون مناسباً] مناقشة الوضع والاتفاق عليه مع مكتب إدارة الملكية الفكرية والطرف الخارجي. سيقرر [المفوّض أو المستشار الأكاديمي أو المشرف، حسبما يكون مناسباً]، أو مكتب إدارة الملكية الفكرية (في حالة إنشاء الملكية الفكرية بدعم من طرف خارجي)، مع الموظفين أو الطلاب المعنيين الذين أنشئوا الملكية الفكرية ما إذا كان من الملائم وضع الملكية الفكرية في الملك العام أو جعلها مفتوحة المصدر، مع الآخذ بعين الاعتبار ما يعتقد [المفوّض أو المستشار الأكاديمي أو المشرف، حسبما يكون مناسباً]، أو مكتب إدارة الملكية الفكرية (حسب الحالة) أنه يحقق مصلحة المؤسسة."</w:t>
      </w:r>
      <w:r w:rsidRPr="00F30EF3">
        <w:rPr>
          <w:rStyle w:val="FootnoteReference"/>
          <w:rFonts w:cstheme="minorHAnsi"/>
          <w:i/>
          <w:iCs/>
          <w:rtl/>
          <w:lang w:val="en-US"/>
        </w:rPr>
        <w:footnoteReference w:id="130"/>
      </w:r>
    </w:p>
    <w:p w14:paraId="6062CB01" w14:textId="77777777" w:rsidR="000D7090" w:rsidRPr="00F30EF3" w:rsidRDefault="00365FE8" w:rsidP="00661B83">
      <w:pPr>
        <w:pStyle w:val="Heading3"/>
        <w:spacing w:before="0" w:after="120"/>
        <w:rPr>
          <w:rFonts w:asciiTheme="minorHAnsi" w:hAnsiTheme="minorHAnsi" w:cstheme="minorHAnsi"/>
          <w:sz w:val="24"/>
          <w:szCs w:val="24"/>
          <w:rtl/>
        </w:rPr>
      </w:pPr>
      <w:bookmarkStart w:id="174" w:name="_Toc494115974"/>
      <w:bookmarkStart w:id="175" w:name="_Toc516160063"/>
      <w:bookmarkStart w:id="176" w:name="_Toc516219406"/>
      <w:bookmarkStart w:id="177" w:name="_Toc516496048"/>
      <w:bookmarkStart w:id="178" w:name="_Toc516829420"/>
      <w:r w:rsidRPr="00F30EF3">
        <w:rPr>
          <w:rFonts w:asciiTheme="minorHAnsi" w:hAnsiTheme="minorHAnsi" w:cstheme="minorHAnsi"/>
          <w:sz w:val="24"/>
          <w:szCs w:val="24"/>
          <w:rtl/>
        </w:rPr>
        <w:t>موارد مفيدة</w:t>
      </w:r>
      <w:bookmarkEnd w:id="174"/>
      <w:r w:rsidRPr="00F30EF3">
        <w:rPr>
          <w:rFonts w:asciiTheme="minorHAnsi" w:hAnsiTheme="minorHAnsi" w:cstheme="minorHAnsi"/>
          <w:sz w:val="24"/>
          <w:szCs w:val="24"/>
          <w:rtl/>
        </w:rPr>
        <w:t xml:space="preserve"> تتعلق بالمادة 5</w:t>
      </w:r>
      <w:bookmarkEnd w:id="175"/>
      <w:bookmarkEnd w:id="176"/>
      <w:bookmarkEnd w:id="177"/>
      <w:bookmarkEnd w:id="178"/>
    </w:p>
    <w:p w14:paraId="4912C6FF" w14:textId="77777777" w:rsidR="000D7090" w:rsidRPr="00F30EF3" w:rsidRDefault="007E14E2" w:rsidP="00661B83">
      <w:pPr>
        <w:pStyle w:val="ListParagraph"/>
        <w:numPr>
          <w:ilvl w:val="0"/>
          <w:numId w:val="12"/>
        </w:numPr>
        <w:shd w:val="clear" w:color="auto" w:fill="FFFFFF"/>
        <w:spacing w:after="120" w:line="240" w:lineRule="auto"/>
        <w:ind w:left="426" w:hanging="426"/>
        <w:contextualSpacing w:val="0"/>
        <w:jc w:val="both"/>
        <w:rPr>
          <w:rFonts w:eastAsia="Times New Roman" w:cstheme="minorHAnsi"/>
          <w:rtl/>
        </w:rPr>
      </w:pPr>
      <w:r w:rsidRPr="00F30EF3">
        <w:rPr>
          <w:rFonts w:cstheme="minorHAnsi"/>
          <w:b/>
          <w:bCs/>
          <w:rtl/>
        </w:rPr>
        <w:t>الأسئلة الشائعة حول قضايا الملكية</w:t>
      </w:r>
      <w:r w:rsidRPr="00F30EF3">
        <w:rPr>
          <w:rFonts w:cstheme="minorHAnsi"/>
          <w:rtl/>
        </w:rPr>
        <w:t xml:space="preserve">. تحتوي </w:t>
      </w:r>
      <w:hyperlink r:id="rId91" w:history="1">
        <w:r w:rsidRPr="00F30EF3">
          <w:rPr>
            <w:rStyle w:val="Hyperlink"/>
            <w:rFonts w:cstheme="minorHAnsi"/>
            <w:rtl/>
          </w:rPr>
          <w:t>صفحة الويب الخاصة بالويبو</w:t>
        </w:r>
      </w:hyperlink>
      <w:r w:rsidRPr="00F30EF3">
        <w:rPr>
          <w:rFonts w:cstheme="minorHAnsi"/>
          <w:rtl/>
        </w:rPr>
        <w:t xml:space="preserve"> تحتوي على مجموعة من الأسئلة الشائعة حول قضايا الملكية. </w:t>
      </w:r>
    </w:p>
    <w:p w14:paraId="051D1556" w14:textId="77777777" w:rsidR="00EC1B44" w:rsidRPr="00F30EF3" w:rsidRDefault="00EC1B44" w:rsidP="00661B83">
      <w:pPr>
        <w:pStyle w:val="ListParagraph"/>
        <w:numPr>
          <w:ilvl w:val="0"/>
          <w:numId w:val="12"/>
        </w:numPr>
        <w:shd w:val="clear" w:color="auto" w:fill="FFFFFF"/>
        <w:spacing w:after="120" w:line="240" w:lineRule="auto"/>
        <w:ind w:left="426" w:hanging="426"/>
        <w:contextualSpacing w:val="0"/>
        <w:jc w:val="both"/>
        <w:rPr>
          <w:rFonts w:eastAsia="Times New Roman" w:cstheme="minorHAnsi"/>
          <w:rtl/>
        </w:rPr>
      </w:pPr>
      <w:r w:rsidRPr="00F30EF3">
        <w:rPr>
          <w:rFonts w:cstheme="minorHAnsi"/>
          <w:b/>
          <w:bCs/>
          <w:rtl/>
        </w:rPr>
        <w:t>قضايا حق المؤلف</w:t>
      </w:r>
      <w:r w:rsidRPr="00F30EF3">
        <w:rPr>
          <w:rFonts w:cstheme="minorHAnsi"/>
          <w:rtl/>
        </w:rPr>
        <w:t xml:space="preserve"> </w:t>
      </w:r>
      <w:r w:rsidRPr="00F30EF3">
        <w:rPr>
          <w:rFonts w:cstheme="minorHAnsi"/>
          <w:b/>
          <w:bCs/>
          <w:rtl/>
        </w:rPr>
        <w:t>بما في ذلك مواد الدورة التدريبية</w:t>
      </w:r>
      <w:r w:rsidRPr="00F30EF3">
        <w:rPr>
          <w:rFonts w:cstheme="minorHAnsi"/>
          <w:rtl/>
        </w:rPr>
        <w:t xml:space="preserve">. </w:t>
      </w:r>
    </w:p>
    <w:p w14:paraId="47C82CC7" w14:textId="77777777" w:rsidR="007F1924" w:rsidRPr="00F30EF3" w:rsidRDefault="007F1924" w:rsidP="00661B83">
      <w:pPr>
        <w:spacing w:after="120" w:line="240" w:lineRule="auto"/>
        <w:ind w:left="709" w:hanging="283"/>
        <w:jc w:val="both"/>
        <w:rPr>
          <w:rFonts w:eastAsia="Times New Roman" w:cstheme="minorHAnsi"/>
          <w:rtl/>
        </w:rPr>
      </w:pPr>
      <w:r w:rsidRPr="00F30EF3">
        <w:rPr>
          <w:rFonts w:cstheme="minorHAnsi"/>
          <w:rtl/>
        </w:rPr>
        <w:t xml:space="preserve">- </w:t>
      </w:r>
      <w:r w:rsidRPr="00F30EF3">
        <w:rPr>
          <w:rFonts w:cstheme="minorHAnsi"/>
          <w:rtl/>
        </w:rPr>
        <w:tab/>
        <w:t xml:space="preserve">جامعة كاليفورنيا، </w:t>
      </w:r>
      <w:hyperlink r:id="rId92" w:history="1">
        <w:r w:rsidRPr="00F30EF3">
          <w:rPr>
            <w:rStyle w:val="Hyperlink"/>
            <w:rFonts w:cstheme="minorHAnsi"/>
            <w:rtl/>
          </w:rPr>
          <w:t>سياسة ملكية مواد الدورة التدريبية</w:t>
        </w:r>
      </w:hyperlink>
    </w:p>
    <w:p w14:paraId="656AB265" w14:textId="77777777" w:rsidR="00334C92" w:rsidRPr="00F30EF3" w:rsidRDefault="0028017B" w:rsidP="00661B83">
      <w:pPr>
        <w:pStyle w:val="ListParagraph"/>
        <w:numPr>
          <w:ilvl w:val="0"/>
          <w:numId w:val="12"/>
        </w:numPr>
        <w:spacing w:after="120" w:line="240" w:lineRule="auto"/>
        <w:ind w:left="426" w:hanging="426"/>
        <w:contextualSpacing w:val="0"/>
        <w:jc w:val="both"/>
        <w:rPr>
          <w:rFonts w:cstheme="minorHAnsi"/>
          <w:rtl/>
        </w:rPr>
      </w:pPr>
      <w:r w:rsidRPr="00F30EF3">
        <w:rPr>
          <w:rFonts w:cstheme="minorHAnsi"/>
          <w:b/>
          <w:bCs/>
          <w:rtl/>
        </w:rPr>
        <w:t>معلومات عامة وأفضل الممارسات لملكية الملكية الفكرية أو إدارتها</w:t>
      </w:r>
      <w:r w:rsidRPr="00F30EF3">
        <w:rPr>
          <w:rFonts w:cstheme="minorHAnsi"/>
          <w:rtl/>
        </w:rPr>
        <w:t>.</w:t>
      </w:r>
    </w:p>
    <w:p w14:paraId="494AC04E" w14:textId="77777777" w:rsidR="007E14E2" w:rsidRPr="00F30EF3" w:rsidRDefault="007E14E2" w:rsidP="00661B83">
      <w:pPr>
        <w:pStyle w:val="ListParagraph"/>
        <w:numPr>
          <w:ilvl w:val="1"/>
          <w:numId w:val="12"/>
        </w:numPr>
        <w:spacing w:after="120" w:line="240" w:lineRule="auto"/>
        <w:ind w:left="709" w:hanging="283"/>
        <w:contextualSpacing w:val="0"/>
        <w:jc w:val="both"/>
        <w:rPr>
          <w:rFonts w:cstheme="minorHAnsi"/>
          <w:rtl/>
        </w:rPr>
      </w:pPr>
      <w:r w:rsidRPr="00F30EF3">
        <w:rPr>
          <w:rFonts w:cstheme="minorHAnsi"/>
          <w:rtl/>
        </w:rPr>
        <w:t>رابطة البحوث الجامعية والروابط الصناعية (</w:t>
      </w:r>
      <w:r w:rsidRPr="00F30EF3">
        <w:rPr>
          <w:rFonts w:cstheme="minorHAnsi"/>
        </w:rPr>
        <w:t>AURIL</w:t>
      </w:r>
      <w:r w:rsidRPr="00F30EF3">
        <w:rPr>
          <w:rFonts w:cstheme="minorHAnsi"/>
          <w:rtl/>
        </w:rPr>
        <w:t xml:space="preserve">)  </w:t>
      </w:r>
    </w:p>
    <w:p w14:paraId="53C05497" w14:textId="77777777" w:rsidR="00500E20" w:rsidRPr="00F30EF3" w:rsidRDefault="00D3795B" w:rsidP="00464282">
      <w:pPr>
        <w:pStyle w:val="ListParagraph"/>
        <w:numPr>
          <w:ilvl w:val="1"/>
          <w:numId w:val="12"/>
        </w:numPr>
        <w:spacing w:line="240" w:lineRule="auto"/>
        <w:ind w:left="709" w:hanging="283"/>
        <w:jc w:val="both"/>
        <w:rPr>
          <w:rFonts w:cstheme="minorHAnsi"/>
          <w:rtl/>
        </w:rPr>
      </w:pPr>
      <w:hyperlink r:id="rId93" w:history="1">
        <w:r w:rsidR="00372C70" w:rsidRPr="00F30EF3">
          <w:rPr>
            <w:rStyle w:val="Hyperlink"/>
            <w:rFonts w:cstheme="minorHAnsi"/>
            <w:rtl/>
          </w:rPr>
          <w:t>صحيفة الوقائع.</w:t>
        </w:r>
      </w:hyperlink>
      <w:hyperlink r:id="rId94" w:history="1">
        <w:r w:rsidR="00372C70" w:rsidRPr="00F30EF3">
          <w:rPr>
            <w:rStyle w:val="Hyperlink"/>
            <w:rFonts w:cstheme="minorHAnsi"/>
            <w:rtl/>
          </w:rPr>
          <w:t xml:space="preserve"> أبوة الاختراع والتأليف والملكية</w:t>
        </w:r>
      </w:hyperlink>
      <w:r w:rsidR="00372C70" w:rsidRPr="00F30EF3">
        <w:rPr>
          <w:rFonts w:cstheme="minorHAnsi"/>
          <w:rtl/>
        </w:rPr>
        <w:t>، مكتب المساعدة الأوروبي لحقوق الملكية الفكرية</w:t>
      </w:r>
    </w:p>
    <w:p w14:paraId="147A000C" w14:textId="77777777" w:rsidR="00500E20" w:rsidRPr="00F30EF3" w:rsidRDefault="00D3795B" w:rsidP="00500E20">
      <w:pPr>
        <w:pStyle w:val="ListParagraph"/>
        <w:numPr>
          <w:ilvl w:val="1"/>
          <w:numId w:val="12"/>
        </w:numPr>
        <w:spacing w:line="240" w:lineRule="auto"/>
        <w:ind w:left="709" w:hanging="283"/>
        <w:jc w:val="both"/>
        <w:rPr>
          <w:rFonts w:cstheme="minorHAnsi"/>
          <w:rtl/>
        </w:rPr>
      </w:pPr>
      <w:hyperlink r:id="rId95" w:history="1">
        <w:r w:rsidR="00372C70" w:rsidRPr="00F30EF3">
          <w:rPr>
            <w:rStyle w:val="Hyperlink"/>
            <w:rFonts w:cstheme="minorHAnsi"/>
            <w:rtl/>
          </w:rPr>
          <w:t>صحيفة الوقائع.</w:t>
        </w:r>
      </w:hyperlink>
      <w:hyperlink r:id="rId96" w:history="1">
        <w:r w:rsidR="00372C70" w:rsidRPr="00F30EF3">
          <w:rPr>
            <w:rStyle w:val="Hyperlink"/>
            <w:rFonts w:cstheme="minorHAnsi"/>
            <w:rtl/>
          </w:rPr>
          <w:t xml:space="preserve"> الملكية المشتركة للملكية الفكرية</w:t>
        </w:r>
      </w:hyperlink>
      <w:r w:rsidR="00372C70" w:rsidRPr="00F30EF3">
        <w:rPr>
          <w:rFonts w:cstheme="minorHAnsi"/>
          <w:rtl/>
        </w:rPr>
        <w:t>، مكتب المساعدة الأوروبي لحقوق الملكية الفكرية</w:t>
      </w:r>
    </w:p>
    <w:p w14:paraId="27608203" w14:textId="77777777" w:rsidR="00500E20" w:rsidRPr="00F30EF3" w:rsidRDefault="00500E20" w:rsidP="00661B83">
      <w:pPr>
        <w:pStyle w:val="ListParagraph"/>
        <w:numPr>
          <w:ilvl w:val="1"/>
          <w:numId w:val="12"/>
        </w:numPr>
        <w:spacing w:after="120" w:line="240" w:lineRule="auto"/>
        <w:ind w:left="720" w:hanging="288"/>
        <w:contextualSpacing w:val="0"/>
        <w:jc w:val="both"/>
        <w:rPr>
          <w:rFonts w:cstheme="minorHAnsi"/>
          <w:rtl/>
        </w:rPr>
      </w:pPr>
      <w:r w:rsidRPr="00F30EF3">
        <w:rPr>
          <w:rFonts w:cstheme="minorHAnsi"/>
          <w:rtl/>
        </w:rPr>
        <w:lastRenderedPageBreak/>
        <w:t xml:space="preserve">لمزيد من المعلومات: انظر القائمة أو الموارد المتوفرة على </w:t>
      </w:r>
      <w:hyperlink r:id="rId97" w:history="1">
        <w:r w:rsidRPr="00F30EF3">
          <w:rPr>
            <w:rStyle w:val="Hyperlink"/>
            <w:rFonts w:cstheme="minorHAnsi"/>
            <w:rtl/>
          </w:rPr>
          <w:t>موقع الويبو الإلكتروني</w:t>
        </w:r>
      </w:hyperlink>
      <w:r w:rsidRPr="00F30EF3">
        <w:rPr>
          <w:rFonts w:cstheme="minorHAnsi"/>
          <w:rtl/>
        </w:rPr>
        <w:t>، تحت عنوان "ملكية الأبحاث الجامعية"</w:t>
      </w:r>
    </w:p>
    <w:p w14:paraId="0B9DE8BB" w14:textId="77777777" w:rsidR="00D92319" w:rsidRPr="00F30EF3" w:rsidRDefault="00D92319" w:rsidP="003E7F87">
      <w:pPr>
        <w:pStyle w:val="ListParagraph"/>
        <w:keepNext/>
        <w:keepLines/>
        <w:numPr>
          <w:ilvl w:val="0"/>
          <w:numId w:val="12"/>
        </w:numPr>
        <w:spacing w:line="240" w:lineRule="auto"/>
        <w:ind w:left="426" w:hanging="426"/>
        <w:jc w:val="both"/>
        <w:rPr>
          <w:rFonts w:cstheme="minorHAnsi"/>
          <w:rtl/>
        </w:rPr>
      </w:pPr>
      <w:r w:rsidRPr="00F30EF3">
        <w:rPr>
          <w:rFonts w:cstheme="minorHAnsi"/>
          <w:b/>
          <w:bCs/>
          <w:rtl/>
        </w:rPr>
        <w:t>الملكية الفكرية التي ينشئها الطلاب</w:t>
      </w:r>
      <w:r w:rsidRPr="00F30EF3">
        <w:rPr>
          <w:rFonts w:cstheme="minorHAnsi"/>
          <w:rtl/>
        </w:rPr>
        <w:t>.</w:t>
      </w:r>
    </w:p>
    <w:p w14:paraId="43F600A9" w14:textId="77777777" w:rsidR="007F1924" w:rsidRPr="00F30EF3" w:rsidRDefault="007F1924" w:rsidP="003E7F87">
      <w:pPr>
        <w:pStyle w:val="ListParagraph"/>
        <w:keepNext/>
        <w:keepLines/>
        <w:numPr>
          <w:ilvl w:val="1"/>
          <w:numId w:val="12"/>
        </w:numPr>
        <w:spacing w:line="240" w:lineRule="auto"/>
        <w:ind w:left="709" w:hanging="283"/>
        <w:jc w:val="both"/>
        <w:rPr>
          <w:rFonts w:cstheme="minorHAnsi"/>
          <w:rtl/>
        </w:rPr>
      </w:pPr>
      <w:r w:rsidRPr="00F30EF3">
        <w:rPr>
          <w:rFonts w:cstheme="minorHAnsi"/>
          <w:rtl/>
        </w:rPr>
        <w:t xml:space="preserve">للاطلاع على أمثلة على سياسات الملكية الفكرية التي تتناول الملكية الفكرية للطلاب، ابحث في </w:t>
      </w:r>
      <w:hyperlink r:id="rId98" w:history="1">
        <w:r w:rsidRPr="00F30EF3">
          <w:rPr>
            <w:rStyle w:val="Hyperlink"/>
            <w:rFonts w:cstheme="minorHAnsi"/>
            <w:rtl/>
          </w:rPr>
          <w:t>قاعدة بيانات الويبو لسياسات الملكية الفكرية</w:t>
        </w:r>
      </w:hyperlink>
    </w:p>
    <w:p w14:paraId="4F842C1C" w14:textId="77777777" w:rsidR="007F1924" w:rsidRPr="00F30EF3" w:rsidRDefault="007F1924" w:rsidP="003E7F87">
      <w:pPr>
        <w:pStyle w:val="ListParagraph"/>
        <w:keepNext/>
        <w:keepLines/>
        <w:numPr>
          <w:ilvl w:val="1"/>
          <w:numId w:val="12"/>
        </w:numPr>
        <w:spacing w:line="240" w:lineRule="auto"/>
        <w:ind w:left="709" w:hanging="283"/>
        <w:jc w:val="both"/>
        <w:rPr>
          <w:rFonts w:cstheme="minorHAnsi"/>
          <w:rtl/>
        </w:rPr>
      </w:pPr>
      <w:r w:rsidRPr="00F30EF3">
        <w:rPr>
          <w:rFonts w:cstheme="minorHAnsi"/>
        </w:rPr>
        <w:t xml:space="preserve">Unico- </w:t>
      </w:r>
      <w:hyperlink r:id="rId99" w:history="1">
        <w:r w:rsidRPr="00F30EF3">
          <w:rPr>
            <w:rStyle w:val="Hyperlink"/>
            <w:rFonts w:cstheme="minorHAnsi"/>
            <w:rtl/>
          </w:rPr>
          <w:t>الدليل العملي للطلاب والملكية الفكرية</w:t>
        </w:r>
      </w:hyperlink>
      <w:r w:rsidRPr="00F30EF3">
        <w:rPr>
          <w:rFonts w:cstheme="minorHAnsi"/>
          <w:rtl/>
        </w:rPr>
        <w:t xml:space="preserve">، </w:t>
      </w:r>
      <w:r w:rsidRPr="00F30EF3">
        <w:rPr>
          <w:rFonts w:cstheme="minorHAnsi"/>
        </w:rPr>
        <w:t>PraxisUnico</w:t>
      </w:r>
      <w:r w:rsidRPr="00F30EF3">
        <w:rPr>
          <w:rFonts w:cstheme="minorHAnsi"/>
          <w:rtl/>
        </w:rPr>
        <w:t xml:space="preserve"> (2006)</w:t>
      </w:r>
    </w:p>
    <w:p w14:paraId="1C9D0A69" w14:textId="77777777" w:rsidR="00EC1B44" w:rsidRPr="00F30EF3" w:rsidRDefault="00EC1B44" w:rsidP="003E7F87">
      <w:pPr>
        <w:pStyle w:val="ListParagraph"/>
        <w:keepNext/>
        <w:keepLines/>
        <w:numPr>
          <w:ilvl w:val="1"/>
          <w:numId w:val="12"/>
        </w:numPr>
        <w:spacing w:line="240" w:lineRule="auto"/>
        <w:ind w:left="709" w:hanging="283"/>
        <w:jc w:val="both"/>
        <w:rPr>
          <w:rFonts w:cstheme="minorHAnsi"/>
          <w:rtl/>
        </w:rPr>
      </w:pPr>
      <w:r w:rsidRPr="00F30EF3">
        <w:rPr>
          <w:rFonts w:cstheme="minorHAnsi"/>
          <w:rtl/>
        </w:rPr>
        <w:t xml:space="preserve">الأسئلة الشائعة حول الملكية الفكرية في الاختراعات التي يطورها الطلاب: انظر </w:t>
      </w:r>
      <w:hyperlink r:id="rId100" w:history="1">
        <w:r w:rsidRPr="00F30EF3">
          <w:rPr>
            <w:rStyle w:val="Hyperlink"/>
            <w:rFonts w:cstheme="minorHAnsi"/>
            <w:rtl/>
          </w:rPr>
          <w:t>الموقع الإلكتروني</w:t>
        </w:r>
      </w:hyperlink>
      <w:r w:rsidRPr="00F30EF3">
        <w:rPr>
          <w:rFonts w:cstheme="minorHAnsi"/>
          <w:rtl/>
        </w:rPr>
        <w:t xml:space="preserve"> لنظام جامعة ميسوري </w:t>
      </w:r>
    </w:p>
    <w:p w14:paraId="4FA5289F" w14:textId="77777777" w:rsidR="00D92319" w:rsidRPr="00F30EF3" w:rsidRDefault="00D92319" w:rsidP="003E7F87">
      <w:pPr>
        <w:pStyle w:val="ListParagraph"/>
        <w:keepNext/>
        <w:keepLines/>
        <w:spacing w:line="240" w:lineRule="auto"/>
        <w:ind w:left="426"/>
        <w:jc w:val="both"/>
        <w:rPr>
          <w:rFonts w:cstheme="minorHAnsi"/>
          <w:lang w:val="en-US"/>
        </w:rPr>
      </w:pPr>
    </w:p>
    <w:p w14:paraId="0E144ABC" w14:textId="77777777" w:rsidR="00334C92" w:rsidRPr="00F30EF3" w:rsidRDefault="00334C92" w:rsidP="00464282">
      <w:pPr>
        <w:pStyle w:val="ListParagraph"/>
        <w:numPr>
          <w:ilvl w:val="0"/>
          <w:numId w:val="12"/>
        </w:numPr>
        <w:spacing w:line="240" w:lineRule="auto"/>
        <w:ind w:left="426" w:hanging="426"/>
        <w:jc w:val="both"/>
        <w:rPr>
          <w:rFonts w:cstheme="minorHAnsi"/>
          <w:rtl/>
        </w:rPr>
      </w:pPr>
      <w:r w:rsidRPr="00F30EF3">
        <w:rPr>
          <w:rFonts w:cstheme="minorHAnsi"/>
          <w:b/>
          <w:bCs/>
          <w:rtl/>
        </w:rPr>
        <w:t>دراسات مقارنة</w:t>
      </w:r>
      <w:r w:rsidRPr="00F30EF3">
        <w:rPr>
          <w:rFonts w:cstheme="minorHAnsi"/>
          <w:rtl/>
        </w:rPr>
        <w:t xml:space="preserve">. قد قارنت بعض المبادرات بين أنظمة ملكية الملكية الفكرية الوطنية. انظر على سبيل المثال: </w:t>
      </w:r>
    </w:p>
    <w:p w14:paraId="3B83C226" w14:textId="0154EC06" w:rsidR="00334C92" w:rsidRPr="00F30EF3" w:rsidRDefault="00334C92" w:rsidP="00464282">
      <w:pPr>
        <w:pStyle w:val="ListParagraph"/>
        <w:numPr>
          <w:ilvl w:val="1"/>
          <w:numId w:val="12"/>
        </w:numPr>
        <w:spacing w:line="240" w:lineRule="auto"/>
        <w:ind w:left="709" w:hanging="283"/>
        <w:jc w:val="both"/>
        <w:rPr>
          <w:rFonts w:cstheme="minorHAnsi"/>
          <w:rtl/>
        </w:rPr>
      </w:pPr>
      <w:r w:rsidRPr="00F30EF3">
        <w:rPr>
          <w:rFonts w:cstheme="minorHAnsi"/>
          <w:rtl/>
        </w:rPr>
        <w:t>دراسة مقارنة لمنظمة التعاون والتنمية في الميدان الاقتصادي:</w:t>
      </w:r>
      <w:hyperlink r:id="rId101" w:history="1">
        <w:r w:rsidRPr="00F30EF3">
          <w:rPr>
            <w:rFonts w:cstheme="minorHAnsi"/>
            <w:rtl/>
          </w:rPr>
          <w:t xml:space="preserve"> </w:t>
        </w:r>
        <w:r w:rsidRPr="00F30EF3">
          <w:rPr>
            <w:rStyle w:val="Hyperlink"/>
            <w:rFonts w:cstheme="minorHAnsi"/>
            <w:rtl/>
          </w:rPr>
          <w:t>تحويل العلوم إلى أعمال.</w:t>
        </w:r>
      </w:hyperlink>
      <w:r w:rsidR="00DD3189" w:rsidRPr="00F30EF3">
        <w:rPr>
          <w:rStyle w:val="Hyperlink"/>
          <w:rFonts w:cstheme="minorHAnsi"/>
          <w:rtl/>
        </w:rPr>
        <w:t xml:space="preserve"> </w:t>
      </w:r>
      <w:hyperlink r:id="rId102" w:history="1">
        <w:r w:rsidRPr="00F30EF3">
          <w:rPr>
            <w:rStyle w:val="Hyperlink"/>
            <w:rFonts w:cstheme="minorHAnsi"/>
            <w:rtl/>
          </w:rPr>
          <w:t>إصدار البراءات ومنح الترخيص في منظمات البحث العامة</w:t>
        </w:r>
      </w:hyperlink>
      <w:r w:rsidRPr="00F30EF3">
        <w:rPr>
          <w:rFonts w:cstheme="minorHAnsi"/>
          <w:rtl/>
        </w:rPr>
        <w:t xml:space="preserve"> (2003)؛ </w:t>
      </w:r>
    </w:p>
    <w:p w14:paraId="48BBF9F4" w14:textId="77777777" w:rsidR="000D7090" w:rsidRPr="00F30EF3" w:rsidRDefault="00D3795B" w:rsidP="00464282">
      <w:pPr>
        <w:pStyle w:val="ListParagraph"/>
        <w:numPr>
          <w:ilvl w:val="1"/>
          <w:numId w:val="12"/>
        </w:numPr>
        <w:spacing w:line="240" w:lineRule="auto"/>
        <w:ind w:left="709" w:hanging="283"/>
        <w:jc w:val="both"/>
        <w:rPr>
          <w:rFonts w:cstheme="minorHAnsi"/>
          <w:rtl/>
        </w:rPr>
      </w:pPr>
      <w:hyperlink r:id="rId103" w:history="1">
        <w:r w:rsidR="00372C70" w:rsidRPr="00F30EF3">
          <w:rPr>
            <w:rStyle w:val="Hyperlink"/>
            <w:rFonts w:cstheme="minorHAnsi"/>
            <w:rtl/>
          </w:rPr>
          <w:t>مجموعة الأدوات</w:t>
        </w:r>
      </w:hyperlink>
      <w:r w:rsidR="00372C70" w:rsidRPr="00F30EF3">
        <w:rPr>
          <w:rFonts w:cstheme="minorHAnsi"/>
          <w:rtl/>
        </w:rPr>
        <w:t xml:space="preserve"> المُقدمة من مشروع </w:t>
      </w:r>
      <w:r w:rsidR="00372C70" w:rsidRPr="00F30EF3">
        <w:rPr>
          <w:rFonts w:cstheme="minorHAnsi"/>
        </w:rPr>
        <w:t>HEIP-Link</w:t>
      </w:r>
      <w:r w:rsidR="00372C70" w:rsidRPr="00F30EF3">
        <w:rPr>
          <w:rFonts w:cstheme="minorHAnsi"/>
          <w:rtl/>
        </w:rPr>
        <w:t xml:space="preserve"> بتنسيق من جامعة أليكانتي بإسبانيا؛</w:t>
      </w:r>
    </w:p>
    <w:p w14:paraId="6E70F0C9" w14:textId="77777777" w:rsidR="00CC6A51" w:rsidRPr="00F30EF3" w:rsidRDefault="00A2792D" w:rsidP="00464282">
      <w:pPr>
        <w:pStyle w:val="ListParagraph"/>
        <w:numPr>
          <w:ilvl w:val="1"/>
          <w:numId w:val="12"/>
        </w:numPr>
        <w:spacing w:line="240" w:lineRule="auto"/>
        <w:ind w:left="709" w:hanging="283"/>
        <w:jc w:val="both"/>
        <w:rPr>
          <w:rStyle w:val="Hyperlink"/>
          <w:rFonts w:cstheme="minorHAnsi"/>
          <w:color w:val="auto"/>
          <w:rtl/>
        </w:rPr>
      </w:pPr>
      <w:r w:rsidRPr="00F30EF3">
        <w:rPr>
          <w:rStyle w:val="Hyperlink"/>
          <w:rFonts w:cstheme="minorHAnsi"/>
          <w:color w:val="auto"/>
          <w:u w:val="none"/>
          <w:rtl/>
        </w:rPr>
        <w:t xml:space="preserve">ناسيبا راملي وزيناتول زاينول (2014)، </w:t>
      </w:r>
      <w:hyperlink r:id="rId104" w:history="1">
        <w:r w:rsidRPr="00F30EF3">
          <w:rPr>
            <w:rStyle w:val="Hyperlink"/>
            <w:rFonts w:cstheme="minorHAnsi"/>
          </w:rPr>
          <w:t>Intellectual Property Ownership in Academia:</w:t>
        </w:r>
      </w:hyperlink>
      <w:hyperlink r:id="rId105" w:history="1">
        <w:r w:rsidRPr="00F30EF3">
          <w:rPr>
            <w:rStyle w:val="Hyperlink"/>
            <w:rFonts w:cstheme="minorHAnsi"/>
          </w:rPr>
          <w:t xml:space="preserve"> An Analysis, Journal of Intellectual Property Rights</w:t>
        </w:r>
      </w:hyperlink>
      <w:r w:rsidRPr="00F30EF3">
        <w:rPr>
          <w:rStyle w:val="Hyperlink"/>
          <w:rFonts w:cstheme="minorHAnsi"/>
          <w:color w:val="auto"/>
          <w:u w:val="none"/>
          <w:rtl/>
        </w:rPr>
        <w:t>، المجلد 19، مايو 2014، الصفحات من 177 إلى 188؛ يقارن المؤلفون بين نموذج ملكية الجامعة ونموذج ملكية المخترع للملكية الفكرية؛</w:t>
      </w:r>
    </w:p>
    <w:p w14:paraId="7DD2457A" w14:textId="77777777" w:rsidR="00A2792D" w:rsidRPr="00F30EF3" w:rsidRDefault="00371F66" w:rsidP="00464282">
      <w:pPr>
        <w:pStyle w:val="ListParagraph"/>
        <w:numPr>
          <w:ilvl w:val="1"/>
          <w:numId w:val="12"/>
        </w:numPr>
        <w:spacing w:line="240" w:lineRule="auto"/>
        <w:ind w:left="709" w:hanging="283"/>
        <w:jc w:val="both"/>
        <w:rPr>
          <w:rFonts w:cstheme="minorHAnsi"/>
          <w:rtl/>
        </w:rPr>
      </w:pPr>
      <w:r w:rsidRPr="00F30EF3">
        <w:rPr>
          <w:rFonts w:cstheme="minorHAnsi"/>
          <w:rtl/>
        </w:rPr>
        <w:t xml:space="preserve">مارتن كيني ودونالد باتو (2011)، </w:t>
      </w:r>
      <w:r w:rsidRPr="00F30EF3">
        <w:rPr>
          <w:rFonts w:cstheme="minorHAnsi"/>
          <w:i/>
          <w:iCs/>
        </w:rPr>
        <w:t>Does inventor ownership encourage university research-derived entrepreneurship? A six university comparison</w:t>
      </w:r>
      <w:r w:rsidRPr="00F30EF3">
        <w:rPr>
          <w:rFonts w:cstheme="minorHAnsi"/>
          <w:rtl/>
        </w:rPr>
        <w:t>، سياسة البحث، 40 (8) 1100-1112.</w:t>
      </w:r>
    </w:p>
    <w:p w14:paraId="06C06045" w14:textId="77777777" w:rsidR="00916463" w:rsidRPr="00F30EF3" w:rsidRDefault="00916463" w:rsidP="00661B83">
      <w:pPr>
        <w:pStyle w:val="ListParagraph"/>
        <w:numPr>
          <w:ilvl w:val="1"/>
          <w:numId w:val="12"/>
        </w:numPr>
        <w:spacing w:after="120" w:line="240" w:lineRule="auto"/>
        <w:ind w:left="709" w:hanging="283"/>
        <w:contextualSpacing w:val="0"/>
        <w:jc w:val="both"/>
        <w:rPr>
          <w:rFonts w:eastAsiaTheme="minorHAnsi" w:cstheme="minorHAnsi"/>
          <w:rtl/>
        </w:rPr>
      </w:pPr>
      <w:r w:rsidRPr="00F30EF3">
        <w:rPr>
          <w:rFonts w:cstheme="minorHAnsi"/>
          <w:rtl/>
        </w:rPr>
        <w:t xml:space="preserve">لمحة تاريخية موجزة عن تشريعات نقل التكنولوجيا في الجامعات، انظر </w:t>
      </w:r>
      <w:hyperlink r:id="rId106" w:history="1">
        <w:r w:rsidRPr="00F30EF3">
          <w:rPr>
            <w:rStyle w:val="Hyperlink"/>
            <w:rFonts w:cstheme="minorHAnsi"/>
          </w:rPr>
          <w:t>Harnessing public research for innovation – the role of Intellectual Property</w:t>
        </w:r>
      </w:hyperlink>
      <w:r w:rsidRPr="00F30EF3">
        <w:rPr>
          <w:rFonts w:cstheme="minorHAnsi"/>
          <w:rtl/>
        </w:rPr>
        <w:t xml:space="preserve">، الإطار 2.4 والجدول المُلحق 1.4.أ، في الكتاب: </w:t>
      </w:r>
      <w:r w:rsidRPr="00F30EF3">
        <w:rPr>
          <w:rFonts w:cstheme="minorHAnsi"/>
        </w:rPr>
        <w:t>World Intellectual Property Report 2011 The Changing Face of Innovation</w:t>
      </w:r>
      <w:r w:rsidRPr="00F30EF3">
        <w:rPr>
          <w:rFonts w:cstheme="minorHAnsi"/>
          <w:rtl/>
        </w:rPr>
        <w:t>، الفصل: 4.</w:t>
      </w:r>
    </w:p>
    <w:p w14:paraId="52B0DF1D" w14:textId="77777777" w:rsidR="005345FE" w:rsidRPr="00F30EF3" w:rsidRDefault="005345FE" w:rsidP="00661B83">
      <w:pPr>
        <w:pStyle w:val="ListParagraph"/>
        <w:numPr>
          <w:ilvl w:val="0"/>
          <w:numId w:val="12"/>
        </w:numPr>
        <w:spacing w:after="120" w:line="240" w:lineRule="auto"/>
        <w:ind w:left="426" w:hanging="426"/>
        <w:contextualSpacing w:val="0"/>
        <w:jc w:val="both"/>
        <w:rPr>
          <w:rFonts w:cstheme="minorHAnsi"/>
          <w:b/>
          <w:bCs/>
          <w:rtl/>
        </w:rPr>
      </w:pPr>
      <w:r w:rsidRPr="00F30EF3">
        <w:rPr>
          <w:rFonts w:cstheme="minorHAnsi"/>
          <w:b/>
          <w:bCs/>
          <w:rtl/>
        </w:rPr>
        <w:t>مخطط انسيابي لملكية الملكية الفكرية</w:t>
      </w:r>
    </w:p>
    <w:p w14:paraId="666C475B" w14:textId="77777777" w:rsidR="005345FE" w:rsidRPr="00F30EF3" w:rsidRDefault="00D3795B" w:rsidP="00661B83">
      <w:pPr>
        <w:pStyle w:val="ListParagraph"/>
        <w:numPr>
          <w:ilvl w:val="1"/>
          <w:numId w:val="12"/>
        </w:numPr>
        <w:spacing w:after="120" w:line="240" w:lineRule="auto"/>
        <w:ind w:left="709" w:hanging="283"/>
        <w:contextualSpacing w:val="0"/>
        <w:jc w:val="both"/>
        <w:rPr>
          <w:rFonts w:cstheme="minorHAnsi"/>
          <w:rtl/>
        </w:rPr>
      </w:pPr>
      <w:hyperlink r:id="rId107" w:history="1">
        <w:r w:rsidR="005345FE" w:rsidRPr="00F30EF3">
          <w:rPr>
            <w:rStyle w:val="Hyperlink"/>
            <w:rFonts w:cstheme="minorHAnsi"/>
            <w:i/>
            <w:iCs/>
          </w:rPr>
          <w:t>Flowchart: who owns IPR?</w:t>
        </w:r>
        <w:r w:rsidR="005345FE" w:rsidRPr="00F30EF3">
          <w:rPr>
            <w:rStyle w:val="Hyperlink"/>
            <w:rFonts w:cstheme="minorHAnsi"/>
            <w:i/>
            <w:iCs/>
            <w:cs/>
          </w:rPr>
          <w:t>‎</w:t>
        </w:r>
      </w:hyperlink>
      <w:r w:rsidR="005345FE" w:rsidRPr="00F30EF3">
        <w:rPr>
          <w:rFonts w:cstheme="minorHAnsi"/>
          <w:rtl/>
        </w:rPr>
        <w:t xml:space="preserve"> من جامعة جلاسكو هو مقدمة عملية لفهم سياسة الجامعة بشأن حقوق الملكية الفكرية.</w:t>
      </w:r>
    </w:p>
    <w:p w14:paraId="38D59B02" w14:textId="77777777" w:rsidR="00916463" w:rsidRPr="00F30EF3" w:rsidRDefault="00916463" w:rsidP="00661B83">
      <w:pPr>
        <w:pStyle w:val="ListParagraph"/>
        <w:numPr>
          <w:ilvl w:val="0"/>
          <w:numId w:val="12"/>
        </w:numPr>
        <w:spacing w:after="120" w:line="240" w:lineRule="auto"/>
        <w:ind w:left="426" w:hanging="426"/>
        <w:contextualSpacing w:val="0"/>
        <w:jc w:val="both"/>
        <w:rPr>
          <w:rFonts w:cstheme="minorHAnsi"/>
          <w:b/>
          <w:bCs/>
          <w:rtl/>
        </w:rPr>
      </w:pPr>
      <w:r w:rsidRPr="00F30EF3">
        <w:rPr>
          <w:rFonts w:cstheme="minorHAnsi"/>
          <w:b/>
          <w:bCs/>
          <w:rtl/>
        </w:rPr>
        <w:t>دراسة حالة افتراضية حول الملكية</w:t>
      </w:r>
    </w:p>
    <w:p w14:paraId="75A87723" w14:textId="77777777" w:rsidR="00916463" w:rsidRPr="00F30EF3" w:rsidRDefault="00D3795B" w:rsidP="00661B83">
      <w:pPr>
        <w:pStyle w:val="ListParagraph"/>
        <w:numPr>
          <w:ilvl w:val="1"/>
          <w:numId w:val="12"/>
        </w:numPr>
        <w:spacing w:after="120" w:line="240" w:lineRule="auto"/>
        <w:ind w:left="709" w:hanging="283"/>
        <w:contextualSpacing w:val="0"/>
        <w:jc w:val="both"/>
        <w:rPr>
          <w:rFonts w:cstheme="minorHAnsi"/>
          <w:rtl/>
        </w:rPr>
      </w:pPr>
      <w:hyperlink r:id="rId108" w:history="1">
        <w:r w:rsidR="00372C70" w:rsidRPr="00F30EF3">
          <w:rPr>
            <w:rStyle w:val="Hyperlink"/>
            <w:rFonts w:cstheme="minorHAnsi"/>
            <w:rtl/>
          </w:rPr>
          <w:t>مجموعة أدوات الملكية الفكرية للجامعات والمؤسسات البحثية</w:t>
        </w:r>
      </w:hyperlink>
      <w:r w:rsidR="00372C70" w:rsidRPr="00F30EF3">
        <w:rPr>
          <w:rFonts w:cstheme="minorHAnsi"/>
          <w:rtl/>
        </w:rPr>
        <w:t>.</w:t>
      </w:r>
    </w:p>
    <w:p w14:paraId="4875EE05" w14:textId="77777777" w:rsidR="00060558" w:rsidRPr="00F30EF3" w:rsidRDefault="00060558" w:rsidP="002F3C51">
      <w:pPr>
        <w:pStyle w:val="Heading2"/>
        <w:rPr>
          <w:rFonts w:asciiTheme="minorHAnsi" w:hAnsiTheme="minorHAnsi" w:cstheme="minorHAnsi"/>
          <w:sz w:val="22"/>
          <w:szCs w:val="22"/>
          <w:rtl/>
        </w:rPr>
      </w:pPr>
      <w:bookmarkStart w:id="179" w:name="_Toc490821209"/>
      <w:bookmarkStart w:id="180" w:name="_Toc490468521"/>
    </w:p>
    <w:p w14:paraId="6F391A98" w14:textId="77777777" w:rsidR="0092285F" w:rsidRPr="00F30EF3" w:rsidRDefault="00060558" w:rsidP="002F3C51">
      <w:pPr>
        <w:pStyle w:val="Heading2"/>
        <w:rPr>
          <w:rFonts w:asciiTheme="minorHAnsi" w:hAnsiTheme="minorHAnsi" w:cstheme="minorHAnsi"/>
          <w:rtl/>
        </w:rPr>
      </w:pPr>
      <w:bookmarkStart w:id="181" w:name="_Toc516160064"/>
      <w:bookmarkStart w:id="182" w:name="_Toc516219407"/>
      <w:bookmarkStart w:id="183" w:name="_Toc516496049"/>
      <w:bookmarkStart w:id="184" w:name="_Toc516829421"/>
      <w:bookmarkStart w:id="185" w:name="_Toc178260764"/>
      <w:r w:rsidRPr="00F30EF3">
        <w:rPr>
          <w:rFonts w:asciiTheme="minorHAnsi" w:hAnsiTheme="minorHAnsi" w:cstheme="minorHAnsi"/>
          <w:rtl/>
        </w:rPr>
        <w:t xml:space="preserve">المادة 6 - النشر </w:t>
      </w:r>
      <w:bookmarkEnd w:id="179"/>
      <w:r w:rsidRPr="00F30EF3">
        <w:rPr>
          <w:rFonts w:asciiTheme="minorHAnsi" w:hAnsiTheme="minorHAnsi" w:cstheme="minorHAnsi"/>
          <w:rtl/>
        </w:rPr>
        <w:t>وعدم الكشف</w:t>
      </w:r>
      <w:bookmarkEnd w:id="180"/>
      <w:r w:rsidRPr="00F30EF3">
        <w:rPr>
          <w:rFonts w:asciiTheme="minorHAnsi" w:hAnsiTheme="minorHAnsi" w:cstheme="minorHAnsi"/>
          <w:rtl/>
        </w:rPr>
        <w:t xml:space="preserve"> والأسرار التجارية</w:t>
      </w:r>
      <w:bookmarkEnd w:id="181"/>
      <w:bookmarkEnd w:id="182"/>
      <w:bookmarkEnd w:id="183"/>
      <w:bookmarkEnd w:id="184"/>
      <w:bookmarkEnd w:id="185"/>
    </w:p>
    <w:p w14:paraId="7CBE1ED1" w14:textId="77777777" w:rsidR="00E22076" w:rsidRPr="00F30EF3" w:rsidRDefault="00E22076" w:rsidP="002F3C51">
      <w:pPr>
        <w:pStyle w:val="Heading2"/>
        <w:rPr>
          <w:rFonts w:asciiTheme="minorHAnsi" w:hAnsiTheme="minorHAnsi" w:cstheme="minorHAnsi"/>
          <w:sz w:val="22"/>
          <w:szCs w:val="22"/>
          <w:lang w:val="en-US"/>
        </w:rPr>
      </w:pPr>
    </w:p>
    <w:p w14:paraId="24B143D2" w14:textId="77777777" w:rsidR="0092285F" w:rsidRPr="00F30EF3" w:rsidRDefault="00A03F65" w:rsidP="00B7519E">
      <w:pPr>
        <w:pStyle w:val="Heading3"/>
        <w:spacing w:before="360"/>
        <w:rPr>
          <w:rFonts w:asciiTheme="minorHAnsi" w:hAnsiTheme="minorHAnsi" w:cstheme="minorHAnsi"/>
          <w:sz w:val="24"/>
          <w:szCs w:val="24"/>
          <w:rtl/>
        </w:rPr>
      </w:pPr>
      <w:bookmarkStart w:id="186" w:name="_Article_6.1_–"/>
      <w:bookmarkStart w:id="187" w:name="_Toc516160065"/>
      <w:bookmarkStart w:id="188" w:name="_Toc516219408"/>
      <w:bookmarkStart w:id="189" w:name="_Toc516496050"/>
      <w:bookmarkStart w:id="190" w:name="_Toc516829422"/>
      <w:bookmarkStart w:id="191" w:name="_Toc494115976"/>
      <w:bookmarkEnd w:id="186"/>
      <w:r w:rsidRPr="00F30EF3">
        <w:rPr>
          <w:rFonts w:asciiTheme="minorHAnsi" w:hAnsiTheme="minorHAnsi" w:cstheme="minorHAnsi"/>
          <w:sz w:val="24"/>
          <w:szCs w:val="24"/>
          <w:rtl/>
        </w:rPr>
        <w:t>المادة 1.6 - حق النشر</w:t>
      </w:r>
      <w:bookmarkEnd w:id="187"/>
      <w:bookmarkEnd w:id="188"/>
      <w:bookmarkEnd w:id="189"/>
      <w:bookmarkEnd w:id="190"/>
      <w:bookmarkEnd w:id="191"/>
      <w:r w:rsidRPr="00F30EF3">
        <w:rPr>
          <w:rFonts w:asciiTheme="minorHAnsi" w:hAnsiTheme="minorHAnsi" w:cstheme="minorHAnsi"/>
          <w:sz w:val="24"/>
          <w:szCs w:val="24"/>
          <w:rtl/>
        </w:rPr>
        <w:t xml:space="preserve"> </w:t>
      </w:r>
    </w:p>
    <w:p w14:paraId="3F838790" w14:textId="77777777" w:rsidR="009A0D18" w:rsidRPr="00F30EF3" w:rsidRDefault="00E01BB8" w:rsidP="00661B83">
      <w:pPr>
        <w:pStyle w:val="ListParagraph"/>
        <w:numPr>
          <w:ilvl w:val="0"/>
          <w:numId w:val="26"/>
        </w:numPr>
        <w:spacing w:after="120" w:line="240" w:lineRule="auto"/>
        <w:ind w:left="432" w:hanging="432"/>
        <w:contextualSpacing w:val="0"/>
        <w:jc w:val="both"/>
        <w:rPr>
          <w:rFonts w:cstheme="minorHAnsi"/>
          <w:rtl/>
        </w:rPr>
      </w:pPr>
      <w:r w:rsidRPr="00F30EF3">
        <w:rPr>
          <w:rFonts w:cstheme="minorHAnsi"/>
          <w:rtl/>
        </w:rPr>
        <w:t>تتوفر الغالبية العظمى من مخرجات البحث بالمؤسسة للجمهور بشكلٍ مباشر وبوجه عام من خلال النشر في المجلات أو النشر المجاني.</w:t>
      </w:r>
      <w:r w:rsidR="00551240" w:rsidRPr="00F30EF3">
        <w:rPr>
          <w:rStyle w:val="FootnoteReference"/>
          <w:rFonts w:cstheme="minorHAnsi"/>
          <w:rtl/>
          <w:lang w:val="en-US"/>
        </w:rPr>
        <w:footnoteReference w:id="131"/>
      </w:r>
      <w:r w:rsidRPr="00F30EF3">
        <w:rPr>
          <w:rFonts w:cstheme="minorHAnsi"/>
          <w:rtl/>
        </w:rPr>
        <w:t xml:space="preserve"> يجب الحفاظ على قدرة الباحثين على النشر.</w:t>
      </w:r>
    </w:p>
    <w:p w14:paraId="417765C4" w14:textId="77777777" w:rsidR="009A0D18" w:rsidRPr="00F30EF3" w:rsidRDefault="009A0D18" w:rsidP="009D4A54">
      <w:pPr>
        <w:pStyle w:val="ListParagraph"/>
        <w:numPr>
          <w:ilvl w:val="0"/>
          <w:numId w:val="26"/>
        </w:numPr>
        <w:spacing w:after="0" w:line="240" w:lineRule="auto"/>
        <w:ind w:left="426" w:hanging="426"/>
        <w:jc w:val="both"/>
        <w:rPr>
          <w:rFonts w:cstheme="minorHAnsi"/>
          <w:rtl/>
        </w:rPr>
      </w:pPr>
      <w:r w:rsidRPr="00F30EF3">
        <w:rPr>
          <w:rFonts w:cstheme="minorHAnsi"/>
          <w:rtl/>
        </w:rPr>
        <w:t xml:space="preserve">من ناحية أخرى، قد تشعر الشركات/الجهات الراعية بالقلق من أن النشر من الممكن أن يكشف عن معلومات سرية خاصة بها أو يتسبب في فقدان الملكية الفكرية الناتجة عن البحث. في هذه الحالات، يلزم النظر في الاتفاقات الصناعية وحماية الملكية الفكرية، على سبيل المثال من خلال: </w:t>
      </w:r>
    </w:p>
    <w:p w14:paraId="1C87F668" w14:textId="77777777" w:rsidR="009A0D18" w:rsidRPr="00F30EF3" w:rsidRDefault="00E01BB8" w:rsidP="009D4A54">
      <w:pPr>
        <w:pStyle w:val="ListParagraph"/>
        <w:numPr>
          <w:ilvl w:val="1"/>
          <w:numId w:val="26"/>
        </w:numPr>
        <w:spacing w:after="0" w:line="240" w:lineRule="auto"/>
        <w:ind w:left="851" w:hanging="425"/>
        <w:jc w:val="both"/>
        <w:rPr>
          <w:rFonts w:cstheme="minorHAnsi"/>
          <w:rtl/>
        </w:rPr>
      </w:pPr>
      <w:r w:rsidRPr="00F30EF3">
        <w:rPr>
          <w:rFonts w:cstheme="minorHAnsi"/>
          <w:rtl/>
        </w:rPr>
        <w:t xml:space="preserve">تثقيف الباحثين حول ضرورة إيداع طلب براءة قبل النشر (انظر </w:t>
      </w:r>
      <w:hyperlink w:anchor="Box41" w:history="1">
        <w:r w:rsidRPr="00F30EF3">
          <w:rPr>
            <w:rStyle w:val="Hyperlink"/>
            <w:rFonts w:cstheme="minorHAnsi"/>
            <w:rtl/>
          </w:rPr>
          <w:t>الإطار 41</w:t>
        </w:r>
      </w:hyperlink>
      <w:r w:rsidRPr="00F30EF3">
        <w:rPr>
          <w:rFonts w:cstheme="minorHAnsi"/>
          <w:rtl/>
        </w:rPr>
        <w:t xml:space="preserve">)؛ </w:t>
      </w:r>
    </w:p>
    <w:p w14:paraId="2704C455" w14:textId="77777777" w:rsidR="00E01BB8" w:rsidRPr="00F30EF3" w:rsidRDefault="00E01BB8" w:rsidP="009D4A54">
      <w:pPr>
        <w:pStyle w:val="ListParagraph"/>
        <w:numPr>
          <w:ilvl w:val="1"/>
          <w:numId w:val="26"/>
        </w:numPr>
        <w:spacing w:after="0" w:line="240" w:lineRule="auto"/>
        <w:ind w:left="851" w:hanging="425"/>
        <w:jc w:val="both"/>
        <w:rPr>
          <w:rFonts w:cstheme="minorHAnsi"/>
          <w:rtl/>
        </w:rPr>
      </w:pPr>
      <w:r w:rsidRPr="00F30EF3">
        <w:rPr>
          <w:rFonts w:cstheme="minorHAnsi"/>
          <w:rtl/>
        </w:rPr>
        <w:t xml:space="preserve">أو السماح للشركاء في المجال الصناعي بطلب تأخير النشر سعياً لتوفير الحماية للملكية الفكرية (انظر </w:t>
      </w:r>
      <w:hyperlink w:anchor="Box43" w:history="1">
        <w:r w:rsidRPr="00F30EF3">
          <w:rPr>
            <w:rStyle w:val="Hyperlink"/>
            <w:rFonts w:cstheme="minorHAnsi"/>
            <w:rtl/>
          </w:rPr>
          <w:t>الإطار 43</w:t>
        </w:r>
      </w:hyperlink>
      <w:r w:rsidRPr="00F30EF3">
        <w:rPr>
          <w:rFonts w:cstheme="minorHAnsi"/>
          <w:rtl/>
        </w:rPr>
        <w:t xml:space="preserve">). قد ينص عقد البحث على استعراض النشر وفترة التأخير (بما يصل إلى عدد من الأيام) حتى تتمكن الجهة الراعية من ضمان عدم إفشاء معلوماتها السرية عن غير قصد وبالتالي يمكنها تحديد الاختراعات، إن وجدت، التي ربما لم يتم الكشف عنها لها بالفعل.  انظر أيضاً </w:t>
      </w:r>
      <w:hyperlink w:anchor="_Article_7.7_-" w:history="1">
        <w:r w:rsidRPr="00F30EF3">
          <w:rPr>
            <w:rStyle w:val="Hyperlink"/>
            <w:rFonts w:cstheme="minorHAnsi"/>
            <w:rtl/>
          </w:rPr>
          <w:t>المادة 7.7.7</w:t>
        </w:r>
      </w:hyperlink>
      <w:r w:rsidRPr="00F30EF3">
        <w:rPr>
          <w:rFonts w:cstheme="minorHAnsi"/>
          <w:rtl/>
        </w:rPr>
        <w:t>.</w:t>
      </w:r>
    </w:p>
    <w:p w14:paraId="7CECAE77" w14:textId="21E69BFF" w:rsidR="00E17BEE" w:rsidRPr="00F30EF3" w:rsidRDefault="00E17BEE" w:rsidP="00B7519E">
      <w:pPr>
        <w:pStyle w:val="Heading3"/>
        <w:spacing w:before="360"/>
        <w:rPr>
          <w:rFonts w:asciiTheme="minorHAnsi" w:hAnsiTheme="minorHAnsi" w:cstheme="minorHAnsi"/>
          <w:sz w:val="24"/>
          <w:szCs w:val="24"/>
          <w:rtl/>
        </w:rPr>
      </w:pPr>
      <w:bookmarkStart w:id="192" w:name="_Article_6.2_–"/>
      <w:bookmarkStart w:id="193" w:name="_Toc516160066"/>
      <w:bookmarkStart w:id="194" w:name="_Toc516219409"/>
      <w:bookmarkStart w:id="195" w:name="_Toc516496051"/>
      <w:bookmarkStart w:id="196" w:name="_Toc516829423"/>
      <w:bookmarkEnd w:id="192"/>
      <w:r w:rsidRPr="00F30EF3">
        <w:rPr>
          <w:rFonts w:asciiTheme="minorHAnsi" w:hAnsiTheme="minorHAnsi" w:cstheme="minorHAnsi"/>
          <w:sz w:val="24"/>
          <w:szCs w:val="24"/>
          <w:rtl/>
        </w:rPr>
        <w:lastRenderedPageBreak/>
        <w:t>المادة 2.6 - عدم الكشف من أجل حماية الملكية الفكرية</w:t>
      </w:r>
      <w:bookmarkEnd w:id="193"/>
      <w:bookmarkEnd w:id="194"/>
      <w:bookmarkEnd w:id="195"/>
      <w:bookmarkEnd w:id="196"/>
      <w:r w:rsidRPr="00F30EF3">
        <w:rPr>
          <w:rFonts w:asciiTheme="minorHAnsi" w:hAnsiTheme="minorHAnsi" w:cstheme="minorHAnsi"/>
          <w:sz w:val="24"/>
          <w:szCs w:val="24"/>
          <w:rtl/>
        </w:rPr>
        <w:t xml:space="preserve"> </w:t>
      </w:r>
    </w:p>
    <w:p w14:paraId="1EEE1746" w14:textId="77777777" w:rsidR="00096C60" w:rsidRPr="00F30EF3" w:rsidRDefault="009654F3" w:rsidP="009D4A54">
      <w:pPr>
        <w:pStyle w:val="ListParagraph"/>
        <w:numPr>
          <w:ilvl w:val="0"/>
          <w:numId w:val="26"/>
        </w:numPr>
        <w:tabs>
          <w:tab w:val="left" w:pos="567"/>
          <w:tab w:val="left" w:pos="709"/>
        </w:tabs>
        <w:autoSpaceDE w:val="0"/>
        <w:autoSpaceDN w:val="0"/>
        <w:adjustRightInd w:val="0"/>
        <w:spacing w:after="0" w:line="240" w:lineRule="auto"/>
        <w:ind w:left="426" w:hanging="426"/>
        <w:jc w:val="both"/>
        <w:rPr>
          <w:rFonts w:cstheme="minorHAnsi"/>
          <w:rtl/>
        </w:rPr>
      </w:pPr>
      <w:r w:rsidRPr="00F30EF3">
        <w:rPr>
          <w:rFonts w:cstheme="minorHAnsi"/>
          <w:rtl/>
        </w:rPr>
        <w:t xml:space="preserve">ينبغي أن يدرك الموظفون والطلاب ضرورة تجنب الكشف المُسَبّق عن نتائج البحث لأطراف أخرى، بما في ذلك أي شكل من أشكال نشر هذه النتائج، قبل استكمال الكشف عن الملكية الفكرية، والنظر إلى الحاجة إلى الحصول على حماية الملكية الفكرية. قد يعيق الكشف العام المُسَبّق عن الاختراع حماية الملكية الفكرية المتعلقة بهذا الاختراع وتسويقها. لذا من المهم فهم أنواع الكشف المدمر للجِدَّة بحكم قوانين البراءات الوطنية والدولية. </w:t>
      </w:r>
    </w:p>
    <w:p w14:paraId="2EFF9EA4" w14:textId="77777777" w:rsidR="00096C60" w:rsidRPr="00F30EF3" w:rsidRDefault="00096C60" w:rsidP="00B7519E">
      <w:pPr>
        <w:pStyle w:val="ListParagraph"/>
        <w:tabs>
          <w:tab w:val="left" w:pos="567"/>
          <w:tab w:val="left" w:pos="709"/>
        </w:tabs>
        <w:autoSpaceDE w:val="0"/>
        <w:autoSpaceDN w:val="0"/>
        <w:adjustRightInd w:val="0"/>
        <w:spacing w:after="0" w:line="240" w:lineRule="auto"/>
        <w:ind w:left="426"/>
        <w:jc w:val="both"/>
        <w:rPr>
          <w:rFonts w:cstheme="minorHAnsi"/>
          <w:lang w:val="en-US"/>
        </w:rPr>
      </w:pPr>
    </w:p>
    <w:p w14:paraId="1F75B4A0" w14:textId="6822C25A" w:rsidR="00096C60" w:rsidRPr="00F30EF3" w:rsidRDefault="00096C60" w:rsidP="00B7519E">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426"/>
        <w:rPr>
          <w:rFonts w:cstheme="minorHAnsi"/>
          <w:b/>
          <w:bCs/>
          <w:rtl/>
        </w:rPr>
      </w:pPr>
      <w:bookmarkStart w:id="197" w:name="Box41"/>
      <w:r w:rsidRPr="00F30EF3">
        <w:rPr>
          <w:rFonts w:cstheme="minorHAnsi"/>
          <w:b/>
          <w:bCs/>
          <w:rtl/>
        </w:rPr>
        <w:t xml:space="preserve">الإطار </w:t>
      </w:r>
      <w:bookmarkEnd w:id="197"/>
      <w:r w:rsidR="00A840A5" w:rsidRPr="00F30EF3">
        <w:rPr>
          <w:rFonts w:cstheme="minorHAnsi"/>
          <w:b/>
          <w:bCs/>
        </w:rPr>
        <w:t>.</w:t>
      </w:r>
      <w:r w:rsidR="00233724" w:rsidRPr="00F30EF3">
        <w:rPr>
          <w:rFonts w:cstheme="minorHAnsi"/>
          <w:b/>
          <w:bCs/>
        </w:rPr>
        <w:t>41</w:t>
      </w:r>
      <w:r w:rsidRPr="00F30EF3">
        <w:rPr>
          <w:rFonts w:cstheme="minorHAnsi"/>
          <w:b/>
          <w:bCs/>
          <w:rtl/>
        </w:rPr>
        <w:t xml:space="preserve"> نصائح لتجنب الكشف المُسَبّق</w:t>
      </w:r>
    </w:p>
    <w:p w14:paraId="019F16B3" w14:textId="77777777" w:rsidR="00096C60" w:rsidRPr="00F30EF3" w:rsidRDefault="00096C60" w:rsidP="00B7519E">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426"/>
        <w:rPr>
          <w:rFonts w:cstheme="minorHAnsi"/>
          <w:b/>
          <w:bCs/>
          <w:lang w:val="en-US"/>
        </w:rPr>
      </w:pPr>
    </w:p>
    <w:p w14:paraId="4F3689D3" w14:textId="77777777" w:rsidR="00096C60" w:rsidRPr="00F30EF3" w:rsidRDefault="00576D77" w:rsidP="009D4A54">
      <w:pPr>
        <w:pStyle w:val="ListParagraph"/>
        <w:numPr>
          <w:ilvl w:val="0"/>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851" w:hanging="425"/>
        <w:jc w:val="both"/>
        <w:rPr>
          <w:rFonts w:cstheme="minorHAnsi"/>
          <w:rtl/>
        </w:rPr>
      </w:pPr>
      <w:r w:rsidRPr="00F30EF3">
        <w:rPr>
          <w:rFonts w:cstheme="minorHAnsi"/>
          <w:rtl/>
        </w:rPr>
        <w:t>تثقيف الموظفين والطلاب حول كيفية نشر نتائج أبحاثهم، إلى جانب حماية القيمة التجارية لملكيتهم الفكرية:</w:t>
      </w:r>
    </w:p>
    <w:p w14:paraId="7A52315A" w14:textId="77777777" w:rsidR="00576D77" w:rsidRPr="00F30EF3" w:rsidRDefault="00576D77" w:rsidP="009D4A54">
      <w:pPr>
        <w:pStyle w:val="ListParagraph"/>
        <w:numPr>
          <w:ilvl w:val="1"/>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1134" w:hanging="708"/>
        <w:jc w:val="both"/>
        <w:rPr>
          <w:rFonts w:cstheme="minorHAnsi"/>
          <w:rtl/>
        </w:rPr>
      </w:pPr>
      <w:r w:rsidRPr="00F30EF3">
        <w:rPr>
          <w:rFonts w:cstheme="minorHAnsi"/>
          <w:rtl/>
        </w:rPr>
        <w:t>حثّهم على تقديم الكشف عن الملكية الفكرية قبل أي إعلان أو كشف عام عن الاختراع بوقت كافٍ؛</w:t>
      </w:r>
    </w:p>
    <w:p w14:paraId="3E3C3CDC" w14:textId="77777777" w:rsidR="00096C60" w:rsidRPr="00F30EF3" w:rsidRDefault="00576D77" w:rsidP="009D4A54">
      <w:pPr>
        <w:pStyle w:val="ListParagraph"/>
        <w:numPr>
          <w:ilvl w:val="1"/>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1134" w:hanging="708"/>
        <w:jc w:val="both"/>
        <w:rPr>
          <w:rFonts w:cstheme="minorHAnsi"/>
          <w:rtl/>
        </w:rPr>
      </w:pPr>
      <w:r w:rsidRPr="00F30EF3">
        <w:rPr>
          <w:rFonts w:cstheme="minorHAnsi"/>
          <w:rtl/>
        </w:rPr>
        <w:t>حثّهم على إبلاغ مكتب إدارة الملكية الفكرية بأي عرض أو محاضرة أو ملصق أو مُلخص أو وصف لموقع على الويب أو وصف لمقترح بحث أو رسالة علمية أو منشور أو عرض عام آخر للاختراع. لم تُعد نتائج البحث التي نُشرت في أثناء الاجتماعات والمؤتمرات في صورة ملصقات ومقالات وما إلى ذلك جديدة وليس من الممكن أن تكون محمية بموجب براءة؛</w:t>
      </w:r>
    </w:p>
    <w:p w14:paraId="27F7A4CE" w14:textId="77777777" w:rsidR="00096C60" w:rsidRPr="00F30EF3" w:rsidRDefault="00096C60" w:rsidP="009D4A54">
      <w:pPr>
        <w:pStyle w:val="ListParagraph"/>
        <w:numPr>
          <w:ilvl w:val="1"/>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1134" w:hanging="708"/>
        <w:jc w:val="both"/>
        <w:rPr>
          <w:rFonts w:cstheme="minorHAnsi"/>
          <w:rtl/>
        </w:rPr>
      </w:pPr>
      <w:r w:rsidRPr="00F30EF3">
        <w:rPr>
          <w:rFonts w:cstheme="minorHAnsi"/>
          <w:rtl/>
        </w:rPr>
        <w:t>إن إرسال منشور للاستعراض لن يُشكل عادةً كشفاً مُسَبّقاً ولكن ينبغي للباحثين إظهار قدر من العناية الواجبة من خلال وضع علامة "سري" على المخطوطة البحثية.</w:t>
      </w:r>
    </w:p>
    <w:p w14:paraId="627A475A" w14:textId="77777777" w:rsidR="00096C60" w:rsidRPr="00F30EF3" w:rsidRDefault="00096C60" w:rsidP="00B7519E">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426"/>
        <w:rPr>
          <w:rFonts w:cstheme="minorHAnsi"/>
          <w:lang w:val="en-US"/>
        </w:rPr>
      </w:pPr>
    </w:p>
    <w:p w14:paraId="081043B5" w14:textId="77777777" w:rsidR="00096C60" w:rsidRPr="00F30EF3" w:rsidRDefault="005D3527" w:rsidP="009D4A54">
      <w:pPr>
        <w:pStyle w:val="ListParagraph"/>
        <w:numPr>
          <w:ilvl w:val="0"/>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851" w:hanging="425"/>
        <w:jc w:val="both"/>
        <w:rPr>
          <w:rFonts w:cstheme="minorHAnsi"/>
          <w:b/>
          <w:bCs/>
          <w:rtl/>
        </w:rPr>
      </w:pPr>
      <w:r w:rsidRPr="00F30EF3">
        <w:rPr>
          <w:rFonts w:cstheme="minorHAnsi"/>
          <w:rtl/>
        </w:rPr>
        <w:t xml:space="preserve">النظر في وضع سياسة سرية منفصلة بجانب مبادئ توجيهية للموظفين حول استخدام المعلومات السرية (انظر </w:t>
      </w:r>
      <w:hyperlink w:anchor="_Useful_Resources_to" w:history="1">
        <w:r w:rsidRPr="00F30EF3">
          <w:rPr>
            <w:rStyle w:val="Hyperlink"/>
            <w:rFonts w:cstheme="minorHAnsi"/>
            <w:rtl/>
          </w:rPr>
          <w:t>الموارد المفيدة المتعلقة بالمادة 6</w:t>
        </w:r>
      </w:hyperlink>
      <w:r w:rsidRPr="00F30EF3">
        <w:rPr>
          <w:rFonts w:cstheme="minorHAnsi"/>
          <w:rtl/>
        </w:rPr>
        <w:t xml:space="preserve">). </w:t>
      </w:r>
    </w:p>
    <w:p w14:paraId="73021B77" w14:textId="77777777" w:rsidR="00E17BEE" w:rsidRPr="00F30EF3" w:rsidRDefault="00E17BEE" w:rsidP="00B7519E">
      <w:pPr>
        <w:pStyle w:val="Heading3"/>
        <w:spacing w:before="360"/>
        <w:rPr>
          <w:rFonts w:asciiTheme="minorHAnsi" w:eastAsia="Times New Roman" w:hAnsiTheme="minorHAnsi" w:cstheme="minorHAnsi"/>
          <w:sz w:val="24"/>
          <w:szCs w:val="24"/>
          <w:rtl/>
        </w:rPr>
      </w:pPr>
      <w:bookmarkStart w:id="198" w:name="_Toc516160067"/>
      <w:bookmarkStart w:id="199" w:name="_Toc516219410"/>
      <w:bookmarkStart w:id="200" w:name="_Toc516496052"/>
      <w:bookmarkStart w:id="201" w:name="_Toc516829424"/>
      <w:r w:rsidRPr="00F30EF3">
        <w:rPr>
          <w:rFonts w:asciiTheme="minorHAnsi" w:hAnsiTheme="minorHAnsi" w:cstheme="minorHAnsi"/>
          <w:sz w:val="24"/>
          <w:szCs w:val="24"/>
          <w:rtl/>
        </w:rPr>
        <w:t>المادة 3.6 – الأسرار التجارية</w:t>
      </w:r>
      <w:bookmarkEnd w:id="198"/>
      <w:bookmarkEnd w:id="199"/>
      <w:bookmarkEnd w:id="200"/>
      <w:bookmarkEnd w:id="201"/>
      <w:r w:rsidRPr="00F30EF3">
        <w:rPr>
          <w:rFonts w:asciiTheme="minorHAnsi" w:hAnsiTheme="minorHAnsi" w:cstheme="minorHAnsi"/>
          <w:sz w:val="24"/>
          <w:szCs w:val="24"/>
          <w:rtl/>
        </w:rPr>
        <w:t xml:space="preserve"> </w:t>
      </w:r>
    </w:p>
    <w:p w14:paraId="32E4A495" w14:textId="555F3EC0" w:rsidR="00CD5CAA" w:rsidRPr="00F30EF3" w:rsidRDefault="00CD5CAA" w:rsidP="009D4A54">
      <w:pPr>
        <w:pStyle w:val="ListParagraph"/>
        <w:numPr>
          <w:ilvl w:val="0"/>
          <w:numId w:val="26"/>
        </w:numPr>
        <w:autoSpaceDE w:val="0"/>
        <w:autoSpaceDN w:val="0"/>
        <w:adjustRightInd w:val="0"/>
        <w:spacing w:after="0" w:line="240" w:lineRule="auto"/>
        <w:ind w:left="426" w:hanging="426"/>
        <w:jc w:val="both"/>
        <w:rPr>
          <w:rFonts w:cstheme="minorHAnsi"/>
          <w:rtl/>
        </w:rPr>
      </w:pPr>
      <w:r w:rsidRPr="00F30EF3">
        <w:rPr>
          <w:rFonts w:cstheme="minorHAnsi"/>
          <w:rtl/>
        </w:rPr>
        <w:t>ينبغي أن تقرر كل مؤسسة ما إذا كانت ستمتلك الأسرار التجارية وتستخدمها؛ ويتعين على مكتب إدارة الملكية الفكرية على أساس كل حالة على حدة أن يقرر ما إذا كان التخلي عن التكلفة العالية لإصدار براءات لصالح حماية الأسرار التجارية قد يُعد خطوة أفضل. وينبغي تقييم عدة عوامل عند اتخاذ القرار بين إصدار براءة أو الحفاظ على سر تجاري، بما في ذلك</w:t>
      </w:r>
    </w:p>
    <w:p w14:paraId="088AC7D1" w14:textId="77777777" w:rsidR="00BE113E" w:rsidRPr="00F30EF3" w:rsidRDefault="00BE113E" w:rsidP="00B7519E">
      <w:pPr>
        <w:autoSpaceDE w:val="0"/>
        <w:autoSpaceDN w:val="0"/>
        <w:adjustRightInd w:val="0"/>
        <w:spacing w:after="0" w:line="240" w:lineRule="auto"/>
        <w:jc w:val="both"/>
        <w:rPr>
          <w:rFonts w:cstheme="minorHAnsi"/>
          <w:lang w:val="en-US"/>
        </w:rPr>
      </w:pPr>
    </w:p>
    <w:p w14:paraId="4F204EAD" w14:textId="77777777" w:rsidR="00BE113E" w:rsidRPr="00F30EF3" w:rsidRDefault="00BE113E" w:rsidP="009D4A54">
      <w:pPr>
        <w:pStyle w:val="ListParagraph"/>
        <w:numPr>
          <w:ilvl w:val="1"/>
          <w:numId w:val="84"/>
        </w:numPr>
        <w:spacing w:line="240" w:lineRule="auto"/>
        <w:ind w:left="851" w:hanging="425"/>
        <w:jc w:val="both"/>
        <w:rPr>
          <w:rFonts w:cstheme="minorHAnsi"/>
          <w:rtl/>
        </w:rPr>
      </w:pPr>
      <w:r w:rsidRPr="00F30EF3">
        <w:rPr>
          <w:rFonts w:cstheme="minorHAnsi"/>
          <w:rtl/>
        </w:rPr>
        <w:t xml:space="preserve">تكلفة إصدار براءة مقابل تكاليف الحفاظ على سرية التكنولوجيا؛ </w:t>
      </w:r>
    </w:p>
    <w:p w14:paraId="25773411" w14:textId="77777777" w:rsidR="00BE113E" w:rsidRPr="00F30EF3" w:rsidRDefault="00BE113E" w:rsidP="009D4A54">
      <w:pPr>
        <w:pStyle w:val="ListParagraph"/>
        <w:numPr>
          <w:ilvl w:val="1"/>
          <w:numId w:val="84"/>
        </w:numPr>
        <w:spacing w:line="240" w:lineRule="auto"/>
        <w:ind w:left="851" w:hanging="425"/>
        <w:jc w:val="both"/>
        <w:rPr>
          <w:rFonts w:cstheme="minorHAnsi"/>
          <w:rtl/>
        </w:rPr>
      </w:pPr>
      <w:r w:rsidRPr="00F30EF3">
        <w:rPr>
          <w:rFonts w:cstheme="minorHAnsi"/>
          <w:rtl/>
        </w:rPr>
        <w:t xml:space="preserve">مخاطر الكشف عن الأسرار التجارية حتى مع تطبيق أفضل خطة حماية؛ </w:t>
      </w:r>
    </w:p>
    <w:p w14:paraId="69153542" w14:textId="77777777" w:rsidR="00BE113E" w:rsidRPr="00F30EF3" w:rsidRDefault="00BE113E" w:rsidP="009D4A54">
      <w:pPr>
        <w:pStyle w:val="ListParagraph"/>
        <w:numPr>
          <w:ilvl w:val="1"/>
          <w:numId w:val="84"/>
        </w:numPr>
        <w:spacing w:line="240" w:lineRule="auto"/>
        <w:ind w:left="851" w:hanging="425"/>
        <w:jc w:val="both"/>
        <w:rPr>
          <w:rFonts w:cstheme="minorHAnsi"/>
          <w:rtl/>
        </w:rPr>
      </w:pPr>
      <w:r w:rsidRPr="00F30EF3">
        <w:rPr>
          <w:rFonts w:cstheme="minorHAnsi"/>
          <w:rtl/>
        </w:rPr>
        <w:t xml:space="preserve">إمكانية ترخيص التكنولوجيا </w:t>
      </w:r>
      <w:r w:rsidRPr="00F30EF3">
        <w:rPr>
          <w:rStyle w:val="FootnoteReference"/>
          <w:rFonts w:cstheme="minorHAnsi"/>
          <w:rtl/>
          <w:lang w:val="en-US"/>
        </w:rPr>
        <w:footnoteReference w:id="132"/>
      </w:r>
      <w:r w:rsidRPr="00F30EF3">
        <w:rPr>
          <w:rFonts w:cstheme="minorHAnsi"/>
          <w:rtl/>
        </w:rPr>
        <w:t>؛</w:t>
      </w:r>
    </w:p>
    <w:p w14:paraId="6DA910F2" w14:textId="77777777" w:rsidR="00BE113E" w:rsidRPr="00F30EF3" w:rsidRDefault="00BE113E" w:rsidP="009D4A54">
      <w:pPr>
        <w:pStyle w:val="ListParagraph"/>
        <w:numPr>
          <w:ilvl w:val="1"/>
          <w:numId w:val="84"/>
        </w:numPr>
        <w:spacing w:line="240" w:lineRule="auto"/>
        <w:ind w:left="851" w:hanging="425"/>
        <w:jc w:val="both"/>
        <w:rPr>
          <w:rFonts w:cstheme="minorHAnsi"/>
          <w:rtl/>
        </w:rPr>
      </w:pPr>
      <w:r w:rsidRPr="00F30EF3">
        <w:rPr>
          <w:rFonts w:cstheme="minorHAnsi"/>
          <w:rtl/>
        </w:rPr>
        <w:t>الحاجة إلى الكشف عن الأفكار علناً - على سبيل المثال، لجذب رأس المال</w:t>
      </w:r>
      <w:r w:rsidRPr="00F30EF3">
        <w:rPr>
          <w:rStyle w:val="FootnoteReference"/>
          <w:rFonts w:cstheme="minorHAnsi"/>
          <w:rtl/>
          <w:lang w:val="en-US"/>
        </w:rPr>
        <w:footnoteReference w:id="133"/>
      </w:r>
      <w:r w:rsidRPr="00F30EF3">
        <w:rPr>
          <w:rFonts w:cstheme="minorHAnsi"/>
          <w:rtl/>
        </w:rPr>
        <w:t xml:space="preserve">؛ </w:t>
      </w:r>
    </w:p>
    <w:p w14:paraId="09FC0A4E" w14:textId="77777777" w:rsidR="00BE113E" w:rsidRPr="00F30EF3" w:rsidRDefault="00BE113E" w:rsidP="009D4A54">
      <w:pPr>
        <w:pStyle w:val="ListParagraph"/>
        <w:numPr>
          <w:ilvl w:val="1"/>
          <w:numId w:val="84"/>
        </w:numPr>
        <w:spacing w:line="240" w:lineRule="auto"/>
        <w:ind w:left="851" w:hanging="425"/>
        <w:jc w:val="both"/>
        <w:rPr>
          <w:rFonts w:cstheme="minorHAnsi"/>
          <w:rtl/>
        </w:rPr>
      </w:pPr>
      <w:r w:rsidRPr="00F30EF3">
        <w:rPr>
          <w:rFonts w:cstheme="minorHAnsi"/>
          <w:rtl/>
        </w:rPr>
        <w:t>معدل التغيّر التكنولوجي</w:t>
      </w:r>
      <w:r w:rsidRPr="00F30EF3">
        <w:rPr>
          <w:rStyle w:val="FootnoteReference"/>
          <w:rFonts w:cstheme="minorHAnsi"/>
          <w:rtl/>
          <w:lang w:val="en-US"/>
        </w:rPr>
        <w:footnoteReference w:id="134"/>
      </w:r>
      <w:r w:rsidRPr="00F30EF3">
        <w:rPr>
          <w:rFonts w:cstheme="minorHAnsi"/>
          <w:rtl/>
        </w:rPr>
        <w:t>؛</w:t>
      </w:r>
    </w:p>
    <w:p w14:paraId="25240584" w14:textId="77777777" w:rsidR="00BE113E" w:rsidRPr="00F30EF3" w:rsidRDefault="00BE113E" w:rsidP="00A840A5">
      <w:pPr>
        <w:pStyle w:val="ListParagraph"/>
        <w:numPr>
          <w:ilvl w:val="1"/>
          <w:numId w:val="84"/>
        </w:numPr>
        <w:spacing w:after="120" w:line="240" w:lineRule="auto"/>
        <w:ind w:left="851" w:hanging="425"/>
        <w:contextualSpacing w:val="0"/>
        <w:jc w:val="both"/>
        <w:rPr>
          <w:rFonts w:cstheme="minorHAnsi"/>
          <w:rtl/>
        </w:rPr>
      </w:pPr>
      <w:r w:rsidRPr="00F30EF3">
        <w:rPr>
          <w:rFonts w:cstheme="minorHAnsi"/>
          <w:rtl/>
        </w:rPr>
        <w:t>إمكانية الهندسة العكسية.</w:t>
      </w:r>
      <w:r w:rsidRPr="00F30EF3">
        <w:rPr>
          <w:rStyle w:val="FootnoteReference"/>
          <w:rFonts w:cstheme="minorHAnsi"/>
          <w:rtl/>
          <w:lang w:val="en-US"/>
        </w:rPr>
        <w:footnoteReference w:id="135"/>
      </w:r>
      <w:r w:rsidRPr="00F30EF3">
        <w:rPr>
          <w:rFonts w:cstheme="minorHAnsi"/>
          <w:rtl/>
        </w:rPr>
        <w:t xml:space="preserve"> </w:t>
      </w:r>
    </w:p>
    <w:p w14:paraId="447E05A0" w14:textId="67C3479E" w:rsidR="00BE113E" w:rsidRPr="00F30EF3" w:rsidRDefault="00BE113E" w:rsidP="00A840A5">
      <w:pPr>
        <w:pStyle w:val="ListParagraph"/>
        <w:numPr>
          <w:ilvl w:val="0"/>
          <w:numId w:val="11"/>
        </w:numPr>
        <w:spacing w:after="120" w:line="240" w:lineRule="auto"/>
        <w:ind w:left="426" w:hanging="426"/>
        <w:contextualSpacing w:val="0"/>
        <w:jc w:val="both"/>
        <w:rPr>
          <w:rFonts w:cstheme="minorHAnsi"/>
          <w:rtl/>
        </w:rPr>
      </w:pPr>
      <w:r w:rsidRPr="00F30EF3">
        <w:rPr>
          <w:rFonts w:cstheme="minorHAnsi"/>
          <w:rtl/>
        </w:rPr>
        <w:t>ثمة اعتبار آخر، والذي قد يكون الأصعب على المسؤولين التنفيذيين في نقل التكنولوجيا تطبيقه. يرى كثيرون أنه من الصعب التوفيق بين الأسرار التجارية مع الانفتاح في تبادل المعرفة والحرية المطلقة في النشر، وهو جزء من الرسالة الأكاديمية. لذا، إلى جانب بعض الفئات الاستثنائية</w:t>
      </w:r>
      <w:r w:rsidRPr="00F30EF3">
        <w:rPr>
          <w:rStyle w:val="FootnoteReference"/>
          <w:rFonts w:cstheme="minorHAnsi"/>
          <w:rtl/>
          <w:lang w:val="en-US"/>
        </w:rPr>
        <w:footnoteReference w:id="136"/>
      </w:r>
      <w:r w:rsidRPr="00F30EF3">
        <w:rPr>
          <w:rFonts w:cstheme="minorHAnsi"/>
          <w:rtl/>
        </w:rPr>
        <w:t xml:space="preserve">، فإن العديد من المؤسسات سيكون لديها تحفظات إزاء حماية الأسرار التجارية (انظر مثال ستانفورد، </w:t>
      </w:r>
      <w:hyperlink w:anchor="Box44" w:history="1">
        <w:r w:rsidRPr="00F30EF3">
          <w:rPr>
            <w:rStyle w:val="Hyperlink"/>
            <w:rFonts w:cstheme="minorHAnsi"/>
            <w:rtl/>
          </w:rPr>
          <w:t>الإطار 44</w:t>
        </w:r>
      </w:hyperlink>
      <w:r w:rsidRPr="00F30EF3">
        <w:rPr>
          <w:rFonts w:cstheme="minorHAnsi"/>
          <w:rtl/>
        </w:rPr>
        <w:t>).</w:t>
      </w:r>
    </w:p>
    <w:p w14:paraId="78933FE7" w14:textId="499F5EAD" w:rsidR="00BE113E" w:rsidRPr="00F30EF3" w:rsidRDefault="00BE113E" w:rsidP="00464282">
      <w:pPr>
        <w:pStyle w:val="ListParagraph"/>
        <w:numPr>
          <w:ilvl w:val="0"/>
          <w:numId w:val="11"/>
        </w:numPr>
        <w:spacing w:line="240" w:lineRule="auto"/>
        <w:ind w:left="426" w:hanging="426"/>
        <w:jc w:val="both"/>
        <w:rPr>
          <w:rFonts w:cstheme="minorHAnsi"/>
          <w:rtl/>
        </w:rPr>
      </w:pPr>
      <w:r w:rsidRPr="00F30EF3">
        <w:rPr>
          <w:rFonts w:cstheme="minorHAnsi"/>
          <w:rtl/>
        </w:rPr>
        <w:lastRenderedPageBreak/>
        <w:t>كما يجوز إنشاء أسرار تجارية في مشاريع مموّلة (عقود البحث). في هذه الحالة، ستطلب الجهة الراعية عموماً من المؤسسة والمبدعين الحفاظ على سرية المعلومات</w:t>
      </w:r>
      <w:r w:rsidRPr="00F30EF3">
        <w:rPr>
          <w:rStyle w:val="FootnoteReference"/>
          <w:rFonts w:cstheme="minorHAnsi"/>
          <w:rtl/>
          <w:lang w:val="en-US"/>
        </w:rPr>
        <w:footnoteReference w:id="137"/>
      </w:r>
      <w:r w:rsidRPr="00F30EF3">
        <w:rPr>
          <w:rFonts w:cstheme="minorHAnsi"/>
          <w:rtl/>
        </w:rPr>
        <w:t xml:space="preserve">. ومع ذلك، بالنظر إلى مبدأ حرية النشر، فإن بعض الجامعات لن تسمح بإبقاء أي معلومات يعدها الموظفون، حتى بموجب عقد بحث مموّل، سرية (انظر </w:t>
      </w:r>
      <w:hyperlink w:anchor="Box30" w:history="1">
        <w:r w:rsidRPr="00F30EF3">
          <w:rPr>
            <w:rStyle w:val="Hyperlink"/>
            <w:rFonts w:cstheme="minorHAnsi"/>
            <w:rtl/>
          </w:rPr>
          <w:t>الإطار 30</w:t>
        </w:r>
      </w:hyperlink>
      <w:r w:rsidRPr="00F30EF3">
        <w:rPr>
          <w:rFonts w:cstheme="minorHAnsi"/>
          <w:rtl/>
        </w:rPr>
        <w:t>).</w:t>
      </w:r>
      <w:r w:rsidR="006D266E" w:rsidRPr="00F30EF3">
        <w:rPr>
          <w:rStyle w:val="FootnoteReference"/>
          <w:rFonts w:eastAsia="Times New Roman" w:cstheme="minorHAnsi"/>
          <w:rtl/>
          <w:lang w:val="en-US"/>
        </w:rPr>
        <w:footnoteReference w:id="138"/>
      </w:r>
      <w:r w:rsidRPr="00F30EF3">
        <w:rPr>
          <w:rFonts w:cstheme="minorHAnsi"/>
          <w:rtl/>
        </w:rPr>
        <w:t xml:space="preserve">    </w:t>
      </w:r>
    </w:p>
    <w:p w14:paraId="440774D5" w14:textId="77777777" w:rsidR="002F0D8F" w:rsidRPr="00F30EF3" w:rsidRDefault="002F0D8F" w:rsidP="00B7519E">
      <w:pPr>
        <w:pStyle w:val="Heading3"/>
        <w:spacing w:before="360"/>
        <w:rPr>
          <w:rFonts w:asciiTheme="minorHAnsi" w:eastAsia="Times New Roman" w:hAnsiTheme="minorHAnsi" w:cstheme="minorHAnsi"/>
          <w:sz w:val="24"/>
          <w:szCs w:val="24"/>
          <w:rtl/>
        </w:rPr>
      </w:pPr>
      <w:bookmarkStart w:id="202" w:name="_Toc494115978"/>
      <w:bookmarkStart w:id="203" w:name="_Toc516160068"/>
      <w:bookmarkStart w:id="204" w:name="_Toc516219411"/>
      <w:bookmarkStart w:id="205" w:name="_Toc516496053"/>
      <w:bookmarkStart w:id="206" w:name="_Toc516829425"/>
      <w:r w:rsidRPr="00F30EF3">
        <w:rPr>
          <w:rFonts w:asciiTheme="minorHAnsi" w:hAnsiTheme="minorHAnsi" w:cstheme="minorHAnsi"/>
          <w:sz w:val="24"/>
          <w:szCs w:val="24"/>
          <w:rtl/>
        </w:rPr>
        <w:t>أمثلة</w:t>
      </w:r>
      <w:bookmarkEnd w:id="202"/>
      <w:r w:rsidRPr="00F30EF3">
        <w:rPr>
          <w:rFonts w:asciiTheme="minorHAnsi" w:hAnsiTheme="minorHAnsi" w:cstheme="minorHAnsi"/>
          <w:sz w:val="24"/>
          <w:szCs w:val="24"/>
          <w:rtl/>
        </w:rPr>
        <w:t xml:space="preserve"> على بنود السرية والخصوصية</w:t>
      </w:r>
      <w:bookmarkEnd w:id="203"/>
      <w:bookmarkEnd w:id="204"/>
      <w:bookmarkEnd w:id="205"/>
      <w:bookmarkEnd w:id="206"/>
    </w:p>
    <w:p w14:paraId="6D19E937" w14:textId="2F757212" w:rsidR="00030E4B" w:rsidRPr="00F30EF3"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cstheme="minorHAnsi"/>
          <w:b/>
          <w:bCs/>
          <w:rtl/>
        </w:rPr>
      </w:pPr>
      <w:r w:rsidRPr="00F30EF3">
        <w:rPr>
          <w:rFonts w:cstheme="minorHAnsi"/>
          <w:b/>
          <w:bCs/>
          <w:rtl/>
        </w:rPr>
        <w:t xml:space="preserve">الإطار </w:t>
      </w:r>
      <w:r w:rsidR="00A840A5" w:rsidRPr="00F30EF3">
        <w:rPr>
          <w:rFonts w:cstheme="minorHAnsi"/>
          <w:b/>
          <w:bCs/>
        </w:rPr>
        <w:t>.</w:t>
      </w:r>
      <w:r w:rsidR="00233724" w:rsidRPr="00F30EF3">
        <w:rPr>
          <w:rFonts w:cstheme="minorHAnsi"/>
          <w:b/>
          <w:bCs/>
        </w:rPr>
        <w:t>42</w:t>
      </w:r>
      <w:r w:rsidRPr="00F30EF3">
        <w:rPr>
          <w:rFonts w:cstheme="minorHAnsi"/>
          <w:b/>
          <w:bCs/>
          <w:rtl/>
        </w:rPr>
        <w:t xml:space="preserve"> مثال على مسؤوليات السرية - جامعة مدينة لندن</w:t>
      </w:r>
      <w:r w:rsidRPr="00F30EF3">
        <w:rPr>
          <w:rStyle w:val="FootnoteReference"/>
          <w:rFonts w:cstheme="minorHAnsi"/>
          <w:b/>
          <w:bCs/>
          <w:rtl/>
          <w:lang w:val="en-US"/>
        </w:rPr>
        <w:footnoteReference w:id="139"/>
      </w:r>
      <w:r w:rsidRPr="00F30EF3">
        <w:rPr>
          <w:rFonts w:cstheme="minorHAnsi"/>
          <w:rtl/>
        </w:rPr>
        <w:t xml:space="preserve"> </w:t>
      </w:r>
    </w:p>
    <w:p w14:paraId="1614DB05" w14:textId="77777777" w:rsidR="00030E4B" w:rsidRPr="00F30EF3"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cstheme="minorHAnsi"/>
          <w:i/>
          <w:iCs/>
          <w:lang w:val="en-US"/>
        </w:rPr>
      </w:pPr>
    </w:p>
    <w:p w14:paraId="392301FE" w14:textId="77777777" w:rsidR="00030E4B" w:rsidRPr="00F30EF3"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cstheme="minorHAnsi"/>
          <w:i/>
          <w:iCs/>
          <w:rtl/>
        </w:rPr>
      </w:pPr>
      <w:r w:rsidRPr="00F30EF3">
        <w:rPr>
          <w:rFonts w:cstheme="minorHAnsi"/>
          <w:i/>
          <w:iCs/>
          <w:rtl/>
        </w:rPr>
        <w:t>"المادة 1.9. قبل وأثناء المشاريع أو الأنشطة التعاونية مع أطراف أخرى،</w:t>
      </w:r>
      <w:r w:rsidRPr="00F30EF3">
        <w:rPr>
          <w:rFonts w:cstheme="minorHAnsi"/>
          <w:i/>
          <w:iCs/>
          <w:color w:val="000000" w:themeColor="text1"/>
          <w:rtl/>
        </w:rPr>
        <w:t xml:space="preserve"> </w:t>
      </w:r>
      <w:r w:rsidRPr="00F30EF3">
        <w:rPr>
          <w:rFonts w:cstheme="minorHAnsi"/>
          <w:i/>
          <w:iCs/>
          <w:color w:val="000000" w:themeColor="text1"/>
          <w:u w:val="single"/>
          <w:rtl/>
        </w:rPr>
        <w:t>يجب على جميع الأشخاص</w:t>
      </w:r>
      <w:r w:rsidRPr="00F30EF3">
        <w:rPr>
          <w:rFonts w:cstheme="minorHAnsi"/>
          <w:i/>
          <w:iCs/>
          <w:color w:val="000000" w:themeColor="text1"/>
          <w:rtl/>
        </w:rPr>
        <w:t xml:space="preserve"> الملزمين بسياسة الملكية الفكرية هذه </w:t>
      </w:r>
      <w:r w:rsidRPr="00F30EF3">
        <w:rPr>
          <w:rFonts w:cstheme="minorHAnsi"/>
          <w:i/>
          <w:iCs/>
          <w:rtl/>
        </w:rPr>
        <w:t xml:space="preserve">التعاون مع فريق نقل التكنولوجيا و/أو مكتب الأبحاث لضمان وضع </w:t>
      </w:r>
      <w:r w:rsidRPr="00F30EF3">
        <w:rPr>
          <w:rFonts w:cstheme="minorHAnsi"/>
          <w:i/>
          <w:iCs/>
          <w:u w:val="single"/>
          <w:rtl/>
        </w:rPr>
        <w:t>اتفاقات مكتوبة مناسبة متعلقة بالسرية قبل بدء أي تعاون أو مشروع</w:t>
      </w:r>
      <w:r w:rsidRPr="00F30EF3">
        <w:rPr>
          <w:rFonts w:cstheme="minorHAnsi"/>
          <w:i/>
          <w:iCs/>
          <w:rtl/>
        </w:rPr>
        <w:t xml:space="preserve"> بين الجامعة وأي جهات خارجية غير ملزمة بهذه السياسة والتي قد تنشأ عنها الملكية الفكرية أو قد تُستخدم فيها الملكية الفكرية للجامعة أو يتم الكشف عنها. يتضمن ذلك مناقشات ما قبل المقترح مع أطراف خارجية".</w:t>
      </w:r>
    </w:p>
    <w:p w14:paraId="0F104970" w14:textId="77777777" w:rsidR="00030E4B" w:rsidRPr="00F30EF3"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cstheme="minorHAnsi"/>
          <w:b/>
          <w:bCs/>
          <w:i/>
          <w:iCs/>
          <w:lang w:val="en-US"/>
        </w:rPr>
      </w:pPr>
    </w:p>
    <w:p w14:paraId="7EDE1132" w14:textId="77777777" w:rsidR="00030E4B" w:rsidRPr="00F30EF3"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cstheme="minorHAnsi"/>
          <w:b/>
          <w:bCs/>
          <w:i/>
          <w:iCs/>
          <w:rtl/>
        </w:rPr>
      </w:pPr>
      <w:r w:rsidRPr="00F30EF3">
        <w:rPr>
          <w:rFonts w:cstheme="minorHAnsi"/>
          <w:i/>
          <w:iCs/>
          <w:rtl/>
        </w:rPr>
        <w:t xml:space="preserve">"المادة 4.9.ب) بالنسبة للاختراعات ذات الطبيعة التقنية، التي قد تكون محمية بموجب براءة، </w:t>
      </w:r>
      <w:r w:rsidRPr="00F30EF3">
        <w:rPr>
          <w:rFonts w:cstheme="minorHAnsi"/>
          <w:i/>
          <w:iCs/>
          <w:u w:val="single"/>
          <w:rtl/>
        </w:rPr>
        <w:t>يجب طلب المشورة قبل أي نشر</w:t>
      </w:r>
      <w:r w:rsidRPr="00F30EF3">
        <w:rPr>
          <w:rFonts w:cstheme="minorHAnsi"/>
          <w:i/>
          <w:iCs/>
          <w:rtl/>
        </w:rPr>
        <w:t xml:space="preserve"> من فريق نقل التكنولوجيا بالجامعة لتجنب أي كشف مُسَبّق قد يقلل من التأثير التجاري".</w:t>
      </w:r>
    </w:p>
    <w:p w14:paraId="28469E41" w14:textId="77777777" w:rsidR="00030E4B" w:rsidRPr="00F30EF3" w:rsidRDefault="00030E4B" w:rsidP="00030E4B">
      <w:pPr>
        <w:spacing w:after="0"/>
        <w:rPr>
          <w:rFonts w:cstheme="minorHAnsi"/>
          <w:lang w:val="en-US" w:eastAsia="en-US"/>
        </w:rPr>
      </w:pPr>
    </w:p>
    <w:p w14:paraId="66A0C645" w14:textId="77777777" w:rsidR="00B30378" w:rsidRPr="00F30EF3" w:rsidRDefault="00B30378" w:rsidP="00030E4B">
      <w:pPr>
        <w:spacing w:after="0"/>
        <w:rPr>
          <w:rFonts w:cstheme="minorHAnsi"/>
          <w:lang w:val="en-US" w:eastAsia="en-US"/>
        </w:rPr>
      </w:pPr>
    </w:p>
    <w:p w14:paraId="40E33349" w14:textId="1BEBB77C" w:rsidR="00030E4B" w:rsidRPr="00F30EF3"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cstheme="minorHAnsi"/>
          <w:b/>
          <w:bCs/>
          <w:rtl/>
        </w:rPr>
      </w:pPr>
      <w:bookmarkStart w:id="207" w:name="Box43"/>
      <w:r w:rsidRPr="00F30EF3">
        <w:rPr>
          <w:rFonts w:cstheme="minorHAnsi"/>
          <w:b/>
          <w:bCs/>
          <w:rtl/>
        </w:rPr>
        <w:t xml:space="preserve">الإطار </w:t>
      </w:r>
      <w:bookmarkEnd w:id="207"/>
      <w:r w:rsidR="00E82AF8" w:rsidRPr="00F30EF3">
        <w:rPr>
          <w:rFonts w:cstheme="minorHAnsi"/>
          <w:b/>
          <w:bCs/>
        </w:rPr>
        <w:t>.</w:t>
      </w:r>
      <w:r w:rsidR="00747AC9" w:rsidRPr="00F30EF3">
        <w:rPr>
          <w:rFonts w:cstheme="minorHAnsi"/>
          <w:b/>
          <w:bCs/>
        </w:rPr>
        <w:t>43</w:t>
      </w:r>
      <w:r w:rsidR="00747AC9" w:rsidRPr="00F30EF3">
        <w:rPr>
          <w:rFonts w:cstheme="minorHAnsi" w:hint="cs"/>
          <w:b/>
          <w:bCs/>
          <w:rtl/>
        </w:rPr>
        <w:t xml:space="preserve"> </w:t>
      </w:r>
      <w:r w:rsidRPr="00F30EF3">
        <w:rPr>
          <w:rFonts w:cstheme="minorHAnsi"/>
          <w:b/>
          <w:bCs/>
          <w:rtl/>
        </w:rPr>
        <w:t xml:space="preserve">أمثلة على السماح لشركاء القطاع بطلب تأخيرات في النشر  </w:t>
      </w:r>
    </w:p>
    <w:p w14:paraId="673358C6" w14:textId="77777777" w:rsidR="00030E4B" w:rsidRPr="00F30EF3"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cstheme="minorHAnsi"/>
          <w:i/>
          <w:iCs/>
          <w:lang w:val="en-US"/>
        </w:rPr>
      </w:pPr>
    </w:p>
    <w:p w14:paraId="37E19B4B" w14:textId="77777777" w:rsidR="00030E4B" w:rsidRPr="00F30EF3" w:rsidRDefault="00201FE6" w:rsidP="009D4A54">
      <w:pPr>
        <w:pStyle w:val="Pa1"/>
        <w:numPr>
          <w:ilvl w:val="0"/>
          <w:numId w:val="121"/>
        </w:num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bidi/>
        <w:ind w:left="426" w:hanging="426"/>
        <w:jc w:val="both"/>
        <w:rPr>
          <w:rFonts w:asciiTheme="minorHAnsi" w:hAnsiTheme="minorHAnsi" w:cstheme="minorHAnsi"/>
          <w:i/>
          <w:iCs/>
          <w:color w:val="000000"/>
          <w:sz w:val="22"/>
          <w:szCs w:val="22"/>
          <w:rtl/>
        </w:rPr>
      </w:pPr>
      <w:r w:rsidRPr="00F30EF3">
        <w:rPr>
          <w:rFonts w:asciiTheme="minorHAnsi" w:hAnsiTheme="minorHAnsi" w:cstheme="minorHAnsi"/>
          <w:b/>
          <w:bCs/>
          <w:sz w:val="22"/>
          <w:szCs w:val="22"/>
          <w:rtl/>
        </w:rPr>
        <w:t>جامعة كوبنهاجن</w:t>
      </w:r>
      <w:r w:rsidRPr="00F30EF3">
        <w:rPr>
          <w:rStyle w:val="FootnoteReference"/>
          <w:rFonts w:asciiTheme="minorHAnsi" w:hAnsiTheme="minorHAnsi" w:cstheme="minorHAnsi"/>
          <w:sz w:val="22"/>
          <w:szCs w:val="22"/>
          <w:rtl/>
        </w:rPr>
        <w:footnoteReference w:id="140"/>
      </w:r>
      <w:r w:rsidRPr="00F30EF3">
        <w:rPr>
          <w:rFonts w:asciiTheme="minorHAnsi" w:hAnsiTheme="minorHAnsi" w:cstheme="minorHAnsi"/>
          <w:b/>
          <w:bCs/>
          <w:sz w:val="22"/>
          <w:szCs w:val="22"/>
          <w:rtl/>
        </w:rPr>
        <w:t xml:space="preserve"> - </w:t>
      </w:r>
      <w:r w:rsidRPr="00F30EF3">
        <w:rPr>
          <w:rFonts w:asciiTheme="minorHAnsi" w:hAnsiTheme="minorHAnsi" w:cstheme="minorHAnsi"/>
          <w:i/>
          <w:iCs/>
          <w:sz w:val="22"/>
          <w:szCs w:val="22"/>
          <w:rtl/>
        </w:rPr>
        <w:t>"</w:t>
      </w:r>
      <w:r w:rsidRPr="00F30EF3">
        <w:rPr>
          <w:rFonts w:asciiTheme="minorHAnsi" w:hAnsiTheme="minorHAnsi" w:cstheme="minorHAnsi"/>
          <w:i/>
          <w:iCs/>
          <w:color w:val="000000"/>
          <w:sz w:val="22"/>
          <w:szCs w:val="22"/>
          <w:rtl/>
        </w:rPr>
        <w:t xml:space="preserve">تسعى الجامعة إلى نشر أكبر قدر ممكن، وتلتزم بذلك. من ناحية أخرى، تعمل الشركات الخاصة عادةً وفقاً لاستراتيجية نشر أكثر تحكماً [...]. </w:t>
      </w:r>
      <w:r w:rsidRPr="00F30EF3">
        <w:rPr>
          <w:rFonts w:asciiTheme="minorHAnsi" w:hAnsiTheme="minorHAnsi" w:cstheme="minorHAnsi"/>
          <w:i/>
          <w:iCs/>
          <w:color w:val="000000"/>
          <w:sz w:val="22"/>
          <w:szCs w:val="22"/>
          <w:u w:val="single"/>
          <w:rtl/>
        </w:rPr>
        <w:t>يمكن عادةً تأخير نشر نتائج الأبحاث، المُعَدّة بالتعاون مع طرف خارجي، لمدة أقصاها ثلاثة أشهر</w:t>
      </w:r>
      <w:r w:rsidRPr="00F30EF3">
        <w:rPr>
          <w:rFonts w:asciiTheme="minorHAnsi" w:hAnsiTheme="minorHAnsi" w:cstheme="minorHAnsi"/>
          <w:i/>
          <w:iCs/>
          <w:color w:val="000000"/>
          <w:sz w:val="22"/>
          <w:szCs w:val="22"/>
          <w:rtl/>
        </w:rPr>
        <w:t xml:space="preserve"> (شهر واحد حيث يمكن للطرف الخارجي التعقيب على المواد التي ترغب في نشرها، وشهرين حيث يمكن للشركة تسجيل براءة لنتائجها الخاصة). يمكن تقسيم هذه الفترة على نحوٍ مختلف. لا يعتبر إرسال منشور للاستعراض بمثابة نشر، ولكن يلزم إظهار قدر من العناية من خلال وضع علامة "سري" على المخطوطة البحثية.</w:t>
      </w:r>
    </w:p>
    <w:p w14:paraId="650F4D48" w14:textId="77777777" w:rsidR="00201FE6" w:rsidRPr="00F30EF3" w:rsidRDefault="00201FE6" w:rsidP="009D4A54">
      <w:pPr>
        <w:pStyle w:val="Default"/>
        <w:numPr>
          <w:ilvl w:val="0"/>
          <w:numId w:val="121"/>
        </w:numPr>
        <w:pBdr>
          <w:top w:val="single" w:sz="4" w:space="1" w:color="auto"/>
          <w:left w:val="single" w:sz="4" w:space="4" w:color="auto"/>
          <w:bottom w:val="single" w:sz="4" w:space="1" w:color="auto"/>
          <w:right w:val="single" w:sz="4" w:space="4" w:color="auto"/>
        </w:pBdr>
        <w:shd w:val="clear" w:color="auto" w:fill="FDE9D9" w:themeFill="accent6" w:themeFillTint="33"/>
        <w:bidi/>
        <w:ind w:left="426" w:hanging="426"/>
        <w:jc w:val="both"/>
        <w:rPr>
          <w:rFonts w:asciiTheme="minorHAnsi" w:hAnsiTheme="minorHAnsi" w:cstheme="minorHAnsi"/>
          <w:sz w:val="22"/>
          <w:szCs w:val="22"/>
          <w:rtl/>
        </w:rPr>
      </w:pPr>
      <w:r w:rsidRPr="00F30EF3">
        <w:rPr>
          <w:rFonts w:asciiTheme="minorHAnsi" w:hAnsiTheme="minorHAnsi" w:cstheme="minorHAnsi"/>
          <w:b/>
          <w:bCs/>
          <w:color w:val="auto"/>
          <w:sz w:val="22"/>
          <w:szCs w:val="22"/>
          <w:rtl/>
        </w:rPr>
        <w:t>جامعة بيتسبرج</w:t>
      </w:r>
      <w:r w:rsidRPr="00F30EF3">
        <w:rPr>
          <w:rStyle w:val="FootnoteReference"/>
          <w:rFonts w:asciiTheme="minorHAnsi" w:hAnsiTheme="minorHAnsi" w:cstheme="minorHAnsi"/>
          <w:b/>
          <w:bCs/>
          <w:color w:val="auto"/>
          <w:sz w:val="22"/>
          <w:szCs w:val="22"/>
          <w:rtl/>
          <w:lang w:val="en-US"/>
        </w:rPr>
        <w:footnoteReference w:id="141"/>
      </w:r>
      <w:r w:rsidRPr="00F30EF3">
        <w:rPr>
          <w:rFonts w:asciiTheme="minorHAnsi" w:hAnsiTheme="minorHAnsi" w:cstheme="minorHAnsi"/>
          <w:sz w:val="22"/>
          <w:szCs w:val="22"/>
          <w:rtl/>
        </w:rPr>
        <w:t xml:space="preserve"> - </w:t>
      </w:r>
      <w:r w:rsidRPr="00F30EF3">
        <w:rPr>
          <w:rFonts w:asciiTheme="minorHAnsi" w:hAnsiTheme="minorHAnsi" w:cstheme="minorHAnsi"/>
          <w:i/>
          <w:iCs/>
          <w:sz w:val="22"/>
          <w:szCs w:val="22"/>
          <w:rtl/>
        </w:rPr>
        <w:t>"لا يجوز لجهة راعية تجارية لمشروع بحثي أن يكون لها حق الاعتراض على قرار النشر، ولكن يجوز السماح بتأخير النشر لفترة مُتفق عليها، لا تتجاوز ستة أشهر، بغية السماح بإيداع طلب براءة".</w:t>
      </w:r>
    </w:p>
    <w:p w14:paraId="1714B679" w14:textId="77777777" w:rsidR="00201FE6" w:rsidRPr="00F30EF3" w:rsidRDefault="00201FE6" w:rsidP="00B7519E">
      <w:pPr>
        <w:pStyle w:val="Default"/>
        <w:rPr>
          <w:rFonts w:asciiTheme="minorHAnsi" w:hAnsiTheme="minorHAnsi" w:cstheme="minorHAnsi"/>
          <w:sz w:val="22"/>
          <w:szCs w:val="22"/>
          <w:lang w:val="en-US"/>
        </w:rPr>
      </w:pPr>
    </w:p>
    <w:p w14:paraId="10A90857" w14:textId="7B955B75" w:rsidR="00030E4B" w:rsidRPr="00F30EF3"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cstheme="minorHAnsi"/>
          <w:b/>
          <w:bCs/>
          <w:rtl/>
        </w:rPr>
      </w:pPr>
      <w:bookmarkStart w:id="208" w:name="Box44"/>
      <w:r w:rsidRPr="00F30EF3">
        <w:rPr>
          <w:rFonts w:cstheme="minorHAnsi"/>
          <w:b/>
          <w:bCs/>
          <w:rtl/>
        </w:rPr>
        <w:t xml:space="preserve">الإطار </w:t>
      </w:r>
      <w:bookmarkEnd w:id="208"/>
      <w:r w:rsidR="00E82AF8" w:rsidRPr="00F30EF3">
        <w:rPr>
          <w:rFonts w:cstheme="minorHAnsi"/>
          <w:b/>
          <w:bCs/>
        </w:rPr>
        <w:t>.</w:t>
      </w:r>
      <w:r w:rsidR="00747AC9" w:rsidRPr="00F30EF3">
        <w:rPr>
          <w:rFonts w:cstheme="minorHAnsi"/>
          <w:b/>
          <w:bCs/>
        </w:rPr>
        <w:t>44</w:t>
      </w:r>
      <w:r w:rsidRPr="00F30EF3">
        <w:rPr>
          <w:rFonts w:cstheme="minorHAnsi"/>
          <w:b/>
          <w:bCs/>
          <w:rtl/>
        </w:rPr>
        <w:t xml:space="preserve"> مثال على عدم السرية - ستانفورد</w:t>
      </w:r>
      <w:r w:rsidRPr="00F30EF3">
        <w:rPr>
          <w:rStyle w:val="FootnoteReference"/>
          <w:rFonts w:cstheme="minorHAnsi"/>
          <w:rtl/>
          <w:lang w:val="en-US"/>
        </w:rPr>
        <w:footnoteReference w:id="142"/>
      </w:r>
    </w:p>
    <w:p w14:paraId="3FB1B6EA" w14:textId="77777777" w:rsidR="00030E4B" w:rsidRPr="00F30EF3"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cstheme="minorHAnsi"/>
          <w:i/>
          <w:iCs/>
          <w:lang w:val="en-US"/>
        </w:rPr>
      </w:pPr>
    </w:p>
    <w:p w14:paraId="1FC30986" w14:textId="77777777" w:rsidR="00030E4B" w:rsidRPr="00F30EF3" w:rsidRDefault="00096C60"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cstheme="minorHAnsi"/>
          <w:i/>
          <w:iCs/>
          <w:rtl/>
        </w:rPr>
      </w:pPr>
      <w:r w:rsidRPr="00F30EF3">
        <w:rPr>
          <w:rFonts w:cstheme="minorHAnsi"/>
          <w:i/>
          <w:iCs/>
          <w:rtl/>
        </w:rPr>
        <w:t xml:space="preserve">[منظورات] - "تلتزم جامعة ستانفورد بسياسة أساسية متعلقة بعدم السرية في البحث. ينشر باحثو جامعة ستانفورد نتائجهم لتعزيز المعرفة وتعميمها. النشر هو الطريقة التي يستعين بها أعضاء هيئة التدريس والطلاب لمواصلة حياتهم المهنية. </w:t>
      </w:r>
      <w:r w:rsidRPr="00F30EF3">
        <w:rPr>
          <w:rFonts w:cstheme="minorHAnsi"/>
          <w:i/>
          <w:iCs/>
          <w:u w:val="single"/>
          <w:rtl/>
        </w:rPr>
        <w:t>لا يمكن الاحتفاظ باكتشافات الجامعة باعتبارها أسراراً تجارية</w:t>
      </w:r>
      <w:r w:rsidRPr="00F30EF3">
        <w:rPr>
          <w:rFonts w:cstheme="minorHAnsi"/>
          <w:i/>
          <w:iCs/>
          <w:rtl/>
        </w:rPr>
        <w:t>.</w:t>
      </w:r>
    </w:p>
    <w:p w14:paraId="18511D58" w14:textId="77777777" w:rsidR="00030E4B" w:rsidRPr="00F30EF3"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cstheme="minorHAnsi"/>
          <w:i/>
          <w:iCs/>
          <w:lang w:val="en-US"/>
        </w:rPr>
      </w:pPr>
    </w:p>
    <w:p w14:paraId="7ADF6D44" w14:textId="77777777" w:rsidR="00030E4B" w:rsidRPr="00F30EF3" w:rsidRDefault="00096C60"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cstheme="minorHAnsi"/>
          <w:i/>
          <w:iCs/>
          <w:rtl/>
        </w:rPr>
      </w:pPr>
      <w:r w:rsidRPr="00F30EF3">
        <w:rPr>
          <w:rFonts w:cstheme="minorHAnsi"/>
          <w:i/>
          <w:iCs/>
          <w:rtl/>
        </w:rPr>
        <w:t xml:space="preserve">[اتفاقات البحث المموّلة] - "تهتم الشركات بحماية أسرارها التجارية والملكية الفكرية والمعلومات السرية الأخرى. تتفهم جامعة ستانفورد هذا المنظور وتحترمه. إلا أنه نظراً للبيئة المفتوحة للجامعة وتدفق الباحثين والطلاب، فليس لدينا القدرة على متابعة من لديه حق النفاذ إلى معلومات معينة. بشكل عام، نفضل ألا تفصح الشركات عن أي معلومات سرية لأي شخص في جامعة ستانفورد. لا تتناسب المشاريع المُسجَّلة الملكية بدرجة كبيرة والمتضمنة لأسرار قيِّمة خاصة بإحدى الشركات مع البيئة الجامعية تماماً. ومع ذلك، </w:t>
      </w:r>
      <w:r w:rsidRPr="00F30EF3">
        <w:rPr>
          <w:rFonts w:cstheme="minorHAnsi"/>
          <w:i/>
          <w:iCs/>
          <w:u w:val="single"/>
          <w:rtl/>
        </w:rPr>
        <w:t>إذا كان تبادل المعلومات السرية ضرورياً لمشروع بحثي معين، فقد تطلب الشركة من الباحثين الأفراد إبرام اتفاق عدم الكشف بصفتهم الشخصية</w:t>
      </w:r>
      <w:r w:rsidRPr="00F30EF3">
        <w:rPr>
          <w:rFonts w:cstheme="minorHAnsi"/>
          <w:i/>
          <w:iCs/>
          <w:rtl/>
        </w:rPr>
        <w:t xml:space="preserve">. بشكل عام، </w:t>
      </w:r>
      <w:r w:rsidRPr="00F30EF3">
        <w:rPr>
          <w:rFonts w:cstheme="minorHAnsi"/>
          <w:i/>
          <w:iCs/>
          <w:u w:val="single"/>
          <w:rtl/>
        </w:rPr>
        <w:t>جامعة ستانفورد ليست طرفاً في هذه الاتفاقات</w:t>
      </w:r>
      <w:r w:rsidRPr="00F30EF3">
        <w:rPr>
          <w:rFonts w:cstheme="minorHAnsi"/>
          <w:i/>
          <w:iCs/>
          <w:rtl/>
        </w:rPr>
        <w:t>. قد تتمكن جامعة ستانفورد أيضاً من قبول شروط سرية معينة في إطار اتفاق بحث مموّل، شريطةً أن تكون متسقة مع مصالح الباحثين. في كلتا الحالتين، يجب أن تتوافق أي شروط سرية مع سياسة الجامعة".</w:t>
      </w:r>
    </w:p>
    <w:p w14:paraId="686FC1A9" w14:textId="77777777" w:rsidR="00030E4B" w:rsidRPr="00F30EF3" w:rsidRDefault="00030E4B" w:rsidP="00A03F65">
      <w:pPr>
        <w:spacing w:line="240" w:lineRule="auto"/>
        <w:rPr>
          <w:rFonts w:cstheme="minorHAnsi"/>
          <w:b/>
          <w:bCs/>
          <w:lang w:val="en-US"/>
        </w:rPr>
      </w:pPr>
    </w:p>
    <w:p w14:paraId="22656942" w14:textId="0B1B826D" w:rsidR="00201FE6" w:rsidRPr="00F30EF3" w:rsidRDefault="00201FE6"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cstheme="minorHAnsi"/>
          <w:b/>
          <w:bCs/>
          <w:rtl/>
        </w:rPr>
      </w:pPr>
      <w:r w:rsidRPr="00F30EF3">
        <w:rPr>
          <w:rFonts w:cstheme="minorHAnsi"/>
          <w:b/>
          <w:bCs/>
          <w:rtl/>
        </w:rPr>
        <w:lastRenderedPageBreak/>
        <w:t xml:space="preserve">الإطار </w:t>
      </w:r>
      <w:r w:rsidR="00E82AF8" w:rsidRPr="00F30EF3">
        <w:rPr>
          <w:rFonts w:cstheme="minorHAnsi"/>
          <w:b/>
          <w:bCs/>
        </w:rPr>
        <w:t>.</w:t>
      </w:r>
      <w:r w:rsidR="00082D5A" w:rsidRPr="00F30EF3">
        <w:rPr>
          <w:rFonts w:cstheme="minorHAnsi"/>
          <w:b/>
          <w:bCs/>
        </w:rPr>
        <w:t>45</w:t>
      </w:r>
      <w:r w:rsidRPr="00F30EF3">
        <w:rPr>
          <w:rFonts w:cstheme="minorHAnsi"/>
          <w:b/>
          <w:bCs/>
          <w:rtl/>
        </w:rPr>
        <w:t xml:space="preserve"> مثال على السرية المحدودة - جامعة كوبنهاجن</w:t>
      </w:r>
      <w:r w:rsidRPr="00F30EF3">
        <w:rPr>
          <w:rStyle w:val="FootnoteReference"/>
          <w:rFonts w:cstheme="minorHAnsi"/>
          <w:rtl/>
          <w:lang w:val="en-US"/>
        </w:rPr>
        <w:footnoteReference w:id="143"/>
      </w:r>
    </w:p>
    <w:p w14:paraId="2783BBEE" w14:textId="77777777" w:rsidR="00201FE6" w:rsidRPr="00F30EF3" w:rsidRDefault="00201FE6"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cstheme="minorHAnsi"/>
          <w:i/>
          <w:iCs/>
          <w:lang w:val="en-US"/>
        </w:rPr>
      </w:pPr>
    </w:p>
    <w:p w14:paraId="03CD60B9" w14:textId="032BE1BB" w:rsidR="00201FE6" w:rsidRPr="00F30EF3" w:rsidRDefault="00201FE6" w:rsidP="00B7519E">
      <w:pPr>
        <w:pStyle w:val="Pa1"/>
        <w:pBdr>
          <w:top w:val="single" w:sz="4" w:space="1" w:color="auto"/>
          <w:left w:val="single" w:sz="4" w:space="4" w:color="auto"/>
          <w:bottom w:val="single" w:sz="4" w:space="1" w:color="auto"/>
          <w:right w:val="single" w:sz="4" w:space="4" w:color="auto"/>
        </w:pBdr>
        <w:shd w:val="clear" w:color="auto" w:fill="FDE9D9" w:themeFill="accent6" w:themeFillTint="33"/>
        <w:bidi/>
        <w:jc w:val="both"/>
        <w:rPr>
          <w:rFonts w:asciiTheme="minorHAnsi" w:hAnsiTheme="minorHAnsi" w:cstheme="minorHAnsi"/>
          <w:i/>
          <w:iCs/>
          <w:sz w:val="22"/>
          <w:szCs w:val="22"/>
          <w:rtl/>
        </w:rPr>
      </w:pPr>
      <w:r w:rsidRPr="00F30EF3">
        <w:rPr>
          <w:rFonts w:asciiTheme="minorHAnsi" w:hAnsiTheme="minorHAnsi" w:cstheme="minorHAnsi"/>
          <w:i/>
          <w:iCs/>
          <w:sz w:val="22"/>
          <w:szCs w:val="22"/>
          <w:rtl/>
        </w:rPr>
        <w:t xml:space="preserve">"تميل الشركات الخاصة إلى حماية المعلومات السرية للحفاظ على الوضع التنافسي. ومن الجهة الأخرى، فإن الجامعة ملزمة بنشر النتائج البحثية التي توصلت إليها للمجتمع الذي موّل النتائج جزئياً أو كلياً. وتنبغي مراعاة كلتا الحالتين في اتفاقات السرية. قرّر فريق إدارة جامعة كوبنهاغن أنه </w:t>
      </w:r>
      <w:r w:rsidRPr="00F30EF3">
        <w:rPr>
          <w:rFonts w:asciiTheme="minorHAnsi" w:hAnsiTheme="minorHAnsi" w:cstheme="minorHAnsi"/>
          <w:i/>
          <w:iCs/>
          <w:sz w:val="22"/>
          <w:szCs w:val="22"/>
          <w:u w:val="single"/>
          <w:rtl/>
        </w:rPr>
        <w:t>لا يمكن أن تتخطى فترة عدم الكشف عن المعارف السرية لطرف خارجي مدة ثلاث (3) سنوات من نهاية مشروع تعاوني</w:t>
      </w:r>
      <w:r w:rsidRPr="00F30EF3">
        <w:rPr>
          <w:rFonts w:asciiTheme="minorHAnsi" w:hAnsiTheme="minorHAnsi" w:cstheme="minorHAnsi"/>
          <w:i/>
          <w:iCs/>
          <w:sz w:val="22"/>
          <w:szCs w:val="22"/>
          <w:rtl/>
        </w:rPr>
        <w:t>، إلا في حالة وجود ظروف خاصة تبرِّر تمديد هذه المدة".</w:t>
      </w:r>
    </w:p>
    <w:p w14:paraId="790442B7" w14:textId="77777777" w:rsidR="00030E4B" w:rsidRPr="00F30EF3" w:rsidRDefault="00030E4B" w:rsidP="00E82AF8">
      <w:pPr>
        <w:pStyle w:val="Heading3"/>
        <w:spacing w:before="240" w:after="240"/>
        <w:rPr>
          <w:rFonts w:asciiTheme="minorHAnsi" w:eastAsia="Times New Roman" w:hAnsiTheme="minorHAnsi" w:cstheme="minorHAnsi"/>
          <w:sz w:val="24"/>
          <w:szCs w:val="24"/>
          <w:rtl/>
        </w:rPr>
      </w:pPr>
      <w:bookmarkStart w:id="209" w:name="_Useful_Resources_to"/>
      <w:bookmarkStart w:id="210" w:name="_Toc516160069"/>
      <w:bookmarkStart w:id="211" w:name="_Toc516219412"/>
      <w:bookmarkStart w:id="212" w:name="_Toc516496054"/>
      <w:bookmarkStart w:id="213" w:name="_Toc516829426"/>
      <w:bookmarkEnd w:id="209"/>
      <w:r w:rsidRPr="00F30EF3">
        <w:rPr>
          <w:rFonts w:asciiTheme="minorHAnsi" w:hAnsiTheme="minorHAnsi" w:cstheme="minorHAnsi"/>
          <w:sz w:val="24"/>
          <w:szCs w:val="24"/>
          <w:rtl/>
        </w:rPr>
        <w:t>موارد مفيدة تتعلق بالمادة 6</w:t>
      </w:r>
      <w:bookmarkEnd w:id="210"/>
      <w:bookmarkEnd w:id="211"/>
      <w:bookmarkEnd w:id="212"/>
      <w:bookmarkEnd w:id="213"/>
    </w:p>
    <w:p w14:paraId="33805873" w14:textId="77777777" w:rsidR="00030E4B" w:rsidRPr="00F30EF3" w:rsidRDefault="00030E4B" w:rsidP="009D4A54">
      <w:pPr>
        <w:pStyle w:val="FootnoteText"/>
        <w:numPr>
          <w:ilvl w:val="0"/>
          <w:numId w:val="19"/>
        </w:numPr>
        <w:ind w:left="426" w:hanging="426"/>
        <w:jc w:val="both"/>
        <w:rPr>
          <w:rFonts w:cstheme="minorHAnsi"/>
          <w:sz w:val="22"/>
          <w:rtl/>
        </w:rPr>
      </w:pPr>
      <w:r w:rsidRPr="00F30EF3">
        <w:rPr>
          <w:rFonts w:cstheme="minorHAnsi"/>
          <w:b/>
          <w:bCs/>
          <w:sz w:val="22"/>
          <w:rtl/>
        </w:rPr>
        <w:t>أمثلة على سياسات/ مبادئ توجيهية بشأن الكشف عن المعلومات</w:t>
      </w:r>
      <w:r w:rsidRPr="00F30EF3">
        <w:rPr>
          <w:rFonts w:cstheme="minorHAnsi"/>
          <w:sz w:val="22"/>
          <w:rtl/>
        </w:rPr>
        <w:t>:</w:t>
      </w:r>
    </w:p>
    <w:p w14:paraId="5DCDF1E4" w14:textId="77777777" w:rsidR="00FE1C60" w:rsidRPr="00F30EF3" w:rsidRDefault="00D3795B" w:rsidP="00464282">
      <w:pPr>
        <w:pStyle w:val="FootnoteText"/>
        <w:numPr>
          <w:ilvl w:val="1"/>
          <w:numId w:val="12"/>
        </w:numPr>
        <w:ind w:left="851" w:hanging="425"/>
        <w:rPr>
          <w:rFonts w:cstheme="minorHAnsi"/>
          <w:sz w:val="22"/>
          <w:rtl/>
        </w:rPr>
      </w:pPr>
      <w:hyperlink r:id="rId109" w:history="1">
        <w:r w:rsidR="00372C70" w:rsidRPr="00F30EF3">
          <w:rPr>
            <w:rStyle w:val="Hyperlink"/>
            <w:rFonts w:cstheme="minorHAnsi"/>
            <w:sz w:val="22"/>
            <w:rtl/>
          </w:rPr>
          <w:t>جامعة ألاباما</w:t>
        </w:r>
      </w:hyperlink>
    </w:p>
    <w:p w14:paraId="40C5A7EC" w14:textId="77777777" w:rsidR="00FE1C60" w:rsidRPr="00F30EF3" w:rsidRDefault="00D3795B" w:rsidP="00464282">
      <w:pPr>
        <w:pStyle w:val="FootnoteText"/>
        <w:numPr>
          <w:ilvl w:val="1"/>
          <w:numId w:val="12"/>
        </w:numPr>
        <w:ind w:left="851" w:hanging="425"/>
        <w:rPr>
          <w:rFonts w:cstheme="minorHAnsi"/>
          <w:sz w:val="22"/>
          <w:rtl/>
        </w:rPr>
      </w:pPr>
      <w:hyperlink r:id="rId110" w:history="1">
        <w:r w:rsidR="00372C70" w:rsidRPr="00F30EF3">
          <w:rPr>
            <w:rStyle w:val="Hyperlink"/>
            <w:rFonts w:cstheme="minorHAnsi"/>
            <w:sz w:val="22"/>
            <w:rtl/>
          </w:rPr>
          <w:t>جامعة شيكاغو</w:t>
        </w:r>
      </w:hyperlink>
    </w:p>
    <w:p w14:paraId="79C7D861" w14:textId="77777777" w:rsidR="007874CF" w:rsidRPr="00F30EF3" w:rsidRDefault="00D3795B" w:rsidP="00464282">
      <w:pPr>
        <w:pStyle w:val="FootnoteText"/>
        <w:numPr>
          <w:ilvl w:val="1"/>
          <w:numId w:val="12"/>
        </w:numPr>
        <w:ind w:left="851" w:hanging="425"/>
        <w:rPr>
          <w:rStyle w:val="Hyperlink"/>
          <w:rFonts w:cstheme="minorHAnsi"/>
          <w:color w:val="auto"/>
          <w:sz w:val="22"/>
          <w:u w:val="none"/>
          <w:rtl/>
        </w:rPr>
      </w:pPr>
      <w:hyperlink r:id="rId111" w:history="1">
        <w:r w:rsidR="00372C70" w:rsidRPr="00F30EF3">
          <w:rPr>
            <w:rStyle w:val="Hyperlink"/>
            <w:rFonts w:cstheme="minorHAnsi"/>
            <w:sz w:val="22"/>
            <w:rtl/>
          </w:rPr>
          <w:t>جامعة فاندربيلت</w:t>
        </w:r>
      </w:hyperlink>
      <w:r w:rsidR="00372C70" w:rsidRPr="00F30EF3">
        <w:rPr>
          <w:rFonts w:cstheme="minorHAnsi"/>
          <w:sz w:val="22"/>
          <w:rtl/>
        </w:rPr>
        <w:t xml:space="preserve"> </w:t>
      </w:r>
    </w:p>
    <w:p w14:paraId="02C504AB" w14:textId="77777777" w:rsidR="00FE1C60" w:rsidRPr="00F30EF3" w:rsidRDefault="00D3795B" w:rsidP="00464282">
      <w:pPr>
        <w:pStyle w:val="FootnoteText"/>
        <w:numPr>
          <w:ilvl w:val="1"/>
          <w:numId w:val="12"/>
        </w:numPr>
        <w:ind w:left="851" w:hanging="425"/>
        <w:rPr>
          <w:rFonts w:cstheme="minorHAnsi"/>
          <w:sz w:val="22"/>
          <w:rtl/>
        </w:rPr>
      </w:pPr>
      <w:hyperlink r:id="rId112" w:history="1">
        <w:r w:rsidR="00372C70" w:rsidRPr="00F30EF3">
          <w:rPr>
            <w:rStyle w:val="Hyperlink"/>
            <w:rFonts w:cstheme="minorHAnsi"/>
            <w:sz w:val="22"/>
            <w:rtl/>
          </w:rPr>
          <w:t>جامعة ميشيغان الغربية</w:t>
        </w:r>
      </w:hyperlink>
    </w:p>
    <w:p w14:paraId="5B50B84F" w14:textId="77777777" w:rsidR="006D266E" w:rsidRPr="00F30EF3" w:rsidRDefault="006D266E" w:rsidP="00A03F65">
      <w:pPr>
        <w:spacing w:line="240" w:lineRule="auto"/>
        <w:rPr>
          <w:rFonts w:cstheme="minorHAnsi"/>
          <w:lang w:val="en-US"/>
        </w:rPr>
      </w:pPr>
    </w:p>
    <w:p w14:paraId="42BBA4A4" w14:textId="77777777" w:rsidR="00F77A00" w:rsidRPr="00F30EF3" w:rsidRDefault="00F77A00" w:rsidP="00B7519E">
      <w:pPr>
        <w:pStyle w:val="Heading2"/>
        <w:rPr>
          <w:rFonts w:asciiTheme="minorHAnsi" w:hAnsiTheme="minorHAnsi" w:cstheme="minorHAnsi"/>
          <w:sz w:val="22"/>
          <w:szCs w:val="22"/>
          <w:rtl/>
        </w:rPr>
      </w:pPr>
      <w:bookmarkStart w:id="214" w:name="_Toc494113254"/>
    </w:p>
    <w:p w14:paraId="33A7EE50" w14:textId="77777777" w:rsidR="00F77A00" w:rsidRPr="00F30EF3" w:rsidRDefault="00F77A00" w:rsidP="00B7519E">
      <w:pPr>
        <w:pStyle w:val="Heading2"/>
        <w:rPr>
          <w:rFonts w:asciiTheme="minorHAnsi" w:hAnsiTheme="minorHAnsi" w:cstheme="minorHAnsi"/>
          <w:rtl/>
        </w:rPr>
      </w:pPr>
      <w:bookmarkStart w:id="215" w:name="_ARTICLE_7_–"/>
      <w:bookmarkStart w:id="216" w:name="_Toc516160070"/>
      <w:bookmarkStart w:id="217" w:name="_Toc516219413"/>
      <w:bookmarkStart w:id="218" w:name="_Toc516496055"/>
      <w:bookmarkStart w:id="219" w:name="_Toc516829427"/>
      <w:bookmarkStart w:id="220" w:name="_Toc178260765"/>
      <w:bookmarkEnd w:id="215"/>
      <w:r w:rsidRPr="00F30EF3">
        <w:rPr>
          <w:rFonts w:asciiTheme="minorHAnsi" w:hAnsiTheme="minorHAnsi" w:cstheme="minorHAnsi"/>
          <w:rtl/>
        </w:rPr>
        <w:t xml:space="preserve">المادة 7 - </w:t>
      </w:r>
      <w:bookmarkEnd w:id="214"/>
      <w:r w:rsidRPr="00F30EF3">
        <w:rPr>
          <w:rFonts w:asciiTheme="minorHAnsi" w:hAnsiTheme="minorHAnsi" w:cstheme="minorHAnsi"/>
          <w:rtl/>
        </w:rPr>
        <w:t>عقود البحث</w:t>
      </w:r>
      <w:bookmarkEnd w:id="216"/>
      <w:bookmarkEnd w:id="217"/>
      <w:bookmarkEnd w:id="218"/>
      <w:bookmarkEnd w:id="219"/>
      <w:bookmarkEnd w:id="220"/>
      <w:r w:rsidRPr="00F30EF3">
        <w:rPr>
          <w:rFonts w:asciiTheme="minorHAnsi" w:hAnsiTheme="minorHAnsi" w:cstheme="minorHAnsi"/>
          <w:rtl/>
        </w:rPr>
        <w:t xml:space="preserve"> </w:t>
      </w:r>
    </w:p>
    <w:p w14:paraId="4C6E3885" w14:textId="77777777" w:rsidR="00F77A00" w:rsidRPr="00F30EF3" w:rsidRDefault="00F77A00" w:rsidP="00B7519E">
      <w:pPr>
        <w:pStyle w:val="Heading2"/>
        <w:rPr>
          <w:rFonts w:asciiTheme="minorHAnsi" w:hAnsiTheme="minorHAnsi" w:cstheme="minorHAnsi"/>
          <w:sz w:val="22"/>
          <w:szCs w:val="22"/>
          <w:lang w:val="en-US"/>
        </w:rPr>
      </w:pPr>
    </w:p>
    <w:p w14:paraId="3B7B2EC4" w14:textId="77777777" w:rsidR="00BD5196" w:rsidRPr="00F30EF3" w:rsidRDefault="00BD5196" w:rsidP="0085559F">
      <w:pPr>
        <w:pStyle w:val="Heading3"/>
        <w:spacing w:before="360"/>
        <w:rPr>
          <w:rFonts w:asciiTheme="minorHAnsi" w:hAnsiTheme="minorHAnsi" w:cstheme="minorHAnsi"/>
          <w:sz w:val="22"/>
          <w:szCs w:val="22"/>
          <w:rtl/>
        </w:rPr>
      </w:pPr>
      <w:bookmarkStart w:id="221" w:name="_Toc516496056"/>
      <w:bookmarkStart w:id="222" w:name="_Toc516829428"/>
      <w:r w:rsidRPr="00F30EF3">
        <w:rPr>
          <w:rFonts w:asciiTheme="minorHAnsi" w:hAnsiTheme="minorHAnsi" w:cstheme="minorHAnsi"/>
          <w:sz w:val="22"/>
          <w:szCs w:val="22"/>
          <w:rtl/>
        </w:rPr>
        <w:t>المواد 1.7 حتى 6.7 - أحكام عامة</w:t>
      </w:r>
      <w:bookmarkEnd w:id="221"/>
      <w:bookmarkEnd w:id="222"/>
      <w:r w:rsidRPr="00F30EF3">
        <w:rPr>
          <w:rFonts w:asciiTheme="minorHAnsi" w:hAnsiTheme="minorHAnsi" w:cstheme="minorHAnsi"/>
          <w:sz w:val="22"/>
          <w:szCs w:val="22"/>
          <w:rtl/>
        </w:rPr>
        <w:t xml:space="preserve"> </w:t>
      </w:r>
    </w:p>
    <w:p w14:paraId="7FBDF6FB" w14:textId="77777777" w:rsidR="00BD5196" w:rsidRPr="00F30EF3" w:rsidRDefault="00BD5196" w:rsidP="009D4A54">
      <w:pPr>
        <w:pStyle w:val="ListParagraph"/>
        <w:numPr>
          <w:ilvl w:val="0"/>
          <w:numId w:val="19"/>
        </w:numPr>
        <w:tabs>
          <w:tab w:val="left" w:pos="851"/>
        </w:tabs>
        <w:spacing w:after="0" w:line="240" w:lineRule="auto"/>
        <w:ind w:left="426" w:hanging="426"/>
        <w:jc w:val="both"/>
        <w:rPr>
          <w:rFonts w:cstheme="minorHAnsi"/>
          <w:rtl/>
        </w:rPr>
      </w:pPr>
      <w:r w:rsidRPr="00F30EF3">
        <w:rPr>
          <w:rFonts w:cstheme="minorHAnsi"/>
          <w:b/>
          <w:bCs/>
          <w:rtl/>
        </w:rPr>
        <w:t xml:space="preserve">المادة 1.7، </w:t>
      </w:r>
      <w:r w:rsidRPr="00F30EF3">
        <w:rPr>
          <w:rFonts w:cstheme="minorHAnsi"/>
          <w:b/>
          <w:bCs/>
          <w:i/>
          <w:iCs/>
          <w:rtl/>
        </w:rPr>
        <w:t>السلطة</w:t>
      </w:r>
      <w:r w:rsidRPr="00F30EF3">
        <w:rPr>
          <w:rFonts w:cstheme="minorHAnsi"/>
          <w:b/>
          <w:bCs/>
          <w:rtl/>
        </w:rPr>
        <w:t>:</w:t>
      </w:r>
      <w:r w:rsidRPr="00F30EF3">
        <w:rPr>
          <w:rFonts w:cstheme="minorHAnsi"/>
          <w:rtl/>
        </w:rPr>
        <w:t xml:space="preserve">  ينبغي أن تقدم المؤسسات تفويضات سلطة توضح من يمكنه توقيع عقد بحث نيابة عن المؤسسة.  قد يفضي توقيع أي مُوقّع على عقد بحث لم يُخول له السلطة المفوضة اللازمة إلى أن يغدو هذا العقد غير ملزم للمؤسسة.</w:t>
      </w:r>
    </w:p>
    <w:p w14:paraId="35B8FCF6" w14:textId="58763E16" w:rsidR="00BD5196" w:rsidRPr="00F30EF3" w:rsidRDefault="00BD5196" w:rsidP="00B7519E">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after="150"/>
        <w:ind w:left="300"/>
        <w:jc w:val="both"/>
        <w:rPr>
          <w:rFonts w:asciiTheme="minorHAnsi" w:hAnsiTheme="minorHAnsi" w:cstheme="minorHAnsi"/>
          <w:b/>
          <w:bCs/>
          <w:sz w:val="22"/>
          <w:szCs w:val="22"/>
          <w:rtl/>
        </w:rPr>
      </w:pPr>
      <w:r w:rsidRPr="00F30EF3">
        <w:rPr>
          <w:rFonts w:asciiTheme="minorHAnsi" w:hAnsiTheme="minorHAnsi" w:cstheme="minorHAnsi"/>
          <w:b/>
          <w:bCs/>
          <w:sz w:val="22"/>
          <w:szCs w:val="22"/>
          <w:rtl/>
        </w:rPr>
        <w:t xml:space="preserve">الإطار </w:t>
      </w:r>
      <w:r w:rsidR="00E82AF8" w:rsidRPr="00F30EF3">
        <w:rPr>
          <w:rFonts w:asciiTheme="minorHAnsi" w:hAnsiTheme="minorHAnsi" w:cstheme="minorHAnsi"/>
          <w:b/>
          <w:bCs/>
          <w:sz w:val="22"/>
          <w:szCs w:val="22"/>
        </w:rPr>
        <w:t>.</w:t>
      </w:r>
      <w:r w:rsidR="00082D5A" w:rsidRPr="00F30EF3">
        <w:rPr>
          <w:rFonts w:asciiTheme="minorHAnsi" w:hAnsiTheme="minorHAnsi" w:cstheme="minorHAnsi"/>
          <w:b/>
          <w:bCs/>
          <w:sz w:val="22"/>
          <w:szCs w:val="22"/>
        </w:rPr>
        <w:t>46</w:t>
      </w:r>
      <w:r w:rsidRPr="00F30EF3">
        <w:rPr>
          <w:rFonts w:asciiTheme="minorHAnsi" w:hAnsiTheme="minorHAnsi" w:cstheme="minorHAnsi"/>
          <w:b/>
          <w:bCs/>
          <w:sz w:val="22"/>
          <w:szCs w:val="22"/>
          <w:rtl/>
        </w:rPr>
        <w:t xml:space="preserve"> مستخرج من جامعة كارولينا الشرقية "تفويض السلطة لتوقيع العقود"</w:t>
      </w:r>
      <w:r w:rsidRPr="00F30EF3">
        <w:rPr>
          <w:rStyle w:val="FootnoteReference"/>
          <w:rFonts w:asciiTheme="minorHAnsi" w:hAnsiTheme="minorHAnsi" w:cstheme="minorHAnsi"/>
          <w:b/>
          <w:bCs/>
          <w:sz w:val="22"/>
          <w:szCs w:val="22"/>
          <w:rtl/>
          <w:lang w:val="en-US"/>
        </w:rPr>
        <w:footnoteReference w:id="144"/>
      </w:r>
    </w:p>
    <w:p w14:paraId="14CD33EC" w14:textId="77777777" w:rsidR="00BD5196" w:rsidRPr="00F30EF3" w:rsidRDefault="00BD5196" w:rsidP="00B7519E">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after="150"/>
        <w:ind w:left="300"/>
        <w:jc w:val="both"/>
        <w:rPr>
          <w:rFonts w:asciiTheme="minorHAnsi" w:hAnsiTheme="minorHAnsi" w:cstheme="minorHAnsi"/>
          <w:i/>
          <w:iCs/>
          <w:sz w:val="22"/>
          <w:szCs w:val="22"/>
          <w:rtl/>
        </w:rPr>
      </w:pPr>
      <w:r w:rsidRPr="00F30EF3">
        <w:rPr>
          <w:rFonts w:asciiTheme="minorHAnsi" w:hAnsiTheme="minorHAnsi" w:cstheme="minorHAnsi"/>
          <w:i/>
          <w:iCs/>
          <w:sz w:val="22"/>
          <w:szCs w:val="22"/>
          <w:rtl/>
        </w:rPr>
        <w:t>2. من المُفوَّض لتوقيع العقود</w:t>
      </w:r>
    </w:p>
    <w:p w14:paraId="1F4DB44F" w14:textId="77777777" w:rsidR="000C1792" w:rsidRPr="00F30EF3" w:rsidRDefault="00BD5196" w:rsidP="000C1792">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before="0" w:beforeAutospacing="0" w:after="0" w:afterAutospacing="0"/>
        <w:ind w:left="301"/>
        <w:jc w:val="both"/>
        <w:rPr>
          <w:rFonts w:asciiTheme="minorHAnsi" w:hAnsiTheme="minorHAnsi" w:cstheme="minorHAnsi"/>
          <w:i/>
          <w:iCs/>
          <w:sz w:val="22"/>
          <w:szCs w:val="22"/>
          <w:rtl/>
        </w:rPr>
      </w:pPr>
      <w:r w:rsidRPr="00F30EF3">
        <w:rPr>
          <w:rFonts w:asciiTheme="minorHAnsi" w:hAnsiTheme="minorHAnsi" w:cstheme="minorHAnsi"/>
          <w:i/>
          <w:iCs/>
          <w:sz w:val="22"/>
          <w:szCs w:val="22"/>
          <w:rtl/>
        </w:rPr>
        <w:t>1.2. السلطة التنفيذية والإدارية الكاملة تُخوَّل إلى رئيس الجامعة بموجب قانون ولاية كارولينا الشمالية العام § 116-34(أ) والقسم 502(أ) من قانون مجلس محافظي جامعة كارولينا الشمالية. وتتأصل ضمن هذه الصلاحية سلطة توقيع العقود الملزمة لجامعة كارولينا الشرقية. يُحتفظ بهذه السلطة ويمكن ممارستها رُغم تفويضات السلطة لتوقيع عقود معينة إلى مسؤولين إداريين آخرين.</w:t>
      </w:r>
    </w:p>
    <w:p w14:paraId="030B10CC" w14:textId="77777777" w:rsidR="000C1792" w:rsidRPr="00F30EF3" w:rsidRDefault="00BD5196" w:rsidP="000C1792">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before="0" w:beforeAutospacing="0" w:after="0" w:afterAutospacing="0"/>
        <w:ind w:left="301"/>
        <w:jc w:val="both"/>
        <w:rPr>
          <w:rFonts w:asciiTheme="minorHAnsi" w:hAnsiTheme="minorHAnsi" w:cstheme="minorHAnsi"/>
          <w:i/>
          <w:iCs/>
          <w:sz w:val="22"/>
          <w:szCs w:val="22"/>
          <w:rtl/>
        </w:rPr>
      </w:pPr>
      <w:r w:rsidRPr="00F30EF3">
        <w:rPr>
          <w:rFonts w:asciiTheme="minorHAnsi" w:hAnsiTheme="minorHAnsi" w:cstheme="minorHAnsi"/>
          <w:i/>
          <w:iCs/>
          <w:sz w:val="22"/>
          <w:szCs w:val="22"/>
          <w:rtl/>
        </w:rPr>
        <w:t>2.2. يجوز لرئيس الجامعة تفويض سلطة التوقيع إلى مفوضين مختارين حسب الإجراء المنصوص عليه في هذه اللائحة. يجوز للمفوضين تفويض سلطتهم بشكل فرعي إلى إداريين آخرين ما لم ينص تفويض السلطة من رئيس الجامعة على خلاف ذلك.</w:t>
      </w:r>
    </w:p>
    <w:p w14:paraId="5A900A45" w14:textId="77777777" w:rsidR="000C1792" w:rsidRPr="00F30EF3" w:rsidRDefault="00BD5196" w:rsidP="000C1792">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before="0" w:beforeAutospacing="0" w:after="0" w:afterAutospacing="0"/>
        <w:ind w:left="301"/>
        <w:jc w:val="both"/>
        <w:rPr>
          <w:rFonts w:asciiTheme="minorHAnsi" w:hAnsiTheme="minorHAnsi" w:cstheme="minorHAnsi"/>
          <w:i/>
          <w:iCs/>
          <w:sz w:val="22"/>
          <w:szCs w:val="22"/>
          <w:rtl/>
        </w:rPr>
      </w:pPr>
      <w:r w:rsidRPr="00F30EF3">
        <w:rPr>
          <w:rFonts w:asciiTheme="minorHAnsi" w:hAnsiTheme="minorHAnsi" w:cstheme="minorHAnsi"/>
          <w:i/>
          <w:iCs/>
          <w:sz w:val="22"/>
          <w:szCs w:val="22"/>
          <w:rtl/>
        </w:rPr>
        <w:t>3.2. لا تقر جامعة كارولينا الشرقية بالعقود التي يوقّعها موظفو الجامعة على أنها ملزمة للجامعة إلا إذا كان الموظف الذي وقّع على العقد يتمتع بسلطة توقيع رسمية مخولة ومكتوبة. وينص القسم الثالث من هذه اللائحة على إجراء تفويض السلطة رسمياً وتفويضها فرعياً لتوقيع العقود التي سيتم الإقرار بها على أنها ملزمة للجامعة.</w:t>
      </w:r>
    </w:p>
    <w:p w14:paraId="62E6E0B1" w14:textId="77777777" w:rsidR="00BD5196" w:rsidRPr="00F30EF3" w:rsidRDefault="00BD5196" w:rsidP="000C1792">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before="0" w:beforeAutospacing="0" w:after="0" w:afterAutospacing="0"/>
        <w:ind w:left="301"/>
        <w:jc w:val="both"/>
        <w:rPr>
          <w:rFonts w:asciiTheme="minorHAnsi" w:hAnsiTheme="minorHAnsi" w:cstheme="minorHAnsi"/>
          <w:i/>
          <w:iCs/>
          <w:sz w:val="22"/>
          <w:szCs w:val="22"/>
          <w:rtl/>
        </w:rPr>
      </w:pPr>
      <w:r w:rsidRPr="00F30EF3">
        <w:rPr>
          <w:rFonts w:asciiTheme="minorHAnsi" w:hAnsiTheme="minorHAnsi" w:cstheme="minorHAnsi"/>
          <w:i/>
          <w:iCs/>
          <w:sz w:val="22"/>
          <w:szCs w:val="22"/>
          <w:rtl/>
        </w:rPr>
        <w:t>4.2. يجوز أن تُحمل الجامعة الموظفين الذين يوقعون عقوداً تزعم أنها ملزمة للجامعة من دون تفويض رسمي بموجب هذه اللائحة المسؤولية الشخصية عن أضرارها، إن وجدت، وقد يخضعون لإجراء تأديبي من قبل الجامعة.</w:t>
      </w:r>
    </w:p>
    <w:p w14:paraId="4E46DF29" w14:textId="77777777" w:rsidR="000C1792" w:rsidRPr="00F30EF3" w:rsidRDefault="000C1792" w:rsidP="000C1792">
      <w:pPr>
        <w:pStyle w:val="ListParagraph"/>
        <w:tabs>
          <w:tab w:val="left" w:pos="851"/>
        </w:tabs>
        <w:spacing w:after="0" w:line="240" w:lineRule="auto"/>
        <w:ind w:left="426"/>
        <w:jc w:val="both"/>
        <w:rPr>
          <w:rFonts w:cstheme="minorHAnsi"/>
          <w:lang w:val="en-US"/>
        </w:rPr>
      </w:pPr>
    </w:p>
    <w:p w14:paraId="0FEC0136" w14:textId="0F95B9BF" w:rsidR="00BD5196" w:rsidRPr="00F30EF3" w:rsidRDefault="00BD5196" w:rsidP="009D4A54">
      <w:pPr>
        <w:pStyle w:val="ListParagraph"/>
        <w:numPr>
          <w:ilvl w:val="0"/>
          <w:numId w:val="112"/>
        </w:numPr>
        <w:tabs>
          <w:tab w:val="left" w:pos="851"/>
        </w:tabs>
        <w:spacing w:after="0" w:line="240" w:lineRule="auto"/>
        <w:ind w:left="426" w:hanging="426"/>
        <w:jc w:val="both"/>
        <w:rPr>
          <w:rFonts w:cstheme="minorHAnsi"/>
          <w:rtl/>
        </w:rPr>
      </w:pPr>
      <w:r w:rsidRPr="00F30EF3">
        <w:rPr>
          <w:rFonts w:cstheme="minorHAnsi"/>
          <w:b/>
          <w:bCs/>
          <w:rtl/>
        </w:rPr>
        <w:t xml:space="preserve">المادة 2.7، </w:t>
      </w:r>
      <w:r w:rsidRPr="00F30EF3">
        <w:rPr>
          <w:rFonts w:cstheme="minorHAnsi"/>
          <w:b/>
          <w:bCs/>
          <w:i/>
          <w:iCs/>
          <w:rtl/>
        </w:rPr>
        <w:t>سياسة عقد البحث</w:t>
      </w:r>
      <w:r w:rsidRPr="00F30EF3">
        <w:rPr>
          <w:rFonts w:cstheme="minorHAnsi"/>
          <w:rtl/>
        </w:rPr>
        <w:t>: لا يُشكِّل هذا القسم من عقود البحث بأي حال من الأحوال تمثيلاً شاملاً لجهات اتصال البحث عموماً، بل في المقابل يوضح الكيفية التي ينبغي أن تكون عليها بنود الملكية الفكرية استناداً إلى نوع عقد البحث. وتنبغي الإشارة إلى سياسة المؤسسة المختصة في هذا السّياق. ومع ذلك، يعدّ مهماً أن نعي أن عقود البحث لا يجوز أن يبرمها، أو بمعنى آخر يوقّع عليها، سوى فرد يتمتع بسلطة مُخوَّلة أو سلطة مُفوَّضة مُخوَّلة، وبخلاف ذلك فإن العقد يعتبر لاغياً وباطلاً ولم يدخل حيز التنفيذ.</w:t>
      </w:r>
    </w:p>
    <w:p w14:paraId="6BF73BDF" w14:textId="77777777" w:rsidR="00BD5196" w:rsidRPr="00F30EF3" w:rsidRDefault="00BD5196" w:rsidP="00BD5196">
      <w:pPr>
        <w:tabs>
          <w:tab w:val="left" w:pos="426"/>
        </w:tabs>
        <w:spacing w:after="0" w:line="240" w:lineRule="auto"/>
        <w:jc w:val="both"/>
        <w:rPr>
          <w:rFonts w:cstheme="minorHAnsi"/>
          <w:b/>
          <w:bCs/>
          <w:noProof/>
          <w:lang w:val="en-US"/>
        </w:rPr>
      </w:pPr>
    </w:p>
    <w:p w14:paraId="06C0D041" w14:textId="3303CD1E" w:rsidR="00BD5196" w:rsidRPr="00F30EF3" w:rsidRDefault="00BD5196" w:rsidP="00E82AF8">
      <w:pPr>
        <w:pStyle w:val="ListParagraph"/>
        <w:numPr>
          <w:ilvl w:val="0"/>
          <w:numId w:val="112"/>
        </w:numPr>
        <w:tabs>
          <w:tab w:val="left" w:pos="426"/>
        </w:tabs>
        <w:spacing w:after="120" w:line="240" w:lineRule="auto"/>
        <w:ind w:left="426" w:hanging="426"/>
        <w:contextualSpacing w:val="0"/>
        <w:jc w:val="both"/>
        <w:rPr>
          <w:rFonts w:eastAsia="Arial" w:cstheme="minorHAnsi"/>
          <w:rtl/>
        </w:rPr>
      </w:pPr>
      <w:r w:rsidRPr="00F30EF3">
        <w:rPr>
          <w:rFonts w:cstheme="minorHAnsi"/>
          <w:b/>
          <w:bCs/>
          <w:rtl/>
        </w:rPr>
        <w:lastRenderedPageBreak/>
        <w:t xml:space="preserve">المادة 3.7، </w:t>
      </w:r>
      <w:r w:rsidRPr="00F30EF3">
        <w:rPr>
          <w:rFonts w:cstheme="minorHAnsi"/>
          <w:b/>
          <w:bCs/>
          <w:i/>
          <w:iCs/>
          <w:rtl/>
        </w:rPr>
        <w:t>ممارسة الحيطة الواجبة واستشارة مكتب إدارة الملكية الفكرية</w:t>
      </w:r>
      <w:r w:rsidRPr="00F30EF3">
        <w:rPr>
          <w:rFonts w:cstheme="minorHAnsi"/>
          <w:rtl/>
        </w:rPr>
        <w:t>: تماشياً مع المادة 2.7، فإنه من المهم صياغة بنود الملكية الفكرية في عقد البحث أو مراجعتها بحيث تمتثل لأي قواعد حكومية (انظر المادة 5.7) ومن أجل ضمان مراعاة مصالح المؤسسة. وعليه، فإن دور مكتب إدارة الملكية الفكرية بوصفه الجهة المسؤولة عن مراجعة النص وتعديله في عقد البحث ينبغي أن يشكِّل جزءاً من أفضل الممارسات القياسية التي تنتهجها المؤسسة. وإضافة إلى ما ذُكر، فإن ذلك لا يوفر لمكتب إدارة الملكية الفكرية فرصة تحديد المشكلات المحتملة فحسب، بل أيضاً تدوين ملاحظة بشأن عقد البحث الذي يجري إبرامه حتى يتمكن من مراقبة التقدم المحرز في هذا السّياق مع تقدم البحث ويكون على دراية بأي التزامات قائمة تم تقديمها للطرف الخارجي/الجهة الراعية (مثل حق الرفض الأول بمجرد وضع الملكية الفكرية بالكامل).</w:t>
      </w:r>
    </w:p>
    <w:p w14:paraId="1BD43958" w14:textId="77777777" w:rsidR="00BD5196" w:rsidRPr="00F30EF3" w:rsidRDefault="00BD5196" w:rsidP="002B3719">
      <w:pPr>
        <w:pStyle w:val="ListParagraph"/>
        <w:numPr>
          <w:ilvl w:val="0"/>
          <w:numId w:val="112"/>
        </w:numPr>
        <w:tabs>
          <w:tab w:val="left" w:pos="426"/>
        </w:tabs>
        <w:spacing w:after="120" w:line="240" w:lineRule="auto"/>
        <w:ind w:left="426" w:hanging="426"/>
        <w:contextualSpacing w:val="0"/>
        <w:jc w:val="both"/>
        <w:rPr>
          <w:rFonts w:cstheme="minorHAnsi"/>
          <w:rtl/>
        </w:rPr>
      </w:pPr>
      <w:r w:rsidRPr="00F30EF3">
        <w:rPr>
          <w:rFonts w:cstheme="minorHAnsi"/>
          <w:b/>
          <w:bCs/>
          <w:rtl/>
        </w:rPr>
        <w:t xml:space="preserve">المادة 4.7 </w:t>
      </w:r>
      <w:r w:rsidRPr="00F30EF3">
        <w:rPr>
          <w:rFonts w:cstheme="minorHAnsi"/>
          <w:b/>
          <w:bCs/>
          <w:i/>
          <w:iCs/>
          <w:rtl/>
        </w:rPr>
        <w:t>الحيازة والحق في الاستخدام:</w:t>
      </w:r>
      <w:r w:rsidRPr="00F30EF3">
        <w:rPr>
          <w:rFonts w:cstheme="minorHAnsi"/>
          <w:rtl/>
        </w:rPr>
        <w:t xml:space="preserve"> تتمثل المسألة الرئيسية في أنه يجب توضيح ماهية حقوق الملكية الفكرية التي تم إنشاؤها ومن يملكها. وقد يسعى الطرف/ الجهة الراعية الخارجية لامتلاك نواتج البحث كميزة تجارية. ينبغي أن يحاول عقد البحث حلّ مسألة ملكية جميع نواتج البحث مقدماً.  وقد تأخذ هذه العقود عدة أشكال مختلفة اعتماداً على مصدر التمويل والنتائج المنشودة، من بين جملة أمور أخرى.  ويجري بعد ذلك صياغة بنود الملكية الفكرية في عقود البحث لتتوافق مع مصدر التمويل والنتيجة المنشودة. اعتماداً على الإطار التشريعي، عادةً ما ستمتلك المؤسسات النتائج البحثية، وقد يتم منح الطرف/الجهة الراعية الخارجية حقوقاً لاستخدام النتائج لأغراضها الخاصة.   </w:t>
      </w:r>
    </w:p>
    <w:p w14:paraId="5AFB52EE" w14:textId="5BCC2941" w:rsidR="00BD5196" w:rsidRPr="00F30EF3" w:rsidRDefault="00BD5196" w:rsidP="002B3719">
      <w:pPr>
        <w:pStyle w:val="ListParagraph"/>
        <w:numPr>
          <w:ilvl w:val="0"/>
          <w:numId w:val="112"/>
        </w:numPr>
        <w:tabs>
          <w:tab w:val="left" w:pos="426"/>
        </w:tabs>
        <w:spacing w:after="120" w:line="240" w:lineRule="auto"/>
        <w:ind w:left="426" w:hanging="426"/>
        <w:contextualSpacing w:val="0"/>
        <w:jc w:val="both"/>
        <w:rPr>
          <w:rFonts w:cstheme="minorHAnsi"/>
          <w:noProof/>
          <w:rtl/>
        </w:rPr>
      </w:pPr>
      <w:r w:rsidRPr="00F30EF3">
        <w:rPr>
          <w:rFonts w:cstheme="minorHAnsi"/>
          <w:b/>
          <w:bCs/>
          <w:rtl/>
        </w:rPr>
        <w:t>المادة 5.7</w:t>
      </w:r>
      <w:r w:rsidRPr="00F30EF3">
        <w:rPr>
          <w:rFonts w:cstheme="minorHAnsi"/>
          <w:rtl/>
        </w:rPr>
        <w:t xml:space="preserve"> </w:t>
      </w:r>
      <w:r w:rsidRPr="00F30EF3">
        <w:rPr>
          <w:rFonts w:cstheme="minorHAnsi"/>
          <w:b/>
          <w:bCs/>
          <w:i/>
          <w:iCs/>
          <w:rtl/>
        </w:rPr>
        <w:t>القواعد الحكومية</w:t>
      </w:r>
      <w:r w:rsidRPr="00F30EF3">
        <w:rPr>
          <w:rFonts w:cstheme="minorHAnsi"/>
          <w:rtl/>
        </w:rPr>
        <w:t>. بما أن العديد من البلدان في جميع أنحاء العالم تسنُّ تشريعات تُنظِّم وضع الملكية الفكرية في المؤسسات، فإنه تنبغي مراعاة هذه التشريعات والامتثال لها عند وضع بنود الملكية الفكرية في عقد البحث. فمثلاً، في جنوب إفريقيا، نصّ قانون حقوق الملكية الفكرية المستمدة من أنشطة البحث والتطوير المُموَّلة من الأموال العامة (قانون حقوق الملكية الفكرية؛ رقم 51 لعام 2008) على ثلاثة سيناريوهات لحيازة الملكية الفكرية:</w:t>
      </w:r>
    </w:p>
    <w:p w14:paraId="76A94A1A" w14:textId="77777777" w:rsidR="00BD5196" w:rsidRPr="00F30EF3" w:rsidRDefault="00BD5196" w:rsidP="00BD5196">
      <w:pPr>
        <w:pStyle w:val="ListParagraph"/>
        <w:shd w:val="clear" w:color="auto" w:fill="FFFFFF" w:themeFill="background1"/>
        <w:tabs>
          <w:tab w:val="left" w:pos="426"/>
        </w:tabs>
        <w:spacing w:line="240" w:lineRule="auto"/>
        <w:ind w:left="426" w:hanging="426"/>
        <w:rPr>
          <w:rFonts w:cstheme="minorHAnsi"/>
          <w:noProof/>
          <w:lang w:val="en-US"/>
        </w:rPr>
      </w:pPr>
    </w:p>
    <w:p w14:paraId="578CB8E3" w14:textId="483576ED" w:rsidR="00BD5196" w:rsidRPr="00F30EF3" w:rsidRDefault="00BD5196"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left="426"/>
        <w:jc w:val="both"/>
        <w:rPr>
          <w:rFonts w:cstheme="minorHAnsi"/>
          <w:b/>
          <w:bCs/>
          <w:rtl/>
        </w:rPr>
      </w:pPr>
      <w:r w:rsidRPr="00F30EF3">
        <w:rPr>
          <w:rFonts w:cstheme="minorHAnsi"/>
          <w:b/>
          <w:bCs/>
          <w:rtl/>
        </w:rPr>
        <w:t xml:space="preserve">الإطار </w:t>
      </w:r>
      <w:r w:rsidR="002B3719" w:rsidRPr="00F30EF3">
        <w:rPr>
          <w:rFonts w:cstheme="minorHAnsi"/>
          <w:b/>
          <w:bCs/>
        </w:rPr>
        <w:t>.</w:t>
      </w:r>
      <w:r w:rsidR="00082D5A" w:rsidRPr="00F30EF3">
        <w:rPr>
          <w:rFonts w:cstheme="minorHAnsi"/>
          <w:b/>
          <w:bCs/>
        </w:rPr>
        <w:t>47</w:t>
      </w:r>
      <w:r w:rsidRPr="00F30EF3">
        <w:rPr>
          <w:rFonts w:cstheme="minorHAnsi"/>
          <w:b/>
          <w:bCs/>
          <w:rtl/>
        </w:rPr>
        <w:t xml:space="preserve">   مثال - القواعد الحكومية في جنوب إفريقيا للأبحاث المُموَّلة من الأموال العامة</w:t>
      </w:r>
    </w:p>
    <w:p w14:paraId="4C9DB69A" w14:textId="77777777" w:rsidR="00BD5196" w:rsidRPr="00F30EF3" w:rsidRDefault="00BD5196"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left="426"/>
        <w:jc w:val="both"/>
        <w:rPr>
          <w:rFonts w:cstheme="minorHAnsi"/>
          <w:b/>
          <w:bCs/>
          <w:lang w:val="en-US"/>
        </w:rPr>
      </w:pPr>
    </w:p>
    <w:p w14:paraId="59731F7D" w14:textId="77777777" w:rsidR="00786FD2" w:rsidRPr="00F30EF3" w:rsidRDefault="00BD5196"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hanging="294"/>
        <w:jc w:val="both"/>
        <w:rPr>
          <w:rFonts w:cstheme="minorHAnsi"/>
          <w:noProof/>
          <w:rtl/>
        </w:rPr>
      </w:pPr>
      <w:r w:rsidRPr="00F30EF3">
        <w:rPr>
          <w:rFonts w:cstheme="minorHAnsi"/>
          <w:rtl/>
        </w:rPr>
        <w:t>تنص المادة (4)(1) على أنه "</w:t>
      </w:r>
      <w:r w:rsidRPr="00F30EF3">
        <w:rPr>
          <w:rFonts w:cstheme="minorHAnsi"/>
          <w:i/>
          <w:iCs/>
          <w:rtl/>
        </w:rPr>
        <w:t xml:space="preserve">وفقاً للمادة 15(2)، تخضع الملكية الفكرية المنبثقة عن أنشطة البحث والتطوير المُموَّلة من الأموال العامة </w:t>
      </w:r>
      <w:r w:rsidRPr="00F30EF3">
        <w:rPr>
          <w:rFonts w:cstheme="minorHAnsi"/>
          <w:i/>
          <w:iCs/>
          <w:u w:val="single"/>
          <w:rtl/>
        </w:rPr>
        <w:t>لملكية المستفيد</w:t>
      </w:r>
      <w:r w:rsidRPr="00F30EF3">
        <w:rPr>
          <w:rFonts w:cstheme="minorHAnsi"/>
          <w:rtl/>
        </w:rPr>
        <w:t xml:space="preserve">" </w:t>
      </w:r>
    </w:p>
    <w:p w14:paraId="308BEDAE" w14:textId="77777777" w:rsidR="00786FD2" w:rsidRPr="00F30EF3" w:rsidRDefault="00BD5196"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hanging="294"/>
        <w:jc w:val="both"/>
        <w:rPr>
          <w:rFonts w:cstheme="minorHAnsi"/>
          <w:noProof/>
          <w:rtl/>
        </w:rPr>
      </w:pPr>
      <w:r w:rsidRPr="00F30EF3">
        <w:rPr>
          <w:rFonts w:cstheme="minorHAnsi"/>
          <w:rtl/>
        </w:rPr>
        <w:t xml:space="preserve">ينص القسم 15(2) على أربعة متطلبات </w:t>
      </w:r>
      <w:r w:rsidRPr="00F30EF3">
        <w:rPr>
          <w:rFonts w:cstheme="minorHAnsi"/>
          <w:u w:val="single"/>
          <w:rtl/>
        </w:rPr>
        <w:t>للحيازة المشتركة</w:t>
      </w:r>
      <w:r w:rsidRPr="00F30EF3">
        <w:rPr>
          <w:rFonts w:cstheme="minorHAnsi"/>
          <w:rtl/>
        </w:rPr>
        <w:t xml:space="preserve"> بين المؤسسة والجهة الراعية.  </w:t>
      </w:r>
    </w:p>
    <w:p w14:paraId="0329FBF0" w14:textId="77777777" w:rsidR="00BD5196" w:rsidRPr="00F30EF3" w:rsidRDefault="00BD5196"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hanging="294"/>
        <w:jc w:val="both"/>
        <w:rPr>
          <w:rFonts w:cstheme="minorHAnsi"/>
          <w:noProof/>
          <w:rtl/>
        </w:rPr>
      </w:pPr>
      <w:r w:rsidRPr="00F30EF3">
        <w:rPr>
          <w:rFonts w:cstheme="minorHAnsi"/>
          <w:rtl/>
        </w:rPr>
        <w:t>وأخيراً، إذا تحملت جهة خاصة/جهة راعية التكلفة الكاملة لإجراء البحث والتطوير في مؤسسة، فإن قانون حقوق الملكية الفكرية لا ينطبق و</w:t>
      </w:r>
      <w:r w:rsidRPr="00F30EF3">
        <w:rPr>
          <w:rFonts w:cstheme="minorHAnsi"/>
          <w:u w:val="single"/>
          <w:rtl/>
        </w:rPr>
        <w:t>يمكن التفاوض بحرية</w:t>
      </w:r>
      <w:r w:rsidRPr="00F30EF3">
        <w:rPr>
          <w:rFonts w:cstheme="minorHAnsi"/>
          <w:rtl/>
        </w:rPr>
        <w:t xml:space="preserve"> بين الأطراف على النفاذ إلى الملكية الفكرية.</w:t>
      </w:r>
    </w:p>
    <w:p w14:paraId="7CB2E3DA" w14:textId="77777777" w:rsidR="00BD5196" w:rsidRPr="00F30EF3" w:rsidRDefault="00BD5196" w:rsidP="0085559F">
      <w:pPr>
        <w:pStyle w:val="Heading3"/>
        <w:spacing w:before="360"/>
        <w:rPr>
          <w:rFonts w:asciiTheme="minorHAnsi" w:hAnsiTheme="minorHAnsi" w:cstheme="minorHAnsi"/>
          <w:sz w:val="24"/>
          <w:szCs w:val="24"/>
          <w:rtl/>
        </w:rPr>
      </w:pPr>
      <w:bookmarkStart w:id="223" w:name="_Article_7.7_-"/>
      <w:bookmarkStart w:id="224" w:name="_Toc516496057"/>
      <w:bookmarkStart w:id="225" w:name="_Toc516829429"/>
      <w:bookmarkEnd w:id="223"/>
      <w:r w:rsidRPr="00F30EF3">
        <w:rPr>
          <w:rFonts w:asciiTheme="minorHAnsi" w:hAnsiTheme="minorHAnsi" w:cstheme="minorHAnsi"/>
          <w:sz w:val="24"/>
          <w:szCs w:val="24"/>
          <w:rtl/>
        </w:rPr>
        <w:t>المادة 7.7 - المبادئ الأساسية</w:t>
      </w:r>
      <w:bookmarkEnd w:id="224"/>
      <w:bookmarkEnd w:id="225"/>
      <w:r w:rsidRPr="00F30EF3">
        <w:rPr>
          <w:rFonts w:asciiTheme="minorHAnsi" w:hAnsiTheme="minorHAnsi" w:cstheme="minorHAnsi"/>
          <w:sz w:val="24"/>
          <w:szCs w:val="24"/>
          <w:rtl/>
        </w:rPr>
        <w:t xml:space="preserve"> </w:t>
      </w:r>
    </w:p>
    <w:p w14:paraId="75DC0ED7" w14:textId="2369A1F4" w:rsidR="00BD5196" w:rsidRPr="00F30EF3" w:rsidRDefault="00BD5196" w:rsidP="009D4A54">
      <w:pPr>
        <w:pStyle w:val="ListParagraph"/>
        <w:numPr>
          <w:ilvl w:val="0"/>
          <w:numId w:val="113"/>
        </w:numPr>
        <w:autoSpaceDE w:val="0"/>
        <w:autoSpaceDN w:val="0"/>
        <w:adjustRightInd w:val="0"/>
        <w:spacing w:after="148" w:line="240" w:lineRule="auto"/>
        <w:ind w:left="426" w:hanging="426"/>
        <w:jc w:val="both"/>
        <w:rPr>
          <w:rFonts w:eastAsiaTheme="minorHAnsi" w:cstheme="minorHAnsi"/>
          <w:color w:val="000000"/>
          <w:rtl/>
        </w:rPr>
      </w:pPr>
      <w:r w:rsidRPr="00F30EF3">
        <w:rPr>
          <w:rFonts w:cstheme="minorHAnsi"/>
          <w:b/>
          <w:bCs/>
          <w:color w:val="000000"/>
          <w:rtl/>
        </w:rPr>
        <w:t>المادة 2.7.7،</w:t>
      </w:r>
      <w:r w:rsidRPr="00F30EF3">
        <w:rPr>
          <w:rFonts w:cstheme="minorHAnsi"/>
          <w:color w:val="000000"/>
          <w:rtl/>
        </w:rPr>
        <w:t xml:space="preserve"> </w:t>
      </w:r>
      <w:r w:rsidRPr="00F30EF3">
        <w:rPr>
          <w:rFonts w:cstheme="minorHAnsi"/>
          <w:b/>
          <w:bCs/>
          <w:i/>
          <w:iCs/>
          <w:color w:val="000000"/>
          <w:rtl/>
        </w:rPr>
        <w:t>الملكية الفكرية السابقة</w:t>
      </w:r>
      <w:r w:rsidRPr="00F30EF3">
        <w:rPr>
          <w:rFonts w:cstheme="minorHAnsi"/>
          <w:color w:val="000000"/>
          <w:rtl/>
        </w:rPr>
        <w:t>: يُنظر إلى الملكية الفكرية السابقة على أنها الملكية الفكرية المملوكة لكل طرف بصورة منفصلة قبل إبرام عقد البحث، والتي تكون فيها الملكية الفكرية السابقة ذات صلة بالمشروع (المشروعات) المحددة التي سيتم تنفيذها بموجب عقد البحث. ولا يجب أن تتأثر حيازة الملكية الفكرية السابقة بالمشروع. ورُغم ذلك، تجوز إتاحة الملكية الفكرية السابقة للأطراف المتعاقدة باعتبارها جزءاً من الإسهام بموارد كل طرف في العقد، والتي سيتم ترخيصها في هذه الحالة على أساس خالٍ من الإتاوات. وبدلاً من ذلك، يمكن التفاوض على قيمة محددة يتعين على الطرف "س" دفعها نظير النفاذ إلى الملكية الفكرية السابقة للطرف "ص"، على أن يشكِّل ذلك جزءاً من ترتيبات تمويل عقد البحث.</w:t>
      </w:r>
    </w:p>
    <w:p w14:paraId="16324D90" w14:textId="77777777" w:rsidR="00BD5196" w:rsidRPr="00F30EF3" w:rsidRDefault="00BD5196" w:rsidP="00BD5196">
      <w:pPr>
        <w:pStyle w:val="ListParagraph"/>
        <w:autoSpaceDE w:val="0"/>
        <w:autoSpaceDN w:val="0"/>
        <w:adjustRightInd w:val="0"/>
        <w:spacing w:after="148" w:line="240" w:lineRule="auto"/>
        <w:ind w:left="426" w:hanging="426"/>
        <w:jc w:val="both"/>
        <w:rPr>
          <w:rFonts w:eastAsiaTheme="minorHAnsi" w:cstheme="minorHAnsi"/>
          <w:color w:val="000000"/>
          <w:lang w:val="en-US" w:eastAsia="en-US"/>
        </w:rPr>
      </w:pPr>
    </w:p>
    <w:p w14:paraId="22D63FBE" w14:textId="77777777" w:rsidR="005F5418" w:rsidRPr="00F30EF3" w:rsidRDefault="00BD5196" w:rsidP="009D4A54">
      <w:pPr>
        <w:pStyle w:val="ListParagraph"/>
        <w:numPr>
          <w:ilvl w:val="0"/>
          <w:numId w:val="113"/>
        </w:numPr>
        <w:autoSpaceDE w:val="0"/>
        <w:autoSpaceDN w:val="0"/>
        <w:adjustRightInd w:val="0"/>
        <w:spacing w:after="148" w:line="240" w:lineRule="auto"/>
        <w:ind w:left="426" w:hanging="426"/>
        <w:jc w:val="both"/>
        <w:rPr>
          <w:rFonts w:eastAsiaTheme="minorHAnsi" w:cstheme="minorHAnsi"/>
          <w:color w:val="000000"/>
          <w:rtl/>
        </w:rPr>
      </w:pPr>
      <w:r w:rsidRPr="00F30EF3">
        <w:rPr>
          <w:rFonts w:cstheme="minorHAnsi"/>
          <w:b/>
          <w:bCs/>
          <w:color w:val="000000"/>
          <w:rtl/>
        </w:rPr>
        <w:t xml:space="preserve">المادة 3.7.7، </w:t>
      </w:r>
      <w:r w:rsidRPr="00F30EF3">
        <w:rPr>
          <w:rFonts w:cstheme="minorHAnsi"/>
          <w:b/>
          <w:bCs/>
          <w:i/>
          <w:iCs/>
          <w:color w:val="000000"/>
          <w:rtl/>
        </w:rPr>
        <w:t>الملكية الفكرية الناشئة عن عقد البحث</w:t>
      </w:r>
      <w:r w:rsidRPr="00F30EF3">
        <w:rPr>
          <w:rFonts w:cstheme="minorHAnsi"/>
          <w:color w:val="000000"/>
          <w:rtl/>
        </w:rPr>
        <w:t>:</w:t>
      </w:r>
      <w:r w:rsidRPr="00F30EF3">
        <w:rPr>
          <w:rFonts w:cstheme="minorHAnsi"/>
          <w:b/>
          <w:bCs/>
          <w:color w:val="000000"/>
          <w:rtl/>
        </w:rPr>
        <w:t xml:space="preserve"> </w:t>
      </w:r>
      <w:r w:rsidRPr="00F30EF3">
        <w:rPr>
          <w:rFonts w:cstheme="minorHAnsi"/>
          <w:color w:val="000000"/>
          <w:rtl/>
        </w:rPr>
        <w:t>يطلق على ذلك عادةً "الملكية الفكرية المستحدثة". الملكية الفكرية المستحدثة هي الملكية الفكرية الجديدة التي تم إنشاؤها وتمثّل أهمية باعتبارها جزءاً من عقد البحث.</w:t>
      </w:r>
      <w:r w:rsidRPr="00F30EF3">
        <w:rPr>
          <w:rFonts w:cstheme="minorHAnsi"/>
          <w:rtl/>
        </w:rPr>
        <w:t xml:space="preserve"> </w:t>
      </w:r>
    </w:p>
    <w:p w14:paraId="105818DE" w14:textId="77777777" w:rsidR="005F5418" w:rsidRPr="00F30EF3" w:rsidRDefault="005F5418" w:rsidP="005F5418">
      <w:pPr>
        <w:pStyle w:val="ListParagraph"/>
        <w:autoSpaceDE w:val="0"/>
        <w:autoSpaceDN w:val="0"/>
        <w:adjustRightInd w:val="0"/>
        <w:spacing w:after="148" w:line="240" w:lineRule="auto"/>
        <w:ind w:left="426"/>
        <w:jc w:val="both"/>
        <w:rPr>
          <w:rFonts w:eastAsiaTheme="minorHAnsi" w:cstheme="minorHAnsi"/>
          <w:color w:val="000000"/>
          <w:lang w:val="en-US" w:eastAsia="en-US"/>
        </w:rPr>
      </w:pPr>
    </w:p>
    <w:p w14:paraId="1EBEC302" w14:textId="2676C3AA" w:rsidR="00BD5196" w:rsidRPr="00F30EF3" w:rsidRDefault="005F5418" w:rsidP="009D4A54">
      <w:pPr>
        <w:pStyle w:val="ListParagraph"/>
        <w:numPr>
          <w:ilvl w:val="0"/>
          <w:numId w:val="113"/>
        </w:numPr>
        <w:autoSpaceDE w:val="0"/>
        <w:autoSpaceDN w:val="0"/>
        <w:adjustRightInd w:val="0"/>
        <w:spacing w:after="240" w:line="240" w:lineRule="auto"/>
        <w:ind w:left="425" w:hanging="425"/>
        <w:jc w:val="both"/>
        <w:rPr>
          <w:rFonts w:eastAsiaTheme="minorHAnsi" w:cstheme="minorHAnsi"/>
          <w:color w:val="000000"/>
          <w:rtl/>
        </w:rPr>
      </w:pPr>
      <w:r w:rsidRPr="00F30EF3">
        <w:rPr>
          <w:rFonts w:cstheme="minorHAnsi"/>
          <w:b/>
          <w:bCs/>
          <w:color w:val="000000"/>
          <w:rtl/>
        </w:rPr>
        <w:t xml:space="preserve">المادة 3.7.7، </w:t>
      </w:r>
      <w:r w:rsidRPr="00F30EF3">
        <w:rPr>
          <w:rFonts w:cstheme="minorHAnsi"/>
          <w:b/>
          <w:bCs/>
          <w:i/>
          <w:iCs/>
          <w:color w:val="000000"/>
          <w:rtl/>
        </w:rPr>
        <w:t>القاعدة العامة هي أنه يجب أن تخضع هذه الملكية الفكرية [المستحدثة] لحيازة المؤسسة</w:t>
      </w:r>
      <w:r w:rsidRPr="00F30EF3">
        <w:rPr>
          <w:rFonts w:cstheme="minorHAnsi"/>
          <w:color w:val="000000"/>
          <w:rtl/>
        </w:rPr>
        <w:t>. يلقى ذلك أهمية كبيرة لتجنب تجزئة الملكية الفكرية.</w:t>
      </w:r>
      <w:r w:rsidRPr="00F30EF3">
        <w:rPr>
          <w:rFonts w:cstheme="minorHAnsi"/>
          <w:rtl/>
        </w:rPr>
        <w:t xml:space="preserve"> </w:t>
      </w:r>
    </w:p>
    <w:p w14:paraId="174BECB6" w14:textId="77777777" w:rsidR="003A04D2" w:rsidRPr="00F30EF3" w:rsidRDefault="003A04D2" w:rsidP="003A04D2">
      <w:pPr>
        <w:autoSpaceDE w:val="0"/>
        <w:autoSpaceDN w:val="0"/>
        <w:adjustRightInd w:val="0"/>
        <w:spacing w:after="0" w:line="240" w:lineRule="auto"/>
        <w:ind w:left="426"/>
        <w:jc w:val="both"/>
        <w:rPr>
          <w:rFonts w:eastAsiaTheme="minorHAnsi" w:cstheme="minorHAnsi"/>
          <w:color w:val="000000"/>
          <w:rtl/>
        </w:rPr>
      </w:pPr>
      <w:r w:rsidRPr="00F30EF3">
        <w:rPr>
          <w:rFonts w:cstheme="minorHAnsi"/>
          <w:color w:val="000000"/>
          <w:rtl/>
        </w:rPr>
        <w:t xml:space="preserve">الأمر لا يتعلق دائماً بحيازة الملكية الفكرية في حد ذاتها، بل مدى النطاق الذي يتمتع به الأطراف </w:t>
      </w:r>
      <w:r w:rsidRPr="00F30EF3">
        <w:rPr>
          <w:rFonts w:cstheme="minorHAnsi"/>
          <w:i/>
          <w:iCs/>
          <w:color w:val="000000"/>
          <w:rtl/>
        </w:rPr>
        <w:t>للانتفاع</w:t>
      </w:r>
      <w:r w:rsidRPr="00F30EF3">
        <w:rPr>
          <w:rFonts w:cstheme="minorHAnsi"/>
          <w:color w:val="000000"/>
          <w:rtl/>
        </w:rPr>
        <w:t xml:space="preserve"> بالملكية الفكرية وإدارتها. تتمثل المتطلبات الأساسية للمؤسسة في:</w:t>
      </w:r>
    </w:p>
    <w:p w14:paraId="56C4B272" w14:textId="77777777" w:rsidR="003A04D2" w:rsidRPr="00F30EF3" w:rsidRDefault="003A04D2" w:rsidP="003A04D2">
      <w:pPr>
        <w:autoSpaceDE w:val="0"/>
        <w:autoSpaceDN w:val="0"/>
        <w:adjustRightInd w:val="0"/>
        <w:spacing w:after="0" w:line="240" w:lineRule="auto"/>
        <w:ind w:left="426"/>
        <w:jc w:val="both"/>
        <w:rPr>
          <w:rFonts w:eastAsiaTheme="minorHAnsi" w:cstheme="minorHAnsi"/>
          <w:color w:val="000000"/>
          <w:rtl/>
        </w:rPr>
      </w:pPr>
      <w:r w:rsidRPr="00F30EF3">
        <w:rPr>
          <w:rFonts w:cstheme="minorHAnsi"/>
          <w:color w:val="000000"/>
          <w:rtl/>
        </w:rPr>
        <w:t>-</w:t>
      </w:r>
      <w:r w:rsidRPr="00F30EF3">
        <w:rPr>
          <w:rFonts w:cstheme="minorHAnsi"/>
          <w:color w:val="000000"/>
          <w:rtl/>
        </w:rPr>
        <w:tab/>
        <w:t>القدرة على استخدام النتائج البحثية في الأبحاث المستقبلية (انظر المادة (8.7.7)،</w:t>
      </w:r>
    </w:p>
    <w:p w14:paraId="52FE9F52" w14:textId="77777777" w:rsidR="003A04D2" w:rsidRPr="00F30EF3" w:rsidRDefault="003A04D2" w:rsidP="003A04D2">
      <w:pPr>
        <w:autoSpaceDE w:val="0"/>
        <w:autoSpaceDN w:val="0"/>
        <w:adjustRightInd w:val="0"/>
        <w:spacing w:after="0" w:line="240" w:lineRule="auto"/>
        <w:ind w:left="720" w:hanging="294"/>
        <w:jc w:val="both"/>
        <w:rPr>
          <w:rFonts w:eastAsiaTheme="minorHAnsi" w:cstheme="minorHAnsi"/>
          <w:color w:val="000000"/>
          <w:rtl/>
        </w:rPr>
      </w:pPr>
      <w:r w:rsidRPr="00F30EF3">
        <w:rPr>
          <w:rFonts w:cstheme="minorHAnsi"/>
          <w:color w:val="000000"/>
          <w:rtl/>
        </w:rPr>
        <w:t>-</w:t>
      </w:r>
      <w:r w:rsidRPr="00F30EF3">
        <w:rPr>
          <w:rFonts w:cstheme="minorHAnsi"/>
          <w:color w:val="000000"/>
          <w:rtl/>
        </w:rPr>
        <w:tab/>
        <w:t>القدرة على الاستفادة من تسويق الملكية الفكرية، سواء بصفة مباشرة أو إلى جانب نتائج الأبحاث الأخرى،</w:t>
      </w:r>
    </w:p>
    <w:p w14:paraId="0D32F9D0" w14:textId="77777777" w:rsidR="003A04D2" w:rsidRPr="00F30EF3" w:rsidRDefault="003A04D2" w:rsidP="002B3719">
      <w:pPr>
        <w:autoSpaceDE w:val="0"/>
        <w:autoSpaceDN w:val="0"/>
        <w:adjustRightInd w:val="0"/>
        <w:spacing w:after="120" w:line="240" w:lineRule="auto"/>
        <w:ind w:left="720" w:hanging="294"/>
        <w:jc w:val="both"/>
        <w:rPr>
          <w:rFonts w:eastAsiaTheme="minorHAnsi" w:cstheme="minorHAnsi"/>
          <w:color w:val="000000"/>
          <w:rtl/>
        </w:rPr>
      </w:pPr>
      <w:r w:rsidRPr="00F30EF3">
        <w:rPr>
          <w:rFonts w:cstheme="minorHAnsi"/>
          <w:color w:val="000000"/>
          <w:rtl/>
        </w:rPr>
        <w:lastRenderedPageBreak/>
        <w:t>-</w:t>
      </w:r>
      <w:r w:rsidRPr="00F30EF3">
        <w:rPr>
          <w:rFonts w:cstheme="minorHAnsi"/>
          <w:color w:val="000000"/>
          <w:rtl/>
        </w:rPr>
        <w:tab/>
        <w:t>ضمان أن النتائج البحثية سيُنتفع منها سواء تجارياً أو غير ذلك. وقد يكون ذلك مهماً، لأن السلوك التجاري قد يتضمن غالباً عدم استغلال الملكية الفكرية أو استخدام البراءات لحجب النشاط التكنولوجي للشركات الأخرى.</w:t>
      </w:r>
      <w:r w:rsidRPr="00F30EF3">
        <w:rPr>
          <w:rStyle w:val="FootnoteReference"/>
          <w:rFonts w:eastAsiaTheme="minorHAnsi" w:cstheme="minorHAnsi"/>
          <w:color w:val="000000"/>
          <w:rtl/>
          <w:lang w:val="en-US" w:eastAsia="en-US"/>
        </w:rPr>
        <w:footnoteReference w:id="145"/>
      </w:r>
      <w:r w:rsidRPr="00F30EF3">
        <w:rPr>
          <w:rFonts w:cstheme="minorHAnsi"/>
          <w:rtl/>
        </w:rPr>
        <w:t xml:space="preserve"> </w:t>
      </w:r>
    </w:p>
    <w:p w14:paraId="4499624B" w14:textId="77777777" w:rsidR="003A04D2" w:rsidRPr="00F30EF3" w:rsidRDefault="003A04D2" w:rsidP="002B3719">
      <w:pPr>
        <w:autoSpaceDE w:val="0"/>
        <w:autoSpaceDN w:val="0"/>
        <w:adjustRightInd w:val="0"/>
        <w:spacing w:after="120" w:line="240" w:lineRule="auto"/>
        <w:ind w:left="425"/>
        <w:jc w:val="both"/>
        <w:rPr>
          <w:rFonts w:eastAsiaTheme="minorHAnsi" w:cstheme="minorHAnsi"/>
          <w:color w:val="000000"/>
          <w:rtl/>
        </w:rPr>
      </w:pPr>
      <w:r w:rsidRPr="00F30EF3">
        <w:rPr>
          <w:rFonts w:cstheme="minorHAnsi"/>
          <w:color w:val="000000"/>
          <w:rtl/>
        </w:rPr>
        <w:t>مبدئياً (وإذا سمح القانون الوطني بذلك)، يمكن تضمين كل هذه المتطلبات ضمن عقود البحث التي تتنازل عن الملكية الفكرية المستحدثة (أي منح حيازة الملكية الفكرية) للطرف/ الجهة الراعية الخارجية</w:t>
      </w:r>
      <w:r w:rsidRPr="00F30EF3">
        <w:rPr>
          <w:rStyle w:val="FootnoteReference"/>
          <w:rFonts w:eastAsiaTheme="minorHAnsi" w:cstheme="minorHAnsi"/>
          <w:color w:val="000000"/>
          <w:rtl/>
          <w:lang w:val="en-US" w:eastAsia="en-US"/>
        </w:rPr>
        <w:footnoteReference w:id="146"/>
      </w:r>
      <w:r w:rsidRPr="00F30EF3">
        <w:rPr>
          <w:rFonts w:cstheme="minorHAnsi"/>
          <w:color w:val="000000"/>
          <w:rtl/>
        </w:rPr>
        <w:t xml:space="preserve">. رُغم ذلك، ومن الناحية العملية، قد يكون من الأيسر بالنسبة إلى المؤسسات الاحتفاظ بحيازة الملكية الفكرية المستحدثة.  </w:t>
      </w:r>
    </w:p>
    <w:p w14:paraId="3F279D79" w14:textId="19AAB65B" w:rsidR="00BD5196" w:rsidRPr="00F30EF3" w:rsidRDefault="00BD5196" w:rsidP="002B3719">
      <w:pPr>
        <w:pStyle w:val="ListParagraph"/>
        <w:numPr>
          <w:ilvl w:val="0"/>
          <w:numId w:val="113"/>
        </w:numPr>
        <w:autoSpaceDE w:val="0"/>
        <w:autoSpaceDN w:val="0"/>
        <w:adjustRightInd w:val="0"/>
        <w:spacing w:after="120" w:line="240" w:lineRule="auto"/>
        <w:ind w:left="426" w:hanging="426"/>
        <w:contextualSpacing w:val="0"/>
        <w:jc w:val="both"/>
        <w:rPr>
          <w:rFonts w:eastAsiaTheme="minorHAnsi" w:cstheme="minorHAnsi"/>
          <w:color w:val="000000"/>
          <w:rtl/>
        </w:rPr>
      </w:pPr>
      <w:r w:rsidRPr="00F30EF3">
        <w:rPr>
          <w:rFonts w:cstheme="minorHAnsi"/>
          <w:b/>
          <w:bCs/>
          <w:color w:val="000000"/>
          <w:rtl/>
        </w:rPr>
        <w:t xml:space="preserve">المادة 4.7.7، </w:t>
      </w:r>
      <w:r w:rsidRPr="00F30EF3">
        <w:rPr>
          <w:rFonts w:cstheme="minorHAnsi"/>
          <w:b/>
          <w:bCs/>
          <w:i/>
          <w:iCs/>
          <w:color w:val="000000"/>
          <w:rtl/>
        </w:rPr>
        <w:t>الملكية الفكرية المستحدثة ذات الحيازة المشتركة</w:t>
      </w:r>
      <w:r w:rsidRPr="00F30EF3">
        <w:rPr>
          <w:rFonts w:cstheme="minorHAnsi"/>
          <w:color w:val="000000"/>
          <w:rtl/>
        </w:rPr>
        <w:t xml:space="preserve">: بوجه عام، لا يُنصح بالحيازة المشتركة للملكية الفكرية لأنها قد تسبّب تعقيدات إضافية. وينطبق ذلك بوجه خاص إذا اختلفت نوايا جميع الأطراف فيما يتعلق بالملكية الفكرية اختلافاً كبيراً؛ وفي حالة الملكية المشتركة مع كيانات أجنبية، بسبب الاختلافات القانونية والثقافية.  </w:t>
      </w:r>
    </w:p>
    <w:p w14:paraId="06DFD5B7" w14:textId="77777777" w:rsidR="00D33E0F" w:rsidRPr="00F30EF3" w:rsidRDefault="00D33E0F" w:rsidP="00BF6B49">
      <w:pPr>
        <w:pStyle w:val="Pa3"/>
        <w:bidi/>
        <w:spacing w:after="135"/>
        <w:ind w:left="425"/>
        <w:rPr>
          <w:rFonts w:asciiTheme="minorHAnsi" w:hAnsiTheme="minorHAnsi" w:cstheme="minorHAnsi"/>
          <w:sz w:val="22"/>
          <w:szCs w:val="22"/>
          <w:rtl/>
        </w:rPr>
      </w:pPr>
      <w:r w:rsidRPr="00F30EF3">
        <w:rPr>
          <w:rFonts w:asciiTheme="minorHAnsi" w:hAnsiTheme="minorHAnsi" w:cstheme="minorHAnsi"/>
          <w:sz w:val="22"/>
          <w:szCs w:val="22"/>
          <w:rtl/>
        </w:rPr>
        <w:t>تتضمن العوامل التي تثني عن الحيازة المشتركة</w:t>
      </w:r>
      <w:r w:rsidR="00BF6B49" w:rsidRPr="00F30EF3">
        <w:rPr>
          <w:rStyle w:val="FootnoteReference"/>
          <w:rFonts w:asciiTheme="minorHAnsi" w:hAnsiTheme="minorHAnsi" w:cstheme="minorHAnsi"/>
          <w:sz w:val="22"/>
          <w:szCs w:val="22"/>
          <w:rtl/>
        </w:rPr>
        <w:footnoteReference w:id="147"/>
      </w:r>
      <w:r w:rsidRPr="00F30EF3">
        <w:rPr>
          <w:rFonts w:asciiTheme="minorHAnsi" w:hAnsiTheme="minorHAnsi" w:cstheme="minorHAnsi"/>
          <w:sz w:val="22"/>
          <w:szCs w:val="22"/>
          <w:rtl/>
        </w:rPr>
        <w:t xml:space="preserve">: </w:t>
      </w:r>
    </w:p>
    <w:p w14:paraId="54168B72" w14:textId="77777777" w:rsidR="00D33E0F" w:rsidRPr="00F30EF3" w:rsidRDefault="00D33E0F" w:rsidP="009D4A54">
      <w:pPr>
        <w:pStyle w:val="Default"/>
        <w:numPr>
          <w:ilvl w:val="0"/>
          <w:numId w:val="162"/>
        </w:numPr>
        <w:bidi/>
        <w:spacing w:after="135"/>
        <w:ind w:left="850" w:hanging="425"/>
        <w:jc w:val="both"/>
        <w:rPr>
          <w:rFonts w:asciiTheme="minorHAnsi" w:hAnsiTheme="minorHAnsi" w:cstheme="minorHAnsi"/>
          <w:color w:val="auto"/>
          <w:sz w:val="22"/>
          <w:szCs w:val="22"/>
          <w:rtl/>
        </w:rPr>
      </w:pPr>
      <w:r w:rsidRPr="00F30EF3">
        <w:rPr>
          <w:rFonts w:asciiTheme="minorHAnsi" w:hAnsiTheme="minorHAnsi" w:cstheme="minorHAnsi"/>
          <w:color w:val="auto"/>
          <w:sz w:val="22"/>
          <w:szCs w:val="22"/>
          <w:rtl/>
        </w:rPr>
        <w:t>التعقيد المحتمل في حماية الملكية الفكرية عند غياب القرارات الواضحة بشأن من يكون مسؤولاً عن الحصول على حماية حقوق الملكية الفكرية المسجلة (وتحمل تكاليفها)؛</w:t>
      </w:r>
    </w:p>
    <w:p w14:paraId="7FF07691" w14:textId="77777777" w:rsidR="00D33E0F" w:rsidRPr="00F30EF3" w:rsidRDefault="00D33E0F" w:rsidP="009D4A54">
      <w:pPr>
        <w:pStyle w:val="Default"/>
        <w:numPr>
          <w:ilvl w:val="0"/>
          <w:numId w:val="161"/>
        </w:numPr>
        <w:bidi/>
        <w:spacing w:after="135"/>
        <w:ind w:left="851" w:hanging="425"/>
        <w:jc w:val="both"/>
        <w:rPr>
          <w:rFonts w:asciiTheme="minorHAnsi" w:hAnsiTheme="minorHAnsi" w:cstheme="minorHAnsi"/>
          <w:color w:val="auto"/>
          <w:sz w:val="22"/>
          <w:szCs w:val="22"/>
          <w:rtl/>
        </w:rPr>
      </w:pPr>
      <w:r w:rsidRPr="00F30EF3">
        <w:rPr>
          <w:rFonts w:asciiTheme="minorHAnsi" w:hAnsiTheme="minorHAnsi" w:cstheme="minorHAnsi"/>
          <w:color w:val="auto"/>
          <w:sz w:val="22"/>
          <w:szCs w:val="22"/>
          <w:rtl/>
        </w:rPr>
        <w:t>بمجرد أن تخضع البراءة للملكية المشتركة، فإنه يجب على جميع الملاك الموافقة على ترتيبات الترخيص، رُغم أنه يمكن للمحكمة التغاضي عن ذلك الأمر أحياناً؛</w:t>
      </w:r>
    </w:p>
    <w:p w14:paraId="470196EE" w14:textId="77777777" w:rsidR="00D33E0F" w:rsidRPr="00F30EF3" w:rsidRDefault="00D33E0F" w:rsidP="009D4A54">
      <w:pPr>
        <w:pStyle w:val="Default"/>
        <w:numPr>
          <w:ilvl w:val="0"/>
          <w:numId w:val="161"/>
        </w:numPr>
        <w:bidi/>
        <w:spacing w:after="135"/>
        <w:ind w:left="850" w:hanging="425"/>
        <w:jc w:val="both"/>
        <w:rPr>
          <w:rFonts w:asciiTheme="minorHAnsi" w:hAnsiTheme="minorHAnsi" w:cstheme="minorHAnsi"/>
          <w:color w:val="auto"/>
          <w:sz w:val="22"/>
          <w:szCs w:val="22"/>
          <w:rtl/>
        </w:rPr>
      </w:pPr>
      <w:r w:rsidRPr="00F30EF3">
        <w:rPr>
          <w:rFonts w:asciiTheme="minorHAnsi" w:hAnsiTheme="minorHAnsi" w:cstheme="minorHAnsi"/>
          <w:color w:val="auto"/>
          <w:sz w:val="22"/>
          <w:szCs w:val="22"/>
          <w:rtl/>
        </w:rPr>
        <w:t>سيفضل المرخص لهم المحتملون لتكنولوجيا ما تجنب التعامل مع أكثر من مالك واحد، لأن ذلك من شأنه أن يعقد عملية التفاوض؛</w:t>
      </w:r>
      <w:r w:rsidRPr="00F30EF3">
        <w:rPr>
          <w:rFonts w:asciiTheme="minorHAnsi" w:hAnsiTheme="minorHAnsi" w:cstheme="minorHAnsi"/>
          <w:sz w:val="22"/>
          <w:szCs w:val="22"/>
          <w:rtl/>
        </w:rPr>
        <w:t xml:space="preserve"> </w:t>
      </w:r>
    </w:p>
    <w:p w14:paraId="230804DA" w14:textId="77777777" w:rsidR="00D33E0F" w:rsidRPr="00F30EF3" w:rsidRDefault="00D33E0F" w:rsidP="009D4A54">
      <w:pPr>
        <w:pStyle w:val="Default"/>
        <w:numPr>
          <w:ilvl w:val="0"/>
          <w:numId w:val="161"/>
        </w:numPr>
        <w:bidi/>
        <w:spacing w:after="135"/>
        <w:ind w:left="851" w:hanging="425"/>
        <w:jc w:val="both"/>
        <w:rPr>
          <w:rFonts w:asciiTheme="minorHAnsi" w:hAnsiTheme="minorHAnsi" w:cstheme="minorHAnsi"/>
          <w:color w:val="auto"/>
          <w:sz w:val="22"/>
          <w:szCs w:val="22"/>
          <w:rtl/>
        </w:rPr>
      </w:pPr>
      <w:r w:rsidRPr="00F30EF3">
        <w:rPr>
          <w:rFonts w:asciiTheme="minorHAnsi" w:hAnsiTheme="minorHAnsi" w:cstheme="minorHAnsi"/>
          <w:color w:val="auto"/>
          <w:sz w:val="22"/>
          <w:szCs w:val="22"/>
          <w:rtl/>
        </w:rPr>
        <w:t>بينما يمكن وضع أحكام تعاقدية لنشر ما ينطوي عليه الترخيص من منافع ومخاطر، فإنه ليس من غير الشائع أن تُعتبر أحكام الملكية المشتركة الافتراضية مواتية لشركاء الصناعة؛</w:t>
      </w:r>
      <w:r w:rsidRPr="00F30EF3">
        <w:rPr>
          <w:rFonts w:asciiTheme="minorHAnsi" w:hAnsiTheme="minorHAnsi" w:cstheme="minorHAnsi"/>
          <w:sz w:val="22"/>
          <w:szCs w:val="22"/>
          <w:rtl/>
        </w:rPr>
        <w:t xml:space="preserve"> </w:t>
      </w:r>
    </w:p>
    <w:p w14:paraId="05AED140" w14:textId="77777777" w:rsidR="00D33E0F" w:rsidRPr="00F30EF3" w:rsidRDefault="00BF6B49" w:rsidP="00466EE7">
      <w:pPr>
        <w:pStyle w:val="Default"/>
        <w:numPr>
          <w:ilvl w:val="0"/>
          <w:numId w:val="161"/>
        </w:numPr>
        <w:bidi/>
        <w:spacing w:after="120"/>
        <w:ind w:left="864" w:hanging="432"/>
        <w:jc w:val="both"/>
        <w:rPr>
          <w:rFonts w:asciiTheme="minorHAnsi" w:hAnsiTheme="minorHAnsi" w:cstheme="minorHAnsi"/>
          <w:color w:val="auto"/>
          <w:sz w:val="22"/>
          <w:szCs w:val="22"/>
          <w:rtl/>
        </w:rPr>
      </w:pPr>
      <w:r w:rsidRPr="00F30EF3">
        <w:rPr>
          <w:rFonts w:asciiTheme="minorHAnsi" w:hAnsiTheme="minorHAnsi" w:cstheme="minorHAnsi"/>
          <w:color w:val="auto"/>
          <w:sz w:val="22"/>
          <w:szCs w:val="22"/>
          <w:rtl/>
        </w:rPr>
        <w:t>تمثّل الحيازة المشتركة مشكلة خاصة عندما يكون التعاون والاستغلال الدوليين متوقعين؛ لأن القانون الخاص بالملكية المشتركة يمكن أن يختلف اختلافاً كبيراً بين البلدان المختلفة. فمثلاً، في بعض البلدان، يمكن لأي مالك مشترك اتخاذ إجراء بشأن البراءة من دون الحاجة إلى أخذ موافقة المالكين الآخرين أو إخطارهم، في حين في بلدان أخرى، لا يمكنهم التصرف إلا معاً.</w:t>
      </w:r>
      <w:r w:rsidRPr="00F30EF3">
        <w:rPr>
          <w:rFonts w:asciiTheme="minorHAnsi" w:hAnsiTheme="minorHAnsi" w:cstheme="minorHAnsi"/>
          <w:sz w:val="22"/>
          <w:szCs w:val="22"/>
          <w:rtl/>
        </w:rPr>
        <w:t xml:space="preserve"> </w:t>
      </w:r>
    </w:p>
    <w:p w14:paraId="38BB1600" w14:textId="398CFC86" w:rsidR="00BD5196" w:rsidRPr="00F30EF3" w:rsidRDefault="00BD5196" w:rsidP="00466EE7">
      <w:pPr>
        <w:pStyle w:val="ListParagraph"/>
        <w:numPr>
          <w:ilvl w:val="0"/>
          <w:numId w:val="113"/>
        </w:numPr>
        <w:autoSpaceDE w:val="0"/>
        <w:autoSpaceDN w:val="0"/>
        <w:adjustRightInd w:val="0"/>
        <w:spacing w:after="120" w:line="240" w:lineRule="auto"/>
        <w:ind w:left="426" w:hanging="426"/>
        <w:contextualSpacing w:val="0"/>
        <w:jc w:val="both"/>
        <w:rPr>
          <w:rFonts w:eastAsiaTheme="minorHAnsi" w:cstheme="minorHAnsi"/>
          <w:rtl/>
        </w:rPr>
      </w:pPr>
      <w:r w:rsidRPr="00F30EF3">
        <w:rPr>
          <w:rFonts w:cstheme="minorHAnsi"/>
          <w:b/>
          <w:bCs/>
          <w:color w:val="000000"/>
          <w:rtl/>
        </w:rPr>
        <w:t>المادة 5.7.7،</w:t>
      </w:r>
      <w:r w:rsidRPr="00F30EF3">
        <w:rPr>
          <w:rFonts w:cstheme="minorHAnsi"/>
          <w:color w:val="000000"/>
          <w:rtl/>
        </w:rPr>
        <w:t xml:space="preserve"> </w:t>
      </w:r>
      <w:r w:rsidRPr="00F30EF3">
        <w:rPr>
          <w:rFonts w:cstheme="minorHAnsi"/>
          <w:b/>
          <w:bCs/>
          <w:i/>
          <w:iCs/>
          <w:color w:val="000000"/>
          <w:rtl/>
        </w:rPr>
        <w:t>الملكية الفكرية العرضيّة</w:t>
      </w:r>
      <w:r w:rsidRPr="00F30EF3">
        <w:rPr>
          <w:rFonts w:cstheme="minorHAnsi"/>
          <w:color w:val="000000"/>
          <w:rtl/>
        </w:rPr>
        <w:t>:</w:t>
      </w:r>
      <w:r w:rsidRPr="00F30EF3">
        <w:rPr>
          <w:rFonts w:cstheme="minorHAnsi"/>
          <w:b/>
          <w:bCs/>
          <w:color w:val="000000"/>
          <w:rtl/>
        </w:rPr>
        <w:t xml:space="preserve"> </w:t>
      </w:r>
      <w:r w:rsidRPr="00F30EF3">
        <w:rPr>
          <w:rFonts w:cstheme="minorHAnsi"/>
          <w:color w:val="000000"/>
          <w:rtl/>
        </w:rPr>
        <w:t>يمكن إبداع الملكية الفكرية بصورة عرضيّة في أثناء تنفيذ المشروع، والتي لم تكن جزءاً من نطاق عقد البحث</w:t>
      </w:r>
      <w:r w:rsidR="00316B9D" w:rsidRPr="00F30EF3">
        <w:rPr>
          <w:rStyle w:val="FootnoteReference"/>
          <w:rFonts w:eastAsiaTheme="minorHAnsi" w:cstheme="minorHAnsi"/>
          <w:color w:val="000000"/>
          <w:rtl/>
          <w:lang w:val="en-US" w:eastAsia="en-US"/>
        </w:rPr>
        <w:footnoteReference w:id="148"/>
      </w:r>
      <w:r w:rsidRPr="00F30EF3">
        <w:rPr>
          <w:rFonts w:cstheme="minorHAnsi"/>
          <w:color w:val="000000"/>
          <w:rtl/>
        </w:rPr>
        <w:t>. يُنصح بحيازة المؤسسة للملكية الفكرية العرضيّة. ورُغم ذلك، قد تكون ثمة حاجة إلى بنود حيازة محددة لتنظيم عملية توليد الملكية الفكرية وحيازتها بل وحتى النفاذ إليها.</w:t>
      </w:r>
    </w:p>
    <w:p w14:paraId="6861851B" w14:textId="78A2433B" w:rsidR="00316B9D" w:rsidRPr="00F30EF3" w:rsidRDefault="00BD5196" w:rsidP="00466EE7">
      <w:pPr>
        <w:pStyle w:val="ListParagraph"/>
        <w:numPr>
          <w:ilvl w:val="0"/>
          <w:numId w:val="113"/>
        </w:numPr>
        <w:autoSpaceDE w:val="0"/>
        <w:autoSpaceDN w:val="0"/>
        <w:adjustRightInd w:val="0"/>
        <w:spacing w:after="120" w:line="240" w:lineRule="auto"/>
        <w:ind w:left="426" w:hanging="426"/>
        <w:contextualSpacing w:val="0"/>
        <w:jc w:val="both"/>
        <w:rPr>
          <w:rFonts w:eastAsiaTheme="minorHAnsi" w:cstheme="minorHAnsi"/>
          <w:color w:val="000000"/>
          <w:rtl/>
        </w:rPr>
      </w:pPr>
      <w:r w:rsidRPr="00F30EF3">
        <w:rPr>
          <w:rFonts w:cstheme="minorHAnsi"/>
          <w:b/>
          <w:bCs/>
          <w:rtl/>
        </w:rPr>
        <w:t>المادة 6.7.7،</w:t>
      </w:r>
      <w:r w:rsidRPr="00F30EF3">
        <w:rPr>
          <w:rFonts w:cstheme="minorHAnsi"/>
          <w:rtl/>
        </w:rPr>
        <w:t xml:space="preserve"> </w:t>
      </w:r>
      <w:r w:rsidRPr="00F30EF3">
        <w:rPr>
          <w:rFonts w:cstheme="minorHAnsi"/>
          <w:b/>
          <w:bCs/>
          <w:i/>
          <w:iCs/>
          <w:rtl/>
        </w:rPr>
        <w:t>حق الرفض الأول للملكية الفكرية</w:t>
      </w:r>
      <w:r w:rsidRPr="00F30EF3">
        <w:rPr>
          <w:rFonts w:cstheme="minorHAnsi"/>
          <w:color w:val="000000"/>
          <w:rtl/>
        </w:rPr>
        <w:t>:</w:t>
      </w:r>
      <w:r w:rsidRPr="00F30EF3">
        <w:rPr>
          <w:rFonts w:cstheme="minorHAnsi"/>
          <w:rtl/>
        </w:rPr>
        <w:t xml:space="preserve"> </w:t>
      </w:r>
      <w:r w:rsidRPr="00F30EF3">
        <w:rPr>
          <w:rFonts w:cstheme="minorHAnsi"/>
          <w:color w:val="000000"/>
          <w:rtl/>
        </w:rPr>
        <w:t>ينص حق الرفض الأول أنه عندما تقرّر المؤسسة أنها تريد تسويق الملكية الفكرية، فإنها ستتحدث مع الطرف الذي مُنح حق الرفض الأول لتستفسر منه عما إذا كان يرغب في ممارسة حقه وتقديم الشروط والأحكام للاتفاق عليها. وإذا لم يتحقق ذلك، ووجدت المؤسسة شروطاً أفضل، فإنه بإمكان الطرف الذي يمتلك حق الرفض الأول إما أن يعرض الشروط ذاتها أو ينسحب.</w:t>
      </w:r>
      <w:r w:rsidRPr="00F30EF3">
        <w:rPr>
          <w:rFonts w:cstheme="minorHAnsi"/>
          <w:rtl/>
        </w:rPr>
        <w:t xml:space="preserve"> </w:t>
      </w:r>
    </w:p>
    <w:p w14:paraId="25E3181C" w14:textId="36BFA8AA" w:rsidR="00BD5196" w:rsidRPr="00F30EF3" w:rsidRDefault="00BD5196" w:rsidP="0066385E">
      <w:pPr>
        <w:autoSpaceDE w:val="0"/>
        <w:autoSpaceDN w:val="0"/>
        <w:adjustRightInd w:val="0"/>
        <w:spacing w:after="120" w:line="240" w:lineRule="auto"/>
        <w:ind w:left="360"/>
        <w:jc w:val="both"/>
        <w:rPr>
          <w:rFonts w:eastAsiaTheme="minorHAnsi" w:cstheme="minorHAnsi"/>
          <w:color w:val="000000"/>
          <w:rtl/>
        </w:rPr>
      </w:pPr>
      <w:r w:rsidRPr="00F30EF3">
        <w:rPr>
          <w:rFonts w:cstheme="minorHAnsi"/>
          <w:rtl/>
        </w:rPr>
        <w:t>وغالباً ما تطمئن الأطراف/ الجهات الراعية الخارجية عندما يرد إلى علمهم أنه رُغم أنه لا يجوز لهم حيازة الملكية الفكرية التي تم إبداعها نتيجة لعقد البحث، فإنهم يتمتعون بحق الرفض الأول للتنازل عن الملكية الفكرية أو ترخيصها بموجب شروط متفق عليها بالتبادل. وينبغي أن يكون لهذا الحق إطار زمني مرتبط به، بحيث إذا لم يمارس الطرف/ الجهة الراعية الخارجية الحق خلال مدة زمنية محددة، تنتهي صلاحية الحق ويكون للمؤسسة مطلق الحرية في التفاوض مع أي جهة خارجية أخرى تبدي اهتمامها بالملكية الفكرية.</w:t>
      </w:r>
    </w:p>
    <w:p w14:paraId="45A562D3" w14:textId="77777777" w:rsidR="00FA0E7C" w:rsidRPr="00F30EF3" w:rsidRDefault="00FA0E7C" w:rsidP="00BD5196">
      <w:pPr>
        <w:pStyle w:val="gmail-msolistparagraph"/>
        <w:spacing w:before="0" w:beforeAutospacing="0" w:after="0" w:afterAutospacing="0"/>
        <w:ind w:left="426"/>
        <w:jc w:val="both"/>
        <w:rPr>
          <w:rFonts w:asciiTheme="minorHAnsi" w:hAnsiTheme="minorHAnsi" w:cstheme="minorHAnsi"/>
          <w:color w:val="000000"/>
          <w:sz w:val="22"/>
          <w:szCs w:val="22"/>
          <w:rtl/>
        </w:rPr>
      </w:pPr>
      <w:r w:rsidRPr="00F30EF3">
        <w:rPr>
          <w:rFonts w:asciiTheme="minorHAnsi" w:hAnsiTheme="minorHAnsi" w:cstheme="minorHAnsi"/>
          <w:color w:val="000000"/>
          <w:sz w:val="22"/>
          <w:szCs w:val="22"/>
          <w:rtl/>
        </w:rPr>
        <w:t>لاحظ أن ثمة فرق بين "الخيار" و"حق الرفض الأول". التمييز الرئيسي بين المفهومين يتعلق بمن يبادر بمنح الحقوق:</w:t>
      </w:r>
      <w:r w:rsidRPr="00F30EF3">
        <w:rPr>
          <w:rFonts w:asciiTheme="minorHAnsi" w:hAnsiTheme="minorHAnsi" w:cstheme="minorHAnsi"/>
          <w:sz w:val="22"/>
          <w:szCs w:val="22"/>
          <w:rtl/>
        </w:rPr>
        <w:t xml:space="preserve"> </w:t>
      </w:r>
    </w:p>
    <w:p w14:paraId="74CD0CCB" w14:textId="77777777" w:rsidR="00FA0E7C" w:rsidRPr="00F30EF3" w:rsidRDefault="00FA0E7C" w:rsidP="00FA0E7C">
      <w:pPr>
        <w:pStyle w:val="gmail-msolistparagraph"/>
        <w:spacing w:before="0" w:beforeAutospacing="0" w:after="0" w:afterAutospacing="0"/>
        <w:ind w:left="720" w:hanging="294"/>
        <w:jc w:val="both"/>
        <w:rPr>
          <w:rFonts w:asciiTheme="minorHAnsi" w:hAnsiTheme="minorHAnsi" w:cstheme="minorHAnsi"/>
          <w:color w:val="000000"/>
          <w:sz w:val="22"/>
          <w:szCs w:val="22"/>
          <w:rtl/>
        </w:rPr>
      </w:pPr>
      <w:r w:rsidRPr="00F30EF3">
        <w:rPr>
          <w:rFonts w:asciiTheme="minorHAnsi" w:hAnsiTheme="minorHAnsi" w:cstheme="minorHAnsi"/>
          <w:color w:val="000000"/>
          <w:sz w:val="22"/>
          <w:szCs w:val="22"/>
          <w:rtl/>
        </w:rPr>
        <w:t>-</w:t>
      </w:r>
      <w:r w:rsidRPr="00F30EF3">
        <w:rPr>
          <w:rFonts w:asciiTheme="minorHAnsi" w:hAnsiTheme="minorHAnsi" w:cstheme="minorHAnsi"/>
          <w:color w:val="000000"/>
          <w:sz w:val="22"/>
          <w:szCs w:val="22"/>
          <w:rtl/>
        </w:rPr>
        <w:tab/>
        <w:t xml:space="preserve">مع </w:t>
      </w:r>
      <w:r w:rsidRPr="00F30EF3">
        <w:rPr>
          <w:rFonts w:asciiTheme="minorHAnsi" w:hAnsiTheme="minorHAnsi" w:cstheme="minorHAnsi"/>
          <w:b/>
          <w:bCs/>
          <w:color w:val="000000"/>
          <w:sz w:val="22"/>
          <w:szCs w:val="22"/>
          <w:rtl/>
        </w:rPr>
        <w:t>الخيار</w:t>
      </w:r>
      <w:r w:rsidRPr="00F30EF3">
        <w:rPr>
          <w:rFonts w:asciiTheme="minorHAnsi" w:hAnsiTheme="minorHAnsi" w:cstheme="minorHAnsi"/>
          <w:color w:val="000000"/>
          <w:sz w:val="22"/>
          <w:szCs w:val="22"/>
          <w:rtl/>
        </w:rPr>
        <w:t>، يتم منح الطرف المستفيد من الخيار (في هذه الحالة، الطرف/ الجهة الراعية الخارجية) فترة زمنية للمطالبة بالجائزة، لإخطار الطرف الذي يمنح الخيار (في هذه الحالة، المؤسسة) برغبته في الحصول على منح الحقوق (مثل الترخيص أو التنازل).</w:t>
      </w:r>
      <w:r w:rsidRPr="00F30EF3">
        <w:rPr>
          <w:rFonts w:asciiTheme="minorHAnsi" w:hAnsiTheme="minorHAnsi" w:cstheme="minorHAnsi"/>
          <w:sz w:val="22"/>
          <w:szCs w:val="22"/>
          <w:rtl/>
        </w:rPr>
        <w:t xml:space="preserve"> </w:t>
      </w:r>
    </w:p>
    <w:p w14:paraId="7970C745" w14:textId="22EE3C16" w:rsidR="00FA0E7C" w:rsidRPr="00F30EF3" w:rsidRDefault="00FA0E7C" w:rsidP="002A7540">
      <w:pPr>
        <w:pStyle w:val="gmail-msolistparagraph"/>
        <w:spacing w:before="0" w:beforeAutospacing="0" w:after="120" w:afterAutospacing="0"/>
        <w:ind w:left="720" w:hanging="288"/>
        <w:jc w:val="both"/>
        <w:rPr>
          <w:rFonts w:asciiTheme="minorHAnsi" w:hAnsiTheme="minorHAnsi" w:cstheme="minorHAnsi"/>
          <w:color w:val="000000"/>
          <w:sz w:val="22"/>
          <w:szCs w:val="22"/>
          <w:rtl/>
        </w:rPr>
      </w:pPr>
      <w:r w:rsidRPr="00F30EF3">
        <w:rPr>
          <w:rFonts w:asciiTheme="minorHAnsi" w:hAnsiTheme="minorHAnsi" w:cstheme="minorHAnsi"/>
          <w:color w:val="000000"/>
          <w:sz w:val="22"/>
          <w:szCs w:val="22"/>
          <w:rtl/>
        </w:rPr>
        <w:lastRenderedPageBreak/>
        <w:t>-</w:t>
      </w:r>
      <w:r w:rsidRPr="00F30EF3">
        <w:rPr>
          <w:rFonts w:asciiTheme="minorHAnsi" w:hAnsiTheme="minorHAnsi" w:cstheme="minorHAnsi"/>
          <w:color w:val="000000"/>
          <w:sz w:val="22"/>
          <w:szCs w:val="22"/>
          <w:rtl/>
        </w:rPr>
        <w:tab/>
        <w:t>وعلى النقيض من ذلك، إذا تم منح الطرف/الجهة الراعية الخارجية</w:t>
      </w:r>
      <w:r w:rsidR="00A636FD" w:rsidRPr="00F30EF3">
        <w:rPr>
          <w:rFonts w:asciiTheme="minorHAnsi" w:hAnsiTheme="minorHAnsi" w:cstheme="minorHAnsi"/>
          <w:color w:val="000000"/>
          <w:sz w:val="22"/>
          <w:szCs w:val="22"/>
          <w:rtl/>
        </w:rPr>
        <w:t xml:space="preserve"> </w:t>
      </w:r>
      <w:r w:rsidRPr="00F30EF3">
        <w:rPr>
          <w:rFonts w:asciiTheme="minorHAnsi" w:hAnsiTheme="minorHAnsi" w:cstheme="minorHAnsi"/>
          <w:b/>
          <w:bCs/>
          <w:color w:val="000000"/>
          <w:sz w:val="22"/>
          <w:szCs w:val="22"/>
          <w:rtl/>
        </w:rPr>
        <w:t>حق الرفض الأول</w:t>
      </w:r>
      <w:r w:rsidRPr="00F30EF3">
        <w:rPr>
          <w:rFonts w:asciiTheme="minorHAnsi" w:hAnsiTheme="minorHAnsi" w:cstheme="minorHAnsi"/>
          <w:color w:val="000000"/>
          <w:sz w:val="22"/>
          <w:szCs w:val="22"/>
          <w:rtl/>
        </w:rPr>
        <w:t>، فإنه لا يتسنى له المبادرة بمنح الحقوق. المؤسسة هي المسؤولة عن العملية. إذا رغبت المؤسسة في منح الحقوق، فيتعين عليها إخطار الطرف/الجهة الراعية الخارجية ومنحه فرصة لقبول هذه الحقوق أو رفضها.</w:t>
      </w:r>
      <w:r w:rsidRPr="00F30EF3">
        <w:rPr>
          <w:rFonts w:asciiTheme="minorHAnsi" w:hAnsiTheme="minorHAnsi" w:cstheme="minorHAnsi"/>
          <w:sz w:val="22"/>
          <w:szCs w:val="22"/>
          <w:rtl/>
        </w:rPr>
        <w:t xml:space="preserve"> </w:t>
      </w:r>
    </w:p>
    <w:p w14:paraId="7FD8F877" w14:textId="77777777" w:rsidR="00FA0E7C" w:rsidRPr="00F30EF3" w:rsidRDefault="00BD5196" w:rsidP="00FA0E7C">
      <w:pPr>
        <w:pStyle w:val="gmail-msolistparagraph"/>
        <w:spacing w:before="0" w:beforeAutospacing="0" w:after="0" w:afterAutospacing="0"/>
        <w:ind w:left="426"/>
        <w:jc w:val="both"/>
        <w:rPr>
          <w:rFonts w:asciiTheme="minorHAnsi" w:hAnsiTheme="minorHAnsi" w:cstheme="minorHAnsi"/>
          <w:color w:val="000000"/>
          <w:sz w:val="22"/>
          <w:szCs w:val="22"/>
          <w:rtl/>
        </w:rPr>
      </w:pPr>
      <w:r w:rsidRPr="00F30EF3">
        <w:rPr>
          <w:rFonts w:asciiTheme="minorHAnsi" w:hAnsiTheme="minorHAnsi" w:cstheme="minorHAnsi"/>
          <w:color w:val="000000"/>
          <w:sz w:val="22"/>
          <w:szCs w:val="22"/>
          <w:rtl/>
        </w:rPr>
        <w:t>عادةً ما تطبق بنود حق الرفض الأول في واحدة من المرحلتين التاليتين أو كلتيهما:</w:t>
      </w:r>
    </w:p>
    <w:p w14:paraId="41C0DD40" w14:textId="77777777" w:rsidR="00FA0E7C" w:rsidRPr="00F30EF3" w:rsidRDefault="00FA0E7C" w:rsidP="00FA0E7C">
      <w:pPr>
        <w:pStyle w:val="gmail-msolistparagraph"/>
        <w:spacing w:before="0" w:beforeAutospacing="0" w:after="0" w:afterAutospacing="0"/>
        <w:ind w:left="720" w:hanging="294"/>
        <w:jc w:val="both"/>
        <w:rPr>
          <w:rFonts w:asciiTheme="minorHAnsi" w:hAnsiTheme="minorHAnsi" w:cstheme="minorHAnsi"/>
          <w:color w:val="000000"/>
          <w:sz w:val="22"/>
          <w:szCs w:val="22"/>
          <w:rtl/>
        </w:rPr>
      </w:pPr>
      <w:r w:rsidRPr="00F30EF3">
        <w:rPr>
          <w:rFonts w:asciiTheme="minorHAnsi" w:hAnsiTheme="minorHAnsi" w:cstheme="minorHAnsi"/>
          <w:color w:val="000000"/>
          <w:sz w:val="22"/>
          <w:szCs w:val="22"/>
          <w:rtl/>
        </w:rPr>
        <w:t xml:space="preserve">- </w:t>
      </w:r>
      <w:r w:rsidRPr="00F30EF3">
        <w:rPr>
          <w:rFonts w:asciiTheme="minorHAnsi" w:hAnsiTheme="minorHAnsi" w:cstheme="minorHAnsi"/>
          <w:color w:val="000000"/>
          <w:sz w:val="22"/>
          <w:szCs w:val="22"/>
          <w:rtl/>
        </w:rPr>
        <w:tab/>
        <w:t>عندما تقرّر المؤسسة أولاً أنها مستعدة لمنح الحقوق (أو على وشك البدء في تقديم الحقوق لجهات خارجية)، فيجب عليها عرض الحقوق على الطرف/الجهة الراعية الخارجية؛</w:t>
      </w:r>
      <w:r w:rsidRPr="00F30EF3">
        <w:rPr>
          <w:rFonts w:asciiTheme="minorHAnsi" w:hAnsiTheme="minorHAnsi" w:cstheme="minorHAnsi"/>
          <w:sz w:val="22"/>
          <w:szCs w:val="22"/>
          <w:rtl/>
        </w:rPr>
        <w:t xml:space="preserve"> </w:t>
      </w:r>
    </w:p>
    <w:p w14:paraId="1EF4A902" w14:textId="77777777" w:rsidR="00BD5196" w:rsidRPr="00F30EF3" w:rsidRDefault="00FA0E7C" w:rsidP="00FA0E7C">
      <w:pPr>
        <w:pStyle w:val="gmail-msolistparagraph"/>
        <w:spacing w:before="0" w:beforeAutospacing="0" w:after="0" w:afterAutospacing="0"/>
        <w:ind w:left="720" w:hanging="294"/>
        <w:jc w:val="both"/>
        <w:rPr>
          <w:rFonts w:asciiTheme="minorHAnsi" w:hAnsiTheme="minorHAnsi" w:cstheme="minorHAnsi"/>
          <w:sz w:val="22"/>
          <w:szCs w:val="22"/>
          <w:rtl/>
        </w:rPr>
      </w:pPr>
      <w:r w:rsidRPr="00F30EF3">
        <w:rPr>
          <w:rFonts w:asciiTheme="minorHAnsi" w:hAnsiTheme="minorHAnsi" w:cstheme="minorHAnsi"/>
          <w:color w:val="000000"/>
          <w:sz w:val="22"/>
          <w:szCs w:val="22"/>
          <w:rtl/>
        </w:rPr>
        <w:t xml:space="preserve">- </w:t>
      </w:r>
      <w:r w:rsidRPr="00F30EF3">
        <w:rPr>
          <w:rFonts w:asciiTheme="minorHAnsi" w:hAnsiTheme="minorHAnsi" w:cstheme="minorHAnsi"/>
          <w:color w:val="000000"/>
          <w:sz w:val="22"/>
          <w:szCs w:val="22"/>
          <w:rtl/>
        </w:rPr>
        <w:tab/>
        <w:t>و/ أو عندما تكون المؤسسة على وشك توقيع اتفاق مع جهة خارجية، فإنه يجب عليها أن تمنح الطرف/الجهة الراعية الخارجية فرصة لعرض شروط تعادل تلك المتفق عليها مع الجهة الخارجية. إذا قَبِل الطرف/الجهة الراعية الخارجية هذه الفرصة، فيجب على المؤسسة منح الحقوق للطرف/الجهة الراعية الخارجية وفقاً لهذه الشروط، بدلاً من منحها للجهة الخارجية.</w:t>
      </w:r>
    </w:p>
    <w:p w14:paraId="2B047384" w14:textId="77777777" w:rsidR="00BD5196" w:rsidRPr="00F30EF3" w:rsidRDefault="00BD5196" w:rsidP="00BD5196">
      <w:pPr>
        <w:autoSpaceDE w:val="0"/>
        <w:autoSpaceDN w:val="0"/>
        <w:adjustRightInd w:val="0"/>
        <w:spacing w:after="0" w:line="240" w:lineRule="auto"/>
        <w:jc w:val="both"/>
        <w:rPr>
          <w:rFonts w:eastAsiaTheme="minorHAnsi" w:cstheme="minorHAnsi"/>
          <w:color w:val="000000"/>
          <w:lang w:val="en-US" w:eastAsia="en-US"/>
        </w:rPr>
      </w:pPr>
    </w:p>
    <w:p w14:paraId="64D054DC" w14:textId="77777777" w:rsidR="00BD5196" w:rsidRPr="00F30EF3" w:rsidRDefault="00BD5196" w:rsidP="009D4A54">
      <w:pPr>
        <w:pStyle w:val="ListParagraph"/>
        <w:numPr>
          <w:ilvl w:val="0"/>
          <w:numId w:val="113"/>
        </w:numPr>
        <w:autoSpaceDE w:val="0"/>
        <w:autoSpaceDN w:val="0"/>
        <w:adjustRightInd w:val="0"/>
        <w:spacing w:after="0" w:line="240" w:lineRule="auto"/>
        <w:ind w:left="426" w:hanging="426"/>
        <w:jc w:val="both"/>
        <w:rPr>
          <w:rFonts w:cstheme="minorHAnsi"/>
          <w:rtl/>
        </w:rPr>
      </w:pPr>
      <w:r w:rsidRPr="00F30EF3">
        <w:rPr>
          <w:rFonts w:cstheme="minorHAnsi"/>
          <w:b/>
          <w:bCs/>
          <w:rtl/>
        </w:rPr>
        <w:t xml:space="preserve">المادة 7.7.7، </w:t>
      </w:r>
      <w:r w:rsidRPr="00F30EF3">
        <w:rPr>
          <w:rFonts w:cstheme="minorHAnsi"/>
          <w:b/>
          <w:bCs/>
          <w:i/>
          <w:iCs/>
          <w:rtl/>
        </w:rPr>
        <w:t>تأخر النشر</w:t>
      </w:r>
      <w:r w:rsidRPr="00F30EF3">
        <w:rPr>
          <w:rFonts w:cstheme="minorHAnsi"/>
          <w:color w:val="000000"/>
          <w:rtl/>
        </w:rPr>
        <w:t>:</w:t>
      </w:r>
      <w:r w:rsidRPr="00F30EF3">
        <w:rPr>
          <w:rFonts w:cstheme="minorHAnsi"/>
          <w:rtl/>
        </w:rPr>
        <w:t xml:space="preserve"> بما أن النشر يبقى حافزاً كبيراً للباحثين (انظر </w:t>
      </w:r>
      <w:hyperlink w:anchor="_ARTICLE_10_-" w:history="1">
        <w:r w:rsidRPr="00F30EF3">
          <w:rPr>
            <w:rStyle w:val="Hyperlink"/>
            <w:rFonts w:cstheme="minorHAnsi"/>
            <w:rtl/>
          </w:rPr>
          <w:t>المادة 10</w:t>
        </w:r>
      </w:hyperlink>
      <w:r w:rsidRPr="00F30EF3">
        <w:rPr>
          <w:rFonts w:cstheme="minorHAnsi"/>
          <w:rtl/>
        </w:rPr>
        <w:t xml:space="preserve"> لمناقشة الحوافز)، فمن الأهمية بمكان ألا تتسبب عملية حماية الملكية الفكرية دون داعٍ في تأخير غير مسوغ في نشر نتائج الباحثين في مجلة ما.  وعليه، فإنه يجب على المؤسسة أن تتعهد للباحث بالتزام معقول بتأكيد المدة التي سيحتاجها مكتب إدارة الملكية الفكرية لمراجعة حالات الكشف عن الاختراع وإجراء تقييم للإمكانات التجارية، ثم وضع استراتيجية الملكية الفكرية لدعم هذه الخطة التجارية بعد ذلك. انظر أيضاً </w:t>
      </w:r>
      <w:hyperlink w:anchor="_Article_6.1_–" w:history="1">
        <w:r w:rsidRPr="00F30EF3">
          <w:rPr>
            <w:rStyle w:val="Hyperlink"/>
            <w:rFonts w:cstheme="minorHAnsi"/>
            <w:rtl/>
          </w:rPr>
          <w:t>المادة 1.6</w:t>
        </w:r>
      </w:hyperlink>
      <w:r w:rsidRPr="00F30EF3">
        <w:rPr>
          <w:rFonts w:cstheme="minorHAnsi"/>
          <w:rtl/>
        </w:rPr>
        <w:t xml:space="preserve"> (حق النشر) و</w:t>
      </w:r>
      <w:hyperlink w:anchor="Box43" w:history="1">
        <w:r w:rsidRPr="00F30EF3">
          <w:rPr>
            <w:rStyle w:val="Hyperlink"/>
            <w:rFonts w:cstheme="minorHAnsi"/>
            <w:rtl/>
          </w:rPr>
          <w:t>الإطار 43</w:t>
        </w:r>
      </w:hyperlink>
      <w:r w:rsidRPr="00F30EF3">
        <w:rPr>
          <w:rFonts w:cstheme="minorHAnsi"/>
          <w:rtl/>
        </w:rPr>
        <w:t xml:space="preserve"> (أمثلة على البنود الخاصة بحالات تأخر النشر).</w:t>
      </w:r>
    </w:p>
    <w:p w14:paraId="275467D2" w14:textId="77777777" w:rsidR="00BD5196" w:rsidRPr="00F30EF3" w:rsidRDefault="00BD5196" w:rsidP="00BD5196">
      <w:pPr>
        <w:autoSpaceDE w:val="0"/>
        <w:autoSpaceDN w:val="0"/>
        <w:adjustRightInd w:val="0"/>
        <w:spacing w:after="0" w:line="240" w:lineRule="auto"/>
        <w:ind w:left="426" w:hanging="426"/>
        <w:jc w:val="both"/>
        <w:rPr>
          <w:rFonts w:cstheme="minorHAnsi"/>
          <w:noProof/>
          <w:lang w:val="en-US"/>
        </w:rPr>
      </w:pPr>
    </w:p>
    <w:p w14:paraId="6C1FAC57" w14:textId="0E3D7B35" w:rsidR="00BD5196" w:rsidRPr="00F30EF3" w:rsidRDefault="00BD5196" w:rsidP="009D4A54">
      <w:pPr>
        <w:pStyle w:val="ListParagraph"/>
        <w:numPr>
          <w:ilvl w:val="0"/>
          <w:numId w:val="113"/>
        </w:numPr>
        <w:autoSpaceDE w:val="0"/>
        <w:autoSpaceDN w:val="0"/>
        <w:adjustRightInd w:val="0"/>
        <w:spacing w:after="0" w:line="240" w:lineRule="auto"/>
        <w:ind w:left="426" w:hanging="426"/>
        <w:jc w:val="both"/>
        <w:rPr>
          <w:rFonts w:eastAsiaTheme="minorHAnsi" w:cstheme="minorHAnsi"/>
          <w:color w:val="000000"/>
          <w:rtl/>
        </w:rPr>
      </w:pPr>
      <w:r w:rsidRPr="00F30EF3">
        <w:rPr>
          <w:rFonts w:cstheme="minorHAnsi"/>
          <w:b/>
          <w:bCs/>
          <w:color w:val="000000"/>
          <w:rtl/>
        </w:rPr>
        <w:t xml:space="preserve">المادة 8.7.7، </w:t>
      </w:r>
      <w:r w:rsidRPr="00F30EF3">
        <w:rPr>
          <w:rFonts w:cstheme="minorHAnsi"/>
          <w:b/>
          <w:bCs/>
          <w:i/>
          <w:iCs/>
          <w:rtl/>
        </w:rPr>
        <w:t xml:space="preserve">استخدام </w:t>
      </w:r>
      <w:r w:rsidRPr="00F30EF3">
        <w:rPr>
          <w:rFonts w:cstheme="minorHAnsi"/>
          <w:b/>
          <w:bCs/>
          <w:i/>
          <w:iCs/>
          <w:color w:val="000000"/>
          <w:rtl/>
        </w:rPr>
        <w:t>الملكية الفكرية لأغراض البحث والتدريس</w:t>
      </w:r>
      <w:r w:rsidRPr="00F30EF3">
        <w:rPr>
          <w:rFonts w:cstheme="minorHAnsi"/>
          <w:color w:val="000000"/>
          <w:rtl/>
        </w:rPr>
        <w:t>:  تتمثل المهام الأساسية للمؤسسات في التثقيف وإجراء البحوث لتعزيز الفهم العلمي. وللحفاظ على هذه المكانة، يجب عليهم ألا يفعلوا أي شيء يحد من قدرتهم على تحقيق مبتغاهم الرئيسي. ونتيجة لذلك، فإن العديد من صفقات الملكية الفكرية للمؤسسات ستتضمن بنداً غير قابل للتفاوض ينص على أنه حتى في حالة الترخيص الاستئثاري، يجب أن يظل محتوى الملكية الفكرية متاحاً لأغراض البحث والتدريس.</w:t>
      </w:r>
      <w:r w:rsidRPr="00F30EF3">
        <w:rPr>
          <w:rFonts w:cstheme="minorHAnsi"/>
          <w:rtl/>
        </w:rPr>
        <w:t xml:space="preserve"> </w:t>
      </w:r>
    </w:p>
    <w:p w14:paraId="162389A2" w14:textId="77777777" w:rsidR="005F5418" w:rsidRPr="00F30EF3" w:rsidRDefault="005F5418" w:rsidP="005F5418">
      <w:pPr>
        <w:autoSpaceDE w:val="0"/>
        <w:autoSpaceDN w:val="0"/>
        <w:adjustRightInd w:val="0"/>
        <w:spacing w:after="0" w:line="240" w:lineRule="auto"/>
        <w:jc w:val="both"/>
        <w:rPr>
          <w:rFonts w:eastAsiaTheme="minorHAnsi" w:cstheme="minorHAnsi"/>
          <w:color w:val="000000"/>
          <w:lang w:val="en-US" w:eastAsia="en-US"/>
        </w:rPr>
      </w:pPr>
    </w:p>
    <w:p w14:paraId="6C63C16C" w14:textId="77777777" w:rsidR="008534D2" w:rsidRPr="00F30EF3" w:rsidRDefault="008534D2" w:rsidP="008534D2">
      <w:pPr>
        <w:autoSpaceDE w:val="0"/>
        <w:autoSpaceDN w:val="0"/>
        <w:adjustRightInd w:val="0"/>
        <w:spacing w:after="0" w:line="240" w:lineRule="auto"/>
        <w:jc w:val="both"/>
        <w:rPr>
          <w:rFonts w:eastAsiaTheme="minorHAnsi" w:cstheme="minorHAnsi"/>
          <w:color w:val="000000"/>
          <w:lang w:val="en-US" w:eastAsia="en-US"/>
        </w:rPr>
      </w:pPr>
    </w:p>
    <w:p w14:paraId="4A004791" w14:textId="3BABEB9A" w:rsidR="008534D2" w:rsidRPr="00F30EF3" w:rsidRDefault="000B07E9" w:rsidP="008534D2">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left="426"/>
        <w:jc w:val="both"/>
        <w:rPr>
          <w:rFonts w:cstheme="minorHAnsi"/>
          <w:b/>
          <w:bCs/>
          <w:rtl/>
        </w:rPr>
      </w:pPr>
      <w:r w:rsidRPr="00F30EF3">
        <w:rPr>
          <w:rFonts w:cstheme="minorHAnsi"/>
          <w:b/>
          <w:bCs/>
          <w:rtl/>
        </w:rPr>
        <w:t xml:space="preserve">الإطار </w:t>
      </w:r>
      <w:r w:rsidR="002A7540" w:rsidRPr="00F30EF3">
        <w:rPr>
          <w:rFonts w:cstheme="minorHAnsi"/>
          <w:b/>
          <w:bCs/>
        </w:rPr>
        <w:t>.</w:t>
      </w:r>
      <w:r w:rsidR="00836AFE" w:rsidRPr="00F30EF3">
        <w:rPr>
          <w:rFonts w:cstheme="minorHAnsi"/>
          <w:b/>
          <w:bCs/>
        </w:rPr>
        <w:t>48</w:t>
      </w:r>
      <w:r w:rsidRPr="00F30EF3">
        <w:rPr>
          <w:rFonts w:cstheme="minorHAnsi"/>
          <w:b/>
          <w:bCs/>
          <w:rtl/>
        </w:rPr>
        <w:t xml:space="preserve">   بنود الملكية الفكرية في عقود البحث</w:t>
      </w:r>
    </w:p>
    <w:p w14:paraId="07C65EEB" w14:textId="77777777" w:rsidR="00316B9D" w:rsidRPr="00F30EF3" w:rsidRDefault="00316B9D" w:rsidP="008534D2">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left="426"/>
        <w:jc w:val="both"/>
        <w:rPr>
          <w:rFonts w:cstheme="minorHAnsi"/>
          <w:b/>
          <w:bCs/>
          <w:lang w:val="en-US"/>
        </w:rPr>
      </w:pPr>
    </w:p>
    <w:p w14:paraId="60341DA8" w14:textId="77777777" w:rsidR="008534D2" w:rsidRPr="00F30EF3" w:rsidRDefault="008534D2" w:rsidP="008534D2">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left="426"/>
        <w:jc w:val="both"/>
        <w:rPr>
          <w:rFonts w:cstheme="minorHAnsi"/>
          <w:rtl/>
        </w:rPr>
      </w:pPr>
      <w:r w:rsidRPr="00F30EF3">
        <w:rPr>
          <w:rFonts w:cstheme="minorHAnsi"/>
          <w:rtl/>
        </w:rPr>
        <w:t>قد تغطي بنود الملكية الفكرية:</w:t>
      </w:r>
    </w:p>
    <w:p w14:paraId="4A62B064" w14:textId="77777777" w:rsidR="008534D2" w:rsidRPr="00F30EF3"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cstheme="minorHAnsi"/>
          <w:noProof/>
          <w:rtl/>
        </w:rPr>
      </w:pPr>
      <w:r w:rsidRPr="00F30EF3">
        <w:rPr>
          <w:rFonts w:cstheme="minorHAnsi"/>
          <w:rtl/>
        </w:rPr>
        <w:t>الملكية الفكرية التي يُسهم بها الأطراف في المشروع (الملكية الفكرية السابقة)؛</w:t>
      </w:r>
    </w:p>
    <w:p w14:paraId="4715B78E" w14:textId="77777777" w:rsidR="008534D2" w:rsidRPr="00F30EF3"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cstheme="minorHAnsi"/>
          <w:noProof/>
          <w:rtl/>
        </w:rPr>
      </w:pPr>
      <w:r w:rsidRPr="00F30EF3">
        <w:rPr>
          <w:rFonts w:cstheme="minorHAnsi"/>
          <w:rtl/>
        </w:rPr>
        <w:t>الملكية الفكرية التي يُبدعها المشروع والخاصة بأهداف المشروع (الملكية الفكرية المستحدثة)؛</w:t>
      </w:r>
    </w:p>
    <w:p w14:paraId="272FAA83" w14:textId="77777777" w:rsidR="008534D2" w:rsidRPr="00F30EF3"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cstheme="minorHAnsi"/>
          <w:noProof/>
          <w:rtl/>
        </w:rPr>
      </w:pPr>
      <w:r w:rsidRPr="00F30EF3">
        <w:rPr>
          <w:rFonts w:cstheme="minorHAnsi"/>
          <w:rtl/>
        </w:rPr>
        <w:t>الملكية الفكرية التي تم إبداعها بصورة عرضيّة أثناء تنفيذ المشروع (الملكية الفكرية العرضيّة)</w:t>
      </w:r>
    </w:p>
    <w:p w14:paraId="6AAD3AF4" w14:textId="77777777" w:rsidR="008534D2" w:rsidRPr="00F30EF3"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cstheme="minorHAnsi"/>
          <w:noProof/>
          <w:rtl/>
        </w:rPr>
      </w:pPr>
      <w:r w:rsidRPr="00F30EF3">
        <w:rPr>
          <w:rFonts w:cstheme="minorHAnsi"/>
          <w:rtl/>
        </w:rPr>
        <w:t>الحاجة إلى التمتع بالقدرة على استخدام الملكية الفكرية السابقة للطرف الآخر في التسويق أو استخدام المنتج؛</w:t>
      </w:r>
    </w:p>
    <w:p w14:paraId="12BB9AE7" w14:textId="77777777" w:rsidR="008534D2" w:rsidRPr="00F30EF3"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cstheme="minorHAnsi"/>
          <w:noProof/>
          <w:rtl/>
        </w:rPr>
      </w:pPr>
      <w:r w:rsidRPr="00F30EF3">
        <w:rPr>
          <w:rFonts w:cstheme="minorHAnsi"/>
          <w:rtl/>
        </w:rPr>
        <w:t>شرط/ رغبة المؤسسة في أن تتمتع بالقدرة على استخدام الملكية الفكرية المستحدثة في مساعيها الأكاديمية،</w:t>
      </w:r>
    </w:p>
    <w:p w14:paraId="423257D9" w14:textId="77777777" w:rsidR="008534D2" w:rsidRPr="00F30EF3"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cstheme="minorHAnsi"/>
          <w:noProof/>
          <w:rtl/>
        </w:rPr>
      </w:pPr>
      <w:r w:rsidRPr="00F30EF3">
        <w:rPr>
          <w:rFonts w:cstheme="minorHAnsi"/>
          <w:rtl/>
        </w:rPr>
        <w:t>رغبة الأطراف في نشر نتائج المشروع (بما في ذلك حق الطالب في نشر الأطروحة)؛</w:t>
      </w:r>
    </w:p>
    <w:p w14:paraId="2061080F" w14:textId="77777777" w:rsidR="008534D2" w:rsidRPr="00F30EF3"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cstheme="minorHAnsi"/>
          <w:noProof/>
          <w:rtl/>
        </w:rPr>
      </w:pPr>
      <w:r w:rsidRPr="00F30EF3">
        <w:rPr>
          <w:rFonts w:cstheme="minorHAnsi"/>
          <w:rtl/>
        </w:rPr>
        <w:t>حقوق كل طرف لشراء حصة الآخر في حقوق الملكية الفكرية؛</w:t>
      </w:r>
    </w:p>
    <w:p w14:paraId="457EF453" w14:textId="77777777" w:rsidR="008534D2" w:rsidRPr="00F30EF3"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cstheme="minorHAnsi"/>
          <w:noProof/>
          <w:rtl/>
        </w:rPr>
      </w:pPr>
      <w:r w:rsidRPr="00F30EF3">
        <w:rPr>
          <w:rFonts w:cstheme="minorHAnsi"/>
          <w:rtl/>
        </w:rPr>
        <w:t>شرط/ رغبة الأطراف في تسجيل الملكية الفكرية المستحدثة ببراءة؛</w:t>
      </w:r>
    </w:p>
    <w:p w14:paraId="326FFBEE" w14:textId="77777777" w:rsidR="008534D2" w:rsidRPr="00F30EF3"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cstheme="minorHAnsi"/>
          <w:noProof/>
          <w:rtl/>
        </w:rPr>
      </w:pPr>
      <w:r w:rsidRPr="00F30EF3">
        <w:rPr>
          <w:rFonts w:cstheme="minorHAnsi"/>
          <w:rtl/>
        </w:rPr>
        <w:t>بنود السرية والنشر لدعم نوايا الملكية الفكرية وإظهارها؛</w:t>
      </w:r>
    </w:p>
    <w:p w14:paraId="0D20A2E5" w14:textId="77777777" w:rsidR="008534D2" w:rsidRPr="00F30EF3" w:rsidRDefault="00316B9D"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cstheme="minorHAnsi"/>
          <w:noProof/>
          <w:rtl/>
        </w:rPr>
      </w:pPr>
      <w:r w:rsidRPr="00F30EF3">
        <w:rPr>
          <w:rFonts w:cstheme="minorHAnsi"/>
          <w:rtl/>
        </w:rPr>
        <w:t>الترتيبات التعاقدية للمؤسسة مع موظفيها وطلابها وزائريها.</w:t>
      </w:r>
    </w:p>
    <w:p w14:paraId="3815DEF8" w14:textId="77777777" w:rsidR="00BD5196" w:rsidRPr="00F30EF3" w:rsidRDefault="00BD5196" w:rsidP="00B7519E">
      <w:pPr>
        <w:tabs>
          <w:tab w:val="left" w:pos="851"/>
        </w:tabs>
        <w:spacing w:before="360" w:after="360" w:line="240" w:lineRule="auto"/>
        <w:ind w:left="851" w:hanging="851"/>
        <w:jc w:val="both"/>
        <w:rPr>
          <w:rFonts w:cstheme="minorHAnsi"/>
          <w:b/>
          <w:bCs/>
          <w:color w:val="0070C0"/>
          <w:sz w:val="24"/>
          <w:szCs w:val="24"/>
          <w:rtl/>
        </w:rPr>
      </w:pPr>
      <w:r w:rsidRPr="00F30EF3">
        <w:rPr>
          <w:rFonts w:cstheme="minorHAnsi"/>
          <w:b/>
          <w:bCs/>
          <w:color w:val="0070C0"/>
          <w:sz w:val="24"/>
          <w:szCs w:val="24"/>
          <w:rtl/>
        </w:rPr>
        <w:t>المادة 8.7 - الاستثناءات</w:t>
      </w:r>
    </w:p>
    <w:p w14:paraId="3A179747" w14:textId="77777777" w:rsidR="00BD5196" w:rsidRPr="00F30EF3" w:rsidRDefault="00BD5196" w:rsidP="009D4A54">
      <w:pPr>
        <w:pStyle w:val="ListParagraph"/>
        <w:numPr>
          <w:ilvl w:val="0"/>
          <w:numId w:val="19"/>
        </w:numPr>
        <w:spacing w:after="0" w:line="240" w:lineRule="auto"/>
        <w:ind w:left="426" w:hanging="426"/>
        <w:jc w:val="both"/>
        <w:rPr>
          <w:rFonts w:cstheme="minorHAnsi"/>
          <w:rtl/>
        </w:rPr>
      </w:pPr>
      <w:r w:rsidRPr="00F30EF3">
        <w:rPr>
          <w:rFonts w:cstheme="minorHAnsi"/>
          <w:b/>
          <w:bCs/>
          <w:rtl/>
        </w:rPr>
        <w:t xml:space="preserve">المادة 8.7، </w:t>
      </w:r>
      <w:r w:rsidRPr="00F30EF3">
        <w:rPr>
          <w:rFonts w:cstheme="minorHAnsi"/>
          <w:b/>
          <w:bCs/>
          <w:i/>
          <w:iCs/>
          <w:rtl/>
        </w:rPr>
        <w:t>استثناءات لهذه السياسة</w:t>
      </w:r>
      <w:r w:rsidRPr="00F30EF3">
        <w:rPr>
          <w:rFonts w:cstheme="minorHAnsi"/>
          <w:rtl/>
        </w:rPr>
        <w:t>: لا تجوز ممارسة استثناءات سياسة الملكية الفكرية للمؤسسة إلا بالقدر الذي تفوق فيه المنفعة التي تعود على المؤسسة أي تنازل قد تُقدم عليه المؤسسة.  يجب طرح أمثلة واضحة حيثما كان ملائماً كي نحيد عن الأحكام الواردة في سياسة الملكية الفكرية.</w:t>
      </w:r>
    </w:p>
    <w:p w14:paraId="361347B3" w14:textId="77777777" w:rsidR="00E43208" w:rsidRPr="00F30EF3" w:rsidRDefault="00E43208" w:rsidP="00B7519E">
      <w:pPr>
        <w:tabs>
          <w:tab w:val="left" w:pos="851"/>
        </w:tabs>
        <w:spacing w:before="360" w:after="360" w:line="240" w:lineRule="auto"/>
        <w:ind w:left="851" w:hanging="851"/>
        <w:jc w:val="both"/>
        <w:rPr>
          <w:rFonts w:cstheme="minorHAnsi"/>
          <w:b/>
          <w:bCs/>
          <w:color w:val="0070C0"/>
          <w:sz w:val="24"/>
          <w:szCs w:val="24"/>
          <w:rtl/>
        </w:rPr>
      </w:pPr>
      <w:r w:rsidRPr="00F30EF3">
        <w:rPr>
          <w:rFonts w:cstheme="minorHAnsi"/>
          <w:b/>
          <w:bCs/>
          <w:color w:val="0070C0"/>
          <w:sz w:val="24"/>
          <w:szCs w:val="24"/>
          <w:rtl/>
        </w:rPr>
        <w:t>موارد مفيدة تتعلق بالمادة 7</w:t>
      </w:r>
    </w:p>
    <w:p w14:paraId="1CB26DC1" w14:textId="77777777" w:rsidR="00132893" w:rsidRPr="00F30EF3" w:rsidRDefault="00132893" w:rsidP="009D4A54">
      <w:pPr>
        <w:pStyle w:val="ListParagraph"/>
        <w:numPr>
          <w:ilvl w:val="0"/>
          <w:numId w:val="19"/>
        </w:numPr>
        <w:autoSpaceDE w:val="0"/>
        <w:autoSpaceDN w:val="0"/>
        <w:adjustRightInd w:val="0"/>
        <w:spacing w:after="0" w:line="240" w:lineRule="auto"/>
        <w:ind w:left="426" w:hanging="426"/>
        <w:jc w:val="both"/>
        <w:rPr>
          <w:rFonts w:cstheme="minorHAnsi"/>
          <w:b/>
          <w:bCs/>
          <w:rtl/>
        </w:rPr>
      </w:pPr>
      <w:r w:rsidRPr="00F30EF3">
        <w:rPr>
          <w:rFonts w:cstheme="minorHAnsi"/>
          <w:b/>
          <w:bCs/>
          <w:rtl/>
        </w:rPr>
        <w:t>معلومات عامة تتعلق بإدارة الملكية الفكرية في عقود الأبحاث.</w:t>
      </w:r>
    </w:p>
    <w:p w14:paraId="042942C9" w14:textId="77777777" w:rsidR="00132893" w:rsidRPr="00F30EF3" w:rsidRDefault="00132893" w:rsidP="009D4A54">
      <w:pPr>
        <w:pStyle w:val="ListParagraph"/>
        <w:numPr>
          <w:ilvl w:val="0"/>
          <w:numId w:val="160"/>
        </w:numPr>
        <w:autoSpaceDE w:val="0"/>
        <w:autoSpaceDN w:val="0"/>
        <w:adjustRightInd w:val="0"/>
        <w:spacing w:after="0" w:line="240" w:lineRule="auto"/>
        <w:jc w:val="both"/>
        <w:rPr>
          <w:rFonts w:cstheme="minorHAnsi"/>
          <w:b/>
          <w:bCs/>
          <w:rtl/>
        </w:rPr>
      </w:pPr>
      <w:r w:rsidRPr="00F30EF3">
        <w:rPr>
          <w:rFonts w:cstheme="minorHAnsi"/>
          <w:rtl/>
        </w:rPr>
        <w:lastRenderedPageBreak/>
        <w:t>تتضمن</w:t>
      </w:r>
      <w:hyperlink r:id="rId113" w:history="1">
        <w:r w:rsidRPr="00F30EF3">
          <w:rPr>
            <w:rFonts w:cstheme="minorHAnsi"/>
            <w:b/>
            <w:rtl/>
          </w:rPr>
          <w:t xml:space="preserve"> </w:t>
        </w:r>
        <w:r w:rsidRPr="00F30EF3">
          <w:rPr>
            <w:rStyle w:val="Hyperlink"/>
            <w:rFonts w:cstheme="minorHAnsi"/>
            <w:rtl/>
          </w:rPr>
          <w:t>توصية اللجنة بشأن إدارة الملكية الفكرية في أنشطة نقل المعارف ومدونة قواعد الممارسات للجامعات وغيرها من المنظمات البحثية العامة</w:t>
        </w:r>
        <w:r w:rsidRPr="00F30EF3">
          <w:rPr>
            <w:rStyle w:val="FootnoteReference"/>
            <w:rFonts w:cstheme="minorHAnsi"/>
            <w:rtl/>
            <w:lang w:val="en-US"/>
          </w:rPr>
          <w:footnoteReference w:id="149"/>
        </w:r>
      </w:hyperlink>
      <w:r w:rsidRPr="00F30EF3">
        <w:rPr>
          <w:rFonts w:cstheme="minorHAnsi"/>
          <w:rtl/>
        </w:rPr>
        <w:t xml:space="preserve"> مجموعة من المبادئ فيما يتعلق بالأبحاث التعاونية أو التعاقدية. </w:t>
      </w:r>
    </w:p>
    <w:p w14:paraId="3DF3B8F0" w14:textId="77777777" w:rsidR="00132893" w:rsidRPr="00F30EF3" w:rsidRDefault="00D3795B" w:rsidP="009D4A54">
      <w:pPr>
        <w:pStyle w:val="ListParagraph"/>
        <w:numPr>
          <w:ilvl w:val="0"/>
          <w:numId w:val="160"/>
        </w:numPr>
        <w:autoSpaceDE w:val="0"/>
        <w:autoSpaceDN w:val="0"/>
        <w:adjustRightInd w:val="0"/>
        <w:spacing w:after="0" w:line="240" w:lineRule="auto"/>
        <w:jc w:val="both"/>
        <w:rPr>
          <w:rFonts w:cstheme="minorHAnsi"/>
          <w:rtl/>
        </w:rPr>
      </w:pPr>
      <w:hyperlink r:id="rId114" w:history="1">
        <w:r w:rsidR="00372C70" w:rsidRPr="00F30EF3">
          <w:rPr>
            <w:rStyle w:val="Hyperlink"/>
            <w:rFonts w:cstheme="minorHAnsi"/>
            <w:rtl/>
          </w:rPr>
          <w:t>دليل عملي عن الاتفاقات التعاونية لمؤسسة نقل المعرفة في أيرلندا</w:t>
        </w:r>
      </w:hyperlink>
    </w:p>
    <w:p w14:paraId="4A0AB790" w14:textId="77777777" w:rsidR="008641B6" w:rsidRPr="00F30EF3" w:rsidRDefault="008641B6" w:rsidP="008641B6">
      <w:pPr>
        <w:autoSpaceDE w:val="0"/>
        <w:autoSpaceDN w:val="0"/>
        <w:adjustRightInd w:val="0"/>
        <w:spacing w:after="0" w:line="240" w:lineRule="auto"/>
        <w:ind w:left="720" w:hanging="360"/>
        <w:rPr>
          <w:rFonts w:cstheme="minorHAnsi"/>
          <w:rtl/>
        </w:rPr>
      </w:pPr>
      <w:r w:rsidRPr="00F30EF3">
        <w:rPr>
          <w:rFonts w:cstheme="minorHAnsi"/>
          <w:rtl/>
        </w:rPr>
        <w:t>-</w:t>
      </w:r>
      <w:r w:rsidRPr="00F30EF3">
        <w:rPr>
          <w:rFonts w:cstheme="minorHAnsi"/>
          <w:rtl/>
        </w:rPr>
        <w:tab/>
      </w:r>
      <w:hyperlink r:id="rId115" w:history="1">
        <w:r w:rsidRPr="00F30EF3">
          <w:rPr>
            <w:rStyle w:val="Hyperlink"/>
            <w:rFonts w:cstheme="minorHAnsi"/>
            <w:rtl/>
          </w:rPr>
          <w:t>مبادئ توجيهية لمنطقة البحث الأوروبية</w:t>
        </w:r>
      </w:hyperlink>
      <w:r w:rsidRPr="00F30EF3">
        <w:rPr>
          <w:rFonts w:cstheme="minorHAnsi"/>
          <w:rtl/>
        </w:rPr>
        <w:t xml:space="preserve"> بشأن إدارة الملكية الفكرية في اتفاقات التعاون على البحث الدولي </w:t>
      </w:r>
    </w:p>
    <w:p w14:paraId="1830EA21" w14:textId="77777777" w:rsidR="00132893" w:rsidRPr="00F30EF3" w:rsidRDefault="00132893" w:rsidP="00132893">
      <w:pPr>
        <w:pStyle w:val="ListParagraph"/>
        <w:autoSpaceDE w:val="0"/>
        <w:autoSpaceDN w:val="0"/>
        <w:adjustRightInd w:val="0"/>
        <w:spacing w:after="0" w:line="240" w:lineRule="auto"/>
        <w:ind w:left="426"/>
        <w:jc w:val="both"/>
        <w:rPr>
          <w:rFonts w:cstheme="minorHAnsi"/>
          <w:b/>
          <w:bCs/>
          <w:lang w:val="en-US"/>
        </w:rPr>
      </w:pPr>
    </w:p>
    <w:p w14:paraId="2792AD29" w14:textId="77777777" w:rsidR="007A17A6" w:rsidRPr="00F30EF3" w:rsidRDefault="00132893" w:rsidP="009D4A54">
      <w:pPr>
        <w:pStyle w:val="ListParagraph"/>
        <w:numPr>
          <w:ilvl w:val="0"/>
          <w:numId w:val="19"/>
        </w:numPr>
        <w:autoSpaceDE w:val="0"/>
        <w:autoSpaceDN w:val="0"/>
        <w:adjustRightInd w:val="0"/>
        <w:spacing w:after="0" w:line="240" w:lineRule="auto"/>
        <w:ind w:left="426" w:hanging="426"/>
        <w:jc w:val="both"/>
        <w:rPr>
          <w:rFonts w:cstheme="minorHAnsi"/>
          <w:b/>
          <w:bCs/>
          <w:rtl/>
        </w:rPr>
      </w:pPr>
      <w:r w:rsidRPr="00F30EF3">
        <w:rPr>
          <w:rFonts w:cstheme="minorHAnsi"/>
          <w:b/>
          <w:bCs/>
          <w:rtl/>
        </w:rPr>
        <w:t>عقود الأبحاث النموذجية والاتفاقات الأخرى التي يمكن استخدامها في مراحل مختلفة من معاملات البحث التكنولوجي والتسويق.</w:t>
      </w:r>
    </w:p>
    <w:p w14:paraId="4109C813" w14:textId="77777777" w:rsidR="003351F2" w:rsidRPr="00F30EF3" w:rsidRDefault="003351F2" w:rsidP="009D4A54">
      <w:pPr>
        <w:pStyle w:val="ListParagraph"/>
        <w:numPr>
          <w:ilvl w:val="0"/>
          <w:numId w:val="59"/>
        </w:numPr>
        <w:autoSpaceDE w:val="0"/>
        <w:autoSpaceDN w:val="0"/>
        <w:adjustRightInd w:val="0"/>
        <w:spacing w:after="0" w:line="240" w:lineRule="auto"/>
        <w:ind w:hanging="425"/>
        <w:jc w:val="both"/>
        <w:rPr>
          <w:rFonts w:cstheme="minorHAnsi"/>
          <w:rtl/>
        </w:rPr>
      </w:pPr>
      <w:r w:rsidRPr="00F30EF3">
        <w:rPr>
          <w:rStyle w:val="Hyperlink"/>
          <w:rFonts w:cstheme="minorHAnsi"/>
          <w:color w:val="auto"/>
          <w:u w:val="none"/>
          <w:rtl/>
        </w:rPr>
        <w:t xml:space="preserve">توفر الجامعات والمؤسسات البحثية العديد من الاتفاقات النموذجية. انظر </w:t>
      </w:r>
      <w:hyperlink r:id="rId116" w:history="1">
        <w:r w:rsidRPr="00F30EF3">
          <w:rPr>
            <w:rStyle w:val="Hyperlink"/>
            <w:rFonts w:cstheme="minorHAnsi"/>
            <w:rtl/>
          </w:rPr>
          <w:t>قاعدة بيانات الويبو لسياسات الملكية الفكرية</w:t>
        </w:r>
      </w:hyperlink>
      <w:r w:rsidRPr="00F30EF3">
        <w:rPr>
          <w:rStyle w:val="Hyperlink"/>
          <w:rFonts w:cstheme="minorHAnsi"/>
          <w:color w:val="auto"/>
          <w:u w:val="none"/>
          <w:rtl/>
        </w:rPr>
        <w:t>.</w:t>
      </w:r>
    </w:p>
    <w:p w14:paraId="2F4D5400" w14:textId="77777777" w:rsidR="00B5263D" w:rsidRPr="00F30EF3" w:rsidRDefault="00B5263D" w:rsidP="009D4A54">
      <w:pPr>
        <w:pStyle w:val="ListParagraph"/>
        <w:numPr>
          <w:ilvl w:val="0"/>
          <w:numId w:val="59"/>
        </w:numPr>
        <w:autoSpaceDE w:val="0"/>
        <w:autoSpaceDN w:val="0"/>
        <w:adjustRightInd w:val="0"/>
        <w:spacing w:after="0" w:line="240" w:lineRule="auto"/>
        <w:ind w:hanging="425"/>
        <w:jc w:val="both"/>
        <w:rPr>
          <w:rFonts w:cstheme="minorHAnsi"/>
          <w:rtl/>
        </w:rPr>
      </w:pPr>
      <w:r w:rsidRPr="00F30EF3">
        <w:rPr>
          <w:rFonts w:cstheme="minorHAnsi"/>
          <w:rtl/>
        </w:rPr>
        <w:t xml:space="preserve">توفر </w:t>
      </w:r>
      <w:hyperlink r:id="rId117" w:history="1">
        <w:r w:rsidRPr="00F30EF3">
          <w:rPr>
            <w:rStyle w:val="Hyperlink"/>
            <w:rFonts w:cstheme="minorHAnsi"/>
            <w:rtl/>
          </w:rPr>
          <w:t>مجموعة أدوات الملكية الفكرية والمؤسسات البحثية</w:t>
        </w:r>
      </w:hyperlink>
      <w:r w:rsidRPr="00F30EF3">
        <w:rPr>
          <w:rFonts w:cstheme="minorHAnsi"/>
          <w:b/>
          <w:bCs/>
          <w:rtl/>
        </w:rPr>
        <w:t xml:space="preserve"> </w:t>
      </w:r>
      <w:r w:rsidRPr="00F30EF3">
        <w:rPr>
          <w:rFonts w:cstheme="minorHAnsi"/>
          <w:rtl/>
        </w:rPr>
        <w:t>مجموعة من الاتفاقات النموذجية.</w:t>
      </w:r>
    </w:p>
    <w:p w14:paraId="449C4856" w14:textId="77777777" w:rsidR="00132893" w:rsidRPr="00F30EF3" w:rsidRDefault="00D3795B" w:rsidP="009D4A54">
      <w:pPr>
        <w:pStyle w:val="ListParagraph"/>
        <w:numPr>
          <w:ilvl w:val="0"/>
          <w:numId w:val="59"/>
        </w:numPr>
        <w:autoSpaceDE w:val="0"/>
        <w:autoSpaceDN w:val="0"/>
        <w:adjustRightInd w:val="0"/>
        <w:spacing w:after="0" w:line="240" w:lineRule="auto"/>
        <w:ind w:hanging="425"/>
        <w:jc w:val="both"/>
        <w:rPr>
          <w:rFonts w:cstheme="minorHAnsi"/>
          <w:rtl/>
        </w:rPr>
      </w:pPr>
      <w:hyperlink r:id="rId118" w:history="1">
        <w:r w:rsidR="00372C70" w:rsidRPr="00F30EF3">
          <w:rPr>
            <w:rStyle w:val="Hyperlink"/>
            <w:rFonts w:cstheme="minorHAnsi"/>
            <w:rtl/>
          </w:rPr>
          <w:t>مجموعة أدوات لامبرت</w:t>
        </w:r>
      </w:hyperlink>
      <w:r w:rsidR="00372C70" w:rsidRPr="00F30EF3">
        <w:rPr>
          <w:rFonts w:cstheme="minorHAnsi"/>
          <w:rtl/>
        </w:rPr>
        <w:t>.  تتضمن اتفاقات نموذجية، إلى جانب وثيقة توجيهية ودليل قرارات يساعد في تحديد الاتفاق النموذجي الأنسب.</w:t>
      </w:r>
    </w:p>
    <w:p w14:paraId="3A8FD7E5" w14:textId="77777777" w:rsidR="003A2FE2" w:rsidRPr="00F30EF3" w:rsidRDefault="00D3795B" w:rsidP="009D4A54">
      <w:pPr>
        <w:pStyle w:val="ListParagraph"/>
        <w:numPr>
          <w:ilvl w:val="0"/>
          <w:numId w:val="59"/>
        </w:numPr>
        <w:autoSpaceDE w:val="0"/>
        <w:autoSpaceDN w:val="0"/>
        <w:adjustRightInd w:val="0"/>
        <w:spacing w:after="0" w:line="240" w:lineRule="auto"/>
        <w:ind w:hanging="425"/>
        <w:jc w:val="both"/>
        <w:rPr>
          <w:rFonts w:cstheme="minorHAnsi"/>
          <w:b/>
          <w:bCs/>
          <w:rtl/>
        </w:rPr>
      </w:pPr>
      <w:hyperlink r:id="rId119" w:history="1">
        <w:r w:rsidR="00372C70" w:rsidRPr="00F30EF3">
          <w:rPr>
            <w:rStyle w:val="Hyperlink"/>
            <w:rFonts w:cstheme="minorHAnsi"/>
          </w:rPr>
          <w:t>IPAG</w:t>
        </w:r>
      </w:hyperlink>
      <w:r w:rsidR="00372C70" w:rsidRPr="00F30EF3">
        <w:rPr>
          <w:rFonts w:cstheme="minorHAnsi"/>
          <w:rtl/>
        </w:rPr>
        <w:t xml:space="preserve"> (دليل اتفاقات الملكية الفكرية) الاتفاقات النموذجية (باللغتين الإنجليزية والألمانية). تتضمن خيارات بند تسوية النزاعات بالإحالة إلى وساطة الويبو وتحكيم الويبو المعجّل. متوفرة على </w:t>
      </w:r>
      <w:hyperlink r:id="rId120" w:history="1">
        <w:r w:rsidR="00372C70" w:rsidRPr="00F30EF3">
          <w:rPr>
            <w:rStyle w:val="Hyperlink"/>
            <w:rFonts w:cstheme="minorHAnsi"/>
            <w:rtl/>
          </w:rPr>
          <w:t>موقع الويبو الإلكتروني</w:t>
        </w:r>
      </w:hyperlink>
      <w:r w:rsidR="00372C70" w:rsidRPr="00F30EF3">
        <w:rPr>
          <w:rFonts w:cstheme="minorHAnsi"/>
          <w:rtl/>
        </w:rPr>
        <w:t>.</w:t>
      </w:r>
    </w:p>
    <w:p w14:paraId="3B5A3F10" w14:textId="77777777" w:rsidR="008641B6" w:rsidRPr="00F30EF3" w:rsidRDefault="00D3795B" w:rsidP="009D4A54">
      <w:pPr>
        <w:pStyle w:val="ListParagraph"/>
        <w:numPr>
          <w:ilvl w:val="0"/>
          <w:numId w:val="59"/>
        </w:numPr>
        <w:autoSpaceDE w:val="0"/>
        <w:autoSpaceDN w:val="0"/>
        <w:adjustRightInd w:val="0"/>
        <w:spacing w:after="0" w:line="240" w:lineRule="auto"/>
        <w:ind w:hanging="425"/>
        <w:jc w:val="both"/>
        <w:rPr>
          <w:rFonts w:cstheme="minorHAnsi"/>
          <w:rtl/>
        </w:rPr>
      </w:pPr>
      <w:hyperlink r:id="rId121" w:history="1">
        <w:r w:rsidR="00372C70" w:rsidRPr="00F30EF3">
          <w:rPr>
            <w:rStyle w:val="Hyperlink"/>
            <w:rFonts w:cstheme="minorHAnsi"/>
            <w:rtl/>
          </w:rPr>
          <w:t>جمعية مديري التكنولوجيا بالجامعات (</w:t>
        </w:r>
        <w:r w:rsidR="00372C70" w:rsidRPr="00F30EF3">
          <w:rPr>
            <w:rStyle w:val="Hyperlink"/>
            <w:rFonts w:cstheme="minorHAnsi"/>
          </w:rPr>
          <w:t>AUTM</w:t>
        </w:r>
        <w:r w:rsidR="00372C70" w:rsidRPr="00F30EF3">
          <w:rPr>
            <w:rStyle w:val="Hyperlink"/>
            <w:rFonts w:cstheme="minorHAnsi"/>
            <w:rtl/>
          </w:rPr>
          <w:t>)</w:t>
        </w:r>
      </w:hyperlink>
      <w:r w:rsidR="00372C70" w:rsidRPr="00F30EF3">
        <w:rPr>
          <w:rFonts w:cstheme="minorHAnsi"/>
          <w:rtl/>
        </w:rPr>
        <w:t>.  توفر مجموعة كبيرة من الاتفاقات النموذجية (أبحاث مُموَّلة، اتفاقات الخيار، اتفاقات السرية، وما إلى ذلك)</w:t>
      </w:r>
    </w:p>
    <w:p w14:paraId="10321E9C" w14:textId="77777777" w:rsidR="008641B6" w:rsidRPr="00F30EF3" w:rsidRDefault="00D3795B" w:rsidP="009D4A54">
      <w:pPr>
        <w:pStyle w:val="ListParagraph"/>
        <w:numPr>
          <w:ilvl w:val="0"/>
          <w:numId w:val="59"/>
        </w:numPr>
        <w:autoSpaceDE w:val="0"/>
        <w:autoSpaceDN w:val="0"/>
        <w:adjustRightInd w:val="0"/>
        <w:spacing w:after="0" w:line="240" w:lineRule="auto"/>
        <w:ind w:hanging="425"/>
        <w:jc w:val="both"/>
        <w:rPr>
          <w:rFonts w:cstheme="minorHAnsi"/>
          <w:rtl/>
        </w:rPr>
      </w:pPr>
      <w:hyperlink r:id="rId122" w:history="1">
        <w:r w:rsidR="00372C70" w:rsidRPr="00F30EF3">
          <w:rPr>
            <w:rStyle w:val="Hyperlink"/>
            <w:rFonts w:cstheme="minorHAnsi"/>
            <w:rtl/>
          </w:rPr>
          <w:t>اتفاقات نموذجية لمؤسسة نقل المعارف في أيرلندا</w:t>
        </w:r>
      </w:hyperlink>
      <w:r w:rsidR="00372C70" w:rsidRPr="00F30EF3">
        <w:rPr>
          <w:rFonts w:cstheme="minorHAnsi"/>
          <w:rtl/>
        </w:rPr>
        <w:t>.</w:t>
      </w:r>
    </w:p>
    <w:p w14:paraId="6DCCF952" w14:textId="77777777" w:rsidR="008641B6" w:rsidRPr="00F30EF3" w:rsidRDefault="00D3795B" w:rsidP="009D4A54">
      <w:pPr>
        <w:pStyle w:val="ListParagraph"/>
        <w:numPr>
          <w:ilvl w:val="0"/>
          <w:numId w:val="59"/>
        </w:numPr>
        <w:autoSpaceDE w:val="0"/>
        <w:autoSpaceDN w:val="0"/>
        <w:adjustRightInd w:val="0"/>
        <w:spacing w:after="0" w:line="240" w:lineRule="auto"/>
        <w:ind w:hanging="425"/>
        <w:jc w:val="both"/>
        <w:rPr>
          <w:rFonts w:cstheme="minorHAnsi"/>
          <w:rtl/>
        </w:rPr>
      </w:pPr>
      <w:hyperlink r:id="rId123" w:history="1">
        <w:r w:rsidR="00372C70" w:rsidRPr="00F30EF3">
          <w:rPr>
            <w:rStyle w:val="Hyperlink"/>
            <w:rFonts w:cstheme="minorHAnsi"/>
            <w:rtl/>
          </w:rPr>
          <w:t>مجموعة أدوات الملكية الفكرية الأسترالية للتعاون</w:t>
        </w:r>
      </w:hyperlink>
      <w:r w:rsidR="00372C70" w:rsidRPr="00F30EF3">
        <w:rPr>
          <w:rFonts w:cstheme="minorHAnsi"/>
          <w:rtl/>
        </w:rPr>
        <w:t xml:space="preserve">. تتضمن قوائم مرجعية وعقود نموذجية وأدلة بشأن تطوير الشراكات. </w:t>
      </w:r>
    </w:p>
    <w:p w14:paraId="6B85B6E6" w14:textId="77777777" w:rsidR="008641B6" w:rsidRPr="00F30EF3" w:rsidRDefault="008641B6" w:rsidP="009D4A54">
      <w:pPr>
        <w:pStyle w:val="ListParagraph"/>
        <w:numPr>
          <w:ilvl w:val="0"/>
          <w:numId w:val="59"/>
        </w:numPr>
        <w:autoSpaceDE w:val="0"/>
        <w:autoSpaceDN w:val="0"/>
        <w:adjustRightInd w:val="0"/>
        <w:spacing w:after="0" w:line="240" w:lineRule="auto"/>
        <w:ind w:hanging="425"/>
        <w:jc w:val="both"/>
        <w:rPr>
          <w:rFonts w:cstheme="minorHAnsi"/>
          <w:rtl/>
        </w:rPr>
      </w:pPr>
      <w:r w:rsidRPr="00F30EF3">
        <w:rPr>
          <w:rFonts w:cstheme="minorHAnsi"/>
          <w:rtl/>
        </w:rPr>
        <w:t xml:space="preserve">دليل </w:t>
      </w:r>
      <w:hyperlink r:id="rId124" w:history="1">
        <w:r w:rsidRPr="00F30EF3">
          <w:rPr>
            <w:rStyle w:val="Hyperlink"/>
            <w:rFonts w:cstheme="minorHAnsi"/>
            <w:rtl/>
          </w:rPr>
          <w:t>قرارات المفوضية الأوروبية العابرة للحدود</w:t>
        </w:r>
      </w:hyperlink>
      <w:r w:rsidRPr="00F30EF3">
        <w:rPr>
          <w:rFonts w:cstheme="minorHAnsi"/>
          <w:rtl/>
        </w:rPr>
        <w:t xml:space="preserve"> هو مجموعة أدوات تفاعلية تأخذ المستخدم عبر عملية اتخاذ قرار وتطرح مجموعة من الأسئلة الاستراتيجية للنظر فيها عند التخطيط لمشروعات بحثية تعاونية والتفاوض عليها.</w:t>
      </w:r>
    </w:p>
    <w:p w14:paraId="03C675FE" w14:textId="77777777" w:rsidR="008641B6" w:rsidRPr="00F30EF3" w:rsidRDefault="00D3795B" w:rsidP="009D4A54">
      <w:pPr>
        <w:pStyle w:val="ListParagraph"/>
        <w:numPr>
          <w:ilvl w:val="0"/>
          <w:numId w:val="59"/>
        </w:numPr>
        <w:autoSpaceDE w:val="0"/>
        <w:autoSpaceDN w:val="0"/>
        <w:adjustRightInd w:val="0"/>
        <w:spacing w:after="0" w:line="240" w:lineRule="auto"/>
        <w:ind w:hanging="425"/>
        <w:jc w:val="both"/>
        <w:rPr>
          <w:rFonts w:cstheme="minorHAnsi"/>
          <w:color w:val="000000" w:themeColor="text1"/>
          <w:rtl/>
        </w:rPr>
      </w:pPr>
      <w:hyperlink r:id="rId125" w:history="1">
        <w:r w:rsidR="00372C70" w:rsidRPr="00F30EF3">
          <w:rPr>
            <w:rStyle w:val="Hyperlink"/>
            <w:rFonts w:cstheme="minorHAnsi"/>
          </w:rPr>
          <w:t>mICRA</w:t>
        </w:r>
      </w:hyperlink>
      <w:r w:rsidR="00372C70" w:rsidRPr="00F30EF3">
        <w:rPr>
          <w:rFonts w:cstheme="minorHAnsi"/>
          <w:rtl/>
        </w:rPr>
        <w:t xml:space="preserve"> </w:t>
      </w:r>
      <w:r w:rsidR="00372C70" w:rsidRPr="00F30EF3">
        <w:rPr>
          <w:rFonts w:cstheme="minorHAnsi"/>
          <w:color w:val="000000" w:themeColor="text1"/>
          <w:rtl/>
        </w:rPr>
        <w:t>(اتفاق بحث تعاوني نموذجي في الصناعة). يهدف إلى دعم أوجه التآزر في مجال الأبحاث السريرية التي تجمع بين صناعات الأدوية والتكنولوجيا الحيوية والأوساط الأكاديمية.</w:t>
      </w:r>
    </w:p>
    <w:p w14:paraId="6FA93C0E" w14:textId="77777777" w:rsidR="003A2FE2" w:rsidRPr="00F30EF3" w:rsidRDefault="003A2FE2" w:rsidP="003A2FE2">
      <w:pPr>
        <w:pStyle w:val="ListParagraph"/>
        <w:autoSpaceDE w:val="0"/>
        <w:autoSpaceDN w:val="0"/>
        <w:adjustRightInd w:val="0"/>
        <w:spacing w:after="0" w:line="240" w:lineRule="auto"/>
        <w:ind w:left="426"/>
        <w:jc w:val="both"/>
        <w:rPr>
          <w:rFonts w:cstheme="minorHAnsi"/>
          <w:b/>
          <w:bCs/>
          <w:lang w:val="en-US"/>
        </w:rPr>
      </w:pPr>
    </w:p>
    <w:p w14:paraId="4A71DA6C" w14:textId="77777777" w:rsidR="003A2FE2" w:rsidRPr="00F30EF3" w:rsidRDefault="003A2FE2" w:rsidP="003A2FE2">
      <w:pPr>
        <w:pStyle w:val="ListParagraph"/>
        <w:autoSpaceDE w:val="0"/>
        <w:autoSpaceDN w:val="0"/>
        <w:adjustRightInd w:val="0"/>
        <w:spacing w:after="0" w:line="240" w:lineRule="auto"/>
        <w:ind w:left="426"/>
        <w:jc w:val="both"/>
        <w:rPr>
          <w:rFonts w:cstheme="minorHAnsi"/>
          <w:b/>
          <w:bCs/>
          <w:lang w:val="en-US"/>
        </w:rPr>
      </w:pPr>
    </w:p>
    <w:p w14:paraId="0CD54C76" w14:textId="77777777" w:rsidR="00E43208" w:rsidRPr="00F30EF3" w:rsidRDefault="00E43208" w:rsidP="00E43208">
      <w:pPr>
        <w:pStyle w:val="Heading2"/>
        <w:rPr>
          <w:rFonts w:asciiTheme="minorHAnsi" w:hAnsiTheme="minorHAnsi" w:cstheme="minorHAnsi"/>
          <w:sz w:val="22"/>
          <w:szCs w:val="22"/>
          <w:lang w:val="en-US"/>
        </w:rPr>
      </w:pPr>
    </w:p>
    <w:p w14:paraId="6DE2FB91" w14:textId="77777777" w:rsidR="00E43208" w:rsidRPr="00F30EF3" w:rsidRDefault="00E43208" w:rsidP="00E43208">
      <w:pPr>
        <w:pStyle w:val="Heading2"/>
        <w:rPr>
          <w:rFonts w:asciiTheme="minorHAnsi" w:hAnsiTheme="minorHAnsi" w:cstheme="minorHAnsi"/>
          <w:rtl/>
        </w:rPr>
      </w:pPr>
      <w:bookmarkStart w:id="226" w:name="_Toc516160071"/>
      <w:bookmarkStart w:id="227" w:name="_Toc516219414"/>
      <w:bookmarkStart w:id="228" w:name="_Toc516496058"/>
      <w:bookmarkStart w:id="229" w:name="_Toc516829430"/>
      <w:bookmarkStart w:id="230" w:name="_Toc178260766"/>
      <w:r w:rsidRPr="00F30EF3">
        <w:rPr>
          <w:rFonts w:asciiTheme="minorHAnsi" w:hAnsiTheme="minorHAnsi" w:cstheme="minorHAnsi"/>
          <w:rtl/>
        </w:rPr>
        <w:t>المادة 8 - معاينات مكتب إدارة الملكية الفكرية</w:t>
      </w:r>
      <w:bookmarkEnd w:id="226"/>
      <w:bookmarkEnd w:id="227"/>
      <w:bookmarkEnd w:id="228"/>
      <w:bookmarkEnd w:id="229"/>
      <w:bookmarkEnd w:id="230"/>
    </w:p>
    <w:p w14:paraId="37D9EC6D" w14:textId="77777777" w:rsidR="00E43208" w:rsidRPr="00F30EF3" w:rsidRDefault="00E43208" w:rsidP="00E43208">
      <w:pPr>
        <w:pStyle w:val="Heading2"/>
        <w:rPr>
          <w:rFonts w:asciiTheme="minorHAnsi" w:hAnsiTheme="minorHAnsi" w:cstheme="minorHAnsi"/>
          <w:sz w:val="22"/>
          <w:szCs w:val="22"/>
          <w:lang w:val="en-US"/>
        </w:rPr>
      </w:pPr>
    </w:p>
    <w:p w14:paraId="3E4FEA17" w14:textId="77777777" w:rsidR="00E43208" w:rsidRPr="00F30EF3" w:rsidRDefault="00E43208" w:rsidP="00E43208">
      <w:pPr>
        <w:tabs>
          <w:tab w:val="left" w:pos="851"/>
        </w:tabs>
        <w:spacing w:after="0" w:line="240" w:lineRule="auto"/>
        <w:jc w:val="both"/>
        <w:rPr>
          <w:rFonts w:cstheme="minorHAnsi"/>
          <w:b/>
          <w:bCs/>
          <w:color w:val="0070C0"/>
          <w:lang w:val="en-US"/>
        </w:rPr>
      </w:pPr>
    </w:p>
    <w:p w14:paraId="1AD43BB1" w14:textId="77777777" w:rsidR="00E43208" w:rsidRPr="00F30EF3" w:rsidRDefault="00E43208" w:rsidP="00E43208">
      <w:pPr>
        <w:pStyle w:val="Heading3"/>
        <w:rPr>
          <w:rFonts w:asciiTheme="minorHAnsi" w:hAnsiTheme="minorHAnsi" w:cstheme="minorHAnsi"/>
          <w:sz w:val="24"/>
          <w:szCs w:val="24"/>
          <w:rtl/>
        </w:rPr>
      </w:pPr>
      <w:bookmarkStart w:id="231" w:name="_Article_8.1_–"/>
      <w:bookmarkStart w:id="232" w:name="_Toc516160072"/>
      <w:bookmarkStart w:id="233" w:name="_Toc516219415"/>
      <w:bookmarkStart w:id="234" w:name="_Toc516496059"/>
      <w:bookmarkStart w:id="235" w:name="_Toc516829431"/>
      <w:bookmarkEnd w:id="231"/>
      <w:r w:rsidRPr="00F30EF3">
        <w:rPr>
          <w:rFonts w:asciiTheme="minorHAnsi" w:hAnsiTheme="minorHAnsi" w:cstheme="minorHAnsi"/>
          <w:sz w:val="24"/>
          <w:szCs w:val="24"/>
          <w:rtl/>
        </w:rPr>
        <w:t>المادة 1.8 - مسؤولية الكشف عن الملكية الفكرية</w:t>
      </w:r>
      <w:bookmarkEnd w:id="232"/>
      <w:bookmarkEnd w:id="233"/>
      <w:bookmarkEnd w:id="234"/>
      <w:bookmarkEnd w:id="235"/>
      <w:r w:rsidRPr="00F30EF3">
        <w:rPr>
          <w:rFonts w:asciiTheme="minorHAnsi" w:hAnsiTheme="minorHAnsi" w:cstheme="minorHAnsi"/>
          <w:sz w:val="24"/>
          <w:szCs w:val="24"/>
          <w:rtl/>
        </w:rPr>
        <w:t xml:space="preserve"> </w:t>
      </w:r>
    </w:p>
    <w:p w14:paraId="5B02A5C7" w14:textId="05A3134E" w:rsidR="00AD4E99" w:rsidRPr="00F30EF3" w:rsidRDefault="006567C2" w:rsidP="009D4A54">
      <w:pPr>
        <w:pStyle w:val="CommentText"/>
        <w:numPr>
          <w:ilvl w:val="0"/>
          <w:numId w:val="53"/>
        </w:numPr>
        <w:ind w:left="426" w:hanging="426"/>
        <w:jc w:val="both"/>
        <w:rPr>
          <w:rFonts w:cstheme="minorHAnsi"/>
          <w:sz w:val="22"/>
          <w:szCs w:val="22"/>
          <w:rtl/>
        </w:rPr>
      </w:pPr>
      <w:bookmarkStart w:id="236" w:name="_Toc515566158"/>
      <w:r w:rsidRPr="00F30EF3">
        <w:rPr>
          <w:rFonts w:cstheme="minorHAnsi"/>
          <w:b/>
          <w:bCs/>
          <w:i/>
          <w:iCs/>
          <w:sz w:val="22"/>
          <w:szCs w:val="22"/>
          <w:rtl/>
        </w:rPr>
        <w:t>المادة 1.1.8، التسجيل</w:t>
      </w:r>
      <w:r w:rsidRPr="00F30EF3">
        <w:rPr>
          <w:rFonts w:cstheme="minorHAnsi"/>
          <w:i/>
          <w:iCs/>
          <w:sz w:val="22"/>
          <w:szCs w:val="22"/>
          <w:rtl/>
        </w:rPr>
        <w:t xml:space="preserve">: </w:t>
      </w:r>
      <w:r w:rsidRPr="00F30EF3">
        <w:rPr>
          <w:rFonts w:cstheme="minorHAnsi"/>
          <w:sz w:val="22"/>
          <w:szCs w:val="22"/>
          <w:rtl/>
        </w:rPr>
        <w:t xml:space="preserve">ينبغي للمؤسسة أن تعمل على تعزيز الممارسات الجيدة لحفظ السجلات البحثية الأكاديمية، وعادةً ما يكون ذلك من خلال استخدام دفاتر المختبرات. وتضمن هذه السجلات الدقيقة للأبحاث توثيق الخبرة العملية للبحث وإمكانية استنساخ النتائج.  </w:t>
      </w:r>
    </w:p>
    <w:p w14:paraId="0F9EB124" w14:textId="77777777" w:rsidR="00AD4E99" w:rsidRPr="00F30EF3" w:rsidRDefault="006567C2" w:rsidP="009D4A54">
      <w:pPr>
        <w:pStyle w:val="CommentText"/>
        <w:numPr>
          <w:ilvl w:val="0"/>
          <w:numId w:val="53"/>
        </w:numPr>
        <w:ind w:left="426" w:hanging="426"/>
        <w:jc w:val="both"/>
        <w:rPr>
          <w:rFonts w:cstheme="minorHAnsi"/>
          <w:sz w:val="22"/>
          <w:szCs w:val="22"/>
          <w:rtl/>
        </w:rPr>
      </w:pPr>
      <w:r w:rsidRPr="00F30EF3">
        <w:rPr>
          <w:rFonts w:cstheme="minorHAnsi"/>
          <w:sz w:val="22"/>
          <w:szCs w:val="22"/>
          <w:rtl/>
        </w:rPr>
        <w:t xml:space="preserve">بصفة خاصة، يتمثل دور </w:t>
      </w:r>
      <w:r w:rsidRPr="00F30EF3">
        <w:rPr>
          <w:rFonts w:cstheme="minorHAnsi"/>
          <w:b/>
          <w:bCs/>
          <w:sz w:val="22"/>
          <w:szCs w:val="22"/>
          <w:rtl/>
        </w:rPr>
        <w:t>دفاتر المختبرات</w:t>
      </w:r>
      <w:r w:rsidRPr="00F30EF3">
        <w:rPr>
          <w:rFonts w:cstheme="minorHAnsi"/>
          <w:sz w:val="22"/>
          <w:szCs w:val="22"/>
          <w:rtl/>
        </w:rPr>
        <w:t xml:space="preserve"> في: </w:t>
      </w:r>
    </w:p>
    <w:p w14:paraId="55FE707E" w14:textId="77777777" w:rsidR="00AD4E99" w:rsidRPr="00F30EF3" w:rsidRDefault="006567C2" w:rsidP="009D4A54">
      <w:pPr>
        <w:pStyle w:val="CommentText"/>
        <w:numPr>
          <w:ilvl w:val="1"/>
          <w:numId w:val="150"/>
        </w:numPr>
        <w:spacing w:after="0"/>
        <w:ind w:left="850" w:hanging="425"/>
        <w:jc w:val="both"/>
        <w:rPr>
          <w:rFonts w:cstheme="minorHAnsi"/>
          <w:sz w:val="22"/>
          <w:szCs w:val="22"/>
          <w:rtl/>
        </w:rPr>
      </w:pPr>
      <w:r w:rsidRPr="00F30EF3">
        <w:rPr>
          <w:rFonts w:cstheme="minorHAnsi"/>
          <w:sz w:val="22"/>
          <w:szCs w:val="22"/>
          <w:rtl/>
        </w:rPr>
        <w:t xml:space="preserve">إنشاء سجل كامل للتجارب، وبدايتها/تخطيطها وطريقة تطويرها؛ </w:t>
      </w:r>
    </w:p>
    <w:p w14:paraId="1D2E7761" w14:textId="77777777" w:rsidR="00AD4E99" w:rsidRPr="00F30EF3" w:rsidRDefault="006567C2" w:rsidP="009D4A54">
      <w:pPr>
        <w:pStyle w:val="CommentText"/>
        <w:numPr>
          <w:ilvl w:val="1"/>
          <w:numId w:val="150"/>
        </w:numPr>
        <w:spacing w:after="0"/>
        <w:ind w:left="850" w:hanging="425"/>
        <w:jc w:val="both"/>
        <w:rPr>
          <w:rFonts w:cstheme="minorHAnsi"/>
          <w:sz w:val="22"/>
          <w:szCs w:val="22"/>
          <w:rtl/>
        </w:rPr>
      </w:pPr>
      <w:r w:rsidRPr="00F30EF3">
        <w:rPr>
          <w:rFonts w:cstheme="minorHAnsi"/>
          <w:sz w:val="22"/>
          <w:szCs w:val="22"/>
          <w:rtl/>
        </w:rPr>
        <w:t xml:space="preserve">تسجيل البيانات المجمعة والنتائج الإحصائية والرسومية الناتجة عن التحليلات التي أجراها الباحث؛ </w:t>
      </w:r>
    </w:p>
    <w:p w14:paraId="1AA68368" w14:textId="77777777" w:rsidR="00AD4E99" w:rsidRPr="00F30EF3" w:rsidRDefault="006567C2" w:rsidP="009D4A54">
      <w:pPr>
        <w:pStyle w:val="CommentText"/>
        <w:numPr>
          <w:ilvl w:val="1"/>
          <w:numId w:val="150"/>
        </w:numPr>
        <w:spacing w:after="0"/>
        <w:ind w:left="850" w:hanging="425"/>
        <w:jc w:val="both"/>
        <w:rPr>
          <w:rFonts w:cstheme="minorHAnsi"/>
          <w:sz w:val="22"/>
          <w:szCs w:val="22"/>
          <w:rtl/>
        </w:rPr>
      </w:pPr>
      <w:r w:rsidRPr="00F30EF3">
        <w:rPr>
          <w:rFonts w:cstheme="minorHAnsi"/>
          <w:sz w:val="22"/>
          <w:szCs w:val="22"/>
          <w:rtl/>
        </w:rPr>
        <w:t xml:space="preserve">تحفيز الباحث على التفكير في مواضيع البحث والتعمق فيها؛ </w:t>
      </w:r>
    </w:p>
    <w:p w14:paraId="010BE4FB" w14:textId="77777777" w:rsidR="00AD4E99" w:rsidRPr="00F30EF3" w:rsidRDefault="006567C2" w:rsidP="009D4A54">
      <w:pPr>
        <w:pStyle w:val="CommentText"/>
        <w:numPr>
          <w:ilvl w:val="1"/>
          <w:numId w:val="150"/>
        </w:numPr>
        <w:spacing w:after="0"/>
        <w:ind w:left="850" w:hanging="425"/>
        <w:jc w:val="both"/>
        <w:rPr>
          <w:rFonts w:cstheme="minorHAnsi"/>
          <w:sz w:val="22"/>
          <w:szCs w:val="22"/>
          <w:rtl/>
        </w:rPr>
      </w:pPr>
      <w:r w:rsidRPr="00F30EF3">
        <w:rPr>
          <w:rFonts w:cstheme="minorHAnsi"/>
          <w:sz w:val="22"/>
          <w:szCs w:val="22"/>
          <w:rtl/>
        </w:rPr>
        <w:t xml:space="preserve">إظهار الجهود المستمرة التي يبذلها الباحث لتحويل الفكرة إلى ممارسة؛ </w:t>
      </w:r>
    </w:p>
    <w:p w14:paraId="405C2D80" w14:textId="77777777" w:rsidR="00AD4E99" w:rsidRPr="00F30EF3" w:rsidRDefault="006567C2" w:rsidP="009D4A54">
      <w:pPr>
        <w:pStyle w:val="CommentText"/>
        <w:numPr>
          <w:ilvl w:val="1"/>
          <w:numId w:val="150"/>
        </w:numPr>
        <w:spacing w:after="0"/>
        <w:ind w:left="850" w:hanging="425"/>
        <w:jc w:val="both"/>
        <w:rPr>
          <w:rFonts w:cstheme="minorHAnsi"/>
          <w:sz w:val="22"/>
          <w:szCs w:val="22"/>
          <w:rtl/>
        </w:rPr>
      </w:pPr>
      <w:r w:rsidRPr="00F30EF3">
        <w:rPr>
          <w:rFonts w:cstheme="minorHAnsi"/>
          <w:sz w:val="22"/>
          <w:szCs w:val="22"/>
          <w:rtl/>
        </w:rPr>
        <w:t xml:space="preserve">إثبات التقنية الصناعية السابقة في نهاية الاختراع، فيما يتعلق بالإشارات الأخرى إلى التقنية الصناعية السابقة؛ </w:t>
      </w:r>
    </w:p>
    <w:p w14:paraId="2B4A69CF" w14:textId="77777777" w:rsidR="00AD4E99" w:rsidRPr="00F30EF3" w:rsidRDefault="006567C2" w:rsidP="009D4A54">
      <w:pPr>
        <w:pStyle w:val="CommentText"/>
        <w:numPr>
          <w:ilvl w:val="1"/>
          <w:numId w:val="150"/>
        </w:numPr>
        <w:spacing w:after="0"/>
        <w:ind w:left="850" w:hanging="425"/>
        <w:jc w:val="both"/>
        <w:rPr>
          <w:rFonts w:cstheme="minorHAnsi"/>
          <w:sz w:val="22"/>
          <w:szCs w:val="22"/>
          <w:rtl/>
        </w:rPr>
      </w:pPr>
      <w:r w:rsidRPr="00F30EF3">
        <w:rPr>
          <w:rFonts w:cstheme="minorHAnsi"/>
          <w:sz w:val="22"/>
          <w:szCs w:val="22"/>
          <w:rtl/>
        </w:rPr>
        <w:t xml:space="preserve">تقديم المعلومات إلى الشخص الذي يبدي اهتماماً بمواصلة مشروع بحثي بدأ بالفعل؛ </w:t>
      </w:r>
    </w:p>
    <w:p w14:paraId="60C9F520" w14:textId="77777777" w:rsidR="006567C2" w:rsidRPr="00F30EF3" w:rsidRDefault="006567C2" w:rsidP="009D4A54">
      <w:pPr>
        <w:pStyle w:val="CommentText"/>
        <w:numPr>
          <w:ilvl w:val="1"/>
          <w:numId w:val="150"/>
        </w:numPr>
        <w:spacing w:after="0"/>
        <w:ind w:left="850" w:hanging="425"/>
        <w:jc w:val="both"/>
        <w:rPr>
          <w:rFonts w:cstheme="minorHAnsi"/>
          <w:sz w:val="22"/>
          <w:szCs w:val="22"/>
          <w:rtl/>
        </w:rPr>
      </w:pPr>
      <w:r w:rsidRPr="00F30EF3">
        <w:rPr>
          <w:rFonts w:cstheme="minorHAnsi"/>
          <w:sz w:val="22"/>
          <w:szCs w:val="22"/>
          <w:rtl/>
        </w:rPr>
        <w:t xml:space="preserve">السماح للوكالات المانحة والشركاء بتقييم النتائج.  </w:t>
      </w:r>
    </w:p>
    <w:p w14:paraId="3ECDBF0A" w14:textId="77777777" w:rsidR="00AD4E99" w:rsidRPr="00F30EF3" w:rsidRDefault="00AD4E99" w:rsidP="00AD4E99">
      <w:pPr>
        <w:pStyle w:val="CommentText"/>
        <w:spacing w:after="0"/>
        <w:ind w:left="850"/>
        <w:jc w:val="both"/>
        <w:rPr>
          <w:rFonts w:cstheme="minorHAnsi"/>
          <w:sz w:val="22"/>
          <w:szCs w:val="22"/>
          <w:lang w:val="en-US" w:eastAsia="en-ZA"/>
        </w:rPr>
      </w:pPr>
    </w:p>
    <w:p w14:paraId="7626CA7B" w14:textId="77777777" w:rsidR="006567C2" w:rsidRPr="00F30EF3" w:rsidRDefault="006567C2" w:rsidP="003017B7">
      <w:pPr>
        <w:pStyle w:val="CommentText"/>
        <w:tabs>
          <w:tab w:val="left" w:pos="709"/>
        </w:tabs>
        <w:ind w:left="425"/>
        <w:jc w:val="both"/>
        <w:rPr>
          <w:rFonts w:cstheme="minorHAnsi"/>
          <w:sz w:val="22"/>
          <w:szCs w:val="22"/>
          <w:rtl/>
        </w:rPr>
      </w:pPr>
      <w:r w:rsidRPr="00F30EF3">
        <w:rPr>
          <w:rFonts w:cstheme="minorHAnsi"/>
          <w:sz w:val="22"/>
          <w:szCs w:val="22"/>
          <w:rtl/>
        </w:rPr>
        <w:t>يساعد سجل أحداث البحث هذا مكتب إدارة الملكية الفكرية مساعدة كبيرة في اتخاذ القرارات بشأن حماية الملكية الفكرية ويساعد في صياغة طلبات البراءات والمعالجة اللاحقة للملكية الفكرية (لا سيما فيما يتعلق بالحجج المتعلقة بتحديد الابتكار).  علاوة على ذلك، تضمن دفاتر المختبرات توفر سجل خاص بإبداع الاختراع، مثلاً، والذي سيكون مفيداً في حالة التقاضي.</w:t>
      </w:r>
      <w:bookmarkEnd w:id="236"/>
      <w:r w:rsidRPr="00F30EF3">
        <w:rPr>
          <w:rFonts w:cstheme="minorHAnsi"/>
          <w:sz w:val="22"/>
          <w:szCs w:val="22"/>
          <w:rtl/>
        </w:rPr>
        <w:t xml:space="preserve"> </w:t>
      </w:r>
    </w:p>
    <w:p w14:paraId="4932C772" w14:textId="5C28518E" w:rsidR="006567C2" w:rsidRPr="00F30EF3" w:rsidRDefault="006567C2" w:rsidP="00B7519E">
      <w:pPr>
        <w:pStyle w:val="CommentText"/>
        <w:tabs>
          <w:tab w:val="left" w:pos="709"/>
        </w:tabs>
        <w:spacing w:after="0"/>
        <w:ind w:left="425"/>
        <w:jc w:val="both"/>
        <w:rPr>
          <w:rFonts w:cstheme="minorHAnsi"/>
          <w:sz w:val="22"/>
          <w:szCs w:val="22"/>
          <w:rtl/>
        </w:rPr>
      </w:pPr>
      <w:r w:rsidRPr="00F30EF3">
        <w:rPr>
          <w:rFonts w:cstheme="minorHAnsi"/>
          <w:sz w:val="22"/>
          <w:szCs w:val="22"/>
          <w:rtl/>
        </w:rPr>
        <w:lastRenderedPageBreak/>
        <w:t xml:space="preserve">لا ينبغي التقليل من أهمية حفظ السجلات بدقة، لدرجة أن بعض الجامعات ومؤسسات البحث لديها سياسات مستقلة بشأن حفظ السجلات ودليل عملي يدعم تنفيذ سياسة حفظ السجلات هذه. ترد أمثلة في قسم </w:t>
      </w:r>
      <w:hyperlink w:anchor="_Useful_References_to" w:history="1">
        <w:r w:rsidRPr="00F30EF3">
          <w:rPr>
            <w:rStyle w:val="Hyperlink"/>
            <w:rFonts w:cstheme="minorHAnsi"/>
            <w:sz w:val="22"/>
            <w:szCs w:val="22"/>
            <w:rtl/>
          </w:rPr>
          <w:t>مراجع مفيدة مرتبطة بالمادة 8</w:t>
        </w:r>
      </w:hyperlink>
      <w:r w:rsidRPr="00F30EF3">
        <w:rPr>
          <w:rFonts w:cstheme="minorHAnsi"/>
          <w:sz w:val="22"/>
          <w:szCs w:val="22"/>
          <w:rtl/>
        </w:rPr>
        <w:t xml:space="preserve">.  </w:t>
      </w:r>
    </w:p>
    <w:p w14:paraId="3C1A3682" w14:textId="77777777" w:rsidR="00A4021B" w:rsidRPr="00F30EF3" w:rsidRDefault="00A4021B" w:rsidP="00B7519E">
      <w:pPr>
        <w:pStyle w:val="CommentText"/>
        <w:tabs>
          <w:tab w:val="left" w:pos="709"/>
        </w:tabs>
        <w:spacing w:after="0"/>
        <w:ind w:left="425"/>
        <w:jc w:val="both"/>
        <w:rPr>
          <w:rFonts w:cstheme="minorHAnsi"/>
          <w:sz w:val="22"/>
          <w:szCs w:val="22"/>
          <w:lang w:val="en-US"/>
        </w:rPr>
      </w:pPr>
    </w:p>
    <w:p w14:paraId="54A9E7C0" w14:textId="699B4669" w:rsidR="00A4021B" w:rsidRPr="00F30EF3" w:rsidRDefault="00A4021B" w:rsidP="00A4021B">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b/>
          <w:bCs/>
          <w:rtl/>
        </w:rPr>
      </w:pPr>
      <w:r w:rsidRPr="00F30EF3">
        <w:rPr>
          <w:rFonts w:cstheme="minorHAnsi"/>
          <w:b/>
          <w:bCs/>
          <w:rtl/>
        </w:rPr>
        <w:t xml:space="preserve">الإطار </w:t>
      </w:r>
      <w:r w:rsidR="00E149AF" w:rsidRPr="00F30EF3">
        <w:rPr>
          <w:rFonts w:cstheme="minorHAnsi"/>
          <w:b/>
          <w:bCs/>
        </w:rPr>
        <w:t>.4</w:t>
      </w:r>
      <w:r w:rsidR="00836AFE" w:rsidRPr="00F30EF3">
        <w:rPr>
          <w:rFonts w:cstheme="minorHAnsi"/>
          <w:b/>
          <w:bCs/>
        </w:rPr>
        <w:t>9</w:t>
      </w:r>
      <w:r w:rsidRPr="00F30EF3">
        <w:rPr>
          <w:rFonts w:cstheme="minorHAnsi"/>
          <w:b/>
          <w:bCs/>
          <w:rtl/>
        </w:rPr>
        <w:t xml:space="preserve"> مثال على بند حفظ السجلات: جامعة غلاسكو (كندا)</w:t>
      </w:r>
    </w:p>
    <w:p w14:paraId="152C9861" w14:textId="77777777" w:rsidR="00A4021B" w:rsidRPr="00F30EF3" w:rsidRDefault="00A4021B" w:rsidP="00A4021B">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i/>
          <w:iCs/>
          <w:lang w:val="en-US"/>
        </w:rPr>
      </w:pPr>
    </w:p>
    <w:p w14:paraId="6ADE7CBB" w14:textId="77777777" w:rsidR="00A4021B" w:rsidRPr="00F30EF3" w:rsidRDefault="00A4021B" w:rsidP="00A4021B">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cstheme="minorHAnsi"/>
          <w:rtl/>
        </w:rPr>
      </w:pPr>
      <w:r w:rsidRPr="00F30EF3">
        <w:rPr>
          <w:rFonts w:cstheme="minorHAnsi"/>
          <w:i/>
          <w:iCs/>
          <w:rtl/>
        </w:rPr>
        <w:t>"بغية استغلال أي ملكية فكرية على الوجه اللائق، يُرجح أن يكون النفاذ إلى دفاتر المختبرات وغيرها من السجلات المكتوبة (بما في ذلك البيانات ونتائج الأبحاث) التي ينتجها الموظفون مطلوباً. وعليه، تتمثل الممارسة الفضلى في أن يحتفظ جميع الموظفين بسجلات مكتوبة وكاملة ودقيقة ومحدثة للملكية الفكرية التي يبدعونها في أثناء فترة عملهم. يجب أن يوقّع المدير المباشر للموظف على هذه السجلات بصفة منتظمة ويتم حمايتها من النفاذ غير المصرح به وستحتفظ بها الجامعة عندما يغادر الفرد</w:t>
      </w:r>
      <w:r w:rsidRPr="00F30EF3">
        <w:rPr>
          <w:rFonts w:cstheme="minorHAnsi"/>
          <w:rtl/>
        </w:rPr>
        <w:t>".</w:t>
      </w:r>
    </w:p>
    <w:p w14:paraId="7463F450" w14:textId="77777777" w:rsidR="00C2732D" w:rsidRPr="00F30EF3" w:rsidRDefault="00C2732D" w:rsidP="00B7519E">
      <w:pPr>
        <w:pStyle w:val="CommentText"/>
        <w:tabs>
          <w:tab w:val="left" w:pos="709"/>
        </w:tabs>
        <w:spacing w:after="0"/>
        <w:ind w:left="425"/>
        <w:jc w:val="both"/>
        <w:rPr>
          <w:rFonts w:cstheme="minorHAnsi"/>
          <w:sz w:val="22"/>
          <w:szCs w:val="22"/>
          <w:lang w:val="en-US"/>
        </w:rPr>
      </w:pPr>
    </w:p>
    <w:p w14:paraId="39A08DEF" w14:textId="40B47186" w:rsidR="003017B7" w:rsidRPr="00F30EF3"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cstheme="minorHAnsi"/>
          <w:b/>
          <w:bCs/>
          <w:rtl/>
        </w:rPr>
      </w:pPr>
      <w:r w:rsidRPr="00F30EF3">
        <w:rPr>
          <w:rFonts w:cstheme="minorHAnsi"/>
          <w:b/>
          <w:bCs/>
          <w:rtl/>
        </w:rPr>
        <w:t xml:space="preserve">الإطار </w:t>
      </w:r>
      <w:r w:rsidR="00E149AF" w:rsidRPr="00F30EF3">
        <w:rPr>
          <w:rFonts w:cstheme="minorHAnsi"/>
          <w:b/>
          <w:bCs/>
        </w:rPr>
        <w:t>.</w:t>
      </w:r>
      <w:r w:rsidR="00836AFE" w:rsidRPr="00F30EF3">
        <w:rPr>
          <w:rFonts w:cstheme="minorHAnsi"/>
          <w:b/>
          <w:bCs/>
        </w:rPr>
        <w:t>50</w:t>
      </w:r>
      <w:r w:rsidRPr="00F30EF3">
        <w:rPr>
          <w:rFonts w:cstheme="minorHAnsi"/>
          <w:b/>
          <w:bCs/>
          <w:rtl/>
        </w:rPr>
        <w:t xml:space="preserve"> دفاتر المختبرات الإلكترونية هي المستقبل</w:t>
      </w:r>
    </w:p>
    <w:p w14:paraId="5F71E0D0" w14:textId="77777777" w:rsidR="003017B7" w:rsidRPr="00F30EF3"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cstheme="minorHAnsi"/>
          <w:b/>
          <w:bCs/>
          <w:lang w:val="en-US"/>
        </w:rPr>
      </w:pPr>
    </w:p>
    <w:p w14:paraId="2ECA8758" w14:textId="77777777" w:rsidR="003017B7" w:rsidRPr="00F30EF3"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cstheme="minorHAnsi"/>
          <w:rtl/>
        </w:rPr>
      </w:pPr>
      <w:r w:rsidRPr="00F30EF3">
        <w:rPr>
          <w:rFonts w:cstheme="minorHAnsi"/>
          <w:rtl/>
        </w:rPr>
        <w:t>تتزايد كمية وأنواع البيانات التي يتم إنتاجها في مختبرات الأبحاث كل عام، ويعدّ تتبع كل هذه البيانات مهمة شاقة حقاً.</w:t>
      </w:r>
    </w:p>
    <w:p w14:paraId="2AB71782" w14:textId="77777777" w:rsidR="003017B7" w:rsidRPr="00F30EF3"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cstheme="minorHAnsi"/>
          <w:lang w:val="en-US"/>
        </w:rPr>
      </w:pPr>
    </w:p>
    <w:p w14:paraId="4D0D9637" w14:textId="77777777" w:rsidR="003017B7" w:rsidRPr="00F30EF3"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cstheme="minorHAnsi"/>
          <w:rtl/>
        </w:rPr>
      </w:pPr>
      <w:r w:rsidRPr="00F30EF3">
        <w:rPr>
          <w:rFonts w:cstheme="minorHAnsi"/>
          <w:rtl/>
        </w:rPr>
        <w:t xml:space="preserve">يمكن تقسيم مزايا دفاتر المختبرات الإلكترونية مقارنة بدفاتر الملاحظات الورقية إلى أربعة جوانب: </w:t>
      </w:r>
    </w:p>
    <w:p w14:paraId="1D489A78" w14:textId="77777777" w:rsidR="003017B7" w:rsidRPr="00F30EF3" w:rsidRDefault="003017B7" w:rsidP="009D4A54">
      <w:pPr>
        <w:pStyle w:val="ListParagraph"/>
        <w:numPr>
          <w:ilvl w:val="1"/>
          <w:numId w:val="15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851" w:hanging="425"/>
        <w:jc w:val="both"/>
        <w:rPr>
          <w:rFonts w:cstheme="minorHAnsi"/>
          <w:rtl/>
        </w:rPr>
      </w:pPr>
      <w:r w:rsidRPr="00F30EF3">
        <w:rPr>
          <w:rFonts w:cstheme="minorHAnsi"/>
          <w:rtl/>
        </w:rPr>
        <w:t xml:space="preserve">الإنتاجية - أتمتة سير العمل وتبادل البيانات بين الأنظمة؛ </w:t>
      </w:r>
    </w:p>
    <w:p w14:paraId="055AA2F2" w14:textId="77777777" w:rsidR="003017B7" w:rsidRPr="00F30EF3" w:rsidRDefault="003017B7" w:rsidP="009D4A54">
      <w:pPr>
        <w:pStyle w:val="ListParagraph"/>
        <w:numPr>
          <w:ilvl w:val="1"/>
          <w:numId w:val="15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851" w:hanging="425"/>
        <w:jc w:val="both"/>
        <w:rPr>
          <w:rFonts w:cstheme="minorHAnsi"/>
          <w:rtl/>
        </w:rPr>
      </w:pPr>
      <w:r w:rsidRPr="00F30EF3">
        <w:rPr>
          <w:rFonts w:cstheme="minorHAnsi"/>
          <w:rtl/>
        </w:rPr>
        <w:t xml:space="preserve">قابلية الاستخدام - المساعدة في التأكد من أن المستخدمين يتخذون القرارات الصحيحة عن طريق الإبلاغ عن النتائج غير المطابقة للمواصفات، على سبيل المثال، </w:t>
      </w:r>
    </w:p>
    <w:p w14:paraId="0129DDFB" w14:textId="77777777" w:rsidR="003017B7" w:rsidRPr="00F30EF3" w:rsidRDefault="003017B7" w:rsidP="009D4A54">
      <w:pPr>
        <w:pStyle w:val="ListParagraph"/>
        <w:numPr>
          <w:ilvl w:val="1"/>
          <w:numId w:val="15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851" w:hanging="425"/>
        <w:jc w:val="both"/>
        <w:rPr>
          <w:rFonts w:cstheme="minorHAnsi"/>
          <w:rtl/>
        </w:rPr>
      </w:pPr>
      <w:r w:rsidRPr="00F30EF3">
        <w:rPr>
          <w:rFonts w:cstheme="minorHAnsi"/>
          <w:rtl/>
        </w:rPr>
        <w:t xml:space="preserve">الامتثال - توفر دفاتر المختبرات الإلكترونية الأدوات لتوليد البيانات والدفاع عنها في الحيز المنظم، </w:t>
      </w:r>
    </w:p>
    <w:p w14:paraId="3E35A546" w14:textId="77777777" w:rsidR="003017B7" w:rsidRPr="00F30EF3" w:rsidRDefault="003A2FE2" w:rsidP="009D4A54">
      <w:pPr>
        <w:pStyle w:val="ListParagraph"/>
        <w:numPr>
          <w:ilvl w:val="1"/>
          <w:numId w:val="15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851" w:hanging="425"/>
        <w:jc w:val="both"/>
        <w:rPr>
          <w:rFonts w:cstheme="minorHAnsi"/>
          <w:rtl/>
        </w:rPr>
      </w:pPr>
      <w:r w:rsidRPr="00F30EF3">
        <w:rPr>
          <w:rFonts w:cstheme="minorHAnsi"/>
          <w:rtl/>
        </w:rPr>
        <w:t>الملكية الفكرية - يمكن لدفاتر المختبرات الإلكترونية تخصيص "نَسَب" لبياناتك، بما في ذلك "من" و"متى"، والذي غالباً ما يكتسي أهمية حاسمة في قضايا الملكية الفكرية.</w:t>
      </w:r>
    </w:p>
    <w:p w14:paraId="2B124606" w14:textId="77777777" w:rsidR="003017B7" w:rsidRPr="00F30EF3"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cstheme="minorHAnsi"/>
          <w:lang w:val="en-US"/>
        </w:rPr>
      </w:pPr>
    </w:p>
    <w:p w14:paraId="77152014" w14:textId="77777777" w:rsidR="003017B7" w:rsidRPr="00F30EF3"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cstheme="minorHAnsi"/>
          <w:rtl/>
        </w:rPr>
      </w:pPr>
      <w:r w:rsidRPr="00F30EF3">
        <w:rPr>
          <w:rFonts w:cstheme="minorHAnsi"/>
          <w:rtl/>
        </w:rPr>
        <w:t>تمثل تكنولوجيا الحاسوب حالياً دافعاً لمعظم ابتكارات دفاتر المختبرات الإلكترونية. غدت تكنولوجيا سلاسل الكتل</w:t>
      </w:r>
      <w:r w:rsidRPr="00F30EF3">
        <w:rPr>
          <w:rStyle w:val="FootnoteReference"/>
          <w:rFonts w:cstheme="minorHAnsi"/>
          <w:rtl/>
          <w:lang w:val="en-US"/>
        </w:rPr>
        <w:footnoteReference w:id="150"/>
      </w:r>
      <w:r w:rsidRPr="00F30EF3">
        <w:rPr>
          <w:rFonts w:cstheme="minorHAnsi"/>
          <w:rtl/>
        </w:rPr>
        <w:t>، التي تسمح بتوزيع المعلومات الرقمية لا نسخها، تسترعي اهتماماً كبيراً في الآونة الأخيرة بسبب قدرتها المحتملة على حلّ مخاوف الملكية الفكرية المرتبطة بمشاركة بيانات البحث قبل النشر.</w:t>
      </w:r>
    </w:p>
    <w:p w14:paraId="007C9F8C" w14:textId="77777777" w:rsidR="00CE1009" w:rsidRPr="00F30EF3" w:rsidRDefault="00CE1009"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cstheme="minorHAnsi"/>
          <w:lang w:val="en-US"/>
        </w:rPr>
      </w:pPr>
    </w:p>
    <w:p w14:paraId="48017023" w14:textId="77777777" w:rsidR="00CE1009" w:rsidRPr="00F30EF3" w:rsidRDefault="00CE1009"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cstheme="minorHAnsi"/>
          <w:b/>
          <w:bCs/>
          <w:i/>
          <w:iCs/>
          <w:rtl/>
        </w:rPr>
      </w:pPr>
      <w:r w:rsidRPr="00F30EF3">
        <w:rPr>
          <w:rFonts w:cstheme="minorHAnsi"/>
          <w:i/>
          <w:iCs/>
          <w:rtl/>
        </w:rPr>
        <w:t>المصدر: تاملي أوليفر</w:t>
      </w:r>
      <w:hyperlink r:id="rId126" w:history="1">
        <w:r w:rsidRPr="00F30EF3">
          <w:rPr>
            <w:rStyle w:val="Hyperlink"/>
            <w:rFonts w:cstheme="minorHAnsi"/>
            <w:i/>
            <w:iCs/>
            <w:rtl/>
          </w:rPr>
          <w:t xml:space="preserve">‏، </w:t>
        </w:r>
        <w:r w:rsidRPr="00F30EF3">
          <w:rPr>
            <w:rStyle w:val="Hyperlink"/>
            <w:rFonts w:cstheme="minorHAnsi"/>
            <w:i/>
            <w:iCs/>
          </w:rPr>
          <w:t>Electronic Lab Notebooks are the Future</w:t>
        </w:r>
      </w:hyperlink>
      <w:r w:rsidRPr="00F30EF3">
        <w:rPr>
          <w:rFonts w:cstheme="minorHAnsi"/>
          <w:i/>
          <w:iCs/>
          <w:rtl/>
        </w:rPr>
        <w:t>‏ (2018)</w:t>
      </w:r>
    </w:p>
    <w:p w14:paraId="7A37C3FB" w14:textId="77777777" w:rsidR="003017B7" w:rsidRPr="00F30EF3" w:rsidRDefault="003017B7" w:rsidP="003017B7">
      <w:pPr>
        <w:spacing w:after="0" w:line="240" w:lineRule="auto"/>
        <w:jc w:val="both"/>
        <w:rPr>
          <w:rFonts w:cstheme="minorHAnsi"/>
          <w:lang w:val="en-US"/>
        </w:rPr>
      </w:pPr>
    </w:p>
    <w:p w14:paraId="4866749C" w14:textId="75698094" w:rsidR="00A909C4" w:rsidRPr="00F30EF3" w:rsidRDefault="00AB143D" w:rsidP="002D0038">
      <w:pPr>
        <w:pStyle w:val="ListParagraph"/>
        <w:numPr>
          <w:ilvl w:val="0"/>
          <w:numId w:val="19"/>
        </w:numPr>
        <w:spacing w:after="120" w:line="240" w:lineRule="auto"/>
        <w:ind w:left="432" w:hanging="432"/>
        <w:contextualSpacing w:val="0"/>
        <w:jc w:val="both"/>
        <w:rPr>
          <w:rFonts w:cstheme="minorHAnsi"/>
          <w:rtl/>
        </w:rPr>
      </w:pPr>
      <w:r w:rsidRPr="00F30EF3">
        <w:rPr>
          <w:rFonts w:cstheme="minorHAnsi"/>
          <w:b/>
          <w:bCs/>
          <w:rtl/>
        </w:rPr>
        <w:t>المادة 2.1.8.</w:t>
      </w:r>
      <w:r w:rsidRPr="00F30EF3">
        <w:rPr>
          <w:rFonts w:cstheme="minorHAnsi"/>
          <w:rtl/>
        </w:rPr>
        <w:t xml:space="preserve">  </w:t>
      </w:r>
      <w:r w:rsidRPr="00F30EF3">
        <w:rPr>
          <w:rFonts w:cstheme="minorHAnsi"/>
          <w:b/>
          <w:bCs/>
          <w:rtl/>
        </w:rPr>
        <w:t>الكشف عن الملكية الفكرية</w:t>
      </w:r>
      <w:r w:rsidRPr="00F30EF3">
        <w:rPr>
          <w:rFonts w:cstheme="minorHAnsi"/>
          <w:b/>
          <w:bCs/>
          <w:i/>
          <w:iCs/>
          <w:rtl/>
        </w:rPr>
        <w:t>، يجب عليه/عليها الكشف</w:t>
      </w:r>
      <w:r w:rsidRPr="00F30EF3">
        <w:rPr>
          <w:rFonts w:cstheme="minorHAnsi"/>
          <w:rtl/>
        </w:rPr>
        <w:t>:  ينبغي للمؤسسة أن تحدد بوضوح أن المبدعين ملزمون بإبلاغ مكتب إدارة الملكية الفكرية عن أي اختراع/إبداع يحتمل أن تنشأ عنه ملكية فكرية، وعادةً ما يكون ذلك في استمارة الكشف عن الملكية الفكرية. إن الكشف عن الملكية الفكرية يعدّ أكثر من مجرد إكمال استمارة لتلبية بعض شروط السياسة. يمثّل الكشف أول تسجيل رسمي للملكية الفكرية، وإذا تم كما ينبغي، فيمكنه تحديد تاريخ ونطاق الاختراع/الإبداع بشكل لا يقبل الجدل.</w:t>
      </w:r>
      <w:r w:rsidR="009A7567" w:rsidRPr="00F30EF3">
        <w:rPr>
          <w:rStyle w:val="FootnoteReference"/>
          <w:rFonts w:cstheme="minorHAnsi"/>
          <w:rtl/>
          <w:lang w:val="en-US"/>
        </w:rPr>
        <w:footnoteReference w:id="151"/>
      </w:r>
    </w:p>
    <w:p w14:paraId="61E90304" w14:textId="7359FA4E" w:rsidR="00AB143D" w:rsidRPr="00F30EF3" w:rsidRDefault="00FD7338" w:rsidP="00AB143D">
      <w:pPr>
        <w:tabs>
          <w:tab w:val="left" w:pos="709"/>
        </w:tabs>
        <w:spacing w:after="0" w:line="240" w:lineRule="auto"/>
        <w:ind w:left="426"/>
        <w:jc w:val="both"/>
        <w:rPr>
          <w:rFonts w:cstheme="minorHAnsi"/>
          <w:rtl/>
        </w:rPr>
      </w:pPr>
      <w:r w:rsidRPr="00F30EF3">
        <w:rPr>
          <w:rFonts w:cstheme="minorHAnsi"/>
          <w:rtl/>
        </w:rPr>
        <w:t xml:space="preserve">لا تفترض أن المبدعين يعرفون موعد ومكان وطريقة وسبب الكشف عن الملكية الفكرية على النحو الملائم. وينبغي لمكتب إدارة الملكية الفكرية أن يثقف جميع الباحثين بشأن أهمية حالات الكشف عن الملكية الفكرية على نحو شامل وفي الوقت المناسب. ويجب أن تكون استمارة الكشف عن الملكية الفكرية متاحة بسهولة للمبدعين، فتكون متوفرة على سبيل المثال على موقع الويب للمؤسسة أو على شبكتها الداخلية. وعلى نحو مماثل، ينبغي أن تكون العملية التي يتعين اتباعها لإجراء الكشف بسيطة وواضحة. وتكون الإجراءات التشغيلية القياسية مفيدة في هذا السياق، إلى جانب الأطر الزمنية المحددة حتى يفهم الباحث المدة التي ستستغرقها العملية والخطوات التي ستُتبع.  </w:t>
      </w:r>
    </w:p>
    <w:p w14:paraId="43259DEC" w14:textId="77777777" w:rsidR="00FD7338" w:rsidRPr="00F30EF3" w:rsidRDefault="00FD7338" w:rsidP="00AB143D">
      <w:pPr>
        <w:spacing w:after="0" w:line="240" w:lineRule="auto"/>
        <w:ind w:left="426"/>
        <w:jc w:val="both"/>
        <w:rPr>
          <w:rFonts w:cstheme="minorHAnsi"/>
          <w:lang w:val="en-US"/>
        </w:rPr>
      </w:pPr>
    </w:p>
    <w:p w14:paraId="15284F0A" w14:textId="5DE472CD" w:rsidR="006567C2" w:rsidRPr="00F30EF3" w:rsidRDefault="00AB143D" w:rsidP="009D4A54">
      <w:pPr>
        <w:pStyle w:val="ListParagraph"/>
        <w:numPr>
          <w:ilvl w:val="0"/>
          <w:numId w:val="19"/>
        </w:numPr>
        <w:spacing w:after="0" w:line="240" w:lineRule="auto"/>
        <w:ind w:left="426" w:hanging="426"/>
        <w:jc w:val="both"/>
        <w:rPr>
          <w:rFonts w:cstheme="minorHAnsi"/>
          <w:rtl/>
        </w:rPr>
      </w:pPr>
      <w:r w:rsidRPr="00F30EF3">
        <w:rPr>
          <w:rFonts w:cstheme="minorHAnsi"/>
          <w:b/>
          <w:bCs/>
          <w:rtl/>
        </w:rPr>
        <w:t>المادة 2.1.8.</w:t>
      </w:r>
      <w:r w:rsidRPr="00F30EF3">
        <w:rPr>
          <w:rFonts w:cstheme="minorHAnsi"/>
          <w:rtl/>
        </w:rPr>
        <w:t xml:space="preserve">  </w:t>
      </w:r>
      <w:r w:rsidRPr="00F30EF3">
        <w:rPr>
          <w:rFonts w:cstheme="minorHAnsi"/>
          <w:b/>
          <w:bCs/>
          <w:rtl/>
        </w:rPr>
        <w:t>الكشف عن الملكية الفكرية</w:t>
      </w:r>
      <w:r w:rsidRPr="00F30EF3">
        <w:rPr>
          <w:rFonts w:cstheme="minorHAnsi"/>
          <w:b/>
          <w:bCs/>
          <w:i/>
          <w:iCs/>
          <w:rtl/>
        </w:rPr>
        <w:t>، عندما يحدد المبدع الملكية الفكرية المحتملة</w:t>
      </w:r>
      <w:r w:rsidRPr="00F30EF3">
        <w:rPr>
          <w:rFonts w:cstheme="minorHAnsi"/>
          <w:rtl/>
        </w:rPr>
        <w:t xml:space="preserve">: بما أن المبدعين لن يعرفوا على الأرجح إذا ما كان الاختراع/الإبداع ينطوي على ملكية فكرية محتملة؛ فإنه يجب عليهم التواصل مع مكتب إدارة الملكية </w:t>
      </w:r>
      <w:r w:rsidRPr="00F30EF3">
        <w:rPr>
          <w:rFonts w:cstheme="minorHAnsi"/>
          <w:rtl/>
        </w:rPr>
        <w:lastRenderedPageBreak/>
        <w:t>الفكرية ومناقشة الأمر في أبكر مرحلة ممكنة.  ويمثّل ذلك غالباً الدور الحاسم الذي يؤديه "كشّافو الملكية الفكرية" الذين يشاركون بفاعلية في المختبرات لديهم فهم عالٍ لما قد يُشكِّل اختراعاً.</w:t>
      </w:r>
    </w:p>
    <w:p w14:paraId="466CE01D" w14:textId="77777777" w:rsidR="009A7567" w:rsidRPr="00F30EF3" w:rsidRDefault="009A7567" w:rsidP="009A7567">
      <w:pPr>
        <w:spacing w:after="0" w:line="240" w:lineRule="auto"/>
        <w:jc w:val="both"/>
        <w:rPr>
          <w:rFonts w:cstheme="minorHAnsi"/>
          <w:lang w:val="en-US"/>
        </w:rPr>
      </w:pPr>
    </w:p>
    <w:p w14:paraId="59DE9C30" w14:textId="77777777" w:rsidR="006567C2" w:rsidRPr="00F30EF3" w:rsidRDefault="00AB143D" w:rsidP="009D4A54">
      <w:pPr>
        <w:pStyle w:val="ListParagraph"/>
        <w:numPr>
          <w:ilvl w:val="0"/>
          <w:numId w:val="19"/>
        </w:numPr>
        <w:spacing w:after="0" w:line="240" w:lineRule="auto"/>
        <w:ind w:left="426" w:hanging="426"/>
        <w:jc w:val="both"/>
        <w:rPr>
          <w:rFonts w:cstheme="minorHAnsi"/>
          <w:rtl/>
        </w:rPr>
      </w:pPr>
      <w:r w:rsidRPr="00F30EF3">
        <w:rPr>
          <w:rFonts w:cstheme="minorHAnsi"/>
          <w:b/>
          <w:bCs/>
          <w:rtl/>
        </w:rPr>
        <w:t>المادة 2.1.8.</w:t>
      </w:r>
      <w:r w:rsidRPr="00F30EF3">
        <w:rPr>
          <w:rFonts w:cstheme="minorHAnsi"/>
          <w:rtl/>
        </w:rPr>
        <w:t xml:space="preserve">  </w:t>
      </w:r>
      <w:r w:rsidRPr="00F30EF3">
        <w:rPr>
          <w:rFonts w:cstheme="minorHAnsi"/>
          <w:b/>
          <w:bCs/>
          <w:rtl/>
        </w:rPr>
        <w:t>الكشف عن الملكية الفكرية</w:t>
      </w:r>
      <w:r w:rsidRPr="00F30EF3">
        <w:rPr>
          <w:rFonts w:cstheme="minorHAnsi"/>
          <w:b/>
          <w:bCs/>
          <w:i/>
          <w:iCs/>
          <w:rtl/>
        </w:rPr>
        <w:t>، الناتجة عن بحثه/ بحثها [أو فريقه/ فريقها]</w:t>
      </w:r>
      <w:r w:rsidRPr="00F30EF3">
        <w:rPr>
          <w:rFonts w:cstheme="minorHAnsi"/>
          <w:rtl/>
        </w:rPr>
        <w:t>:  ترى بعض المؤسسات أن من واجب المشرف إبلاغ مكتب إدارة الملكية الفكرية عن الملكية الفكرية المحتملة الخاصة بمن يشرف عليهم.  وتلتزم المؤسسات الأخرى التزاماً صارماً بمسؤولية الفرد الكاملة في الإبلاغ عن أي ملكية فكرية محتملة.  ويرى البعض أن الإبلاغ عن الملكية الفكرية للآخرين له طابع "استبدادي" لا يلقى قبولاً في المؤسسة.  وبطريقة مماثلة، لا تتوقع غالبية المؤسسات من مشرف الطلاب الإبلاغ عن الملكية الفكرية للطالب.</w:t>
      </w:r>
      <w:r w:rsidRPr="00F30EF3">
        <w:rPr>
          <w:rStyle w:val="FootnoteReference"/>
          <w:rFonts w:cstheme="minorHAnsi"/>
          <w:rtl/>
          <w:lang w:val="en-US"/>
        </w:rPr>
        <w:footnoteReference w:id="152"/>
      </w:r>
      <w:r w:rsidRPr="00F30EF3">
        <w:rPr>
          <w:rFonts w:cstheme="minorHAnsi"/>
          <w:rtl/>
        </w:rPr>
        <w:t xml:space="preserve">  </w:t>
      </w:r>
    </w:p>
    <w:p w14:paraId="4C1ACD9B" w14:textId="137D03A1" w:rsidR="006567C2" w:rsidRPr="00F30EF3" w:rsidRDefault="00BE0BCD" w:rsidP="00BE0BCD">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rPr>
          <w:rFonts w:cstheme="minorHAnsi"/>
          <w:rtl/>
        </w:rPr>
      </w:pPr>
      <w:r w:rsidRPr="00F30EF3">
        <w:rPr>
          <w:rFonts w:cstheme="minorHAnsi"/>
          <w:b/>
          <w:bCs/>
          <w:shd w:val="clear" w:color="auto" w:fill="FDE9D9" w:themeFill="accent6" w:themeFillTint="33"/>
          <w:rtl/>
        </w:rPr>
        <w:lastRenderedPageBreak/>
        <w:t xml:space="preserve">الإطار </w:t>
      </w:r>
      <w:r w:rsidR="00755B71" w:rsidRPr="00F30EF3">
        <w:rPr>
          <w:rFonts w:cstheme="minorHAnsi"/>
          <w:b/>
          <w:bCs/>
          <w:shd w:val="clear" w:color="auto" w:fill="FDE9D9" w:themeFill="accent6" w:themeFillTint="33"/>
          <w:lang w:val="en-US"/>
        </w:rPr>
        <w:t>.34</w:t>
      </w:r>
      <w:r w:rsidRPr="00F30EF3">
        <w:rPr>
          <w:rFonts w:cstheme="minorHAnsi"/>
          <w:b/>
          <w:bCs/>
          <w:shd w:val="clear" w:color="auto" w:fill="FDE9D9" w:themeFill="accent6" w:themeFillTint="33"/>
          <w:rtl/>
        </w:rPr>
        <w:t xml:space="preserve">  مثال على استمارة الكشف عن ملكية فكرية - جامعة ويسترن كيب، جنوب إفريقيا</w:t>
      </w:r>
      <w:r w:rsidRPr="00F30EF3">
        <w:rPr>
          <w:rFonts w:cstheme="minorHAnsi"/>
          <w:noProof/>
          <w:rtl/>
        </w:rPr>
        <w:drawing>
          <wp:inline distT="0" distB="0" distL="0" distR="0" wp14:anchorId="4E1CA9BA" wp14:editId="3CA8242E">
            <wp:extent cx="5457825" cy="7637085"/>
            <wp:effectExtent l="19050" t="19050" r="9525"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457825" cy="7637085"/>
                    </a:xfrm>
                    <a:prstGeom prst="rect">
                      <a:avLst/>
                    </a:prstGeom>
                    <a:ln>
                      <a:solidFill>
                        <a:schemeClr val="tx1"/>
                      </a:solidFill>
                    </a:ln>
                  </pic:spPr>
                </pic:pic>
              </a:graphicData>
            </a:graphic>
          </wp:inline>
        </w:drawing>
      </w:r>
    </w:p>
    <w:p w14:paraId="3B4E89ED" w14:textId="77777777" w:rsidR="006567C2" w:rsidRPr="00F30EF3" w:rsidRDefault="006567C2" w:rsidP="006567C2">
      <w:pPr>
        <w:spacing w:after="0" w:line="240" w:lineRule="auto"/>
        <w:ind w:left="66"/>
        <w:jc w:val="both"/>
        <w:rPr>
          <w:rFonts w:cstheme="minorHAnsi"/>
          <w:lang w:val="en-US"/>
        </w:rPr>
      </w:pPr>
    </w:p>
    <w:p w14:paraId="4F0E2209" w14:textId="77777777" w:rsidR="009A7567" w:rsidRPr="00F30EF3" w:rsidRDefault="00835251" w:rsidP="00E03B65">
      <w:pPr>
        <w:pStyle w:val="ListParagraph"/>
        <w:numPr>
          <w:ilvl w:val="0"/>
          <w:numId w:val="19"/>
        </w:numPr>
        <w:tabs>
          <w:tab w:val="left" w:pos="426"/>
        </w:tabs>
        <w:spacing w:after="120" w:line="240" w:lineRule="auto"/>
        <w:ind w:left="432" w:hanging="426"/>
        <w:contextualSpacing w:val="0"/>
        <w:jc w:val="both"/>
        <w:rPr>
          <w:rFonts w:cstheme="minorHAnsi"/>
          <w:rtl/>
        </w:rPr>
      </w:pPr>
      <w:r w:rsidRPr="00F30EF3">
        <w:rPr>
          <w:rFonts w:cstheme="minorHAnsi"/>
          <w:b/>
          <w:bCs/>
          <w:i/>
          <w:iCs/>
          <w:rtl/>
        </w:rPr>
        <w:t>المادة 3.1.8، الكشف الكامل:</w:t>
      </w:r>
      <w:r w:rsidRPr="00F30EF3">
        <w:rPr>
          <w:rFonts w:cstheme="minorHAnsi"/>
          <w:rtl/>
        </w:rPr>
        <w:t xml:space="preserve"> عند تلقي الكشف عن الملكية الفكرية، يجب على مكتب إدارة الملكية الفكرية إجراء مراجعة لمصادر التمويل وأبوة الإبداع ومواد الطرف الخارجي الملموسة المستخدمة والمنشورات المخطط لها وأي مسألة أخرى قد تؤثر على حقوق أو استخدام أي ملكية فكرية محتملة ناتجة عن الكشف عن الملكية الفكرية. سيقرّر مكتب إدارة الملكية الفكرية أيضاً إذا ما كان الكشف عن الملكية الفكرية يكفي فيما يتعلق بجميع متطلبات المعلومات وسيخطر جهات الكشف </w:t>
      </w:r>
      <w:r w:rsidRPr="00F30EF3">
        <w:rPr>
          <w:rFonts w:cstheme="minorHAnsi"/>
          <w:rtl/>
        </w:rPr>
        <w:lastRenderedPageBreak/>
        <w:t>عن أي نقص في المعلومات ذات الصلة. ويجب أن يسجل مكتب إدارة الملكية الفكرية جميع حالات الكشف عن الملكية الفكرية في سجل سري لحالات الكشف عن الملكية الفكرية.</w:t>
      </w:r>
    </w:p>
    <w:p w14:paraId="6D7C349F" w14:textId="7DFC62A4" w:rsidR="009A7567" w:rsidRPr="00F30EF3" w:rsidRDefault="00793C0C" w:rsidP="00E03B65">
      <w:pPr>
        <w:tabs>
          <w:tab w:val="left" w:pos="709"/>
        </w:tabs>
        <w:spacing w:after="120" w:line="240" w:lineRule="auto"/>
        <w:ind w:left="432"/>
        <w:jc w:val="both"/>
        <w:rPr>
          <w:rFonts w:cstheme="minorHAnsi"/>
          <w:rtl/>
        </w:rPr>
      </w:pPr>
      <w:r w:rsidRPr="00F30EF3">
        <w:rPr>
          <w:rFonts w:cstheme="minorHAnsi"/>
          <w:rtl/>
        </w:rPr>
        <w:t xml:space="preserve">يُعد الكشف عن الاختراع/الإبداع بمجرد أن </w:t>
      </w:r>
      <w:r w:rsidRPr="00F30EF3">
        <w:rPr>
          <w:rFonts w:cstheme="minorHAnsi"/>
          <w:i/>
          <w:iCs/>
          <w:rtl/>
        </w:rPr>
        <w:t>يغدو</w:t>
      </w:r>
      <w:r w:rsidRPr="00F30EF3">
        <w:rPr>
          <w:rFonts w:cstheme="minorHAnsi"/>
          <w:rtl/>
        </w:rPr>
        <w:t xml:space="preserve"> اختراعاً/إبداعاً من الممارسات الجيدة. إلا أنه في الواقع الفعلي، غالباً ما تحدث حالات الكشف على الفور قبل المؤتمر/النشر، ما يتطلب تحليلاً سطحياً وإيداعاً سريعاً لطلب براءة مؤقت. وبدلاً من ذلك، يمكن إجراء الكشف في مرحلة مبكرة جداً من البحث حيث يتطلب الأمر المزيد من العمل قبل أن يتسنى تقييم إذا ما كان البحث قد يتوصل إلى منتج أو عملية أو خدمة مجدية تجارياً. وكلما تمتع الفريق بخبرة أكبر في مكتب إدارة الملكية الفكرية، زادت سهولة اتخاذ القرارات. ومع ذلك، فإن هذه الخبرة تُكتسَب فقط مرور الوقت ومن خلال الخبرة في العمل.  </w:t>
      </w:r>
    </w:p>
    <w:p w14:paraId="61662C27" w14:textId="77777777" w:rsidR="006567C2" w:rsidRPr="00F30EF3" w:rsidRDefault="006567C2" w:rsidP="009D4A54">
      <w:pPr>
        <w:pStyle w:val="ListParagraph"/>
        <w:numPr>
          <w:ilvl w:val="0"/>
          <w:numId w:val="19"/>
        </w:numPr>
        <w:spacing w:line="240" w:lineRule="auto"/>
        <w:ind w:left="426" w:hanging="426"/>
        <w:jc w:val="both"/>
        <w:rPr>
          <w:rFonts w:cstheme="minorHAnsi"/>
          <w:rtl/>
        </w:rPr>
      </w:pPr>
      <w:r w:rsidRPr="00F30EF3">
        <w:rPr>
          <w:rFonts w:cstheme="minorHAnsi"/>
          <w:b/>
          <w:bCs/>
          <w:rtl/>
        </w:rPr>
        <w:t>المادة 4.1.8 - البند الاختياري للملكية الفكرية المرتبطة بالموارد الوراثية و/أو المعارف التقليدية</w:t>
      </w:r>
      <w:r w:rsidRPr="00F30EF3">
        <w:rPr>
          <w:rFonts w:cstheme="minorHAnsi"/>
          <w:rtl/>
        </w:rPr>
        <w:t xml:space="preserve">، </w:t>
      </w:r>
      <w:r w:rsidRPr="00F30EF3">
        <w:rPr>
          <w:rFonts w:cstheme="minorHAnsi"/>
          <w:b/>
          <w:bCs/>
          <w:i/>
          <w:iCs/>
          <w:rtl/>
        </w:rPr>
        <w:t>[يجب/يمكن]</w:t>
      </w:r>
      <w:r w:rsidRPr="00F30EF3">
        <w:rPr>
          <w:rFonts w:cstheme="minorHAnsi"/>
          <w:rtl/>
        </w:rPr>
        <w:t xml:space="preserve"> </w:t>
      </w:r>
      <w:r w:rsidRPr="00F30EF3">
        <w:rPr>
          <w:rFonts w:cstheme="minorHAnsi"/>
          <w:b/>
          <w:bCs/>
          <w:i/>
          <w:iCs/>
          <w:rtl/>
        </w:rPr>
        <w:t>أن يطلب من المبدعين الكشف</w:t>
      </w:r>
      <w:r w:rsidRPr="00F30EF3">
        <w:rPr>
          <w:rFonts w:cstheme="minorHAnsi"/>
          <w:rtl/>
        </w:rPr>
        <w:t xml:space="preserve">: اتّبعت البلدان نُهجاً مختلفاً فيما يتعلق بمتطلبات الكشف، لا سيما للموارد الوراثية والمعارف التقليدية، وسيتعين على المؤسسة اتباع القواعد الوطنية ذات الصلة. نسلط الضوء أدناه على ثلاثة نُهج رئيسية. </w:t>
      </w:r>
    </w:p>
    <w:p w14:paraId="27B8B414" w14:textId="77777777" w:rsidR="006567C2" w:rsidRPr="00F30EF3" w:rsidRDefault="006567C2" w:rsidP="009D4A54">
      <w:pPr>
        <w:pStyle w:val="ListParagraph"/>
        <w:numPr>
          <w:ilvl w:val="0"/>
          <w:numId w:val="64"/>
        </w:numPr>
        <w:spacing w:line="240" w:lineRule="auto"/>
        <w:ind w:hanging="294"/>
        <w:jc w:val="both"/>
        <w:rPr>
          <w:rFonts w:cstheme="minorHAnsi"/>
          <w:rtl/>
        </w:rPr>
      </w:pPr>
      <w:r w:rsidRPr="00F30EF3">
        <w:rPr>
          <w:rFonts w:cstheme="minorHAnsi"/>
          <w:rtl/>
        </w:rPr>
        <w:t>في القانون الوطني لبعض البلدان، تم تنفيذ متطلبات الكشف الإلزامي، ومن ثمَّ، فإن صيغة "</w:t>
      </w:r>
      <w:r w:rsidRPr="00F30EF3">
        <w:rPr>
          <w:rFonts w:cstheme="minorHAnsi"/>
          <w:b/>
          <w:bCs/>
          <w:rtl/>
        </w:rPr>
        <w:t xml:space="preserve">يجب </w:t>
      </w:r>
      <w:r w:rsidRPr="00F30EF3">
        <w:rPr>
          <w:rFonts w:cstheme="minorHAnsi"/>
          <w:rtl/>
        </w:rPr>
        <w:t>أن يطلب مكتب إدارة الملكية الفكرية</w:t>
      </w:r>
      <w:r w:rsidRPr="00F30EF3">
        <w:rPr>
          <w:rFonts w:cstheme="minorHAnsi"/>
          <w:b/>
          <w:bCs/>
          <w:rtl/>
        </w:rPr>
        <w:t xml:space="preserve"> </w:t>
      </w:r>
      <w:r w:rsidRPr="00F30EF3">
        <w:rPr>
          <w:rFonts w:cstheme="minorHAnsi"/>
          <w:rtl/>
        </w:rPr>
        <w:t>..." ستكون ملائمة.  وقد يتطلب ذلك إكمال استمارة تُظهر إذا ما كان الاختراع قد تم إنشاؤه باستخدام معارف تقليدية و/أو موارد وراثية، لاستيفاء المتطلبات الرسمية لإيداع طلب البراءة [</w:t>
      </w:r>
      <w:hyperlink w:anchor="Box51" w:history="1">
        <w:r w:rsidRPr="00F30EF3">
          <w:rPr>
            <w:rStyle w:val="Hyperlink"/>
            <w:rFonts w:cstheme="minorHAnsi"/>
            <w:rtl/>
          </w:rPr>
          <w:t>الإطار 52</w:t>
        </w:r>
      </w:hyperlink>
      <w:r w:rsidRPr="00F30EF3">
        <w:rPr>
          <w:rFonts w:cstheme="minorHAnsi"/>
          <w:rtl/>
        </w:rPr>
        <w:t xml:space="preserve"> - الاستمارة </w:t>
      </w:r>
      <w:r w:rsidRPr="00F30EF3">
        <w:rPr>
          <w:rFonts w:cstheme="minorHAnsi"/>
        </w:rPr>
        <w:t>P26</w:t>
      </w:r>
      <w:r w:rsidRPr="00F30EF3">
        <w:rPr>
          <w:rFonts w:cstheme="minorHAnsi"/>
          <w:rtl/>
        </w:rPr>
        <w:t>].  وبدلاً من ذلك، يمكن وضع حكم ينص على استخدام الموارد الوراثية و/أو المعارف التقليدية باعتبارها معياراً لأهلية الحماية بموجب براءة له آثاراً محتملة على صحة البراءة.</w:t>
      </w:r>
    </w:p>
    <w:p w14:paraId="73E129EC" w14:textId="77777777" w:rsidR="006567C2" w:rsidRPr="00F30EF3" w:rsidRDefault="006567C2" w:rsidP="009D4A54">
      <w:pPr>
        <w:pStyle w:val="ListParagraph"/>
        <w:numPr>
          <w:ilvl w:val="0"/>
          <w:numId w:val="64"/>
        </w:numPr>
        <w:spacing w:line="240" w:lineRule="auto"/>
        <w:ind w:hanging="294"/>
        <w:jc w:val="both"/>
        <w:rPr>
          <w:rFonts w:cstheme="minorHAnsi"/>
          <w:rtl/>
        </w:rPr>
      </w:pPr>
      <w:r w:rsidRPr="00F30EF3">
        <w:rPr>
          <w:rFonts w:cstheme="minorHAnsi"/>
          <w:rtl/>
        </w:rPr>
        <w:t>وقد اختارت بعض البلدان الأخرى تضمين متطلبات الكشف الطوعي في قانونها الوطني، وبالتالي فإن صيغة "</w:t>
      </w:r>
      <w:r w:rsidRPr="00F30EF3">
        <w:rPr>
          <w:rFonts w:cstheme="minorHAnsi"/>
          <w:b/>
          <w:bCs/>
          <w:rtl/>
        </w:rPr>
        <w:t>قد</w:t>
      </w:r>
      <w:r w:rsidRPr="00F30EF3">
        <w:rPr>
          <w:rFonts w:cstheme="minorHAnsi"/>
          <w:rtl/>
        </w:rPr>
        <w:t xml:space="preserve"> يطلب مكتب إدارة الملكية الفكرية ..." ستكون مستحسنة.  وسيتجلى ذلك عبر إدخال الكشف الطوعي كجزء من إجراءات البراءة من دون أي عواقب على معالجة البراءة وصلاحيتها</w:t>
      </w:r>
    </w:p>
    <w:p w14:paraId="20122797" w14:textId="77777777" w:rsidR="006567C2" w:rsidRPr="00F30EF3" w:rsidRDefault="006567C2" w:rsidP="009D4A54">
      <w:pPr>
        <w:pStyle w:val="ListParagraph"/>
        <w:numPr>
          <w:ilvl w:val="0"/>
          <w:numId w:val="64"/>
        </w:numPr>
        <w:spacing w:line="240" w:lineRule="auto"/>
        <w:ind w:hanging="294"/>
        <w:jc w:val="both"/>
        <w:rPr>
          <w:rFonts w:cstheme="minorHAnsi"/>
          <w:rtl/>
        </w:rPr>
      </w:pPr>
      <w:r w:rsidRPr="00F30EF3">
        <w:rPr>
          <w:rFonts w:cstheme="minorHAnsi"/>
          <w:rtl/>
        </w:rPr>
        <w:t>ولا تطلب بلدان أخري أي نوع من الكشف، لا سيما للموارد الوراثية والمعارف التقليدية، في قانونها الوطني، وعليه، فإن هذا البند الاختياري لن يكون مستحسناً.</w:t>
      </w:r>
      <w:r w:rsidRPr="00F30EF3">
        <w:rPr>
          <w:rStyle w:val="FootnoteReference"/>
          <w:rFonts w:cstheme="minorHAnsi"/>
          <w:rtl/>
          <w:lang w:val="en-US"/>
        </w:rPr>
        <w:footnoteReference w:id="153"/>
      </w:r>
      <w:r w:rsidRPr="00F30EF3">
        <w:rPr>
          <w:rFonts w:cstheme="minorHAnsi"/>
          <w:rtl/>
        </w:rPr>
        <w:t xml:space="preserve"> </w:t>
      </w:r>
    </w:p>
    <w:p w14:paraId="73859236" w14:textId="77777777" w:rsidR="00E43208" w:rsidRPr="00F30EF3" w:rsidRDefault="00E43208" w:rsidP="00E43208">
      <w:pPr>
        <w:tabs>
          <w:tab w:val="left" w:pos="709"/>
        </w:tabs>
        <w:spacing w:after="0" w:line="240" w:lineRule="auto"/>
        <w:jc w:val="both"/>
        <w:rPr>
          <w:rFonts w:cstheme="minorHAnsi"/>
          <w:lang w:val="en-US"/>
        </w:rPr>
      </w:pPr>
    </w:p>
    <w:p w14:paraId="664710F5" w14:textId="2FB5629C" w:rsidR="00835251" w:rsidRPr="00F30EF3"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cstheme="minorHAnsi"/>
          <w:b/>
          <w:bCs/>
          <w:rtl/>
        </w:rPr>
      </w:pPr>
      <w:bookmarkStart w:id="237" w:name="Box51"/>
      <w:r w:rsidRPr="00F30EF3">
        <w:rPr>
          <w:rFonts w:cstheme="minorHAnsi"/>
          <w:b/>
          <w:bCs/>
          <w:rtl/>
        </w:rPr>
        <w:t xml:space="preserve">الإطار </w:t>
      </w:r>
      <w:r w:rsidR="00E03B65" w:rsidRPr="00F30EF3">
        <w:rPr>
          <w:rFonts w:cstheme="minorHAnsi"/>
          <w:b/>
          <w:bCs/>
        </w:rPr>
        <w:t>.</w:t>
      </w:r>
      <w:r w:rsidR="00836AFE" w:rsidRPr="00F30EF3">
        <w:rPr>
          <w:rFonts w:cstheme="minorHAnsi"/>
          <w:b/>
          <w:bCs/>
        </w:rPr>
        <w:t>52</w:t>
      </w:r>
      <w:r w:rsidRPr="00F30EF3">
        <w:rPr>
          <w:rFonts w:cstheme="minorHAnsi"/>
          <w:b/>
          <w:bCs/>
          <w:rtl/>
        </w:rPr>
        <w:t xml:space="preserve">   </w:t>
      </w:r>
      <w:bookmarkEnd w:id="237"/>
      <w:r w:rsidRPr="00F30EF3">
        <w:rPr>
          <w:rFonts w:cstheme="minorHAnsi"/>
          <w:b/>
          <w:bCs/>
          <w:rtl/>
        </w:rPr>
        <w:t>شروط الكشف الطوعية والإلزامية</w:t>
      </w:r>
    </w:p>
    <w:p w14:paraId="4F628435" w14:textId="77777777" w:rsidR="00835251" w:rsidRPr="00F30EF3"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cstheme="minorHAnsi"/>
          <w:lang w:val="en-US"/>
        </w:rPr>
      </w:pPr>
    </w:p>
    <w:p w14:paraId="1176D31A" w14:textId="77777777" w:rsidR="00835251" w:rsidRPr="00F30EF3"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cstheme="minorHAnsi"/>
          <w:rtl/>
        </w:rPr>
      </w:pPr>
      <w:r w:rsidRPr="00F30EF3">
        <w:rPr>
          <w:rFonts w:cstheme="minorHAnsi"/>
          <w:rtl/>
        </w:rPr>
        <w:t>على سبيل المثال، وضعت ألمانيا شرطاً طوعياً في المادة 34(أ) من قانون البراءات</w:t>
      </w:r>
      <w:r w:rsidRPr="00F30EF3">
        <w:rPr>
          <w:rStyle w:val="FootnoteReference"/>
          <w:rFonts w:cstheme="minorHAnsi"/>
          <w:rtl/>
          <w:lang w:val="en-US"/>
        </w:rPr>
        <w:footnoteReference w:id="154"/>
      </w:r>
      <w:r w:rsidRPr="00F30EF3">
        <w:rPr>
          <w:rFonts w:cstheme="minorHAnsi"/>
          <w:rtl/>
        </w:rPr>
        <w:t>ينص على: "</w:t>
      </w:r>
      <w:r w:rsidRPr="00F30EF3">
        <w:rPr>
          <w:rFonts w:cstheme="minorHAnsi"/>
          <w:i/>
          <w:iCs/>
          <w:rtl/>
        </w:rPr>
        <w:t>في حال كان اختراع يستند إلى مادة بيولوجية نباتية أو حيوانية الأصل أو يستخدم مادة من ذلك النوع، ينبغي أن يتضمن الطلب معلومات عن المنشأ الجغرافي لتلك المادة إذا كان معروفاً. ولا يخل ذلك بفحص الطلبات أو صلاحية الحقوق الناشئة عن البراءات الممنوحة.</w:t>
      </w:r>
      <w:r w:rsidRPr="00F30EF3">
        <w:rPr>
          <w:rFonts w:cstheme="minorHAnsi"/>
          <w:rtl/>
        </w:rPr>
        <w:t xml:space="preserve">"  </w:t>
      </w:r>
    </w:p>
    <w:p w14:paraId="168D4ADD" w14:textId="77777777" w:rsidR="00835251" w:rsidRPr="00F30EF3"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cstheme="minorHAnsi"/>
          <w:lang w:val="en-US"/>
        </w:rPr>
      </w:pPr>
    </w:p>
    <w:p w14:paraId="457DBF86" w14:textId="77777777" w:rsidR="00835251" w:rsidRPr="00F30EF3"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cstheme="minorHAnsi"/>
          <w:rtl/>
        </w:rPr>
      </w:pPr>
      <w:r w:rsidRPr="00F30EF3">
        <w:rPr>
          <w:rFonts w:cstheme="minorHAnsi"/>
          <w:rtl/>
        </w:rPr>
        <w:t>ومن جهة أخرى، نفَّذت سويسرا شرطاً إلزامياً في المادة 49(أ) من قانون البراءات</w:t>
      </w:r>
      <w:r w:rsidRPr="00F30EF3">
        <w:rPr>
          <w:rStyle w:val="FootnoteReference"/>
          <w:rFonts w:cstheme="minorHAnsi"/>
          <w:rtl/>
          <w:lang w:val="en-US"/>
        </w:rPr>
        <w:footnoteReference w:id="155"/>
      </w:r>
      <w:r w:rsidRPr="00F30EF3">
        <w:rPr>
          <w:rFonts w:cstheme="minorHAnsi"/>
          <w:rtl/>
        </w:rPr>
        <w:t xml:space="preserve"> ينص على: "</w:t>
      </w:r>
      <w:r w:rsidRPr="00F30EF3">
        <w:rPr>
          <w:rFonts w:cstheme="minorHAnsi"/>
          <w:i/>
          <w:iCs/>
          <w:rtl/>
        </w:rPr>
        <w:t>يجب أن يتضمن طلب البراءة معلومات عن مصدر: أ) المورد الوراثي الذي نفذ إليه المخترع أو المودع، شرط أن يكون الاختراع مستنداً بشكل مباشر إلى ذلك المورد؛ (ب) ومعارف الجماعات الأصلية أو المحلية التقليدية المرتبطة بالموارد الوراثية التي نفذ إليها المخترع أو المودع، شرط أن يكون الاختراع مستنداً بشكل مباشر إلى تلك المعارف</w:t>
      </w:r>
      <w:r w:rsidRPr="00F30EF3">
        <w:rPr>
          <w:rFonts w:cstheme="minorHAnsi"/>
          <w:rtl/>
        </w:rPr>
        <w:t>"</w:t>
      </w:r>
      <w:r w:rsidRPr="00F30EF3">
        <w:rPr>
          <w:rStyle w:val="FootnoteReference"/>
          <w:rFonts w:cstheme="minorHAnsi"/>
          <w:rtl/>
          <w:lang w:val="en-US"/>
        </w:rPr>
        <w:footnoteReference w:id="156"/>
      </w:r>
      <w:r w:rsidRPr="00F30EF3">
        <w:rPr>
          <w:rFonts w:cstheme="minorHAnsi"/>
          <w:rtl/>
        </w:rPr>
        <w:t xml:space="preserve"> </w:t>
      </w:r>
    </w:p>
    <w:p w14:paraId="04295D36" w14:textId="77777777" w:rsidR="00E43208" w:rsidRPr="00F30EF3" w:rsidRDefault="00E43208" w:rsidP="00E43208">
      <w:pPr>
        <w:pStyle w:val="ListParagraph"/>
        <w:spacing w:line="240" w:lineRule="auto"/>
        <w:ind w:left="425"/>
        <w:jc w:val="both"/>
        <w:rPr>
          <w:rFonts w:cstheme="minorHAnsi"/>
          <w:b/>
          <w:bCs/>
          <w:lang w:val="en-US"/>
        </w:rPr>
      </w:pPr>
    </w:p>
    <w:p w14:paraId="21CB9AD5" w14:textId="5D6D81B4" w:rsidR="00835251" w:rsidRPr="00F30EF3" w:rsidRDefault="0083525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b/>
          <w:bCs/>
          <w:rtl/>
        </w:rPr>
      </w:pPr>
      <w:r w:rsidRPr="00F30EF3">
        <w:rPr>
          <w:rFonts w:cstheme="minorHAnsi"/>
          <w:b/>
          <w:bCs/>
          <w:rtl/>
        </w:rPr>
        <w:t xml:space="preserve">الإطار </w:t>
      </w:r>
      <w:r w:rsidR="00E03B65" w:rsidRPr="00F30EF3">
        <w:rPr>
          <w:rFonts w:cstheme="minorHAnsi"/>
          <w:b/>
          <w:bCs/>
        </w:rPr>
        <w:t>.</w:t>
      </w:r>
      <w:r w:rsidR="00836AFE" w:rsidRPr="00F30EF3">
        <w:rPr>
          <w:rFonts w:cstheme="minorHAnsi"/>
          <w:b/>
          <w:bCs/>
        </w:rPr>
        <w:t>53</w:t>
      </w:r>
      <w:r w:rsidRPr="00F30EF3">
        <w:rPr>
          <w:rFonts w:cstheme="minorHAnsi"/>
          <w:b/>
          <w:bCs/>
          <w:rtl/>
        </w:rPr>
        <w:t xml:space="preserve">   مثال - النموذج </w:t>
      </w:r>
      <w:r w:rsidRPr="00F30EF3">
        <w:rPr>
          <w:rFonts w:cstheme="minorHAnsi"/>
          <w:b/>
          <w:bCs/>
        </w:rPr>
        <w:t>P26</w:t>
      </w:r>
      <w:r w:rsidRPr="00F30EF3">
        <w:rPr>
          <w:rFonts w:cstheme="minorHAnsi"/>
          <w:b/>
          <w:bCs/>
          <w:rtl/>
        </w:rPr>
        <w:t xml:space="preserve"> الصادر في جنوب إفريقيا</w:t>
      </w:r>
    </w:p>
    <w:p w14:paraId="1AFF9CD9" w14:textId="77777777" w:rsidR="007C2E1E" w:rsidRPr="00F30EF3" w:rsidRDefault="007C2E1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b/>
          <w:bCs/>
          <w:lang w:val="en-US"/>
        </w:rPr>
      </w:pPr>
    </w:p>
    <w:p w14:paraId="5B30DE89" w14:textId="77777777" w:rsidR="007C2E1E" w:rsidRPr="00F30EF3" w:rsidRDefault="007C2E1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b/>
          <w:bCs/>
          <w:rtl/>
        </w:rPr>
      </w:pPr>
      <w:r w:rsidRPr="00F30EF3">
        <w:rPr>
          <w:rFonts w:cstheme="minorHAnsi"/>
          <w:rtl/>
        </w:rPr>
        <w:t xml:space="preserve">صدر النموذج </w:t>
      </w:r>
      <w:r w:rsidRPr="00F30EF3">
        <w:rPr>
          <w:rFonts w:cstheme="minorHAnsi"/>
        </w:rPr>
        <w:t>P26</w:t>
      </w:r>
      <w:r w:rsidRPr="00F30EF3">
        <w:rPr>
          <w:rFonts w:cstheme="minorHAnsi"/>
          <w:rtl/>
        </w:rPr>
        <w:t xml:space="preserve"> في جنوب إفريقيا، ويبين كيفية إكمال النموذج إذا لم يتم استخدام أي موارد بيولوجية أو معارف تقليدية أو موارد وراثية للشعوب الأصلية للتوصل إلى اختراع.</w:t>
      </w:r>
    </w:p>
    <w:p w14:paraId="7CD62653" w14:textId="77777777" w:rsidR="007C2E1E" w:rsidRPr="00F30EF3" w:rsidRDefault="007C2E1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b/>
          <w:bCs/>
          <w:lang w:val="en-US"/>
        </w:rPr>
      </w:pPr>
    </w:p>
    <w:p w14:paraId="3E894852" w14:textId="77777777" w:rsidR="00835251" w:rsidRPr="00F30EF3" w:rsidRDefault="0083525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rtl/>
        </w:rPr>
      </w:pPr>
      <w:r w:rsidRPr="00F30EF3">
        <w:rPr>
          <w:rFonts w:cstheme="minorHAnsi"/>
          <w:noProof/>
          <w:rtl/>
        </w:rPr>
        <w:lastRenderedPageBreak/>
        <w:drawing>
          <wp:inline distT="0" distB="0" distL="0" distR="0" wp14:anchorId="1980C9DC" wp14:editId="7CCCCBE5">
            <wp:extent cx="4099302" cy="4493518"/>
            <wp:effectExtent l="0" t="0" r="317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111014" cy="4506356"/>
                    </a:xfrm>
                    <a:prstGeom prst="rect">
                      <a:avLst/>
                    </a:prstGeom>
                  </pic:spPr>
                </pic:pic>
              </a:graphicData>
            </a:graphic>
          </wp:inline>
        </w:drawing>
      </w:r>
      <w:r w:rsidRPr="00F30EF3">
        <w:rPr>
          <w:rFonts w:cstheme="minorHAnsi"/>
          <w:rtl/>
        </w:rPr>
        <w:t xml:space="preserve"> </w:t>
      </w:r>
    </w:p>
    <w:p w14:paraId="33A84988" w14:textId="77777777" w:rsidR="00835251" w:rsidRPr="00F30EF3" w:rsidRDefault="00835251" w:rsidP="00B7519E">
      <w:pPr>
        <w:pStyle w:val="ListParagraph"/>
        <w:tabs>
          <w:tab w:val="left" w:pos="709"/>
        </w:tabs>
        <w:spacing w:after="0" w:line="240" w:lineRule="auto"/>
        <w:ind w:left="425"/>
        <w:jc w:val="both"/>
        <w:rPr>
          <w:rFonts w:cstheme="minorHAnsi"/>
          <w:lang w:val="en-US"/>
        </w:rPr>
      </w:pPr>
    </w:p>
    <w:p w14:paraId="5A19B4C8" w14:textId="77777777" w:rsidR="00835251" w:rsidRPr="00F30EF3" w:rsidRDefault="00835251" w:rsidP="00831449">
      <w:pPr>
        <w:autoSpaceDE w:val="0"/>
        <w:autoSpaceDN w:val="0"/>
        <w:adjustRightInd w:val="0"/>
        <w:spacing w:after="0" w:line="240" w:lineRule="auto"/>
        <w:ind w:left="426"/>
        <w:jc w:val="both"/>
        <w:rPr>
          <w:rFonts w:cstheme="minorHAnsi"/>
          <w:rtl/>
        </w:rPr>
      </w:pPr>
      <w:r w:rsidRPr="00F30EF3">
        <w:rPr>
          <w:rFonts w:cstheme="minorHAnsi"/>
          <w:rtl/>
        </w:rPr>
        <w:t>ورُغم أن بعض البلدان لديها تشريعات محلية تفرض شروط الكشف عن الموارد الوراثية والمعارف التقليدية، فإن بلداناً أخرى لا تشترط أي نوع من أنواع الكشف عن الموارد الوراثية والمعارف التقليدية في قانونها الوطني.  وفي هذا السياق، اعتمد الاتحاد الأوروبي نهج "العناية الواجبة" في المادة 4 من اللائحة التنفيذية رقم 511/2014</w:t>
      </w:r>
      <w:r w:rsidRPr="00F30EF3">
        <w:rPr>
          <w:rStyle w:val="FootnoteReference"/>
          <w:rFonts w:cstheme="minorHAnsi"/>
          <w:rtl/>
          <w:lang w:val="en-US"/>
        </w:rPr>
        <w:footnoteReference w:id="157"/>
      </w:r>
      <w:r w:rsidRPr="00F30EF3">
        <w:rPr>
          <w:rFonts w:cstheme="minorHAnsi"/>
          <w:rtl/>
        </w:rPr>
        <w:t>، والتي تنص على: "</w:t>
      </w:r>
      <w:r w:rsidRPr="00F30EF3">
        <w:rPr>
          <w:rFonts w:cstheme="minorHAnsi"/>
          <w:i/>
          <w:iCs/>
          <w:rtl/>
        </w:rPr>
        <w:t>يتعين على المستخدمين أن يمارسوا العناية الواجبة للتأكد من أن الموارد الوراثية والمعارف التقليدية المرتبطة بالموارد الوراثية التي يستخدمونها قد تم النفاذ إليها وفقاً للتشريعات المعمول بها في مجال النفاذ وتقاسم المنافع أو المتطلبات التنظيمية، وأن المنافع تُتقاسم على نحو عادل ومنصف بشروط متفق عليها وفقاً للتشريعات السارية أو المتطلبات التنظيمية</w:t>
      </w:r>
      <w:r w:rsidRPr="00F30EF3">
        <w:rPr>
          <w:rFonts w:cstheme="minorHAnsi"/>
          <w:rtl/>
        </w:rPr>
        <w:t>."</w:t>
      </w:r>
    </w:p>
    <w:p w14:paraId="27393659" w14:textId="77777777" w:rsidR="00A50799" w:rsidRPr="00F30EF3" w:rsidRDefault="00A50799" w:rsidP="00B7519E">
      <w:pPr>
        <w:pStyle w:val="Heading3"/>
        <w:spacing w:before="360"/>
        <w:rPr>
          <w:rFonts w:asciiTheme="minorHAnsi" w:hAnsiTheme="minorHAnsi" w:cstheme="minorHAnsi"/>
          <w:sz w:val="24"/>
          <w:szCs w:val="24"/>
          <w:rtl/>
        </w:rPr>
      </w:pPr>
      <w:bookmarkStart w:id="238" w:name="_Toc515566159"/>
      <w:bookmarkStart w:id="239" w:name="_Toc516121322"/>
      <w:bookmarkStart w:id="240" w:name="_Toc516160073"/>
      <w:bookmarkStart w:id="241" w:name="_Toc516219416"/>
      <w:bookmarkStart w:id="242" w:name="_Toc516496060"/>
      <w:bookmarkStart w:id="243" w:name="_Toc516829432"/>
      <w:r w:rsidRPr="00F30EF3">
        <w:rPr>
          <w:rFonts w:asciiTheme="minorHAnsi" w:hAnsiTheme="minorHAnsi" w:cstheme="minorHAnsi"/>
          <w:sz w:val="24"/>
          <w:szCs w:val="24"/>
          <w:rtl/>
        </w:rPr>
        <w:t>المادة 2.8 - أبوة الإبداع والملكية</w:t>
      </w:r>
      <w:bookmarkEnd w:id="238"/>
      <w:bookmarkEnd w:id="239"/>
      <w:bookmarkEnd w:id="240"/>
      <w:bookmarkEnd w:id="241"/>
      <w:bookmarkEnd w:id="242"/>
      <w:bookmarkEnd w:id="243"/>
    </w:p>
    <w:p w14:paraId="58E6B811" w14:textId="77777777" w:rsidR="004F5779" w:rsidRPr="00F30EF3" w:rsidRDefault="007C2E1E" w:rsidP="009D4A54">
      <w:pPr>
        <w:pStyle w:val="ListParagraph"/>
        <w:numPr>
          <w:ilvl w:val="0"/>
          <w:numId w:val="19"/>
        </w:numPr>
        <w:tabs>
          <w:tab w:val="left" w:pos="851"/>
        </w:tabs>
        <w:spacing w:after="0" w:line="240" w:lineRule="auto"/>
        <w:ind w:left="426" w:hanging="426"/>
        <w:jc w:val="both"/>
        <w:rPr>
          <w:rFonts w:cstheme="minorHAnsi"/>
          <w:rtl/>
        </w:rPr>
      </w:pPr>
      <w:r w:rsidRPr="00F30EF3">
        <w:rPr>
          <w:rFonts w:cstheme="minorHAnsi"/>
          <w:b/>
          <w:bCs/>
          <w:rtl/>
        </w:rPr>
        <w:t>المادة 1.2.8 و2.2.8،</w:t>
      </w:r>
      <w:r w:rsidRPr="00F30EF3">
        <w:rPr>
          <w:rFonts w:cstheme="minorHAnsi"/>
          <w:b/>
          <w:bCs/>
          <w:i/>
          <w:iCs/>
          <w:rtl/>
        </w:rPr>
        <w:t xml:space="preserve"> أبوة الإبداع والملكية:</w:t>
      </w:r>
      <w:r w:rsidRPr="00F30EF3">
        <w:rPr>
          <w:rFonts w:cstheme="minorHAnsi"/>
          <w:rtl/>
        </w:rPr>
        <w:t xml:space="preserve"> من المهم فهم أن "المبدعين" و"الملاك" قد لا يكونون الشخص ذاته.  </w:t>
      </w:r>
    </w:p>
    <w:p w14:paraId="263045CF" w14:textId="77777777" w:rsidR="004F5779" w:rsidRPr="00F30EF3" w:rsidRDefault="004F5779" w:rsidP="004F5779">
      <w:pPr>
        <w:pStyle w:val="ListParagraph"/>
        <w:tabs>
          <w:tab w:val="left" w:pos="851"/>
        </w:tabs>
        <w:spacing w:after="0" w:line="240" w:lineRule="auto"/>
        <w:ind w:left="426"/>
        <w:jc w:val="both"/>
        <w:rPr>
          <w:rFonts w:cstheme="minorHAnsi"/>
          <w:lang w:val="en-US"/>
        </w:rPr>
      </w:pPr>
    </w:p>
    <w:p w14:paraId="24F2E3AD" w14:textId="77777777" w:rsidR="00793C0C" w:rsidRPr="00F30EF3" w:rsidRDefault="004F5779" w:rsidP="004F5779">
      <w:pPr>
        <w:tabs>
          <w:tab w:val="left" w:pos="851"/>
        </w:tabs>
        <w:spacing w:after="0" w:line="240" w:lineRule="auto"/>
        <w:ind w:left="426"/>
        <w:jc w:val="both"/>
        <w:rPr>
          <w:rFonts w:cstheme="minorHAnsi"/>
          <w:rtl/>
        </w:rPr>
      </w:pPr>
      <w:r w:rsidRPr="00F30EF3">
        <w:rPr>
          <w:rFonts w:cstheme="minorHAnsi"/>
          <w:color w:val="0070C0"/>
          <w:rtl/>
        </w:rPr>
        <w:t xml:space="preserve">أبوة الإبداع/ الاختراع </w:t>
      </w:r>
      <w:r w:rsidRPr="00F30EF3">
        <w:rPr>
          <w:rFonts w:cstheme="minorHAnsi"/>
          <w:rtl/>
        </w:rPr>
        <w:t xml:space="preserve">- فيما يتعلق بالمبادئ الأولى، أي ملكية فكرية يتم إنشاؤها تنتمي إلى مبدع الملكية الفكرية.  قد يُطلب من المبدع التوقيع على وثيقة رسمية تؤكد أنه ينبغي اعتباره مخترعاً أو مؤلفاً أو مستولد بيانات، على سبيل المثال، طوّر جزءاً معيناً من الملكية الفكرية.  </w:t>
      </w:r>
    </w:p>
    <w:p w14:paraId="151536A5" w14:textId="77777777" w:rsidR="00793C0C" w:rsidRPr="00F30EF3" w:rsidRDefault="00793C0C" w:rsidP="004F5779">
      <w:pPr>
        <w:tabs>
          <w:tab w:val="left" w:pos="851"/>
        </w:tabs>
        <w:spacing w:after="0" w:line="240" w:lineRule="auto"/>
        <w:ind w:left="426"/>
        <w:jc w:val="both"/>
        <w:rPr>
          <w:rFonts w:cstheme="minorHAnsi"/>
          <w:lang w:val="en-US"/>
        </w:rPr>
      </w:pPr>
    </w:p>
    <w:p w14:paraId="69DE26C4" w14:textId="77777777" w:rsidR="007C2E1E" w:rsidRPr="00F30EF3" w:rsidRDefault="007C2E1E" w:rsidP="004F5779">
      <w:pPr>
        <w:tabs>
          <w:tab w:val="left" w:pos="851"/>
        </w:tabs>
        <w:spacing w:after="0" w:line="240" w:lineRule="auto"/>
        <w:ind w:left="426"/>
        <w:jc w:val="both"/>
        <w:rPr>
          <w:rFonts w:cstheme="minorHAnsi"/>
          <w:rtl/>
        </w:rPr>
      </w:pPr>
      <w:r w:rsidRPr="00F30EF3">
        <w:rPr>
          <w:rFonts w:cstheme="minorHAnsi"/>
          <w:rtl/>
        </w:rPr>
        <w:t xml:space="preserve">إذا كان يمكن أن تُنسب الملكية الفكرية التي تم الكشف عنها إلى أكثر من مبدع (باستثناء المُمكّنين)، فسيحتاج مكتب إدارة الملكية الفكرية إلى التنازل عن أبوة إبداع متناسبة لكل مبدع من مبدعي الملكية الفكرية.  فمثلاً، طوّر المخترع (أ) 60% من الاختراع والمخترع (ب) 25% من الاختراع والمخترع (ج) 15% من الاختراع.  في بعض الولايات القضائية، يعدّ ذلك أمراً مهماً للتمكن من تحديد المطالبات التي يمكن تخصيصها لمخترع واحد أو يزيد من المخترعين المدرجين.  وعلاوة على ذلك، يكتسي </w:t>
      </w:r>
      <w:r w:rsidRPr="00F30EF3">
        <w:rPr>
          <w:rFonts w:cstheme="minorHAnsi"/>
          <w:rtl/>
        </w:rPr>
        <w:lastRenderedPageBreak/>
        <w:t xml:space="preserve">ذلك أهمية لتقاسم المنافع (انظر أيضاً </w:t>
      </w:r>
      <w:hyperlink w:anchor="_Article_10.1_–" w:history="1">
        <w:r w:rsidRPr="00F30EF3">
          <w:rPr>
            <w:rStyle w:val="Hyperlink"/>
            <w:rFonts w:cstheme="minorHAnsi"/>
            <w:rtl/>
          </w:rPr>
          <w:t>المادة 1.1.10</w:t>
        </w:r>
      </w:hyperlink>
      <w:r w:rsidRPr="00F30EF3">
        <w:rPr>
          <w:rFonts w:cstheme="minorHAnsi"/>
          <w:rtl/>
        </w:rPr>
        <w:t>).  إذا تعذّر تحديد نسبة إسهام كل مخترع في الاختراع الناتج، فقد يتم توزيع حصة شائعة مقسّمة ومتساوية على كل مخترع.</w:t>
      </w:r>
    </w:p>
    <w:p w14:paraId="0A820A58" w14:textId="77777777" w:rsidR="007C2E1E" w:rsidRPr="00F30EF3" w:rsidRDefault="007C2E1E" w:rsidP="007C2E1E">
      <w:pPr>
        <w:tabs>
          <w:tab w:val="left" w:pos="851"/>
        </w:tabs>
        <w:spacing w:after="0" w:line="240" w:lineRule="auto"/>
        <w:ind w:left="851" w:hanging="851"/>
        <w:jc w:val="both"/>
        <w:rPr>
          <w:rFonts w:cstheme="minorHAnsi"/>
          <w:lang w:val="en-US"/>
        </w:rPr>
      </w:pPr>
    </w:p>
    <w:p w14:paraId="39D37CFA" w14:textId="77777777" w:rsidR="007C2E1E" w:rsidRPr="00F30EF3" w:rsidRDefault="007C2E1E" w:rsidP="00B7519E">
      <w:pPr>
        <w:tabs>
          <w:tab w:val="left" w:pos="426"/>
        </w:tabs>
        <w:spacing w:after="0" w:line="240" w:lineRule="auto"/>
        <w:ind w:left="426" w:hanging="426"/>
        <w:jc w:val="both"/>
        <w:rPr>
          <w:rFonts w:cstheme="minorHAnsi"/>
          <w:rtl/>
        </w:rPr>
      </w:pPr>
      <w:r w:rsidRPr="00F30EF3">
        <w:rPr>
          <w:rFonts w:cstheme="minorHAnsi"/>
          <w:rtl/>
        </w:rPr>
        <w:tab/>
      </w:r>
      <w:r w:rsidRPr="00F30EF3">
        <w:rPr>
          <w:rFonts w:cstheme="minorHAnsi"/>
          <w:color w:val="0070C0"/>
          <w:rtl/>
        </w:rPr>
        <w:t>الملكية</w:t>
      </w:r>
      <w:r w:rsidRPr="00F30EF3">
        <w:rPr>
          <w:rFonts w:cstheme="minorHAnsi"/>
          <w:rtl/>
        </w:rPr>
        <w:t xml:space="preserve"> - مبدع الملكية الفكرية ليس بالضرورة المالك لها. بمجرد تحديد أبوة الإبداع، فإن التشريعات الوطنية و/أو سياسات الملكية الفكرية للمؤسسة ستحدد الحالات التي تخضع فيها الملكية الفكرية التي أبدعها الموظفون أو الطلاب أو الزوار لملكية المؤسسة (انظر المادة 5).  إذا كان ضرورياً أن تخضع الملكية الفكرية لملكية المؤسسة، فيتعين على الموظفين أو الطالب أو الزائر نقل هذه الحقوق إلى المؤسسة عبر ما يُشار إليه باسم عقد التنازل. </w:t>
      </w:r>
    </w:p>
    <w:p w14:paraId="016E66B4" w14:textId="77777777" w:rsidR="00E766D2" w:rsidRPr="00F30EF3" w:rsidRDefault="00E766D2" w:rsidP="00B7519E">
      <w:pPr>
        <w:tabs>
          <w:tab w:val="left" w:pos="426"/>
        </w:tabs>
        <w:spacing w:after="0" w:line="240" w:lineRule="auto"/>
        <w:ind w:left="426" w:hanging="426"/>
        <w:jc w:val="both"/>
        <w:rPr>
          <w:rFonts w:cstheme="minorHAnsi"/>
          <w:lang w:val="en-US"/>
        </w:rPr>
      </w:pPr>
    </w:p>
    <w:p w14:paraId="0366BFBE" w14:textId="2163A414" w:rsidR="00E766D2" w:rsidRPr="00F30EF3"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cstheme="minorHAnsi"/>
          <w:b/>
          <w:bCs/>
          <w:rtl/>
        </w:rPr>
      </w:pPr>
      <w:r w:rsidRPr="00F30EF3">
        <w:rPr>
          <w:rFonts w:cstheme="minorHAnsi"/>
          <w:b/>
          <w:bCs/>
          <w:rtl/>
        </w:rPr>
        <w:t xml:space="preserve">الإطار </w:t>
      </w:r>
      <w:r w:rsidR="005D0229" w:rsidRPr="00F30EF3">
        <w:rPr>
          <w:rFonts w:cstheme="minorHAnsi"/>
          <w:b/>
          <w:bCs/>
        </w:rPr>
        <w:t>.</w:t>
      </w:r>
      <w:r w:rsidR="00836AFE" w:rsidRPr="00F30EF3">
        <w:rPr>
          <w:rFonts w:cstheme="minorHAnsi"/>
          <w:b/>
          <w:bCs/>
        </w:rPr>
        <w:t>54</w:t>
      </w:r>
      <w:r w:rsidRPr="00F30EF3">
        <w:rPr>
          <w:rFonts w:cstheme="minorHAnsi"/>
          <w:b/>
          <w:bCs/>
          <w:rtl/>
        </w:rPr>
        <w:t xml:space="preserve">   التأليف مقابل أبوة الاختراع: الفرق بين مؤلفي المجلات ومخترعي البراءات</w:t>
      </w:r>
      <w:r w:rsidRPr="00F30EF3">
        <w:rPr>
          <w:rStyle w:val="FootnoteReference"/>
          <w:rFonts w:cstheme="minorHAnsi"/>
          <w:b/>
          <w:bCs/>
          <w:rtl/>
          <w:lang w:val="en-US"/>
        </w:rPr>
        <w:footnoteReference w:id="158"/>
      </w:r>
    </w:p>
    <w:p w14:paraId="17D67FEB" w14:textId="77777777" w:rsidR="00E766D2" w:rsidRPr="00F30EF3"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eastAsia="Times New Roman" w:cstheme="minorHAnsi"/>
          <w:color w:val="505050"/>
          <w:lang w:val="en-US" w:eastAsia="en-US"/>
        </w:rPr>
      </w:pPr>
    </w:p>
    <w:p w14:paraId="1AF61992" w14:textId="77777777" w:rsidR="00E766D2" w:rsidRPr="00F30EF3"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cstheme="minorHAnsi"/>
          <w:rtl/>
        </w:rPr>
      </w:pPr>
      <w:r w:rsidRPr="00F30EF3">
        <w:rPr>
          <w:rFonts w:cstheme="minorHAnsi"/>
          <w:rtl/>
        </w:rPr>
        <w:t>يمثّل الخلط بين التأليف وأبوة الاختراع أحد أكثر المسائل التي يساء فهمها بصفة متكررة بين الباحثين والمتخصصين في مجال الملكية الفكرية. وبالنسبة للكثير من العلماء، يعدّ مفهوم أنك لست مخترعاً تلقائياً في براءة ما حتى إذا كنت مؤلفاً لورقة بحثية عن الموضوع ذاته مفهوماً عميقاً.</w:t>
      </w:r>
    </w:p>
    <w:p w14:paraId="6E3FBD46" w14:textId="77777777" w:rsidR="00E766D2" w:rsidRPr="00F30EF3"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cstheme="minorHAnsi"/>
          <w:lang w:val="en-US"/>
        </w:rPr>
      </w:pPr>
    </w:p>
    <w:p w14:paraId="1E4D2489" w14:textId="77777777" w:rsidR="00E766D2" w:rsidRPr="00F30EF3"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cstheme="minorHAnsi"/>
          <w:rtl/>
        </w:rPr>
      </w:pPr>
      <w:r w:rsidRPr="00F30EF3">
        <w:rPr>
          <w:rFonts w:cstheme="minorHAnsi"/>
          <w:rtl/>
        </w:rPr>
        <w:t xml:space="preserve">وبوجه عام، كي يكون الشخص </w:t>
      </w:r>
      <w:r w:rsidRPr="00F30EF3">
        <w:rPr>
          <w:rFonts w:cstheme="minorHAnsi"/>
          <w:b/>
          <w:bCs/>
          <w:rtl/>
        </w:rPr>
        <w:t>مؤلفاً</w:t>
      </w:r>
      <w:r w:rsidRPr="00F30EF3">
        <w:rPr>
          <w:rFonts w:cstheme="minorHAnsi"/>
          <w:rtl/>
        </w:rPr>
        <w:t xml:space="preserve"> لمقال ما، فإنه يجب أن يكون قد أجرى البحث الأساسي أو أشرف عليه أو كتب الورقة البحثية، وذلك من جملة معايير أخرى. ويعدّ ذلك أقل صرامة بكثير من شرط أن يكون الشخص </w:t>
      </w:r>
      <w:r w:rsidRPr="00F30EF3">
        <w:rPr>
          <w:rFonts w:cstheme="minorHAnsi"/>
          <w:b/>
          <w:bCs/>
          <w:rtl/>
        </w:rPr>
        <w:t>مخترعاً</w:t>
      </w:r>
      <w:r w:rsidRPr="00F30EF3">
        <w:rPr>
          <w:rFonts w:cstheme="minorHAnsi"/>
          <w:rtl/>
        </w:rPr>
        <w:t>، لأن أبوة الاختراع تعتبر قراراً قانونياً. وقد يتسبب الإدراج غير الصحيح للمخترعين في براءة في إبطالها بالكامل.</w:t>
      </w:r>
    </w:p>
    <w:p w14:paraId="107F6A39" w14:textId="77777777" w:rsidR="00E766D2" w:rsidRPr="00F30EF3"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cstheme="minorHAnsi"/>
          <w:lang w:val="en-US"/>
        </w:rPr>
      </w:pPr>
    </w:p>
    <w:p w14:paraId="031AC701" w14:textId="77777777" w:rsidR="00E766D2" w:rsidRPr="00F30EF3"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cstheme="minorHAnsi"/>
          <w:rtl/>
        </w:rPr>
      </w:pPr>
      <w:r w:rsidRPr="00F30EF3">
        <w:rPr>
          <w:rFonts w:cstheme="minorHAnsi"/>
          <w:rtl/>
        </w:rPr>
        <w:t>يقع على عاتق المخترعين المحتملين مسؤولية بذل حسن النية لتحديد هوية المخترعين المحتملين من بينهم.</w:t>
      </w:r>
    </w:p>
    <w:p w14:paraId="355130FA" w14:textId="77777777" w:rsidR="00E766D2" w:rsidRPr="00F30EF3" w:rsidRDefault="00E766D2" w:rsidP="00B7519E">
      <w:pPr>
        <w:tabs>
          <w:tab w:val="left" w:pos="426"/>
        </w:tabs>
        <w:spacing w:after="0" w:line="240" w:lineRule="auto"/>
        <w:ind w:left="426" w:hanging="426"/>
        <w:jc w:val="both"/>
        <w:rPr>
          <w:rFonts w:cstheme="minorHAnsi"/>
          <w:lang w:val="en-US"/>
        </w:rPr>
      </w:pPr>
    </w:p>
    <w:p w14:paraId="06D0C8D5" w14:textId="77777777" w:rsidR="007C2E1E" w:rsidRPr="00F30EF3" w:rsidRDefault="007C2E1E" w:rsidP="007C2E1E">
      <w:pPr>
        <w:tabs>
          <w:tab w:val="left" w:pos="851"/>
        </w:tabs>
        <w:spacing w:after="0" w:line="240" w:lineRule="auto"/>
        <w:ind w:left="851" w:hanging="851"/>
        <w:jc w:val="both"/>
        <w:rPr>
          <w:rFonts w:cstheme="minorHAnsi"/>
          <w:lang w:val="en-US"/>
        </w:rPr>
      </w:pPr>
    </w:p>
    <w:p w14:paraId="12B54DFA" w14:textId="41541263" w:rsidR="007C2E1E" w:rsidRPr="00F30EF3" w:rsidRDefault="007C2E1E"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cstheme="minorHAnsi"/>
          <w:b/>
          <w:bCs/>
          <w:rtl/>
        </w:rPr>
      </w:pPr>
      <w:r w:rsidRPr="00F30EF3">
        <w:rPr>
          <w:rFonts w:cstheme="minorHAnsi"/>
          <w:b/>
          <w:bCs/>
          <w:rtl/>
        </w:rPr>
        <w:t xml:space="preserve">الإطار </w:t>
      </w:r>
      <w:r w:rsidR="005D0229" w:rsidRPr="00F30EF3">
        <w:rPr>
          <w:rFonts w:cstheme="minorHAnsi"/>
          <w:b/>
          <w:bCs/>
        </w:rPr>
        <w:t>.</w:t>
      </w:r>
      <w:r w:rsidR="00836AFE" w:rsidRPr="00F30EF3">
        <w:rPr>
          <w:rFonts w:cstheme="minorHAnsi"/>
          <w:b/>
          <w:bCs/>
        </w:rPr>
        <w:t>55</w:t>
      </w:r>
      <w:r w:rsidRPr="00F30EF3">
        <w:rPr>
          <w:rFonts w:cstheme="minorHAnsi"/>
          <w:b/>
          <w:bCs/>
          <w:rtl/>
        </w:rPr>
        <w:t xml:space="preserve">   الكشف لا يعني التنازل</w:t>
      </w:r>
    </w:p>
    <w:p w14:paraId="507D24F2" w14:textId="77777777" w:rsidR="007C2E1E" w:rsidRPr="00F30EF3" w:rsidRDefault="007C2E1E"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cstheme="minorHAnsi"/>
          <w:b/>
          <w:bCs/>
          <w:lang w:val="en-US"/>
        </w:rPr>
      </w:pPr>
    </w:p>
    <w:p w14:paraId="6BFF296F" w14:textId="77777777" w:rsidR="007C2E1E" w:rsidRPr="00F30EF3" w:rsidRDefault="00793C0C"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eastAsia="Times New Roman" w:cstheme="minorHAnsi"/>
          <w:color w:val="333333"/>
          <w:shd w:val="clear" w:color="auto" w:fill="FFFFED"/>
          <w:rtl/>
        </w:rPr>
      </w:pPr>
      <w:r w:rsidRPr="00F30EF3">
        <w:rPr>
          <w:rFonts w:cstheme="minorHAnsi"/>
          <w:rtl/>
        </w:rPr>
        <w:t>لا ينبغي الخلط بين واجب الكشف والتنازل</w:t>
      </w:r>
      <w:r w:rsidRPr="00F30EF3">
        <w:rPr>
          <w:rStyle w:val="FootnoteReference"/>
          <w:rFonts w:cstheme="minorHAnsi"/>
          <w:rtl/>
          <w:lang w:val="en-US"/>
        </w:rPr>
        <w:footnoteReference w:id="159"/>
      </w:r>
      <w:r w:rsidRPr="00F30EF3">
        <w:rPr>
          <w:rFonts w:cstheme="minorHAnsi"/>
          <w:rtl/>
        </w:rPr>
        <w:t xml:space="preserve"> عن إبداع. فالكشف عن الإبداع يعني حرفياً أن الإبداع/الاختراع تم وصفه بتفاصيل كاملة (أي التمكين). بينما يعني التنازل أن ملكية الاختراع (أي الملكية القانونية) يمنحها المبدع لطرف آخر (على سبيل المثال، صاحب العمل وفي هذه الحالة المؤسسة).</w:t>
      </w:r>
    </w:p>
    <w:p w14:paraId="36E57924" w14:textId="77777777" w:rsidR="00936428" w:rsidRPr="00F30EF3" w:rsidRDefault="00936428" w:rsidP="00936428">
      <w:pPr>
        <w:rPr>
          <w:rFonts w:cstheme="minorHAnsi"/>
          <w:rtl/>
        </w:rPr>
      </w:pPr>
      <w:bookmarkStart w:id="244" w:name="_Article_8.3_–"/>
      <w:bookmarkStart w:id="245" w:name="_Toc515566160"/>
      <w:bookmarkStart w:id="246" w:name="_Toc516121323"/>
      <w:bookmarkStart w:id="247" w:name="_Toc516160074"/>
      <w:bookmarkStart w:id="248" w:name="_Toc516219417"/>
      <w:bookmarkEnd w:id="244"/>
    </w:p>
    <w:p w14:paraId="1C65309F" w14:textId="77777777" w:rsidR="006C203B" w:rsidRPr="00F30EF3" w:rsidRDefault="006C203B" w:rsidP="00936428">
      <w:pPr>
        <w:pStyle w:val="Heading3"/>
        <w:spacing w:before="360"/>
        <w:jc w:val="both"/>
        <w:rPr>
          <w:rFonts w:asciiTheme="minorHAnsi" w:hAnsiTheme="minorHAnsi" w:cstheme="minorHAnsi"/>
          <w:sz w:val="24"/>
          <w:szCs w:val="24"/>
          <w:rtl/>
        </w:rPr>
      </w:pPr>
      <w:bookmarkStart w:id="249" w:name="_Toc516496061"/>
      <w:bookmarkStart w:id="250" w:name="_Toc516829433"/>
      <w:r w:rsidRPr="00F30EF3">
        <w:rPr>
          <w:rFonts w:asciiTheme="minorHAnsi" w:hAnsiTheme="minorHAnsi" w:cstheme="minorHAnsi"/>
          <w:sz w:val="24"/>
          <w:szCs w:val="24"/>
          <w:rtl/>
        </w:rPr>
        <w:t>المادة 3.8 - معاينة حماية الملكية الفكرية والتسويق</w:t>
      </w:r>
      <w:bookmarkEnd w:id="245"/>
      <w:bookmarkEnd w:id="246"/>
      <w:bookmarkEnd w:id="247"/>
      <w:bookmarkEnd w:id="248"/>
      <w:bookmarkEnd w:id="249"/>
      <w:bookmarkEnd w:id="250"/>
    </w:p>
    <w:p w14:paraId="710715BB" w14:textId="25E676E1" w:rsidR="008E589B" w:rsidRPr="00F30EF3" w:rsidRDefault="007C2E1E" w:rsidP="009D4A54">
      <w:pPr>
        <w:pStyle w:val="ListParagraph"/>
        <w:numPr>
          <w:ilvl w:val="0"/>
          <w:numId w:val="19"/>
        </w:numPr>
        <w:tabs>
          <w:tab w:val="left" w:pos="851"/>
        </w:tabs>
        <w:spacing w:after="0" w:line="240" w:lineRule="auto"/>
        <w:ind w:left="426" w:hanging="426"/>
        <w:jc w:val="both"/>
        <w:rPr>
          <w:rFonts w:cstheme="minorHAnsi"/>
          <w:rtl/>
        </w:rPr>
      </w:pPr>
      <w:r w:rsidRPr="00F30EF3">
        <w:rPr>
          <w:rFonts w:cstheme="minorHAnsi"/>
          <w:b/>
          <w:bCs/>
          <w:rtl/>
        </w:rPr>
        <w:t>المادة 1.3.8</w:t>
      </w:r>
      <w:r w:rsidRPr="00F30EF3">
        <w:rPr>
          <w:rFonts w:cstheme="minorHAnsi"/>
          <w:b/>
          <w:bCs/>
          <w:i/>
          <w:iCs/>
          <w:rtl/>
        </w:rPr>
        <w:t>: التقييم والتوصية:</w:t>
      </w:r>
      <w:r w:rsidRPr="00F30EF3">
        <w:rPr>
          <w:rFonts w:cstheme="minorHAnsi"/>
          <w:rtl/>
        </w:rPr>
        <w:t xml:space="preserve"> كي ينجح مكتب إدارة الملكية الفكرية، يجب على المبدعين التأكد من أن اختراعاتهم/إبداعاتهم ستحصل على تقييم متعمق بشأن أهليتها للحماية بموجب براءة وإمكانية تسويقها. تعتمد القدرة على إجراء تقييم شامل، ومن ثمَّ التوصل إلى توصية، على مدى اكتمال الكشف عند تلقيه (انظر </w:t>
      </w:r>
      <w:hyperlink w:anchor="_Article_8.1_–" w:history="1">
        <w:r w:rsidRPr="00F30EF3">
          <w:rPr>
            <w:rStyle w:val="Hyperlink"/>
            <w:rFonts w:cstheme="minorHAnsi"/>
            <w:rtl/>
          </w:rPr>
          <w:t>المادة 3.1.8</w:t>
        </w:r>
      </w:hyperlink>
      <w:r w:rsidRPr="00F30EF3">
        <w:rPr>
          <w:rFonts w:cstheme="minorHAnsi"/>
          <w:rtl/>
        </w:rPr>
        <w:t xml:space="preserve">).  تنطوي عملية تقييم الكشف عن الملكية الفكرية عادةً على ثلاثة جوانب رئيسية:    </w:t>
      </w:r>
    </w:p>
    <w:p w14:paraId="37D99C32" w14:textId="77777777" w:rsidR="008E589B" w:rsidRPr="00F30EF3" w:rsidRDefault="00801D1A" w:rsidP="009D4A54">
      <w:pPr>
        <w:pStyle w:val="ListParagraph"/>
        <w:numPr>
          <w:ilvl w:val="1"/>
          <w:numId w:val="19"/>
        </w:numPr>
        <w:tabs>
          <w:tab w:val="left" w:pos="851"/>
        </w:tabs>
        <w:spacing w:after="0" w:line="240" w:lineRule="auto"/>
        <w:ind w:left="851" w:hanging="425"/>
        <w:jc w:val="both"/>
        <w:rPr>
          <w:rFonts w:cstheme="minorHAnsi"/>
          <w:rtl/>
        </w:rPr>
      </w:pPr>
      <w:r w:rsidRPr="00F30EF3">
        <w:rPr>
          <w:rFonts w:cstheme="minorHAnsi"/>
          <w:rtl/>
        </w:rPr>
        <w:t xml:space="preserve">الجانب الإداري: يتم تحليل الكشف من أجل حقوق الملكية الفكرية التي قد يمتلكها الآخرون بمقتضى الرعاية أو أبوة الاختراع، أو عبر استخدام مواد ذات ملكية مسجلة للغير.  تُحَّدد أيضاً في هذا الجانب حقوق أو التزامات حكومية ممكنة، أو بعض الالتزامات المؤسسية الداخلية.  </w:t>
      </w:r>
    </w:p>
    <w:p w14:paraId="324A0E58" w14:textId="77777777" w:rsidR="008E589B" w:rsidRPr="00F30EF3" w:rsidRDefault="00801D1A" w:rsidP="009D4A54">
      <w:pPr>
        <w:pStyle w:val="ListParagraph"/>
        <w:numPr>
          <w:ilvl w:val="1"/>
          <w:numId w:val="19"/>
        </w:numPr>
        <w:tabs>
          <w:tab w:val="left" w:pos="851"/>
        </w:tabs>
        <w:spacing w:after="0" w:line="240" w:lineRule="auto"/>
        <w:ind w:left="851" w:hanging="425"/>
        <w:jc w:val="both"/>
        <w:rPr>
          <w:rFonts w:cstheme="minorHAnsi"/>
          <w:rtl/>
        </w:rPr>
      </w:pPr>
      <w:r w:rsidRPr="00F30EF3">
        <w:rPr>
          <w:rFonts w:cstheme="minorHAnsi"/>
          <w:rtl/>
        </w:rPr>
        <w:t>الجانب التكنولوجي - يجري تقييم الكشف من حيث جودة الاختراع/ الإبداع.  يراعي التقييم خصائص الأداء للاختراع/ الإبداع ويقيّم قيمته المحتملة (قابلية التطور والجدوى الاقتصادية والسوق المحتملة) لأولئك الذين يرغبون في تنفيذه.</w:t>
      </w:r>
    </w:p>
    <w:p w14:paraId="5E151A30" w14:textId="77777777" w:rsidR="007C2E1E" w:rsidRPr="00F30EF3" w:rsidRDefault="00801D1A" w:rsidP="009D4A54">
      <w:pPr>
        <w:pStyle w:val="ListParagraph"/>
        <w:numPr>
          <w:ilvl w:val="1"/>
          <w:numId w:val="19"/>
        </w:numPr>
        <w:tabs>
          <w:tab w:val="left" w:pos="851"/>
        </w:tabs>
        <w:spacing w:after="0" w:line="240" w:lineRule="auto"/>
        <w:ind w:left="851" w:hanging="425"/>
        <w:jc w:val="both"/>
        <w:rPr>
          <w:rFonts w:cstheme="minorHAnsi"/>
          <w:rtl/>
        </w:rPr>
      </w:pPr>
      <w:r w:rsidRPr="00F30EF3">
        <w:rPr>
          <w:rFonts w:cstheme="minorHAnsi"/>
          <w:rtl/>
        </w:rPr>
        <w:t xml:space="preserve">الجانب المتعلق بالملكية الفكرية - تقييم جدوى الأساليب الممكنة لحماية الملكية الفكرية. </w:t>
      </w:r>
    </w:p>
    <w:p w14:paraId="6A9A8391" w14:textId="77777777" w:rsidR="009A7567" w:rsidRPr="00F30EF3" w:rsidRDefault="009A7567" w:rsidP="009A7567">
      <w:pPr>
        <w:tabs>
          <w:tab w:val="left" w:pos="851"/>
        </w:tabs>
        <w:spacing w:after="0" w:line="240" w:lineRule="auto"/>
        <w:jc w:val="both"/>
        <w:rPr>
          <w:rFonts w:cstheme="minorHAnsi"/>
          <w:lang w:val="en-US"/>
        </w:rPr>
      </w:pPr>
    </w:p>
    <w:p w14:paraId="44B6539A" w14:textId="345C0ED7" w:rsidR="009A7567" w:rsidRPr="00F30EF3" w:rsidRDefault="009A7567" w:rsidP="009A7567">
      <w:pPr>
        <w:pStyle w:val="NoSpacing"/>
        <w:pBdr>
          <w:top w:val="single" w:sz="4" w:space="1" w:color="auto"/>
          <w:left w:val="single" w:sz="4" w:space="4" w:color="auto"/>
          <w:bottom w:val="single" w:sz="4" w:space="1" w:color="auto"/>
          <w:right w:val="single" w:sz="4" w:space="4" w:color="auto"/>
        </w:pBdr>
        <w:shd w:val="clear" w:color="auto" w:fill="FDE9D9" w:themeFill="accent6" w:themeFillTint="33"/>
        <w:bidi/>
        <w:ind w:left="426"/>
        <w:jc w:val="both"/>
        <w:rPr>
          <w:rFonts w:cstheme="minorHAnsi"/>
          <w:color w:val="888888"/>
          <w:rtl/>
        </w:rPr>
      </w:pPr>
      <w:r w:rsidRPr="00F30EF3">
        <w:rPr>
          <w:rFonts w:cstheme="minorHAnsi"/>
          <w:b/>
          <w:bCs/>
          <w:rtl/>
        </w:rPr>
        <w:t xml:space="preserve">الإطار </w:t>
      </w:r>
      <w:r w:rsidR="005D0229" w:rsidRPr="00F30EF3">
        <w:rPr>
          <w:rFonts w:cstheme="minorHAnsi"/>
          <w:b/>
          <w:bCs/>
        </w:rPr>
        <w:t>.</w:t>
      </w:r>
      <w:r w:rsidR="00D0611D" w:rsidRPr="00F30EF3">
        <w:rPr>
          <w:rFonts w:cstheme="minorHAnsi"/>
          <w:b/>
          <w:bCs/>
        </w:rPr>
        <w:t>56</w:t>
      </w:r>
      <w:r w:rsidRPr="00F30EF3">
        <w:rPr>
          <w:rFonts w:cstheme="minorHAnsi"/>
          <w:b/>
          <w:bCs/>
          <w:rtl/>
        </w:rPr>
        <w:t xml:space="preserve"> مثال - مقتطف من مركز نقل التكنولوجيا - الركائز الثلاث لتحليل الاختراع من إعداد </w:t>
      </w:r>
      <w:hyperlink r:id="rId129" w:history="1">
        <w:r w:rsidRPr="00F30EF3">
          <w:rPr>
            <w:rStyle w:val="Hyperlink"/>
            <w:rFonts w:cstheme="minorHAnsi"/>
            <w:b/>
            <w:bCs/>
            <w:rtl/>
          </w:rPr>
          <w:t>ديبي ميليلو</w:t>
        </w:r>
      </w:hyperlink>
      <w:r w:rsidRPr="00F30EF3">
        <w:rPr>
          <w:rFonts w:cstheme="minorHAnsi"/>
          <w:rtl/>
        </w:rPr>
        <w:t xml:space="preserve"> </w:t>
      </w:r>
    </w:p>
    <w:p w14:paraId="21B21370" w14:textId="77777777" w:rsidR="009A7567" w:rsidRPr="00F30EF3" w:rsidRDefault="009A7567" w:rsidP="00D12B99">
      <w:pPr>
        <w:pStyle w:val="NoSpacing"/>
        <w:pBdr>
          <w:top w:val="single" w:sz="4" w:space="1" w:color="auto"/>
          <w:left w:val="single" w:sz="4" w:space="4" w:color="auto"/>
          <w:bottom w:val="single" w:sz="4" w:space="1" w:color="auto"/>
          <w:right w:val="single" w:sz="4" w:space="4" w:color="auto"/>
        </w:pBdr>
        <w:shd w:val="clear" w:color="auto" w:fill="FDE9D9" w:themeFill="accent6" w:themeFillTint="33"/>
        <w:bidi/>
        <w:ind w:left="426"/>
        <w:jc w:val="both"/>
        <w:rPr>
          <w:rFonts w:eastAsia="Times New Roman" w:cstheme="minorHAnsi"/>
          <w:color w:val="333333"/>
          <w:shd w:val="clear" w:color="auto" w:fill="FFFFFF"/>
          <w:lang w:val="en-US"/>
        </w:rPr>
      </w:pPr>
    </w:p>
    <w:p w14:paraId="47A07705" w14:textId="77777777" w:rsidR="009A7567" w:rsidRPr="00F30EF3" w:rsidRDefault="009A7567" w:rsidP="009A7567">
      <w:pPr>
        <w:pStyle w:val="NoSpacing"/>
        <w:pBdr>
          <w:top w:val="single" w:sz="4" w:space="1" w:color="auto"/>
          <w:left w:val="single" w:sz="4" w:space="4" w:color="auto"/>
          <w:bottom w:val="single" w:sz="4" w:space="1" w:color="auto"/>
          <w:right w:val="single" w:sz="4" w:space="4" w:color="auto"/>
        </w:pBdr>
        <w:shd w:val="clear" w:color="auto" w:fill="FDE9D9" w:themeFill="accent6" w:themeFillTint="33"/>
        <w:bidi/>
        <w:ind w:left="426"/>
        <w:jc w:val="both"/>
        <w:rPr>
          <w:rFonts w:eastAsia="Times New Roman" w:cstheme="minorHAnsi"/>
          <w:i/>
          <w:iCs/>
          <w:color w:val="333333"/>
          <w:shd w:val="clear" w:color="auto" w:fill="FFFFFF"/>
          <w:rtl/>
        </w:rPr>
      </w:pPr>
      <w:r w:rsidRPr="00F30EF3">
        <w:rPr>
          <w:rFonts w:cstheme="minorHAnsi"/>
          <w:i/>
          <w:iCs/>
          <w:rtl/>
        </w:rPr>
        <w:t xml:space="preserve">"ثمة ثلاثة عناصر رئيسية لتحويل اختراع ما إلى مشروع مجدٍ تجارياً، ويلزم أن يكون الاختراع قوياً في هذه العناصر الثلاثة جميعها كي يحقق نجاحاً.  أولاً، ينبغي أن تكون التكنولوجيا </w:t>
      </w:r>
      <w:r w:rsidRPr="00F30EF3">
        <w:rPr>
          <w:rFonts w:cstheme="minorHAnsi"/>
          <w:b/>
          <w:bCs/>
          <w:i/>
          <w:iCs/>
          <w:rtl/>
        </w:rPr>
        <w:t>قابلة للتطوير</w:t>
      </w:r>
      <w:r w:rsidRPr="00F30EF3">
        <w:rPr>
          <w:rFonts w:cstheme="minorHAnsi"/>
          <w:i/>
          <w:iCs/>
          <w:rtl/>
        </w:rPr>
        <w:t xml:space="preserve"> وذات عوائق محدودة للتطوير فيما يتعلق بالوقت والأموال والتنظيم. ثانياً، ينبغي أن تكون </w:t>
      </w:r>
      <w:r w:rsidRPr="00F30EF3">
        <w:rPr>
          <w:rFonts w:cstheme="minorHAnsi"/>
          <w:b/>
          <w:bCs/>
          <w:i/>
          <w:iCs/>
          <w:rtl/>
        </w:rPr>
        <w:t>البراءة</w:t>
      </w:r>
      <w:r w:rsidRPr="00F30EF3">
        <w:rPr>
          <w:rFonts w:cstheme="minorHAnsi"/>
          <w:i/>
          <w:iCs/>
          <w:rtl/>
        </w:rPr>
        <w:t xml:space="preserve"> قوية ويمكن الدفاع عنها وقابلة للإنفاذ.  وثالثاً، يلزم أن يستهدف الاختراع </w:t>
      </w:r>
      <w:r w:rsidRPr="00F30EF3">
        <w:rPr>
          <w:rFonts w:cstheme="minorHAnsi"/>
          <w:b/>
          <w:bCs/>
          <w:i/>
          <w:iCs/>
          <w:rtl/>
        </w:rPr>
        <w:t xml:space="preserve">سوقاً </w:t>
      </w:r>
      <w:r w:rsidRPr="00F30EF3">
        <w:rPr>
          <w:rFonts w:cstheme="minorHAnsi"/>
          <w:i/>
          <w:iCs/>
          <w:rtl/>
        </w:rPr>
        <w:t>جذّابة يمكن النفاذ إليها.  يمكن أن يشكِّل أي عائق في أي مجال من هذه المجالات عائقاً كبيراً وقد يحول دون التسويق"</w:t>
      </w:r>
    </w:p>
    <w:p w14:paraId="7202D1A8" w14:textId="77777777" w:rsidR="009A7567" w:rsidRPr="00F30EF3" w:rsidRDefault="009A7567" w:rsidP="009A7567">
      <w:pPr>
        <w:tabs>
          <w:tab w:val="left" w:pos="851"/>
        </w:tabs>
        <w:spacing w:after="0" w:line="240" w:lineRule="auto"/>
        <w:jc w:val="both"/>
        <w:rPr>
          <w:rFonts w:cstheme="minorHAnsi"/>
          <w:lang w:val="en-US"/>
        </w:rPr>
      </w:pPr>
    </w:p>
    <w:p w14:paraId="713207E0" w14:textId="5931F87D" w:rsidR="007C2E1E" w:rsidRPr="00F30EF3" w:rsidRDefault="007C2E1E" w:rsidP="009D4A54">
      <w:pPr>
        <w:pStyle w:val="ListParagraph"/>
        <w:numPr>
          <w:ilvl w:val="0"/>
          <w:numId w:val="19"/>
        </w:numPr>
        <w:tabs>
          <w:tab w:val="left" w:pos="851"/>
        </w:tabs>
        <w:spacing w:after="0" w:line="240" w:lineRule="auto"/>
        <w:ind w:left="426" w:hanging="426"/>
        <w:jc w:val="both"/>
        <w:rPr>
          <w:rFonts w:cstheme="minorHAnsi"/>
          <w:rtl/>
        </w:rPr>
      </w:pPr>
      <w:r w:rsidRPr="00F30EF3">
        <w:rPr>
          <w:rFonts w:cstheme="minorHAnsi"/>
          <w:b/>
          <w:bCs/>
          <w:rtl/>
        </w:rPr>
        <w:t xml:space="preserve">المادة 2.3.8، </w:t>
      </w:r>
      <w:r w:rsidRPr="00F30EF3">
        <w:rPr>
          <w:rFonts w:cstheme="minorHAnsi"/>
          <w:b/>
          <w:bCs/>
          <w:i/>
          <w:iCs/>
          <w:rtl/>
        </w:rPr>
        <w:t>قرار الحماية/ التسويق</w:t>
      </w:r>
      <w:r w:rsidRPr="00F30EF3">
        <w:rPr>
          <w:rFonts w:cstheme="minorHAnsi"/>
          <w:b/>
          <w:bCs/>
          <w:rtl/>
        </w:rPr>
        <w:t xml:space="preserve">: </w:t>
      </w:r>
      <w:r w:rsidRPr="00F30EF3">
        <w:rPr>
          <w:rFonts w:cstheme="minorHAnsi"/>
          <w:rtl/>
        </w:rPr>
        <w:t>في الحالة المحددة المتعلقة بالاختراعات، سيتضمن قرار الحماية تقييم استيفاء المعايير لأهلية الحماية بموجب براءة، لا سيما الجدة وأبوة الاختراع والمنفعة. وقد يبين هذا التقييم أنه من المبكر جداً الحصول على حماية بموجب براءة ويجب تطوير الملكية الفكرية أكثر مع الحفاظ على السرية في الوقت ذاته حتى لا يتم المساس بشرط الجدة. ومن الناحية العملية، تعدّ الجدة معاينة موضوعية ومن ثم يمكن تأكيدها في مراحل مبكرة نسبياً. فيما تعدّ أبوة الاختراع ذاتية ويمكن المجادلة بشأنها. وعليه، إذا كان مكتب إدارة الملكية الفكرية واثقاً من توفر الجدة وكان الاختراع مجدياً تجارياً وسيكون له سوق (على الأقل)، فإنه ينبغي حينئذ طلب الحماية بموجب براءة.</w:t>
      </w:r>
    </w:p>
    <w:p w14:paraId="57017E6B" w14:textId="77777777" w:rsidR="00D12B99" w:rsidRPr="00F30EF3" w:rsidRDefault="00D12B99" w:rsidP="001B700C">
      <w:pPr>
        <w:tabs>
          <w:tab w:val="left" w:pos="851"/>
        </w:tabs>
        <w:spacing w:after="0" w:line="240" w:lineRule="auto"/>
        <w:jc w:val="both"/>
        <w:rPr>
          <w:rFonts w:cstheme="minorHAnsi"/>
          <w:b/>
          <w:bCs/>
          <w:lang w:val="en-US"/>
        </w:rPr>
      </w:pPr>
    </w:p>
    <w:p w14:paraId="68EFDA96" w14:textId="5A3C656E" w:rsidR="00425C10" w:rsidRPr="00F30EF3" w:rsidRDefault="00425C10" w:rsidP="00425C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jc w:val="both"/>
        <w:rPr>
          <w:rFonts w:cstheme="minorHAnsi"/>
          <w:b/>
          <w:bCs/>
          <w:rtl/>
        </w:rPr>
      </w:pPr>
      <w:bookmarkStart w:id="251" w:name="Box56"/>
      <w:r w:rsidRPr="00F30EF3">
        <w:rPr>
          <w:rFonts w:cstheme="minorHAnsi"/>
          <w:b/>
          <w:bCs/>
          <w:rtl/>
        </w:rPr>
        <w:t>الإطار</w:t>
      </w:r>
      <w:bookmarkEnd w:id="251"/>
      <w:r w:rsidR="00A05B77" w:rsidRPr="00F30EF3">
        <w:rPr>
          <w:rFonts w:cstheme="minorHAnsi"/>
          <w:b/>
          <w:bCs/>
        </w:rPr>
        <w:t>.</w:t>
      </w:r>
      <w:r w:rsidR="00D0611D" w:rsidRPr="00F30EF3">
        <w:rPr>
          <w:rFonts w:cstheme="minorHAnsi"/>
          <w:b/>
          <w:bCs/>
        </w:rPr>
        <w:t>57</w:t>
      </w:r>
      <w:r w:rsidRPr="00F30EF3">
        <w:rPr>
          <w:rFonts w:cstheme="minorHAnsi"/>
          <w:b/>
          <w:bCs/>
          <w:rtl/>
        </w:rPr>
        <w:t xml:space="preserve"> الاعتبارات بشأن إيداع طلب براءة</w:t>
      </w:r>
    </w:p>
    <w:p w14:paraId="54A190BF" w14:textId="77777777" w:rsidR="00425C10" w:rsidRPr="00F30EF3" w:rsidRDefault="00425C10" w:rsidP="00425C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jc w:val="both"/>
        <w:rPr>
          <w:rFonts w:cstheme="minorHAnsi"/>
          <w:lang w:val="en-US"/>
        </w:rPr>
      </w:pPr>
    </w:p>
    <w:p w14:paraId="553ACA93" w14:textId="77777777" w:rsidR="001B700C" w:rsidRPr="00F30EF3" w:rsidRDefault="00425C10" w:rsidP="00425C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jc w:val="both"/>
        <w:rPr>
          <w:rFonts w:cstheme="minorHAnsi"/>
          <w:rtl/>
        </w:rPr>
      </w:pPr>
      <w:r w:rsidRPr="00F30EF3">
        <w:rPr>
          <w:rFonts w:cstheme="minorHAnsi"/>
          <w:rtl/>
        </w:rPr>
        <w:t>تتضمن الاعتبارات النموذجية:</w:t>
      </w:r>
    </w:p>
    <w:p w14:paraId="4B7A456A" w14:textId="77777777" w:rsidR="001B700C" w:rsidRPr="00F30EF3" w:rsidRDefault="00425C10"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cstheme="minorHAnsi"/>
          <w:rtl/>
        </w:rPr>
      </w:pPr>
      <w:r w:rsidRPr="00F30EF3">
        <w:rPr>
          <w:rFonts w:cstheme="minorHAnsi"/>
          <w:rtl/>
        </w:rPr>
        <w:t>إذا ما كان الاختراع مؤهلاً للحماية بموجب براءة؛</w:t>
      </w:r>
    </w:p>
    <w:p w14:paraId="2CC5CF72" w14:textId="77777777" w:rsidR="001B700C" w:rsidRPr="00F30EF3" w:rsidRDefault="00425C10"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cstheme="minorHAnsi"/>
          <w:rtl/>
        </w:rPr>
      </w:pPr>
      <w:r w:rsidRPr="00F30EF3">
        <w:rPr>
          <w:rFonts w:cstheme="minorHAnsi"/>
          <w:rtl/>
        </w:rPr>
        <w:t>الاستخدامات المشابهة للاختراع؛</w:t>
      </w:r>
    </w:p>
    <w:p w14:paraId="3BB41D62" w14:textId="77777777" w:rsidR="001B700C" w:rsidRPr="00F30EF3" w:rsidRDefault="00425C10"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cstheme="minorHAnsi"/>
          <w:rtl/>
        </w:rPr>
      </w:pPr>
      <w:r w:rsidRPr="00F30EF3">
        <w:rPr>
          <w:rFonts w:cstheme="minorHAnsi"/>
          <w:rtl/>
        </w:rPr>
        <w:t>إذا ما كان للاختراع إمكانية تجارية كافية</w:t>
      </w:r>
      <w:r w:rsidRPr="00F30EF3">
        <w:rPr>
          <w:rStyle w:val="FootnoteReference"/>
          <w:rFonts w:cstheme="minorHAnsi"/>
          <w:rtl/>
          <w:lang w:val="en-US"/>
        </w:rPr>
        <w:footnoteReference w:id="160"/>
      </w:r>
      <w:r w:rsidRPr="00F30EF3">
        <w:rPr>
          <w:rFonts w:cstheme="minorHAnsi"/>
          <w:rtl/>
        </w:rPr>
        <w:t>؛</w:t>
      </w:r>
    </w:p>
    <w:p w14:paraId="07D811B2" w14:textId="77777777" w:rsidR="001B700C" w:rsidRPr="00F30EF3" w:rsidRDefault="00425C10"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cstheme="minorHAnsi"/>
          <w:rtl/>
        </w:rPr>
      </w:pPr>
      <w:r w:rsidRPr="00F30EF3">
        <w:rPr>
          <w:rFonts w:cstheme="minorHAnsi"/>
          <w:rtl/>
        </w:rPr>
        <w:t xml:space="preserve">وإذا ما كانت هناك حاجة إلى اختراع إضافي مهم (بحث، تطوير، خطوات موافقة تنظيمية، تسويق، وما إلى ذلك)، </w:t>
      </w:r>
    </w:p>
    <w:p w14:paraId="072B8C05" w14:textId="77777777" w:rsidR="00EF5739" w:rsidRPr="00F30EF3" w:rsidRDefault="001B700C"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cstheme="minorHAnsi"/>
          <w:rtl/>
        </w:rPr>
      </w:pPr>
      <w:r w:rsidRPr="00F30EF3">
        <w:rPr>
          <w:rFonts w:cstheme="minorHAnsi"/>
          <w:rtl/>
        </w:rPr>
        <w:t>و(في بعض المؤسسات) إذا ما كان الاختراع لا يحمل قيمة تجارية كبيرة، إلا أنه يمكن أن يحدث تأثيراً اجتماعياً عبر قنوات غير تجارية.</w:t>
      </w:r>
    </w:p>
    <w:p w14:paraId="2CA751B1" w14:textId="77777777" w:rsidR="00EF5739" w:rsidRPr="00F30EF3" w:rsidRDefault="00EF5739" w:rsidP="00EF573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0"/>
        <w:jc w:val="both"/>
        <w:rPr>
          <w:rFonts w:cstheme="minorHAnsi"/>
          <w:lang w:val="en-US"/>
        </w:rPr>
      </w:pPr>
    </w:p>
    <w:p w14:paraId="29F5BDC8" w14:textId="77777777" w:rsidR="00425C10" w:rsidRPr="00F30EF3" w:rsidRDefault="00EF5739" w:rsidP="00EF573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0"/>
        <w:jc w:val="both"/>
        <w:rPr>
          <w:rFonts w:eastAsia="Times New Roman" w:cstheme="minorHAnsi"/>
          <w:rtl/>
        </w:rPr>
      </w:pPr>
      <w:r w:rsidRPr="00F30EF3">
        <w:rPr>
          <w:rFonts w:cstheme="minorHAnsi"/>
          <w:rtl/>
        </w:rPr>
        <w:t>الاكتشافات المرتبطة بالمواد التي ليس لها قيمة تجارية كبيرة لكنها قد تكون مفيدة في البحث غير التجاري يتم أحياناً نقلها بطريقة غير استئثارية إلى أطراف أخرى عبر اتفاقات نقل المواد.</w:t>
      </w:r>
      <w:r w:rsidRPr="00F30EF3">
        <w:rPr>
          <w:rStyle w:val="Heading1Char"/>
          <w:rFonts w:asciiTheme="minorHAnsi" w:hAnsiTheme="minorHAnsi" w:cstheme="minorHAnsi"/>
          <w:sz w:val="22"/>
          <w:szCs w:val="22"/>
          <w:rtl/>
        </w:rPr>
        <w:t xml:space="preserve"> </w:t>
      </w:r>
      <w:r w:rsidRPr="00F30EF3">
        <w:rPr>
          <w:rFonts w:cstheme="minorHAnsi"/>
          <w:rtl/>
        </w:rPr>
        <w:t xml:space="preserve">أمثلة على الاكتشافات التي تندرج عموماً ضمن اتفاقات نقل المواد، بما في ذلك السلالات الخلوية والأجسام المضادة وحيدة النسيلة والمواد الكاشفة والنماذج الحيوانية وعوامل النمو ومكتبات الحمض النووي الريبي المنزوع الأوكسجين والحيوانات المستنسخة والطرق المختبرية وبعض برامج الحاسوب. </w:t>
      </w:r>
    </w:p>
    <w:p w14:paraId="537E6A43" w14:textId="77777777" w:rsidR="00EF5739" w:rsidRPr="00F30EF3" w:rsidRDefault="00EF5739" w:rsidP="00EF573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0"/>
        <w:jc w:val="both"/>
        <w:rPr>
          <w:rFonts w:cstheme="minorHAnsi"/>
          <w:lang w:val="en-US"/>
        </w:rPr>
      </w:pPr>
    </w:p>
    <w:p w14:paraId="33BF668E" w14:textId="77777777" w:rsidR="00425C10" w:rsidRPr="00F30EF3" w:rsidRDefault="00425C10" w:rsidP="00425C10">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0"/>
        <w:jc w:val="both"/>
        <w:rPr>
          <w:rFonts w:cstheme="minorHAnsi"/>
          <w:i/>
          <w:iCs/>
          <w:rtl/>
        </w:rPr>
      </w:pPr>
      <w:r w:rsidRPr="00F30EF3">
        <w:rPr>
          <w:rFonts w:cstheme="minorHAnsi"/>
          <w:i/>
          <w:iCs/>
          <w:rtl/>
        </w:rPr>
        <w:t>المصدر: انظر جيه. فان نورمان، ‏</w:t>
      </w:r>
      <w:hyperlink r:id="rId130" w:history="1">
        <w:r w:rsidRPr="00F30EF3">
          <w:rPr>
            <w:rStyle w:val="Hyperlink"/>
            <w:rFonts w:cstheme="minorHAnsi"/>
            <w:i/>
            <w:iCs/>
          </w:rPr>
          <w:t>Technology Transfer:</w:t>
        </w:r>
        <w:r w:rsidRPr="00F30EF3">
          <w:rPr>
            <w:rStyle w:val="Hyperlink"/>
            <w:rFonts w:cstheme="minorHAnsi"/>
            <w:i/>
            <w:iCs/>
            <w:cs/>
          </w:rPr>
          <w:t>‎</w:t>
        </w:r>
      </w:hyperlink>
      <w:hyperlink r:id="rId131" w:history="1">
        <w:r w:rsidRPr="00F30EF3">
          <w:rPr>
            <w:rStyle w:val="Hyperlink"/>
            <w:rFonts w:cstheme="minorHAnsi"/>
            <w:i/>
            <w:iCs/>
          </w:rPr>
          <w:t xml:space="preserve"> From the Research Bench to Commercialization</w:t>
        </w:r>
      </w:hyperlink>
      <w:r w:rsidRPr="00F30EF3">
        <w:rPr>
          <w:rFonts w:cstheme="minorHAnsi"/>
          <w:i/>
          <w:iCs/>
          <w:rtl/>
        </w:rPr>
        <w:t xml:space="preserve">،‏ </w:t>
      </w:r>
      <w:r w:rsidRPr="00F30EF3">
        <w:rPr>
          <w:rFonts w:cstheme="minorHAnsi"/>
          <w:i/>
          <w:iCs/>
        </w:rPr>
        <w:t>Basic to Translational Science</w:t>
      </w:r>
      <w:r w:rsidRPr="00F30EF3">
        <w:rPr>
          <w:rFonts w:cstheme="minorHAnsi"/>
          <w:i/>
          <w:iCs/>
          <w:rtl/>
        </w:rPr>
        <w:t>، المجلد 2، رقم 2، 2017.</w:t>
      </w:r>
    </w:p>
    <w:p w14:paraId="50CE23BC" w14:textId="77777777" w:rsidR="00425C10" w:rsidRPr="00F30EF3" w:rsidRDefault="00425C10" w:rsidP="00425C10">
      <w:pPr>
        <w:pStyle w:val="ListParagraph"/>
        <w:tabs>
          <w:tab w:val="left" w:pos="851"/>
        </w:tabs>
        <w:spacing w:after="0" w:line="240" w:lineRule="auto"/>
        <w:ind w:left="426"/>
        <w:jc w:val="both"/>
        <w:rPr>
          <w:rFonts w:cstheme="minorHAnsi"/>
          <w:lang w:val="en-US"/>
        </w:rPr>
      </w:pPr>
    </w:p>
    <w:p w14:paraId="0F3DCE73" w14:textId="56CB8259" w:rsidR="007C2E1E" w:rsidRPr="00F30EF3" w:rsidRDefault="007C2E1E" w:rsidP="00A05B77">
      <w:pPr>
        <w:pStyle w:val="ListParagraph"/>
        <w:numPr>
          <w:ilvl w:val="0"/>
          <w:numId w:val="19"/>
        </w:numPr>
        <w:tabs>
          <w:tab w:val="left" w:pos="851"/>
        </w:tabs>
        <w:spacing w:after="120" w:line="240" w:lineRule="auto"/>
        <w:ind w:left="426" w:hanging="426"/>
        <w:contextualSpacing w:val="0"/>
        <w:jc w:val="both"/>
        <w:rPr>
          <w:rFonts w:cstheme="minorHAnsi"/>
          <w:rtl/>
        </w:rPr>
      </w:pPr>
      <w:r w:rsidRPr="00F30EF3">
        <w:rPr>
          <w:rFonts w:cstheme="minorHAnsi"/>
          <w:b/>
          <w:bCs/>
          <w:rtl/>
        </w:rPr>
        <w:t>المادة 3.3.8،</w:t>
      </w:r>
      <w:r w:rsidRPr="00F30EF3">
        <w:rPr>
          <w:rFonts w:cstheme="minorHAnsi"/>
          <w:rtl/>
        </w:rPr>
        <w:t xml:space="preserve"> </w:t>
      </w:r>
      <w:r w:rsidRPr="00F30EF3">
        <w:rPr>
          <w:rFonts w:cstheme="minorHAnsi"/>
          <w:b/>
          <w:bCs/>
          <w:i/>
          <w:iCs/>
          <w:rtl/>
        </w:rPr>
        <w:t>سيخطر مكتب إدارة الملكية الفكرية المبدعين بالقرار</w:t>
      </w:r>
      <w:r w:rsidRPr="00F30EF3">
        <w:rPr>
          <w:rFonts w:cstheme="minorHAnsi"/>
          <w:b/>
          <w:bCs/>
          <w:rtl/>
        </w:rPr>
        <w:t>.</w:t>
      </w:r>
      <w:r w:rsidRPr="00F30EF3">
        <w:rPr>
          <w:rFonts w:cstheme="minorHAnsi"/>
          <w:b/>
          <w:bCs/>
          <w:i/>
          <w:iCs/>
          <w:rtl/>
        </w:rPr>
        <w:t xml:space="preserve"> </w:t>
      </w:r>
      <w:r w:rsidRPr="00F30EF3">
        <w:rPr>
          <w:rFonts w:cstheme="minorHAnsi"/>
          <w:rtl/>
        </w:rPr>
        <w:t>ينبغي أن يسلط مكتب إدارة الملكية الفكرية الضوء على النقاط البارزة التي تبين إذا ما كان ينبغي مواصلة الكشف عن الملكية الفكرية أم تعليقه انتظاراً للحصول على مزيد من المعلومات أم عدم مواصلته. وينبغي أن يتوخى مكتب إدارة الملكية الفكرية الحيطة، فبالرغم من إتاحة الفرصة للمبدعين بتقديم مدخلات، فإن أي قرار نهائي يظل في يد مكتب إدارة الملكية الفكرية. ومع ذلك، يعدّ من المهم ضمان تعاون المبدعين.</w:t>
      </w:r>
    </w:p>
    <w:p w14:paraId="2F977119" w14:textId="585473D6" w:rsidR="006C203B" w:rsidRPr="00F30EF3" w:rsidRDefault="00801D1A" w:rsidP="00A05B77">
      <w:pPr>
        <w:pStyle w:val="ListParagraph"/>
        <w:numPr>
          <w:ilvl w:val="0"/>
          <w:numId w:val="19"/>
        </w:numPr>
        <w:spacing w:after="120" w:line="240" w:lineRule="auto"/>
        <w:ind w:left="425" w:hanging="425"/>
        <w:contextualSpacing w:val="0"/>
        <w:jc w:val="both"/>
        <w:rPr>
          <w:rFonts w:eastAsia="Times New Roman" w:cstheme="minorHAnsi"/>
          <w:b/>
          <w:bCs/>
          <w:rtl/>
        </w:rPr>
      </w:pPr>
      <w:r w:rsidRPr="00F30EF3">
        <w:rPr>
          <w:rFonts w:cstheme="minorHAnsi"/>
          <w:b/>
          <w:bCs/>
          <w:rtl/>
        </w:rPr>
        <w:t>المادة 3.3.8،</w:t>
      </w:r>
      <w:r w:rsidRPr="00F30EF3">
        <w:rPr>
          <w:rFonts w:cstheme="minorHAnsi"/>
          <w:rtl/>
        </w:rPr>
        <w:t xml:space="preserve"> </w:t>
      </w:r>
      <w:r w:rsidRPr="00F30EF3">
        <w:rPr>
          <w:rFonts w:cstheme="minorHAnsi"/>
          <w:b/>
          <w:bCs/>
          <w:i/>
          <w:iCs/>
          <w:rtl/>
        </w:rPr>
        <w:t>خلال مدة لا تزيد عن [عادةً من 60 إلى 90 يوماً]</w:t>
      </w:r>
      <w:r w:rsidRPr="00F30EF3">
        <w:rPr>
          <w:rFonts w:cstheme="minorHAnsi"/>
          <w:b/>
          <w:bCs/>
          <w:rtl/>
        </w:rPr>
        <w:t xml:space="preserve">: </w:t>
      </w:r>
      <w:r w:rsidRPr="00F30EF3">
        <w:rPr>
          <w:rFonts w:cstheme="minorHAnsi"/>
          <w:rtl/>
        </w:rPr>
        <w:t>بينما يعدّ ضرورياً أن يتصرف مكتب إدارة الملكية الفكرية في توقيتات معقولة عند اتخاذ القرارات بشأن أي كشف عن الملكية الفكرية، فقد يستغرق جمع وتحليل المعلومات الضرورية لاتخاذ قرار مستنير وقتاً كبيراً؛ ولا ينبغي استعجال مكتب إدارة الملكية الفكرية إلى اتخاذ قرار غير حكيم.</w:t>
      </w:r>
    </w:p>
    <w:p w14:paraId="5FDAA41F" w14:textId="77777777" w:rsidR="00C42B4A" w:rsidRPr="00F30EF3" w:rsidRDefault="00C42B4A" w:rsidP="00831449">
      <w:pPr>
        <w:pStyle w:val="Heading3"/>
        <w:spacing w:before="360"/>
        <w:rPr>
          <w:rFonts w:asciiTheme="minorHAnsi" w:hAnsiTheme="minorHAnsi" w:cstheme="minorHAnsi"/>
          <w:sz w:val="24"/>
          <w:szCs w:val="24"/>
          <w:rtl/>
        </w:rPr>
      </w:pPr>
      <w:bookmarkStart w:id="252" w:name="_Article_8.4_–"/>
      <w:bookmarkStart w:id="253" w:name="_Toc515566161"/>
      <w:bookmarkStart w:id="254" w:name="_Toc516121324"/>
      <w:bookmarkStart w:id="255" w:name="_Toc516160075"/>
      <w:bookmarkStart w:id="256" w:name="_Toc516219418"/>
      <w:bookmarkStart w:id="257" w:name="_Toc516496062"/>
      <w:bookmarkStart w:id="258" w:name="_Toc516829434"/>
      <w:bookmarkEnd w:id="252"/>
      <w:r w:rsidRPr="00F30EF3">
        <w:rPr>
          <w:rFonts w:asciiTheme="minorHAnsi" w:hAnsiTheme="minorHAnsi" w:cstheme="minorHAnsi"/>
          <w:sz w:val="24"/>
          <w:szCs w:val="24"/>
          <w:rtl/>
        </w:rPr>
        <w:t>المادة 4.8 - تختار المؤسسة ألا تحمي/ تسوق الملكية الفكرية</w:t>
      </w:r>
      <w:bookmarkEnd w:id="253"/>
      <w:bookmarkEnd w:id="254"/>
      <w:bookmarkEnd w:id="255"/>
      <w:bookmarkEnd w:id="256"/>
      <w:bookmarkEnd w:id="257"/>
      <w:bookmarkEnd w:id="258"/>
    </w:p>
    <w:p w14:paraId="157A21CC" w14:textId="6B5073F6" w:rsidR="00C42B4A" w:rsidRPr="00F30EF3" w:rsidRDefault="00C42B4A" w:rsidP="001E7D6C">
      <w:pPr>
        <w:pStyle w:val="ListParagraph"/>
        <w:numPr>
          <w:ilvl w:val="0"/>
          <w:numId w:val="131"/>
        </w:numPr>
        <w:tabs>
          <w:tab w:val="left" w:pos="851"/>
        </w:tabs>
        <w:spacing w:after="0" w:line="240" w:lineRule="auto"/>
        <w:ind w:left="426" w:hanging="426"/>
        <w:jc w:val="both"/>
        <w:rPr>
          <w:rFonts w:cstheme="minorHAnsi"/>
        </w:rPr>
      </w:pPr>
      <w:r w:rsidRPr="00F30EF3">
        <w:rPr>
          <w:rFonts w:cstheme="minorHAnsi"/>
          <w:b/>
          <w:bCs/>
          <w:color w:val="000000" w:themeColor="text1"/>
          <w:rtl/>
        </w:rPr>
        <w:t>المادة 1.4.8،</w:t>
      </w:r>
      <w:r w:rsidR="00D12B99" w:rsidRPr="00F30EF3">
        <w:rPr>
          <w:rFonts w:cstheme="minorHAnsi"/>
          <w:b/>
          <w:bCs/>
          <w:color w:val="000000" w:themeColor="text1"/>
          <w:rtl/>
        </w:rPr>
        <w:t xml:space="preserve"> </w:t>
      </w:r>
      <w:r w:rsidRPr="00F30EF3">
        <w:rPr>
          <w:rFonts w:cstheme="minorHAnsi"/>
          <w:b/>
          <w:bCs/>
          <w:color w:val="000000" w:themeColor="text1"/>
          <w:rtl/>
        </w:rPr>
        <w:t xml:space="preserve"> </w:t>
      </w:r>
      <w:r w:rsidRPr="00F30EF3">
        <w:rPr>
          <w:rFonts w:cstheme="minorHAnsi"/>
          <w:b/>
          <w:bCs/>
          <w:i/>
          <w:iCs/>
          <w:color w:val="000000" w:themeColor="text1"/>
          <w:rtl/>
        </w:rPr>
        <w:t xml:space="preserve"> الملكية الفكرية المُتخلَّى عنها أو التي لم يتم تسويقها:</w:t>
      </w:r>
      <w:r w:rsidRPr="00F30EF3">
        <w:rPr>
          <w:rFonts w:cstheme="minorHAnsi"/>
          <w:color w:val="000000" w:themeColor="text1"/>
          <w:rtl/>
        </w:rPr>
        <w:t xml:space="preserve"> يجب أن يوفر مكتب إدارة الملكية الفكرية بعض المبادئ التوجيهية للمبدعين في الحالات التي تسعى فيها المؤسسة إلى حماية الملكية الفكرية و/أو التي لن تسعى فيها إلى تسويق الملكية الفكرية التي تم الكشف عنها.  ويعزى سبب ذلك إلى أن الباحث نادراً ما يكون موضوعياً بشأن إبداعه، ومن هنا قد يشعر بأن مكتب إدارة الملكية الفكرية مُلزم بضمه إلى محفظته.  ورغم ذلك، غالباً ما تكون هناك حالات يعتبر فيها الكشف "غير قابل للتنفيذ".  قد تشمل هذه الحالات عدم وجود احتمالات معقولة لمنتج أو عملية أو خدمة قابلة للتطبيق تجارياً، أو قد يلزم إجراء المزيد من البحوث، أو قد لا يكون من مصلحة المؤسسة، أو من المناسب لها في الحقيقة، السعي إلى تسويق التكنولوجيا المفصح عنها تجارياً، أو قد لا يكون التسويق التجاري في المصلحة العامة نظراً لاستخدام الأموال العامة لتطوير الملكية الفكرية.  </w:t>
      </w:r>
    </w:p>
    <w:p w14:paraId="096F5459" w14:textId="3BBE8AD3" w:rsidR="00C42B4A" w:rsidRPr="00F30EF3" w:rsidRDefault="00C42B4A" w:rsidP="009D4A54">
      <w:pPr>
        <w:pStyle w:val="ListParagraph"/>
        <w:numPr>
          <w:ilvl w:val="0"/>
          <w:numId w:val="131"/>
        </w:numPr>
        <w:tabs>
          <w:tab w:val="left" w:pos="851"/>
        </w:tabs>
        <w:spacing w:after="0" w:line="240" w:lineRule="auto"/>
        <w:ind w:left="426" w:hanging="426"/>
        <w:jc w:val="both"/>
        <w:rPr>
          <w:rFonts w:cstheme="minorHAnsi"/>
          <w:rtl/>
        </w:rPr>
      </w:pPr>
      <w:r w:rsidRPr="00F30EF3">
        <w:rPr>
          <w:rFonts w:cstheme="minorHAnsi"/>
          <w:b/>
          <w:bCs/>
          <w:rtl/>
        </w:rPr>
        <w:lastRenderedPageBreak/>
        <w:t>المادة 2.4.8 إلى 6.4.8</w:t>
      </w:r>
      <w:r w:rsidRPr="00F30EF3">
        <w:rPr>
          <w:rFonts w:cstheme="minorHAnsi"/>
          <w:b/>
          <w:bCs/>
          <w:i/>
          <w:iCs/>
          <w:rtl/>
        </w:rPr>
        <w:t>، نقل الحيازة، الإخطار المكتوب، عدم المساس بحماية الملكية الفكرية، التنازل وأيّ أحكام وشروط:</w:t>
      </w:r>
      <w:r w:rsidRPr="00F30EF3">
        <w:rPr>
          <w:rFonts w:cstheme="minorHAnsi"/>
          <w:rtl/>
        </w:rPr>
        <w:t xml:space="preserve"> إذا قررت المؤسسة عدم السعي لحماية الملكية الفكرية و/أو التسويق، فمن المهم التأكد من توفير الفرصة للمبدعين أو أي أطراف/ جهات راعية خارجية لأخذ الحيازة. ويجب إبلاغ هذا القرار كتابياً إلى المبدعين أو أي أطراف/ جهات راعية خارجية بطريقة تمنع فقدان أيّ حقوق موجودة. كي يتمكن المبدعون و/أو الأطراف/ الجهات الراعية الخارجية من مواصلة ملاحقة الملكية الفكرية قضائياً، سيحتاجون إلى فعل ذلك باسمهم، وبالتالي يجب على المؤسسة نقل حقوق ملكيتهم عبر عقد تنازل. وبما أن هذا الترتيب يستند إلى شروط متفق عليها بين الأطراف، فقد يتفق الأطراف على أي حقوق و/أو فوائد مستمرة للمؤسسة. وعادةً ما يتم تشجيع المؤسسة على الحصول على ترخيص غير استئثاري خالٍ من الإتاوة لاستخدام الملكية الفكرية في البحث والتطوير المستمر.</w:t>
      </w:r>
    </w:p>
    <w:p w14:paraId="0F038784" w14:textId="77777777" w:rsidR="00C42B4A" w:rsidRPr="00F30EF3" w:rsidRDefault="00C42B4A" w:rsidP="00F77A00">
      <w:pPr>
        <w:tabs>
          <w:tab w:val="left" w:pos="851"/>
        </w:tabs>
        <w:spacing w:after="0" w:line="240" w:lineRule="auto"/>
        <w:jc w:val="both"/>
        <w:rPr>
          <w:rFonts w:cstheme="minorHAnsi"/>
          <w:b/>
          <w:bCs/>
          <w:color w:val="0070C0"/>
          <w:lang w:val="en-US"/>
        </w:rPr>
      </w:pPr>
    </w:p>
    <w:p w14:paraId="15729ABD" w14:textId="7A515798" w:rsidR="00C42B4A" w:rsidRPr="00F30EF3" w:rsidRDefault="00C42B4A"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cstheme="minorHAnsi"/>
          <w:b/>
          <w:bCs/>
          <w:rtl/>
        </w:rPr>
      </w:pPr>
      <w:r w:rsidRPr="00F30EF3">
        <w:rPr>
          <w:rFonts w:cstheme="minorHAnsi"/>
          <w:b/>
          <w:bCs/>
          <w:rtl/>
        </w:rPr>
        <w:t xml:space="preserve">الإطار </w:t>
      </w:r>
      <w:r w:rsidR="007060A7" w:rsidRPr="00F30EF3">
        <w:rPr>
          <w:rFonts w:cstheme="minorHAnsi"/>
          <w:b/>
          <w:bCs/>
        </w:rPr>
        <w:t>.</w:t>
      </w:r>
      <w:r w:rsidR="00D0611D" w:rsidRPr="00F30EF3">
        <w:rPr>
          <w:rFonts w:cstheme="minorHAnsi"/>
          <w:b/>
          <w:bCs/>
        </w:rPr>
        <w:t>58</w:t>
      </w:r>
      <w:r w:rsidRPr="00F30EF3">
        <w:rPr>
          <w:rFonts w:cstheme="minorHAnsi"/>
          <w:b/>
          <w:bCs/>
          <w:rtl/>
        </w:rPr>
        <w:t xml:space="preserve">  نصائح - الممارسات السليمة للكشف عن الملكية الفكرية/الاختراع</w:t>
      </w:r>
    </w:p>
    <w:p w14:paraId="68A6F895" w14:textId="77777777" w:rsidR="00632909" w:rsidRPr="00F30EF3" w:rsidRDefault="00632909"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cstheme="minorHAnsi"/>
          <w:b/>
          <w:bCs/>
          <w:lang w:val="en-US"/>
        </w:rPr>
      </w:pPr>
    </w:p>
    <w:p w14:paraId="689B679C" w14:textId="77777777" w:rsidR="00C42B4A" w:rsidRPr="00F30EF3" w:rsidRDefault="00C42B4A"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cstheme="minorHAnsi"/>
          <w:color w:val="0070C0"/>
          <w:rtl/>
        </w:rPr>
      </w:pPr>
      <w:bookmarkStart w:id="259" w:name="management"/>
      <w:bookmarkStart w:id="260" w:name="scientists"/>
      <w:bookmarkEnd w:id="259"/>
      <w:bookmarkEnd w:id="260"/>
      <w:r w:rsidRPr="00F30EF3">
        <w:rPr>
          <w:rFonts w:cstheme="minorHAnsi"/>
          <w:color w:val="0070C0"/>
          <w:rtl/>
        </w:rPr>
        <w:t>للباحثين</w:t>
      </w:r>
      <w:r w:rsidRPr="00F30EF3">
        <w:rPr>
          <w:rFonts w:cstheme="minorHAnsi"/>
          <w:rtl/>
        </w:rPr>
        <w:t xml:space="preserve"> </w:t>
      </w:r>
    </w:p>
    <w:p w14:paraId="2CE2B2B3" w14:textId="77777777" w:rsidR="00C42B4A" w:rsidRPr="00F30EF3"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cstheme="minorHAnsi"/>
          <w:rtl/>
        </w:rPr>
      </w:pPr>
      <w:r w:rsidRPr="00F30EF3">
        <w:rPr>
          <w:rFonts w:cstheme="minorHAnsi"/>
          <w:rtl/>
        </w:rPr>
        <w:t>معرفة ماهية الاختراع ومتى يجب عليك إبلاغ مكتب إدارة الملكية الفكرية بضرورة الكشف عن الاختراع. يمكنك إبداع اختراعات عديدة أكثر مما تعتقد.</w:t>
      </w:r>
    </w:p>
    <w:p w14:paraId="0FEE4D81" w14:textId="77777777" w:rsidR="00C42B4A" w:rsidRPr="00F30EF3"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cstheme="minorHAnsi"/>
          <w:rtl/>
        </w:rPr>
      </w:pPr>
      <w:r w:rsidRPr="00F30EF3">
        <w:rPr>
          <w:rFonts w:cstheme="minorHAnsi"/>
          <w:rtl/>
        </w:rPr>
        <w:t>تساعد حالات الكشف عن الاختراعات على حماية الاختراعات/ الإبداعات التي تم التوصل إليها في مختبرك لأنها تسجل التاريخ الذي تم فيه إبداع الاختراعات/الإبداعات وتثبت أبوة الاختراع/أبوة الإبداع.</w:t>
      </w:r>
    </w:p>
    <w:p w14:paraId="4420047C" w14:textId="77777777" w:rsidR="00793C0C" w:rsidRPr="00F30EF3" w:rsidRDefault="00793C0C"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cstheme="minorHAnsi"/>
          <w:rtl/>
        </w:rPr>
      </w:pPr>
      <w:r w:rsidRPr="00F30EF3">
        <w:rPr>
          <w:rFonts w:cstheme="minorHAnsi"/>
          <w:rtl/>
        </w:rPr>
        <w:t>لتجنب النشر المحتمل غير المرغوب فيه للاختراع قبل إيداع طلب البراءة، فإنه يجب تقديم جميع حالات الكشف عن الملكية الفكرية سراً.</w:t>
      </w:r>
    </w:p>
    <w:p w14:paraId="1B58F2D9" w14:textId="77777777" w:rsidR="00C42B4A" w:rsidRPr="00F30EF3"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cstheme="minorHAnsi"/>
          <w:rtl/>
        </w:rPr>
      </w:pPr>
      <w:r w:rsidRPr="00F30EF3">
        <w:rPr>
          <w:rFonts w:cstheme="minorHAnsi"/>
          <w:rtl/>
        </w:rPr>
        <w:t>يمكن لمكتب إدارة الملكية الفكرية الذي أودعت فيه طلبك أن يطلعك على سياسات مؤسستك فيما يتعلق بالكشف عن الاختراع ويزودك باستمارات الكشف عن الاختراعات.</w:t>
      </w:r>
    </w:p>
    <w:p w14:paraId="3E693497" w14:textId="77777777" w:rsidR="00632909" w:rsidRPr="00F30EF3" w:rsidRDefault="00632909"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cstheme="minorHAnsi"/>
          <w:color w:val="0070C0"/>
          <w:rtl/>
        </w:rPr>
      </w:pPr>
      <w:bookmarkStart w:id="261" w:name="tech"/>
      <w:bookmarkEnd w:id="261"/>
    </w:p>
    <w:p w14:paraId="651362D0" w14:textId="77777777" w:rsidR="00C42B4A" w:rsidRPr="00F30EF3" w:rsidRDefault="00C42B4A"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cstheme="minorHAnsi"/>
          <w:color w:val="0070C0"/>
          <w:rtl/>
        </w:rPr>
      </w:pPr>
      <w:r w:rsidRPr="00F30EF3">
        <w:rPr>
          <w:rFonts w:cstheme="minorHAnsi"/>
          <w:color w:val="0070C0"/>
          <w:rtl/>
        </w:rPr>
        <w:t>لموظفي مكاتب إدارة الملكية الفكرية</w:t>
      </w:r>
      <w:r w:rsidRPr="00F30EF3">
        <w:rPr>
          <w:rFonts w:cstheme="minorHAnsi"/>
          <w:rtl/>
        </w:rPr>
        <w:t xml:space="preserve"> </w:t>
      </w:r>
    </w:p>
    <w:p w14:paraId="33C2BD39" w14:textId="77777777" w:rsidR="00C42B4A" w:rsidRPr="00F30EF3"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cstheme="minorHAnsi"/>
          <w:rtl/>
        </w:rPr>
      </w:pPr>
      <w:r w:rsidRPr="00F30EF3">
        <w:rPr>
          <w:rFonts w:cstheme="minorHAnsi"/>
          <w:rtl/>
        </w:rPr>
        <w:t>تتمثل إحدى الطرق لقياس فعالية نقل التكنولوجيا في المؤسسة في تتبع عدد حالات الكشف المتعلقة بالملكية الفكرية المودعة في مكتبك.</w:t>
      </w:r>
    </w:p>
    <w:p w14:paraId="50E2109E" w14:textId="77777777" w:rsidR="00C42B4A" w:rsidRPr="00F30EF3"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cstheme="minorHAnsi"/>
          <w:rtl/>
        </w:rPr>
      </w:pPr>
      <w:r w:rsidRPr="00F30EF3">
        <w:rPr>
          <w:rFonts w:cstheme="minorHAnsi"/>
          <w:rtl/>
        </w:rPr>
        <w:t>إعداد نظام إيداع لحالات الكشف عن الملكية الفكرية وتتبع ملفاتك بحيث يمكنك تحديد موعد إيداع طلبات براءة (أو ملكية فكرية أخرى) أو إذا كان ينبغي إيداع طلبات البراءة هذه لاختراعات/ إبداعات محددة.</w:t>
      </w:r>
    </w:p>
    <w:p w14:paraId="0BA4603B" w14:textId="77777777" w:rsidR="003351F2" w:rsidRPr="00F30EF3" w:rsidRDefault="003351F2"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cstheme="minorHAnsi"/>
          <w:rtl/>
        </w:rPr>
      </w:pPr>
      <w:r w:rsidRPr="00F30EF3">
        <w:rPr>
          <w:rFonts w:cstheme="minorHAnsi"/>
          <w:rtl/>
        </w:rPr>
        <w:t>إيلاء اهتمام شديد لكل حالة كشف عن الملكية الفكرية، بغض النظر عن محتواها.</w:t>
      </w:r>
    </w:p>
    <w:p w14:paraId="3C0C8150" w14:textId="77777777" w:rsidR="00C42B4A" w:rsidRPr="00F30EF3"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cstheme="minorHAnsi"/>
          <w:rtl/>
        </w:rPr>
      </w:pPr>
      <w:r w:rsidRPr="00F30EF3">
        <w:rPr>
          <w:rFonts w:cstheme="minorHAnsi"/>
          <w:rtl/>
        </w:rPr>
        <w:t>يمكن استخدام حالات الكشف عن الاختراع لتطوير محافظ البراءات.</w:t>
      </w:r>
    </w:p>
    <w:p w14:paraId="46C9B7A6" w14:textId="77777777" w:rsidR="00C42B4A" w:rsidRPr="00F30EF3"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cstheme="minorHAnsi"/>
          <w:rtl/>
        </w:rPr>
      </w:pPr>
      <w:r w:rsidRPr="00F30EF3">
        <w:rPr>
          <w:rFonts w:cstheme="minorHAnsi"/>
          <w:rtl/>
        </w:rPr>
        <w:t>يمكن استخدام حالات الكشف عن الاختراع لإعداد طلبات البراءات عالية الجودة.</w:t>
      </w:r>
    </w:p>
    <w:p w14:paraId="43973020" w14:textId="77777777" w:rsidR="00C42B4A" w:rsidRPr="00F30EF3"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cstheme="minorHAnsi"/>
          <w:rtl/>
        </w:rPr>
      </w:pPr>
      <w:r w:rsidRPr="00F30EF3">
        <w:rPr>
          <w:rFonts w:cstheme="minorHAnsi"/>
          <w:rtl/>
        </w:rPr>
        <w:t>إجراء دورات تدريبية إلزامية بشأن الكشف السليم عن الملكية الفكرية.</w:t>
      </w:r>
    </w:p>
    <w:p w14:paraId="1A1E06C8" w14:textId="77777777" w:rsidR="00C42B4A" w:rsidRPr="00F30EF3" w:rsidRDefault="00C42B4A"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cstheme="minorHAnsi"/>
          <w:b/>
          <w:bCs/>
          <w:lang w:val="en-US"/>
        </w:rPr>
      </w:pPr>
    </w:p>
    <w:p w14:paraId="0CF6E141" w14:textId="77777777" w:rsidR="00632909" w:rsidRPr="00F30EF3" w:rsidRDefault="00793C0C"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cstheme="minorHAnsi"/>
          <w:i/>
          <w:iCs/>
          <w:rtl/>
        </w:rPr>
      </w:pPr>
      <w:r w:rsidRPr="00F30EF3">
        <w:rPr>
          <w:rFonts w:cstheme="minorHAnsi"/>
          <w:i/>
          <w:iCs/>
          <w:rtl/>
        </w:rPr>
        <w:t>انظر أيضاً:</w:t>
      </w:r>
      <w:r w:rsidRPr="00F30EF3">
        <w:rPr>
          <w:rFonts w:cstheme="minorHAnsi"/>
          <w:b/>
          <w:bCs/>
          <w:rtl/>
        </w:rPr>
        <w:t xml:space="preserve"> </w:t>
      </w:r>
      <w:r w:rsidRPr="00F30EF3">
        <w:rPr>
          <w:rFonts w:cstheme="minorHAnsi"/>
          <w:i/>
          <w:iCs/>
          <w:rtl/>
        </w:rPr>
        <w:t>أناتول كراتيجر وآخرون</w:t>
      </w:r>
      <w:hyperlink r:id="rId132" w:history="1">
        <w:r w:rsidRPr="00F30EF3">
          <w:rPr>
            <w:rFonts w:cstheme="minorHAnsi"/>
            <w:i/>
            <w:iCs/>
          </w:rPr>
          <w:t xml:space="preserve"> </w:t>
        </w:r>
        <w:r w:rsidRPr="00F30EF3">
          <w:rPr>
            <w:rStyle w:val="Hyperlink"/>
            <w:rFonts w:cstheme="minorHAnsi"/>
            <w:i/>
            <w:iCs/>
          </w:rPr>
          <w:t>Sharing the Art of IP Management</w:t>
        </w:r>
      </w:hyperlink>
      <w:r w:rsidRPr="00F30EF3">
        <w:rPr>
          <w:rFonts w:cstheme="minorHAnsi"/>
          <w:i/>
          <w:iCs/>
          <w:rtl/>
        </w:rPr>
        <w:t>‏ (2007)</w:t>
      </w:r>
    </w:p>
    <w:p w14:paraId="762C2FBC" w14:textId="77777777" w:rsidR="00C42B4A" w:rsidRPr="00F30EF3" w:rsidRDefault="00C42B4A" w:rsidP="00F77A00">
      <w:pPr>
        <w:tabs>
          <w:tab w:val="left" w:pos="851"/>
        </w:tabs>
        <w:spacing w:after="0" w:line="240" w:lineRule="auto"/>
        <w:jc w:val="both"/>
        <w:rPr>
          <w:rFonts w:cstheme="minorHAnsi"/>
          <w:b/>
          <w:bCs/>
          <w:color w:val="0070C0"/>
          <w:lang w:val="en-US"/>
        </w:rPr>
      </w:pPr>
    </w:p>
    <w:p w14:paraId="1830372F" w14:textId="77777777" w:rsidR="00C42B4A" w:rsidRPr="00F30EF3" w:rsidRDefault="00C42B4A" w:rsidP="007874CF">
      <w:pPr>
        <w:pStyle w:val="Heading3"/>
        <w:spacing w:before="360"/>
        <w:rPr>
          <w:rFonts w:asciiTheme="minorHAnsi" w:hAnsiTheme="minorHAnsi" w:cstheme="minorHAnsi"/>
          <w:sz w:val="24"/>
          <w:szCs w:val="24"/>
          <w:rtl/>
        </w:rPr>
      </w:pPr>
      <w:bookmarkStart w:id="262" w:name="_Useful_References_to"/>
      <w:bookmarkStart w:id="263" w:name="_Toc516219419"/>
      <w:bookmarkStart w:id="264" w:name="_Toc516496063"/>
      <w:bookmarkStart w:id="265" w:name="_Toc516829435"/>
      <w:bookmarkEnd w:id="262"/>
      <w:r w:rsidRPr="00F30EF3">
        <w:rPr>
          <w:rFonts w:asciiTheme="minorHAnsi" w:hAnsiTheme="minorHAnsi" w:cstheme="minorHAnsi"/>
          <w:sz w:val="24"/>
          <w:szCs w:val="24"/>
          <w:rtl/>
        </w:rPr>
        <w:t>موارد مفيدة تتعلق بالمادة 8</w:t>
      </w:r>
      <w:bookmarkEnd w:id="263"/>
      <w:bookmarkEnd w:id="264"/>
      <w:bookmarkEnd w:id="265"/>
    </w:p>
    <w:p w14:paraId="0CC1D188" w14:textId="77777777" w:rsidR="00C40775" w:rsidRPr="00F30EF3" w:rsidRDefault="00C40775" w:rsidP="009D4A54">
      <w:pPr>
        <w:pStyle w:val="ListParagraph"/>
        <w:numPr>
          <w:ilvl w:val="0"/>
          <w:numId w:val="133"/>
        </w:numPr>
        <w:tabs>
          <w:tab w:val="left" w:pos="851"/>
        </w:tabs>
        <w:spacing w:after="0" w:line="240" w:lineRule="auto"/>
        <w:ind w:left="426" w:hanging="426"/>
        <w:jc w:val="both"/>
        <w:rPr>
          <w:rFonts w:cstheme="minorHAnsi"/>
          <w:b/>
          <w:bCs/>
          <w:rtl/>
        </w:rPr>
      </w:pPr>
      <w:r w:rsidRPr="00F30EF3">
        <w:rPr>
          <w:rFonts w:cstheme="minorHAnsi"/>
          <w:b/>
          <w:bCs/>
          <w:rtl/>
        </w:rPr>
        <w:t>إدارة الملكية الفكرية، وتسويقها، ونقل المعرفة في الجامعات والمؤسسات البحثية</w:t>
      </w:r>
    </w:p>
    <w:p w14:paraId="028FFE84" w14:textId="77777777" w:rsidR="00C40775" w:rsidRPr="00F30EF3" w:rsidRDefault="00C40775" w:rsidP="00C40775">
      <w:pPr>
        <w:pStyle w:val="ListParagraph"/>
        <w:tabs>
          <w:tab w:val="left" w:pos="851"/>
        </w:tabs>
        <w:spacing w:after="0" w:line="240" w:lineRule="auto"/>
        <w:ind w:left="851" w:hanging="425"/>
        <w:jc w:val="both"/>
        <w:rPr>
          <w:rFonts w:cstheme="minorHAnsi"/>
          <w:rtl/>
        </w:rPr>
      </w:pPr>
      <w:r w:rsidRPr="00F30EF3">
        <w:rPr>
          <w:rFonts w:cstheme="minorHAnsi"/>
          <w:rtl/>
        </w:rPr>
        <w:t xml:space="preserve">- انظر ضمن </w:t>
      </w:r>
      <w:hyperlink w:anchor="_Useful_Resources_Related_1" w:history="1">
        <w:r w:rsidRPr="00F30EF3">
          <w:rPr>
            <w:rStyle w:val="Hyperlink"/>
            <w:rFonts w:cstheme="minorHAnsi"/>
            <w:rtl/>
          </w:rPr>
          <w:t>موارد مفيدة تتعلق بالمادة 4</w:t>
        </w:r>
      </w:hyperlink>
      <w:r w:rsidRPr="00F30EF3">
        <w:rPr>
          <w:rFonts w:cstheme="minorHAnsi"/>
          <w:rtl/>
        </w:rPr>
        <w:t>.</w:t>
      </w:r>
    </w:p>
    <w:p w14:paraId="6923B297" w14:textId="77777777" w:rsidR="00C40775" w:rsidRPr="00F30EF3" w:rsidRDefault="00C40775" w:rsidP="00C40775">
      <w:pPr>
        <w:pStyle w:val="ListParagraph"/>
        <w:tabs>
          <w:tab w:val="left" w:pos="851"/>
        </w:tabs>
        <w:spacing w:after="0" w:line="240" w:lineRule="auto"/>
        <w:ind w:left="851" w:hanging="425"/>
        <w:jc w:val="both"/>
        <w:rPr>
          <w:rFonts w:cstheme="minorHAnsi"/>
          <w:lang w:val="en-US"/>
        </w:rPr>
      </w:pPr>
    </w:p>
    <w:p w14:paraId="7551D2E4" w14:textId="77777777" w:rsidR="00C42B4A" w:rsidRPr="00F30EF3" w:rsidRDefault="00C42B4A" w:rsidP="009D4A54">
      <w:pPr>
        <w:pStyle w:val="ListParagraph"/>
        <w:numPr>
          <w:ilvl w:val="0"/>
          <w:numId w:val="133"/>
        </w:numPr>
        <w:tabs>
          <w:tab w:val="left" w:pos="851"/>
        </w:tabs>
        <w:spacing w:after="0" w:line="240" w:lineRule="auto"/>
        <w:ind w:left="426" w:hanging="426"/>
        <w:jc w:val="both"/>
        <w:rPr>
          <w:rFonts w:cstheme="minorHAnsi"/>
          <w:b/>
          <w:bCs/>
          <w:rtl/>
        </w:rPr>
      </w:pPr>
      <w:r w:rsidRPr="00F30EF3">
        <w:rPr>
          <w:rFonts w:cstheme="minorHAnsi"/>
          <w:b/>
          <w:bCs/>
          <w:rtl/>
        </w:rPr>
        <w:t>حفظ السجلات :</w:t>
      </w:r>
    </w:p>
    <w:p w14:paraId="5F1462E5" w14:textId="77777777" w:rsidR="003B3199" w:rsidRPr="00F30EF3" w:rsidRDefault="00AD4E99" w:rsidP="009D4A54">
      <w:pPr>
        <w:pStyle w:val="ListParagraph"/>
        <w:numPr>
          <w:ilvl w:val="0"/>
          <w:numId w:val="152"/>
        </w:numPr>
        <w:tabs>
          <w:tab w:val="left" w:pos="851"/>
        </w:tabs>
        <w:spacing w:after="0" w:line="240" w:lineRule="auto"/>
        <w:jc w:val="both"/>
        <w:rPr>
          <w:rFonts w:cstheme="minorHAnsi"/>
          <w:rtl/>
        </w:rPr>
      </w:pPr>
      <w:r w:rsidRPr="00F30EF3">
        <w:rPr>
          <w:rFonts w:cstheme="minorHAnsi"/>
          <w:rtl/>
        </w:rPr>
        <w:t xml:space="preserve">للاطلاع على مبادئ توجيهية للممارسات الجيدة للمساعدة فيما يتعلق بحفظ السجلات ودفاتر المختبرات: </w:t>
      </w:r>
    </w:p>
    <w:p w14:paraId="2C22E4F4" w14:textId="77777777" w:rsidR="003B3199" w:rsidRPr="00F30EF3" w:rsidRDefault="00D3795B" w:rsidP="009D4A54">
      <w:pPr>
        <w:pStyle w:val="ListParagraph"/>
        <w:numPr>
          <w:ilvl w:val="1"/>
          <w:numId w:val="152"/>
        </w:numPr>
        <w:tabs>
          <w:tab w:val="left" w:pos="851"/>
        </w:tabs>
        <w:spacing w:after="0" w:line="240" w:lineRule="auto"/>
        <w:jc w:val="both"/>
        <w:rPr>
          <w:rFonts w:cstheme="minorHAnsi"/>
          <w:rtl/>
        </w:rPr>
      </w:pPr>
      <w:hyperlink r:id="rId133" w:history="1">
        <w:r w:rsidR="00372C70" w:rsidRPr="00F30EF3">
          <w:rPr>
            <w:rStyle w:val="Hyperlink"/>
            <w:rFonts w:cstheme="minorHAnsi"/>
            <w:rtl/>
          </w:rPr>
          <w:t>المدونة الوطنية لقواعد الممارسة لإدارة الملكية الفكرية الناشئة عن البحوث المُموَّلة من الأموال العامة</w:t>
        </w:r>
      </w:hyperlink>
      <w:r w:rsidR="00372C70" w:rsidRPr="00F30EF3">
        <w:rPr>
          <w:rFonts w:cstheme="minorHAnsi"/>
          <w:rtl/>
        </w:rPr>
        <w:t>، المجلس الأيرلندي للعلوم والتكنولوجيا والابتكار (2004)، صفحة 40</w:t>
      </w:r>
    </w:p>
    <w:p w14:paraId="51B61E7C" w14:textId="77777777" w:rsidR="00632909" w:rsidRPr="00F30EF3" w:rsidRDefault="00632909" w:rsidP="009D4A54">
      <w:pPr>
        <w:pStyle w:val="ListParagraph"/>
        <w:numPr>
          <w:ilvl w:val="1"/>
          <w:numId w:val="152"/>
        </w:numPr>
        <w:tabs>
          <w:tab w:val="left" w:pos="851"/>
        </w:tabs>
        <w:spacing w:after="0" w:line="240" w:lineRule="auto"/>
        <w:jc w:val="both"/>
        <w:rPr>
          <w:rFonts w:cstheme="minorHAnsi"/>
          <w:rtl/>
        </w:rPr>
      </w:pPr>
      <w:r w:rsidRPr="00F30EF3">
        <w:rPr>
          <w:rFonts w:cstheme="minorHAnsi"/>
          <w:rtl/>
        </w:rPr>
        <w:t>إيه. شراير، ك. ويلسون، ود. ريسنيك،</w:t>
      </w:r>
      <w:hyperlink r:id="rId134" w:history="1">
        <w:r w:rsidRPr="00F30EF3">
          <w:rPr>
            <w:rStyle w:val="Hyperlink"/>
            <w:rFonts w:cstheme="minorHAnsi"/>
            <w:i/>
            <w:iCs/>
          </w:rPr>
          <w:t>Academic Research Record-Keeping:</w:t>
        </w:r>
        <w:r w:rsidRPr="00F30EF3">
          <w:rPr>
            <w:rStyle w:val="Hyperlink"/>
            <w:rFonts w:cstheme="minorHAnsi"/>
            <w:i/>
            <w:iCs/>
            <w:cs/>
          </w:rPr>
          <w:t>‎</w:t>
        </w:r>
      </w:hyperlink>
      <w:hyperlink r:id="rId135" w:history="1">
        <w:r w:rsidRPr="00F30EF3">
          <w:rPr>
            <w:rStyle w:val="Hyperlink"/>
            <w:rFonts w:cstheme="minorHAnsi"/>
            <w:i/>
            <w:iCs/>
          </w:rPr>
          <w:t xml:space="preserve"> Best Practices for Individuals, Group Leaders, and Institutions</w:t>
        </w:r>
      </w:hyperlink>
    </w:p>
    <w:p w14:paraId="52BC5D94" w14:textId="77777777" w:rsidR="00AD4E99" w:rsidRPr="00F30EF3" w:rsidRDefault="00AD4E99" w:rsidP="009D4A54">
      <w:pPr>
        <w:pStyle w:val="ListParagraph"/>
        <w:numPr>
          <w:ilvl w:val="0"/>
          <w:numId w:val="152"/>
        </w:numPr>
        <w:tabs>
          <w:tab w:val="left" w:pos="851"/>
        </w:tabs>
        <w:spacing w:after="0" w:line="240" w:lineRule="auto"/>
        <w:jc w:val="both"/>
        <w:rPr>
          <w:rFonts w:cstheme="minorHAnsi"/>
          <w:rtl/>
        </w:rPr>
      </w:pPr>
      <w:r w:rsidRPr="00F30EF3">
        <w:rPr>
          <w:rFonts w:cstheme="minorHAnsi"/>
          <w:rtl/>
        </w:rPr>
        <w:t>أمثلة على المؤسسات التي توفر سياسات أو مبادئ توجيهية بشأن حفظ السجلات:</w:t>
      </w:r>
    </w:p>
    <w:p w14:paraId="1F5ECB23" w14:textId="77777777" w:rsidR="00AD4E99" w:rsidRPr="00F30EF3" w:rsidRDefault="00D3795B" w:rsidP="009D4A54">
      <w:pPr>
        <w:pStyle w:val="ListParagraph"/>
        <w:numPr>
          <w:ilvl w:val="1"/>
          <w:numId w:val="152"/>
        </w:numPr>
        <w:tabs>
          <w:tab w:val="left" w:pos="851"/>
        </w:tabs>
        <w:spacing w:after="0" w:line="240" w:lineRule="auto"/>
        <w:jc w:val="both"/>
        <w:rPr>
          <w:rFonts w:cstheme="minorHAnsi"/>
          <w:rtl/>
        </w:rPr>
      </w:pPr>
      <w:hyperlink r:id="rId136" w:history="1">
        <w:r w:rsidR="00372C70" w:rsidRPr="00F30EF3">
          <w:rPr>
            <w:rStyle w:val="Hyperlink"/>
            <w:rFonts w:cstheme="minorHAnsi"/>
            <w:rtl/>
          </w:rPr>
          <w:t>جامعة سيدني</w:t>
        </w:r>
      </w:hyperlink>
    </w:p>
    <w:p w14:paraId="12A3C56D" w14:textId="77777777" w:rsidR="00C2732D" w:rsidRPr="00F30EF3" w:rsidRDefault="00D3795B" w:rsidP="009D4A54">
      <w:pPr>
        <w:pStyle w:val="ListParagraph"/>
        <w:numPr>
          <w:ilvl w:val="1"/>
          <w:numId w:val="152"/>
        </w:numPr>
        <w:tabs>
          <w:tab w:val="left" w:pos="851"/>
        </w:tabs>
        <w:spacing w:after="0" w:line="240" w:lineRule="auto"/>
        <w:jc w:val="both"/>
        <w:rPr>
          <w:rFonts w:cstheme="minorHAnsi"/>
          <w:rtl/>
        </w:rPr>
      </w:pPr>
      <w:hyperlink r:id="rId137" w:history="1">
        <w:r w:rsidR="00372C70" w:rsidRPr="00F30EF3">
          <w:rPr>
            <w:rStyle w:val="Hyperlink"/>
            <w:rFonts w:cstheme="minorHAnsi"/>
          </w:rPr>
          <w:t>Tufts University</w:t>
        </w:r>
      </w:hyperlink>
    </w:p>
    <w:p w14:paraId="2FD9938E" w14:textId="77777777" w:rsidR="00C2732D" w:rsidRPr="00F30EF3" w:rsidRDefault="00D3795B" w:rsidP="009D4A54">
      <w:pPr>
        <w:pStyle w:val="ListParagraph"/>
        <w:numPr>
          <w:ilvl w:val="1"/>
          <w:numId w:val="152"/>
        </w:numPr>
        <w:tabs>
          <w:tab w:val="left" w:pos="851"/>
        </w:tabs>
        <w:spacing w:after="0" w:line="240" w:lineRule="auto"/>
        <w:jc w:val="both"/>
        <w:rPr>
          <w:rFonts w:cstheme="minorHAnsi"/>
          <w:rtl/>
        </w:rPr>
      </w:pPr>
      <w:hyperlink r:id="rId138" w:history="1">
        <w:r w:rsidR="00372C70" w:rsidRPr="00F30EF3">
          <w:rPr>
            <w:rStyle w:val="Hyperlink"/>
            <w:rFonts w:cstheme="minorHAnsi"/>
            <w:rtl/>
          </w:rPr>
          <w:t>جامعة لندن</w:t>
        </w:r>
      </w:hyperlink>
    </w:p>
    <w:p w14:paraId="48FE87D3" w14:textId="77777777" w:rsidR="00C2732D" w:rsidRPr="00F30EF3" w:rsidRDefault="00D3795B" w:rsidP="009D4A54">
      <w:pPr>
        <w:pStyle w:val="ListParagraph"/>
        <w:numPr>
          <w:ilvl w:val="1"/>
          <w:numId w:val="152"/>
        </w:numPr>
        <w:tabs>
          <w:tab w:val="left" w:pos="851"/>
        </w:tabs>
        <w:spacing w:after="0" w:line="240" w:lineRule="auto"/>
        <w:jc w:val="both"/>
        <w:rPr>
          <w:rFonts w:cstheme="minorHAnsi"/>
          <w:rtl/>
        </w:rPr>
      </w:pPr>
      <w:hyperlink r:id="rId139" w:history="1">
        <w:r w:rsidR="00372C70" w:rsidRPr="00F30EF3">
          <w:rPr>
            <w:rStyle w:val="Hyperlink"/>
            <w:rFonts w:cstheme="minorHAnsi"/>
            <w:rtl/>
          </w:rPr>
          <w:t>جامعة ماسي</w:t>
        </w:r>
      </w:hyperlink>
    </w:p>
    <w:p w14:paraId="67AD904D" w14:textId="77777777" w:rsidR="00C2732D" w:rsidRPr="00F30EF3" w:rsidRDefault="00D3795B" w:rsidP="009D4A54">
      <w:pPr>
        <w:pStyle w:val="ListParagraph"/>
        <w:numPr>
          <w:ilvl w:val="1"/>
          <w:numId w:val="152"/>
        </w:numPr>
        <w:tabs>
          <w:tab w:val="left" w:pos="851"/>
        </w:tabs>
        <w:spacing w:after="0" w:line="240" w:lineRule="auto"/>
        <w:jc w:val="both"/>
        <w:rPr>
          <w:rFonts w:cstheme="minorHAnsi"/>
          <w:rtl/>
        </w:rPr>
      </w:pPr>
      <w:hyperlink r:id="rId140" w:history="1">
        <w:r w:rsidR="00372C70" w:rsidRPr="00F30EF3">
          <w:rPr>
            <w:rStyle w:val="Hyperlink"/>
            <w:rFonts w:cstheme="minorHAnsi"/>
            <w:rtl/>
          </w:rPr>
          <w:t>جامعة سيراكيوز</w:t>
        </w:r>
      </w:hyperlink>
    </w:p>
    <w:p w14:paraId="0885D456" w14:textId="77777777" w:rsidR="00C2732D" w:rsidRPr="00F30EF3" w:rsidRDefault="00D3795B" w:rsidP="009D4A54">
      <w:pPr>
        <w:pStyle w:val="ListParagraph"/>
        <w:numPr>
          <w:ilvl w:val="1"/>
          <w:numId w:val="152"/>
        </w:numPr>
        <w:tabs>
          <w:tab w:val="left" w:pos="851"/>
        </w:tabs>
        <w:spacing w:after="0" w:line="240" w:lineRule="auto"/>
        <w:jc w:val="both"/>
        <w:rPr>
          <w:rFonts w:cstheme="minorHAnsi"/>
          <w:rtl/>
        </w:rPr>
      </w:pPr>
      <w:hyperlink r:id="rId141" w:history="1">
        <w:r w:rsidR="00372C70" w:rsidRPr="00F30EF3">
          <w:rPr>
            <w:rStyle w:val="Hyperlink"/>
            <w:rFonts w:cstheme="minorHAnsi"/>
            <w:rtl/>
          </w:rPr>
          <w:t>جامعة تاسمانيا</w:t>
        </w:r>
      </w:hyperlink>
    </w:p>
    <w:p w14:paraId="112F8C1C" w14:textId="77777777" w:rsidR="00AD4E99" w:rsidRPr="00F30EF3" w:rsidRDefault="00AD4E99" w:rsidP="00AD4E99">
      <w:pPr>
        <w:pStyle w:val="ListParagraph"/>
        <w:tabs>
          <w:tab w:val="left" w:pos="851"/>
        </w:tabs>
        <w:spacing w:after="0" w:line="240" w:lineRule="auto"/>
        <w:jc w:val="both"/>
        <w:rPr>
          <w:rFonts w:cstheme="minorHAnsi"/>
          <w:lang w:val="en-US"/>
        </w:rPr>
      </w:pPr>
    </w:p>
    <w:p w14:paraId="681ECFBB" w14:textId="77777777" w:rsidR="00C42B4A" w:rsidRPr="00F30EF3" w:rsidRDefault="003351F2" w:rsidP="009D4A54">
      <w:pPr>
        <w:pStyle w:val="ListParagraph"/>
        <w:numPr>
          <w:ilvl w:val="0"/>
          <w:numId w:val="133"/>
        </w:numPr>
        <w:tabs>
          <w:tab w:val="left" w:pos="851"/>
        </w:tabs>
        <w:spacing w:after="0" w:line="240" w:lineRule="auto"/>
        <w:ind w:left="426" w:hanging="426"/>
        <w:jc w:val="both"/>
        <w:rPr>
          <w:rFonts w:cstheme="minorHAnsi"/>
          <w:b/>
          <w:bCs/>
          <w:rtl/>
        </w:rPr>
      </w:pPr>
      <w:r w:rsidRPr="00F30EF3">
        <w:rPr>
          <w:rFonts w:cstheme="minorHAnsi"/>
          <w:b/>
          <w:bCs/>
          <w:rtl/>
        </w:rPr>
        <w:t xml:space="preserve">الكشف عن الملكية الفكرية:  </w:t>
      </w:r>
    </w:p>
    <w:p w14:paraId="011436AB" w14:textId="77777777" w:rsidR="00C42B4A" w:rsidRPr="00F30EF3" w:rsidRDefault="003351F2" w:rsidP="009D4A54">
      <w:pPr>
        <w:pStyle w:val="ListParagraph"/>
        <w:numPr>
          <w:ilvl w:val="0"/>
          <w:numId w:val="151"/>
        </w:numPr>
        <w:tabs>
          <w:tab w:val="left" w:pos="851"/>
        </w:tabs>
        <w:spacing w:after="0" w:line="240" w:lineRule="auto"/>
        <w:jc w:val="both"/>
        <w:rPr>
          <w:rStyle w:val="Hyperlink"/>
          <w:rFonts w:cstheme="minorHAnsi"/>
          <w:b/>
          <w:bCs/>
          <w:color w:val="auto"/>
          <w:u w:val="none"/>
          <w:rtl/>
        </w:rPr>
      </w:pPr>
      <w:r w:rsidRPr="00F30EF3">
        <w:rPr>
          <w:rFonts w:cstheme="minorHAnsi"/>
          <w:rtl/>
        </w:rPr>
        <w:t xml:space="preserve">د. ماكجي، </w:t>
      </w:r>
      <w:r w:rsidRPr="00F30EF3">
        <w:rPr>
          <w:rFonts w:cstheme="minorHAnsi"/>
          <w:i/>
          <w:iCs/>
        </w:rPr>
        <w:t>Invention Disclosures and the Role of Inventors</w:t>
      </w:r>
      <w:r w:rsidRPr="00F30EF3">
        <w:rPr>
          <w:rFonts w:cstheme="minorHAnsi"/>
          <w:rtl/>
        </w:rPr>
        <w:t xml:space="preserve">، </w:t>
      </w:r>
      <w:r w:rsidRPr="00F30EF3">
        <w:rPr>
          <w:rFonts w:cstheme="minorHAnsi"/>
        </w:rPr>
        <w:t>In Intellectual Property Management in Health and Agricultural Innovation: A Handbook of Best Practices</w:t>
      </w:r>
      <w:r w:rsidRPr="00F30EF3">
        <w:rPr>
          <w:rFonts w:cstheme="minorHAnsi"/>
          <w:rtl/>
        </w:rPr>
        <w:t>. متاح عبر الإنترنت على</w:t>
      </w:r>
      <w:hyperlink r:id="rId142" w:history="1">
        <w:r w:rsidRPr="00F30EF3">
          <w:rPr>
            <w:rFonts w:cstheme="minorHAnsi"/>
          </w:rPr>
          <w:t xml:space="preserve"> </w:t>
        </w:r>
        <w:r w:rsidRPr="00F30EF3">
          <w:rPr>
            <w:rStyle w:val="Hyperlink"/>
            <w:rFonts w:cstheme="minorHAnsi"/>
          </w:rPr>
          <w:t>www.ipHandbook.org</w:t>
        </w:r>
      </w:hyperlink>
      <w:r w:rsidRPr="00F30EF3">
        <w:rPr>
          <w:rFonts w:cstheme="minorHAnsi"/>
          <w:rtl/>
        </w:rPr>
        <w:t>.</w:t>
      </w:r>
    </w:p>
    <w:p w14:paraId="7F81E9A7" w14:textId="1C6CCF91" w:rsidR="003351F2" w:rsidRPr="00F30EF3" w:rsidRDefault="003351F2" w:rsidP="009D4A54">
      <w:pPr>
        <w:pStyle w:val="ListParagraph"/>
        <w:numPr>
          <w:ilvl w:val="0"/>
          <w:numId w:val="151"/>
        </w:numPr>
        <w:tabs>
          <w:tab w:val="left" w:pos="851"/>
        </w:tabs>
        <w:spacing w:after="0" w:line="240" w:lineRule="auto"/>
        <w:jc w:val="both"/>
        <w:rPr>
          <w:rFonts w:cstheme="minorHAnsi"/>
          <w:b/>
          <w:bCs/>
          <w:rtl/>
        </w:rPr>
      </w:pPr>
      <w:r w:rsidRPr="00F30EF3">
        <w:rPr>
          <w:rStyle w:val="Hyperlink"/>
          <w:rFonts w:cstheme="minorHAnsi"/>
          <w:color w:val="auto"/>
          <w:u w:val="none"/>
          <w:rtl/>
        </w:rPr>
        <w:t xml:space="preserve">يمكن الحصول بسهولة على أمثلة لاستمارات الكشف عن الملكية الفكرية من الإنترنت بواسطة أي محرك بحث. </w:t>
      </w:r>
      <w:r w:rsidRPr="00F30EF3">
        <w:rPr>
          <w:rFonts w:cstheme="minorHAnsi"/>
          <w:rtl/>
        </w:rPr>
        <w:t>د.</w:t>
      </w:r>
      <w:r w:rsidR="007060A7" w:rsidRPr="00F30EF3">
        <w:rPr>
          <w:rFonts w:cstheme="minorHAnsi" w:hint="cs"/>
          <w:rtl/>
        </w:rPr>
        <w:t> </w:t>
      </w:r>
      <w:r w:rsidRPr="00F30EF3">
        <w:rPr>
          <w:rFonts w:cstheme="minorHAnsi"/>
          <w:rtl/>
        </w:rPr>
        <w:t xml:space="preserve">مكجي، </w:t>
      </w:r>
      <w:r w:rsidRPr="00F30EF3">
        <w:rPr>
          <w:rFonts w:cstheme="minorHAnsi"/>
          <w:i/>
          <w:iCs/>
        </w:rPr>
        <w:t>Invention Disclosures and the Role of Inventors</w:t>
      </w:r>
      <w:r w:rsidRPr="00F30EF3">
        <w:rPr>
          <w:rFonts w:cstheme="minorHAnsi"/>
          <w:rtl/>
        </w:rPr>
        <w:t xml:space="preserve">، </w:t>
      </w:r>
      <w:hyperlink w:anchor="Box2" w:history="1">
        <w:r w:rsidRPr="00F30EF3">
          <w:rPr>
            <w:rStyle w:val="Hyperlink"/>
            <w:rFonts w:cstheme="minorHAnsi"/>
            <w:rtl/>
          </w:rPr>
          <w:t>الإطار 2</w:t>
        </w:r>
      </w:hyperlink>
      <w:r w:rsidRPr="00F30EF3">
        <w:rPr>
          <w:rFonts w:cstheme="minorHAnsi"/>
          <w:rtl/>
        </w:rPr>
        <w:t>، الذي يسرد العناصر التي يشيع ظهورها في استمارات الكشف عن الملكية الفكرية.</w:t>
      </w:r>
    </w:p>
    <w:p w14:paraId="35ED99F7" w14:textId="77777777" w:rsidR="00C42B4A" w:rsidRPr="00F30EF3" w:rsidRDefault="00C42B4A" w:rsidP="00F77A00">
      <w:pPr>
        <w:tabs>
          <w:tab w:val="left" w:pos="851"/>
        </w:tabs>
        <w:spacing w:after="0" w:line="240" w:lineRule="auto"/>
        <w:jc w:val="both"/>
        <w:rPr>
          <w:rFonts w:cstheme="minorHAnsi"/>
          <w:b/>
          <w:bCs/>
          <w:color w:val="0070C0"/>
          <w:lang w:val="en-US"/>
        </w:rPr>
      </w:pPr>
    </w:p>
    <w:p w14:paraId="77386621" w14:textId="77777777" w:rsidR="00C42B4A" w:rsidRPr="00F30EF3" w:rsidRDefault="00C42B4A" w:rsidP="00F77A00">
      <w:pPr>
        <w:tabs>
          <w:tab w:val="left" w:pos="851"/>
        </w:tabs>
        <w:spacing w:after="0" w:line="240" w:lineRule="auto"/>
        <w:jc w:val="both"/>
        <w:rPr>
          <w:rFonts w:cstheme="minorHAnsi"/>
          <w:b/>
          <w:bCs/>
          <w:color w:val="0070C0"/>
          <w:lang w:val="en-US"/>
        </w:rPr>
      </w:pPr>
    </w:p>
    <w:p w14:paraId="49B2F22E" w14:textId="77777777" w:rsidR="00F77A00" w:rsidRPr="00F30EF3" w:rsidRDefault="00F77A00" w:rsidP="00F77A00">
      <w:pPr>
        <w:pStyle w:val="Heading2"/>
        <w:rPr>
          <w:rFonts w:asciiTheme="minorHAnsi" w:hAnsiTheme="minorHAnsi" w:cstheme="minorHAnsi"/>
          <w:sz w:val="22"/>
          <w:szCs w:val="22"/>
          <w:lang w:val="en-US"/>
        </w:rPr>
      </w:pPr>
    </w:p>
    <w:p w14:paraId="7101A1A7" w14:textId="77777777" w:rsidR="00F77A00" w:rsidRPr="00F30EF3" w:rsidRDefault="00F77A00" w:rsidP="00F77A00">
      <w:pPr>
        <w:pStyle w:val="Heading2"/>
        <w:rPr>
          <w:rFonts w:asciiTheme="minorHAnsi" w:hAnsiTheme="minorHAnsi" w:cstheme="minorHAnsi"/>
          <w:rtl/>
        </w:rPr>
      </w:pPr>
      <w:bookmarkStart w:id="266" w:name="_Toc516160076"/>
      <w:bookmarkStart w:id="267" w:name="_Toc516219420"/>
      <w:bookmarkStart w:id="268" w:name="_Toc516496064"/>
      <w:bookmarkStart w:id="269" w:name="_Toc516829436"/>
      <w:bookmarkStart w:id="270" w:name="_Toc178260767"/>
      <w:r w:rsidRPr="00F30EF3">
        <w:rPr>
          <w:rFonts w:asciiTheme="minorHAnsi" w:hAnsiTheme="minorHAnsi" w:cstheme="minorHAnsi"/>
          <w:rtl/>
        </w:rPr>
        <w:t>المادة 9 – تسويق الملكية الفكرية</w:t>
      </w:r>
      <w:bookmarkEnd w:id="266"/>
      <w:bookmarkEnd w:id="267"/>
      <w:bookmarkEnd w:id="268"/>
      <w:bookmarkEnd w:id="269"/>
      <w:bookmarkEnd w:id="270"/>
      <w:r w:rsidRPr="00F30EF3">
        <w:rPr>
          <w:rFonts w:asciiTheme="minorHAnsi" w:hAnsiTheme="minorHAnsi" w:cstheme="minorHAnsi"/>
          <w:rtl/>
        </w:rPr>
        <w:t xml:space="preserve"> </w:t>
      </w:r>
    </w:p>
    <w:p w14:paraId="66A386CA" w14:textId="77777777" w:rsidR="00F77A00" w:rsidRPr="00F30EF3" w:rsidRDefault="00F77A00" w:rsidP="00F77A00">
      <w:pPr>
        <w:pStyle w:val="Heading2"/>
        <w:rPr>
          <w:rFonts w:asciiTheme="minorHAnsi" w:hAnsiTheme="minorHAnsi" w:cstheme="minorHAnsi"/>
          <w:sz w:val="22"/>
          <w:szCs w:val="22"/>
          <w:lang w:val="en-US"/>
        </w:rPr>
      </w:pPr>
    </w:p>
    <w:p w14:paraId="2A76EECB" w14:textId="77777777" w:rsidR="00F77A00" w:rsidRPr="00F30EF3" w:rsidRDefault="00F77A00" w:rsidP="00F77A00">
      <w:pPr>
        <w:autoSpaceDE w:val="0"/>
        <w:autoSpaceDN w:val="0"/>
        <w:adjustRightInd w:val="0"/>
        <w:spacing w:after="0" w:line="240" w:lineRule="auto"/>
        <w:rPr>
          <w:rFonts w:eastAsia="Times New Roman" w:cstheme="minorHAnsi"/>
          <w:i/>
          <w:iCs/>
          <w:color w:val="943634" w:themeColor="accent2" w:themeShade="BF"/>
          <w:lang w:val="en-US"/>
        </w:rPr>
      </w:pPr>
    </w:p>
    <w:p w14:paraId="2FB39B71" w14:textId="77777777" w:rsidR="0034779E" w:rsidRPr="00F30EF3" w:rsidRDefault="0034779E" w:rsidP="0034779E">
      <w:pPr>
        <w:autoSpaceDE w:val="0"/>
        <w:autoSpaceDN w:val="0"/>
        <w:adjustRightInd w:val="0"/>
        <w:spacing w:after="0" w:line="240" w:lineRule="auto"/>
        <w:jc w:val="both"/>
        <w:rPr>
          <w:rFonts w:cstheme="minorHAnsi"/>
          <w:color w:val="000000"/>
          <w:rtl/>
        </w:rPr>
      </w:pPr>
      <w:r w:rsidRPr="00F30EF3">
        <w:rPr>
          <w:rFonts w:cstheme="minorHAnsi"/>
          <w:color w:val="000000"/>
          <w:rtl/>
        </w:rPr>
        <w:t>أصبحت المؤسسات المتخصصة في مجال التسويق أكثر وعياً من أي وقت مضى بفوائد الشراكة مع القطاع الصناعي من أجل إجراء أبحاث بخصوص التكنولوجيات التي تم اختراعها في أوساطها الأكاديمية وتطويرها وتسويقها. وغالباً ما تدور الشراكات بين القطاعين الأكاديمي والصناعي حول الملكية الفكرية.</w:t>
      </w:r>
    </w:p>
    <w:p w14:paraId="185F12A6" w14:textId="77777777" w:rsidR="0034779E" w:rsidRPr="00F30EF3" w:rsidRDefault="0034779E" w:rsidP="0034779E">
      <w:pPr>
        <w:autoSpaceDE w:val="0"/>
        <w:autoSpaceDN w:val="0"/>
        <w:adjustRightInd w:val="0"/>
        <w:spacing w:after="0" w:line="240" w:lineRule="auto"/>
        <w:jc w:val="both"/>
        <w:rPr>
          <w:rFonts w:cstheme="minorHAnsi"/>
          <w:color w:val="000000"/>
          <w:lang w:val="en-US"/>
        </w:rPr>
      </w:pPr>
    </w:p>
    <w:p w14:paraId="125B208E" w14:textId="77777777" w:rsidR="0034779E" w:rsidRPr="00F30EF3" w:rsidRDefault="0034779E" w:rsidP="0034779E">
      <w:pPr>
        <w:autoSpaceDE w:val="0"/>
        <w:autoSpaceDN w:val="0"/>
        <w:adjustRightInd w:val="0"/>
        <w:spacing w:after="0" w:line="240" w:lineRule="auto"/>
        <w:jc w:val="both"/>
        <w:rPr>
          <w:rFonts w:cstheme="minorHAnsi"/>
          <w:color w:val="000000"/>
          <w:rtl/>
        </w:rPr>
      </w:pPr>
      <w:r w:rsidRPr="00F30EF3">
        <w:rPr>
          <w:rFonts w:cstheme="minorHAnsi"/>
          <w:color w:val="000000"/>
          <w:rtl/>
        </w:rPr>
        <w:t>وكاتجاه عام، غالباً ما يؤدي البحث الأكاديمي إلى تحقيق فوائد مذهلة للاقتصادات المحلية والإقليمية والوطنية.</w:t>
      </w:r>
      <w:r w:rsidRPr="00F30EF3">
        <w:rPr>
          <w:rStyle w:val="FootnoteReference"/>
          <w:rFonts w:cstheme="minorHAnsi"/>
          <w:color w:val="000000"/>
          <w:rtl/>
          <w:lang w:val="en-US"/>
        </w:rPr>
        <w:footnoteReference w:id="161"/>
      </w:r>
      <w:r w:rsidRPr="00F30EF3">
        <w:rPr>
          <w:rFonts w:cstheme="minorHAnsi"/>
          <w:color w:val="000000"/>
          <w:rtl/>
        </w:rPr>
        <w:t xml:space="preserve">  وفي هذا السياق، تنفذ مكاتب إدارة الملكية الفكرية (</w:t>
      </w:r>
      <w:r w:rsidRPr="00F30EF3">
        <w:rPr>
          <w:rFonts w:cstheme="minorHAnsi"/>
          <w:color w:val="000000"/>
        </w:rPr>
        <w:t>IPMO</w:t>
      </w:r>
      <w:r w:rsidRPr="00F30EF3">
        <w:rPr>
          <w:rFonts w:cstheme="minorHAnsi"/>
          <w:color w:val="000000"/>
          <w:rtl/>
        </w:rPr>
        <w:t xml:space="preserve">) بشكل متزايد استراتيجيات إدارة الملكية الفكرية التي تعكس التشجيع على الخوض في مسارات تسويق بديلة (انظر أيضاً </w:t>
      </w:r>
      <w:hyperlink w:anchor="_Article_1.3_–" w:history="1">
        <w:r w:rsidRPr="00F30EF3">
          <w:rPr>
            <w:rStyle w:val="Hyperlink"/>
            <w:rFonts w:cstheme="minorHAnsi"/>
            <w:rtl/>
          </w:rPr>
          <w:t>المادة 3.3.1</w:t>
        </w:r>
      </w:hyperlink>
      <w:r w:rsidRPr="00F30EF3">
        <w:rPr>
          <w:rFonts w:cstheme="minorHAnsi"/>
          <w:color w:val="000000"/>
          <w:rtl/>
        </w:rPr>
        <w:t>). فبدلاً من الاستراتيجيات التقليدية مثل البحث عن شركات مرخص لها قائمة، تتخذ مكاتب إدارة الملكية الفكرية تدريجياً المزيد من قرارات الملكية الفكرية التي تسمح أيضاً بتسويق التكنولوجيات التي طورتها المؤسسات من خلال الشركات الناشئة التي يقودها الطلاب وأعضاء هيئة التدريس.</w:t>
      </w:r>
    </w:p>
    <w:p w14:paraId="4CFCAE8B" w14:textId="77777777" w:rsidR="007E290E" w:rsidRPr="00F30EF3" w:rsidRDefault="007E290E" w:rsidP="007E290E">
      <w:pPr>
        <w:pStyle w:val="Heading3"/>
        <w:tabs>
          <w:tab w:val="left" w:pos="567"/>
        </w:tabs>
        <w:spacing w:before="360"/>
        <w:rPr>
          <w:rFonts w:asciiTheme="minorHAnsi" w:hAnsiTheme="minorHAnsi" w:cstheme="minorHAnsi"/>
          <w:sz w:val="24"/>
          <w:szCs w:val="24"/>
          <w:rtl/>
        </w:rPr>
      </w:pPr>
      <w:bookmarkStart w:id="271" w:name="_Toc516219421"/>
      <w:bookmarkStart w:id="272" w:name="_Toc516496065"/>
      <w:bookmarkStart w:id="273" w:name="_Toc516829437"/>
      <w:r w:rsidRPr="00F30EF3">
        <w:rPr>
          <w:rFonts w:asciiTheme="minorHAnsi" w:hAnsiTheme="minorHAnsi" w:cstheme="minorHAnsi"/>
          <w:sz w:val="24"/>
          <w:szCs w:val="24"/>
          <w:rtl/>
        </w:rPr>
        <w:t>تحديد استراتيجية التسويق</w:t>
      </w:r>
      <w:bookmarkEnd w:id="271"/>
      <w:bookmarkEnd w:id="272"/>
      <w:bookmarkEnd w:id="273"/>
    </w:p>
    <w:p w14:paraId="14C0E4DD" w14:textId="2C8EE6D5" w:rsidR="0034779E" w:rsidRPr="00F30EF3" w:rsidRDefault="0034779E" w:rsidP="009D4A54">
      <w:pPr>
        <w:pStyle w:val="ListParagraph"/>
        <w:numPr>
          <w:ilvl w:val="0"/>
          <w:numId w:val="132"/>
        </w:numPr>
        <w:spacing w:after="0" w:line="240" w:lineRule="auto"/>
        <w:ind w:left="425" w:hanging="425"/>
        <w:jc w:val="both"/>
        <w:rPr>
          <w:rFonts w:cstheme="minorHAnsi"/>
          <w:rtl/>
        </w:rPr>
      </w:pPr>
      <w:r w:rsidRPr="00F30EF3">
        <w:rPr>
          <w:rFonts w:cstheme="minorHAnsi"/>
          <w:b/>
          <w:bCs/>
          <w:color w:val="000000" w:themeColor="text1"/>
          <w:rtl/>
        </w:rPr>
        <w:t>المادة 1.9 و3.9</w:t>
      </w:r>
      <w:r w:rsidRPr="00F30EF3">
        <w:rPr>
          <w:rFonts w:cstheme="minorHAnsi"/>
          <w:b/>
          <w:bCs/>
          <w:i/>
          <w:iCs/>
          <w:color w:val="000000" w:themeColor="text1"/>
          <w:rtl/>
        </w:rPr>
        <w:t>، تحديد استراتيجية التسويق والسيادة والتعاون</w:t>
      </w:r>
      <w:r w:rsidRPr="00F30EF3">
        <w:rPr>
          <w:rFonts w:cstheme="minorHAnsi"/>
          <w:color w:val="000000" w:themeColor="text1"/>
          <w:rtl/>
        </w:rPr>
        <w:t xml:space="preserve">: </w:t>
      </w:r>
      <w:r w:rsidRPr="00F30EF3">
        <w:rPr>
          <w:rFonts w:cstheme="minorHAnsi"/>
          <w:rtl/>
        </w:rPr>
        <w:t>كما هو منصوص عليه في</w:t>
      </w:r>
      <w:hyperlink w:anchor="_Article_8.4_–" w:history="1">
        <w:r w:rsidRPr="00F30EF3">
          <w:rPr>
            <w:rStyle w:val="Hyperlink"/>
            <w:rFonts w:cstheme="minorHAnsi"/>
            <w:rtl/>
          </w:rPr>
          <w:t xml:space="preserve"> المادة 4.8</w:t>
        </w:r>
      </w:hyperlink>
      <w:r w:rsidR="00D12B99" w:rsidRPr="00F30EF3">
        <w:rPr>
          <w:rFonts w:cstheme="minorHAnsi"/>
          <w:rtl/>
        </w:rPr>
        <w:t xml:space="preserve"> </w:t>
      </w:r>
      <w:r w:rsidRPr="00F30EF3">
        <w:rPr>
          <w:rFonts w:cstheme="minorHAnsi"/>
          <w:rtl/>
        </w:rPr>
        <w:t xml:space="preserve">يكون تحديد استراتيجية التسويق وفقاً لتقدير مكتب إدارة الملكية الفكرية.  وقد تتطلب الاستراتيجية المحدّدة نظر/ موافقة لجنة الملكية الفكرية.  وإن استقاء وجهات نظر على الصعيد الصناعي/الخارجي في هذه المرحلة لذو قيمة كبيرة حيث في تقديمها منظورات تقنية عملية إضافية قد تؤثر في القرار المنوط بالتسويق وكذلك في مسار التسويق الذي يجب اتباعه. </w:t>
      </w:r>
    </w:p>
    <w:p w14:paraId="4718A802" w14:textId="77777777" w:rsidR="0034779E" w:rsidRPr="00F30EF3" w:rsidRDefault="0034779E" w:rsidP="0034779E">
      <w:pPr>
        <w:tabs>
          <w:tab w:val="left" w:pos="0"/>
        </w:tabs>
        <w:spacing w:after="0" w:line="240" w:lineRule="auto"/>
        <w:ind w:left="851" w:hanging="851"/>
        <w:jc w:val="both"/>
        <w:rPr>
          <w:rFonts w:cstheme="minorHAnsi"/>
          <w:lang w:val="en-US"/>
        </w:rPr>
      </w:pPr>
    </w:p>
    <w:p w14:paraId="17F237A2" w14:textId="216BF6B1" w:rsidR="0034779E" w:rsidRPr="00F30EF3" w:rsidRDefault="001A3B9D" w:rsidP="009D4A54">
      <w:pPr>
        <w:pStyle w:val="ListParagraph"/>
        <w:numPr>
          <w:ilvl w:val="0"/>
          <w:numId w:val="132"/>
        </w:numPr>
        <w:tabs>
          <w:tab w:val="left" w:pos="0"/>
        </w:tabs>
        <w:spacing w:after="0" w:line="240" w:lineRule="auto"/>
        <w:ind w:left="426" w:hanging="426"/>
        <w:jc w:val="both"/>
        <w:rPr>
          <w:rFonts w:cstheme="minorHAnsi"/>
          <w:rtl/>
        </w:rPr>
      </w:pPr>
      <w:r w:rsidRPr="00F30EF3">
        <w:rPr>
          <w:rFonts w:cstheme="minorHAnsi"/>
          <w:b/>
          <w:bCs/>
          <w:color w:val="000000" w:themeColor="text1"/>
          <w:rtl/>
        </w:rPr>
        <w:t>المادة 3.9</w:t>
      </w:r>
      <w:r w:rsidRPr="00F30EF3">
        <w:rPr>
          <w:rFonts w:cstheme="minorHAnsi"/>
          <w:b/>
          <w:bCs/>
          <w:i/>
          <w:iCs/>
          <w:color w:val="000000" w:themeColor="text1"/>
          <w:rtl/>
        </w:rPr>
        <w:t xml:space="preserve">، يجب على المبدعين [...] تقديم الدعم المعقول لمكاتب إدارة الملكية الفكرية. </w:t>
      </w:r>
      <w:r w:rsidRPr="00F30EF3">
        <w:rPr>
          <w:rFonts w:cstheme="minorHAnsi"/>
          <w:rtl/>
        </w:rPr>
        <w:t>على الرغم من أن لجنة مكتب إدارة الملكية الفكرية/ الملكية الفكرية تتمتع بالسيادة فيما يتعلق باستراتيجية تسويق الملكية الفكرية للمؤسسة، فإن مساعدة المبدعين وتعاونهم لا يقدر بثمن خلال عملية التسويق حتى لو كان تعزيز هذا التعاون يتم فقط من خلال تزويد المبدعين بتحديثات منتظمة حول التقدم المحرز في تسويق الملكية الفكرية المعينة.</w:t>
      </w:r>
    </w:p>
    <w:p w14:paraId="424D12B3" w14:textId="77777777" w:rsidR="0034779E" w:rsidRPr="00F30EF3" w:rsidRDefault="0034779E" w:rsidP="0034779E">
      <w:pPr>
        <w:tabs>
          <w:tab w:val="left" w:pos="0"/>
        </w:tabs>
        <w:spacing w:after="0" w:line="240" w:lineRule="auto"/>
        <w:ind w:left="426"/>
        <w:jc w:val="both"/>
        <w:rPr>
          <w:rFonts w:cstheme="minorHAnsi"/>
          <w:lang w:val="en-US"/>
        </w:rPr>
      </w:pPr>
    </w:p>
    <w:p w14:paraId="21D3367E" w14:textId="130F6654" w:rsidR="0034779E" w:rsidRPr="00F30EF3"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cstheme="minorHAnsi"/>
          <w:b/>
          <w:bCs/>
          <w:rtl/>
        </w:rPr>
      </w:pPr>
      <w:bookmarkStart w:id="274" w:name="Box58"/>
      <w:r w:rsidRPr="00F30EF3">
        <w:rPr>
          <w:rFonts w:cstheme="minorHAnsi"/>
          <w:b/>
          <w:bCs/>
          <w:rtl/>
        </w:rPr>
        <w:t xml:space="preserve">الإطار </w:t>
      </w:r>
      <w:bookmarkEnd w:id="274"/>
      <w:r w:rsidR="006C3BDD" w:rsidRPr="00F30EF3">
        <w:rPr>
          <w:rFonts w:cstheme="minorHAnsi"/>
          <w:b/>
          <w:bCs/>
        </w:rPr>
        <w:t>.</w:t>
      </w:r>
      <w:r w:rsidR="00CB70EA" w:rsidRPr="00F30EF3">
        <w:rPr>
          <w:rFonts w:cstheme="minorHAnsi"/>
          <w:b/>
          <w:bCs/>
        </w:rPr>
        <w:t>59</w:t>
      </w:r>
      <w:r w:rsidRPr="00F30EF3">
        <w:rPr>
          <w:rFonts w:cstheme="minorHAnsi"/>
          <w:b/>
          <w:bCs/>
          <w:rtl/>
        </w:rPr>
        <w:t xml:space="preserve">   ينص مُقتطف من سياسة الملكية الفكرية لمجلس البحوث الطبية، جنوب أفريقيا على ما يلي:</w:t>
      </w:r>
    </w:p>
    <w:p w14:paraId="3EDE54F8" w14:textId="77777777" w:rsidR="0034779E" w:rsidRPr="00F30EF3"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0"/>
        </w:tabs>
        <w:spacing w:after="0" w:line="240" w:lineRule="auto"/>
        <w:ind w:left="851" w:hanging="851"/>
        <w:jc w:val="both"/>
        <w:rPr>
          <w:rFonts w:cstheme="minorHAnsi"/>
          <w:lang w:val="en-US"/>
        </w:rPr>
      </w:pPr>
    </w:p>
    <w:p w14:paraId="726E75B9" w14:textId="4C15DBAB" w:rsidR="0034779E" w:rsidRPr="00F30EF3"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cstheme="minorHAnsi"/>
          <w:i/>
          <w:iCs/>
          <w:rtl/>
        </w:rPr>
      </w:pPr>
      <w:r w:rsidRPr="00F30EF3">
        <w:rPr>
          <w:rFonts w:cstheme="minorHAnsi"/>
          <w:i/>
          <w:iCs/>
          <w:color w:val="000000"/>
          <w:rtl/>
        </w:rPr>
        <w:t xml:space="preserve">2.4.3. يتولى مكتب نقل التكنولوجيا مسؤولية تحديد الملكية الفكرية وتقييمها وحمايتها (باستثناء معارضة الطلبات أو مقاضاة الانتهاكات أو الدفاع عنها وصياغة العقود ذات الصلة، والتي هي ضمن مجالات اختصاص الخدمات القانونية والامتثال)، وإدارتها وتسويقها، وجميع ترتيبات تقاسم المنافع وفقاً لنظام تقاسم المنافع التابع لمجلس البحوث الطبية وما يتصل به من بناء مناسب للقدرات. ويجوز لمكتب نقل التكنولوجيا، نيابة عن مجلس البحوث الطبية، وعن أي مالكين مشاركين، عند الاقتضاء، التقدم بطلب للحصول على براءة أو أي شكل آخر من أشكال تسجيل الملكية الفكرية فيما يتعلق بأي ملكية فكرية، ويعتبر مجلس البحوث الطبية مقدم الطلب أو الطرف المتنازل له عن البراءة أو غير ذلك من أشكال حماية الملكية الفكرية. ويكون إيداع جميع طلبات البراءات وتسجيل التصاميم والعلامات التجارية وفقاً لتقدير مكتب نقل التكنولوجيا. </w:t>
      </w:r>
      <w:r w:rsidRPr="00F30EF3">
        <w:rPr>
          <w:rFonts w:cstheme="minorHAnsi"/>
          <w:i/>
          <w:iCs/>
          <w:rtl/>
        </w:rPr>
        <w:t xml:space="preserve">كما </w:t>
      </w:r>
      <w:r w:rsidRPr="00F30EF3">
        <w:rPr>
          <w:rFonts w:cstheme="minorHAnsi"/>
          <w:i/>
          <w:iCs/>
          <w:color w:val="000000"/>
          <w:rtl/>
        </w:rPr>
        <w:t>يلتزم مكتب نقل التكنولوجيا</w:t>
      </w:r>
      <w:r w:rsidR="00D12B99" w:rsidRPr="00F30EF3">
        <w:rPr>
          <w:rFonts w:cstheme="minorHAnsi"/>
          <w:i/>
          <w:iCs/>
          <w:color w:val="000000"/>
          <w:rtl/>
        </w:rPr>
        <w:t xml:space="preserve"> </w:t>
      </w:r>
      <w:r w:rsidR="00D12B99" w:rsidRPr="00F30EF3">
        <w:rPr>
          <w:rFonts w:cstheme="minorHAnsi"/>
          <w:b/>
          <w:bCs/>
          <w:i/>
          <w:iCs/>
          <w:color w:val="000000"/>
          <w:rtl/>
        </w:rPr>
        <w:t>بإجراء</w:t>
      </w:r>
      <w:r w:rsidR="00D12B99" w:rsidRPr="00F30EF3">
        <w:rPr>
          <w:rFonts w:cstheme="minorHAnsi"/>
          <w:b/>
          <w:bCs/>
          <w:i/>
          <w:iCs/>
          <w:rtl/>
        </w:rPr>
        <w:t xml:space="preserve">ات </w:t>
      </w:r>
      <w:r w:rsidR="00CB70EA" w:rsidRPr="00F30EF3">
        <w:rPr>
          <w:rFonts w:cstheme="minorHAnsi" w:hint="cs"/>
          <w:b/>
          <w:bCs/>
          <w:i/>
          <w:iCs/>
          <w:rtl/>
        </w:rPr>
        <w:t>توصية</w:t>
      </w:r>
      <w:r w:rsidRPr="00F30EF3">
        <w:rPr>
          <w:rFonts w:cstheme="minorHAnsi"/>
          <w:b/>
          <w:bCs/>
          <w:i/>
          <w:iCs/>
          <w:rtl/>
        </w:rPr>
        <w:t xml:space="preserve"> </w:t>
      </w:r>
      <w:r w:rsidRPr="00F30EF3">
        <w:rPr>
          <w:rFonts w:cstheme="minorHAnsi"/>
          <w:b/>
          <w:bCs/>
          <w:i/>
          <w:iCs/>
          <w:rtl/>
        </w:rPr>
        <w:lastRenderedPageBreak/>
        <w:t>بشأن المسار التجاري الأكثر ملاءمة إلى اللجنة الإدارية التنفيذية (</w:t>
      </w:r>
      <w:r w:rsidRPr="00F30EF3">
        <w:rPr>
          <w:rFonts w:cstheme="minorHAnsi"/>
          <w:b/>
          <w:bCs/>
          <w:i/>
          <w:iCs/>
        </w:rPr>
        <w:t>EMC</w:t>
      </w:r>
      <w:r w:rsidRPr="00F30EF3">
        <w:rPr>
          <w:rFonts w:cstheme="minorHAnsi"/>
          <w:b/>
          <w:bCs/>
          <w:i/>
          <w:iCs/>
          <w:rtl/>
        </w:rPr>
        <w:t>)، والتي تتخذ القرار النهائي بشأن ذلك نيابة عن مجلس البحوث الطبية</w:t>
      </w:r>
      <w:r w:rsidRPr="00F30EF3">
        <w:rPr>
          <w:rFonts w:cstheme="minorHAnsi"/>
          <w:i/>
          <w:iCs/>
          <w:rtl/>
        </w:rPr>
        <w:t>.</w:t>
      </w:r>
      <w:r w:rsidRPr="00F30EF3">
        <w:rPr>
          <w:rFonts w:cstheme="minorHAnsi"/>
          <w:rtl/>
        </w:rPr>
        <w:t xml:space="preserve"> </w:t>
      </w:r>
    </w:p>
    <w:p w14:paraId="12A72CED" w14:textId="77777777" w:rsidR="0034779E" w:rsidRPr="00F30EF3"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cstheme="minorHAnsi"/>
          <w:i/>
          <w:iCs/>
          <w:color w:val="000000"/>
          <w:lang w:val="en-US"/>
        </w:rPr>
      </w:pPr>
    </w:p>
    <w:p w14:paraId="3273372C" w14:textId="77777777" w:rsidR="0034779E" w:rsidRPr="00F30EF3"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0"/>
        </w:tabs>
        <w:spacing w:after="0" w:line="240" w:lineRule="auto"/>
        <w:jc w:val="both"/>
        <w:rPr>
          <w:rFonts w:cstheme="minorHAnsi"/>
          <w:i/>
          <w:iCs/>
          <w:rtl/>
        </w:rPr>
      </w:pPr>
      <w:r w:rsidRPr="00F30EF3">
        <w:rPr>
          <w:rFonts w:cstheme="minorHAnsi"/>
          <w:i/>
          <w:iCs/>
          <w:rtl/>
        </w:rPr>
        <w:t xml:space="preserve">3.4.3. يقرّ مجلس البحوث الطبية بحق مبدعي الملكية الفكرية في </w:t>
      </w:r>
      <w:r w:rsidRPr="00F30EF3">
        <w:rPr>
          <w:rFonts w:cstheme="minorHAnsi"/>
          <w:b/>
          <w:bCs/>
          <w:i/>
          <w:iCs/>
          <w:rtl/>
        </w:rPr>
        <w:t>المشاركة في القرارات المتعلقة بتسويق واستخدام الملكية الفكرية التي أنشؤوها</w:t>
      </w:r>
      <w:r w:rsidRPr="00F30EF3">
        <w:rPr>
          <w:rFonts w:cstheme="minorHAnsi"/>
          <w:i/>
          <w:iCs/>
          <w:rtl/>
        </w:rPr>
        <w:t>. ويحق لمبدعي الملكية الفكرية الكشف الكامل عن حالة الملكية الفكرية وسيشير عليهم مكتب نقل التكنولوجيا التابع لمجلس البحوث الطبية بإبرام أي عقود بشأن تسويق تلك الملكية الفكرية، أو استخدامها أو بيعها.</w:t>
      </w:r>
    </w:p>
    <w:p w14:paraId="091859DF" w14:textId="77777777" w:rsidR="007E290E" w:rsidRPr="00F30EF3" w:rsidRDefault="007E290E" w:rsidP="007E290E">
      <w:pPr>
        <w:pStyle w:val="Heading3"/>
        <w:tabs>
          <w:tab w:val="left" w:pos="567"/>
        </w:tabs>
        <w:spacing w:before="360"/>
        <w:rPr>
          <w:rFonts w:asciiTheme="minorHAnsi" w:hAnsiTheme="minorHAnsi" w:cstheme="minorHAnsi"/>
          <w:sz w:val="24"/>
          <w:szCs w:val="24"/>
          <w:rtl/>
        </w:rPr>
      </w:pPr>
      <w:bookmarkStart w:id="275" w:name="_Commercialization_Pathways"/>
      <w:bookmarkStart w:id="276" w:name="_Toc516219422"/>
      <w:bookmarkStart w:id="277" w:name="_Toc516496066"/>
      <w:bookmarkStart w:id="278" w:name="_Toc516829438"/>
      <w:bookmarkEnd w:id="275"/>
      <w:r w:rsidRPr="00F30EF3">
        <w:rPr>
          <w:rFonts w:asciiTheme="minorHAnsi" w:hAnsiTheme="minorHAnsi" w:cstheme="minorHAnsi"/>
          <w:sz w:val="24"/>
          <w:szCs w:val="24"/>
          <w:rtl/>
        </w:rPr>
        <w:t>مسارات التسويق.</w:t>
      </w:r>
      <w:bookmarkEnd w:id="276"/>
      <w:bookmarkEnd w:id="277"/>
      <w:bookmarkEnd w:id="278"/>
    </w:p>
    <w:p w14:paraId="063C6D0C" w14:textId="77777777" w:rsidR="0034779E" w:rsidRPr="00F30EF3" w:rsidRDefault="0034779E" w:rsidP="009D4A54">
      <w:pPr>
        <w:pStyle w:val="ListParagraph"/>
        <w:numPr>
          <w:ilvl w:val="0"/>
          <w:numId w:val="132"/>
        </w:numPr>
        <w:tabs>
          <w:tab w:val="left" w:pos="851"/>
        </w:tabs>
        <w:spacing w:after="0" w:line="240" w:lineRule="auto"/>
        <w:ind w:left="426" w:hanging="426"/>
        <w:jc w:val="both"/>
        <w:rPr>
          <w:rFonts w:cstheme="minorHAnsi"/>
          <w:color w:val="000000" w:themeColor="text1"/>
          <w:rtl/>
        </w:rPr>
      </w:pPr>
      <w:bookmarkStart w:id="279" w:name="Article9point4"/>
      <w:r w:rsidRPr="00F30EF3">
        <w:rPr>
          <w:rFonts w:cstheme="minorHAnsi"/>
          <w:b/>
          <w:bCs/>
          <w:color w:val="000000" w:themeColor="text1"/>
          <w:rtl/>
        </w:rPr>
        <w:t>المادة 4.9.</w:t>
      </w:r>
      <w:bookmarkEnd w:id="279"/>
      <w:r w:rsidRPr="00F30EF3">
        <w:rPr>
          <w:rFonts w:cstheme="minorHAnsi"/>
          <w:b/>
          <w:bCs/>
          <w:i/>
          <w:iCs/>
          <w:color w:val="000000" w:themeColor="text1"/>
          <w:rtl/>
        </w:rPr>
        <w:t xml:space="preserve">، مسارات التسويق: </w:t>
      </w:r>
      <w:r w:rsidRPr="00F30EF3">
        <w:rPr>
          <w:rFonts w:cstheme="minorHAnsi"/>
          <w:color w:val="000000" w:themeColor="text1"/>
          <w:rtl/>
        </w:rPr>
        <w:t xml:space="preserve">  هناك عدد من المسارات المختلفة التي يمكن اتباعها في تسويق الملكية الفكرية للمؤسسة.  والمهم إثباته هو أن التسويق ليس عملية متسلسلة تبدأ بالبحث</w:t>
      </w:r>
      <w:r w:rsidRPr="00F30EF3">
        <w:rPr>
          <w:rFonts w:cstheme="minorHAnsi"/>
          <w:color w:val="000000" w:themeColor="text1"/>
          <w:rtl/>
        </w:rPr>
        <w:sym w:font="Symbol" w:char="F0AE"/>
      </w:r>
      <w:r w:rsidRPr="00F30EF3">
        <w:rPr>
          <w:rFonts w:cstheme="minorHAnsi"/>
          <w:color w:val="000000" w:themeColor="text1"/>
          <w:rtl/>
        </w:rPr>
        <w:t xml:space="preserve"> الكشف </w:t>
      </w:r>
      <w:r w:rsidRPr="00F30EF3">
        <w:rPr>
          <w:rFonts w:cstheme="minorHAnsi"/>
          <w:color w:val="000000" w:themeColor="text1"/>
          <w:rtl/>
        </w:rPr>
        <w:sym w:font="Symbol" w:char="F0AE"/>
      </w:r>
      <w:r w:rsidRPr="00F30EF3">
        <w:rPr>
          <w:rFonts w:cstheme="minorHAnsi"/>
          <w:color w:val="000000" w:themeColor="text1"/>
          <w:rtl/>
        </w:rPr>
        <w:t xml:space="preserve"> التقييم </w:t>
      </w:r>
      <w:r w:rsidRPr="00F30EF3">
        <w:rPr>
          <w:rFonts w:cstheme="minorHAnsi"/>
          <w:color w:val="000000" w:themeColor="text1"/>
          <w:rtl/>
        </w:rPr>
        <w:sym w:font="Symbol" w:char="F0AE"/>
      </w:r>
      <w:r w:rsidRPr="00F30EF3">
        <w:rPr>
          <w:rFonts w:cstheme="minorHAnsi"/>
          <w:color w:val="000000" w:themeColor="text1"/>
          <w:rtl/>
        </w:rPr>
        <w:t xml:space="preserve">حماية الملكية الفكرية </w:t>
      </w:r>
      <w:r w:rsidRPr="00F30EF3">
        <w:rPr>
          <w:rFonts w:cstheme="minorHAnsi"/>
          <w:color w:val="000000" w:themeColor="text1"/>
          <w:rtl/>
        </w:rPr>
        <w:sym w:font="Symbol" w:char="F0AE"/>
      </w:r>
      <w:r w:rsidRPr="00F30EF3">
        <w:rPr>
          <w:rFonts w:cstheme="minorHAnsi"/>
          <w:color w:val="000000" w:themeColor="text1"/>
          <w:rtl/>
        </w:rPr>
        <w:t xml:space="preserve">الترخيص/ التنازل/ تشكيل الشركات الناشئة </w:t>
      </w:r>
      <w:r w:rsidRPr="00F30EF3">
        <w:rPr>
          <w:rFonts w:cstheme="minorHAnsi"/>
          <w:color w:val="000000" w:themeColor="text1"/>
          <w:rtl/>
        </w:rPr>
        <w:sym w:font="Symbol" w:char="F0AE"/>
      </w:r>
      <w:r w:rsidRPr="00F30EF3">
        <w:rPr>
          <w:rFonts w:cstheme="minorHAnsi"/>
          <w:color w:val="000000" w:themeColor="text1"/>
          <w:rtl/>
        </w:rPr>
        <w:t xml:space="preserve"> المنتج، والعملية والخدمة فإتاحتها في السوق. </w:t>
      </w:r>
      <w:r w:rsidRPr="00F30EF3">
        <w:rPr>
          <w:rFonts w:cstheme="minorHAnsi"/>
          <w:rtl/>
        </w:rPr>
        <w:t>و</w:t>
      </w:r>
      <w:hyperlink w:anchor="Box58" w:history="1">
        <w:r w:rsidRPr="00F30EF3">
          <w:rPr>
            <w:rStyle w:val="Hyperlink"/>
            <w:rFonts w:cstheme="minorHAnsi"/>
            <w:rtl/>
          </w:rPr>
          <w:t>الإطار 59</w:t>
        </w:r>
      </w:hyperlink>
      <w:r w:rsidRPr="00F30EF3">
        <w:rPr>
          <w:rFonts w:cstheme="minorHAnsi"/>
          <w:color w:val="000000" w:themeColor="text1"/>
          <w:rtl/>
        </w:rPr>
        <w:t xml:space="preserve"> يحاول توضيح أن الطريق إلى التسويق مليء بحلقات من التعليقات وعمليات إعادة التقييم المستمرة حتى يصل أحدهم، وهو ما نأمله، إلى الهدف النهائي المتمثل في التأثير.  </w:t>
      </w:r>
    </w:p>
    <w:p w14:paraId="57301F34" w14:textId="77777777" w:rsidR="00404124" w:rsidRPr="00F30EF3" w:rsidRDefault="00404124" w:rsidP="00404124">
      <w:pPr>
        <w:tabs>
          <w:tab w:val="left" w:pos="851"/>
        </w:tabs>
        <w:spacing w:after="0" w:line="240" w:lineRule="auto"/>
        <w:jc w:val="both"/>
        <w:rPr>
          <w:rFonts w:cstheme="minorHAnsi"/>
          <w:b/>
          <w:bCs/>
          <w:lang w:val="en-US"/>
        </w:rPr>
      </w:pPr>
    </w:p>
    <w:p w14:paraId="6C29F06B" w14:textId="48A1CF45" w:rsidR="00404124" w:rsidRPr="00F30EF3" w:rsidRDefault="00404124" w:rsidP="000C1792">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jc w:val="both"/>
        <w:rPr>
          <w:rFonts w:cstheme="minorHAnsi"/>
          <w:color w:val="000000" w:themeColor="text1"/>
          <w:rtl/>
        </w:rPr>
      </w:pPr>
      <w:bookmarkStart w:id="280" w:name="Box59"/>
      <w:r w:rsidRPr="00F30EF3">
        <w:rPr>
          <w:rFonts w:cstheme="minorHAnsi"/>
          <w:b/>
          <w:bCs/>
          <w:rtl/>
        </w:rPr>
        <w:t xml:space="preserve">الإطار </w:t>
      </w:r>
      <w:r w:rsidR="006C3BDD" w:rsidRPr="00F30EF3">
        <w:rPr>
          <w:rFonts w:cstheme="minorHAnsi"/>
          <w:b/>
          <w:bCs/>
        </w:rPr>
        <w:t>.</w:t>
      </w:r>
      <w:r w:rsidR="00EC37A3" w:rsidRPr="00F30EF3">
        <w:rPr>
          <w:rFonts w:cstheme="minorHAnsi" w:hint="cs"/>
          <w:b/>
          <w:bCs/>
          <w:rtl/>
        </w:rPr>
        <w:t>60</w:t>
      </w:r>
      <w:r w:rsidRPr="00F30EF3">
        <w:rPr>
          <w:rFonts w:cstheme="minorHAnsi"/>
          <w:b/>
          <w:bCs/>
          <w:rtl/>
        </w:rPr>
        <w:t xml:space="preserve">   </w:t>
      </w:r>
      <w:bookmarkEnd w:id="280"/>
      <w:r w:rsidRPr="00F30EF3">
        <w:rPr>
          <w:rFonts w:cstheme="minorHAnsi"/>
          <w:b/>
          <w:bCs/>
          <w:rtl/>
        </w:rPr>
        <w:t xml:space="preserve">عملية نقل المعارف </w:t>
      </w:r>
      <w:r w:rsidRPr="00F30EF3">
        <w:rPr>
          <w:rStyle w:val="FootnoteReference"/>
          <w:rFonts w:cstheme="minorHAnsi"/>
          <w:i/>
          <w:iCs/>
          <w:color w:val="000000" w:themeColor="text1"/>
          <w:lang w:val="en-US"/>
        </w:rPr>
        <w:footnoteReference w:id="162"/>
      </w:r>
      <w:r w:rsidRPr="00F30EF3">
        <w:rPr>
          <w:rFonts w:cstheme="minorHAnsi"/>
          <w:rtl/>
        </w:rPr>
        <w:t xml:space="preserve"> </w:t>
      </w:r>
    </w:p>
    <w:p w14:paraId="1FF9339B" w14:textId="77777777" w:rsidR="000C1792" w:rsidRPr="00F30EF3" w:rsidRDefault="0034779E" w:rsidP="000C1792">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color w:val="000000"/>
          <w:rtl/>
        </w:rPr>
      </w:pPr>
      <w:r w:rsidRPr="00F30EF3">
        <w:rPr>
          <w:rFonts w:cstheme="minorHAnsi"/>
          <w:noProof/>
          <w:color w:val="000000" w:themeColor="text1"/>
          <w:rtl/>
        </w:rPr>
        <w:drawing>
          <wp:inline distT="0" distB="0" distL="0" distR="0" wp14:anchorId="57B6FB43" wp14:editId="21D228E9">
            <wp:extent cx="4138651" cy="3046443"/>
            <wp:effectExtent l="12700" t="12700" r="14605"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145694" cy="3051628"/>
                    </a:xfrm>
                    <a:prstGeom prst="rect">
                      <a:avLst/>
                    </a:prstGeom>
                    <a:ln>
                      <a:solidFill>
                        <a:schemeClr val="tx1"/>
                      </a:solidFill>
                    </a:ln>
                  </pic:spPr>
                </pic:pic>
              </a:graphicData>
            </a:graphic>
          </wp:inline>
        </w:drawing>
      </w:r>
    </w:p>
    <w:p w14:paraId="363D892A" w14:textId="77777777" w:rsidR="000C1792" w:rsidRPr="00F30EF3" w:rsidRDefault="000C1792" w:rsidP="000C1792">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rtl/>
        </w:rPr>
      </w:pPr>
      <w:r w:rsidRPr="00F30EF3">
        <w:rPr>
          <w:rFonts w:cstheme="minorHAnsi"/>
          <w:color w:val="000000"/>
          <w:rtl/>
        </w:rPr>
        <w:t>إنه</w:t>
      </w:r>
      <w:r w:rsidRPr="00F30EF3">
        <w:rPr>
          <w:rFonts w:cstheme="minorHAnsi"/>
          <w:rtl/>
        </w:rPr>
        <w:t xml:space="preserve"> من المهم أن نضع في الاعتبار جميع مسارات التسويق الممكنة، ومن ثم ينبغي تضمين الخيارات المتنوعة في سياسة الملكية الفكرية.  ويُحَدد مسار التسويق الخاص الواجب اتباعه بناءً على عامل أو أكثر من العوامل التالية التي يجب مراعاتها ولكن ليس على سبيل الحصر:</w:t>
      </w:r>
    </w:p>
    <w:p w14:paraId="71C3F183" w14:textId="77777777" w:rsidR="0034779E" w:rsidRPr="00F30EF3" w:rsidRDefault="00404124" w:rsidP="000C1792">
      <w:pPr>
        <w:pStyle w:val="ListParagraph"/>
        <w:numPr>
          <w:ilvl w:val="0"/>
          <w:numId w:val="170"/>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rPr>
          <w:rFonts w:cstheme="minorHAnsi"/>
          <w:rtl/>
        </w:rPr>
      </w:pPr>
      <w:r w:rsidRPr="00F30EF3">
        <w:rPr>
          <w:rFonts w:cstheme="minorHAnsi"/>
          <w:rtl/>
        </w:rPr>
        <w:t>الاستثمار المالي المطلوب لكل مسار؛</w:t>
      </w:r>
    </w:p>
    <w:p w14:paraId="051525F4" w14:textId="77777777" w:rsidR="0034779E" w:rsidRPr="00F30EF3"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cstheme="minorHAnsi"/>
          <w:rtl/>
        </w:rPr>
      </w:pPr>
      <w:r w:rsidRPr="00F30EF3">
        <w:rPr>
          <w:rFonts w:cstheme="minorHAnsi"/>
          <w:rtl/>
        </w:rPr>
        <w:t>والعائد المحتمل للاستثمار لكل مسار؛</w:t>
      </w:r>
    </w:p>
    <w:p w14:paraId="175DC2C2" w14:textId="77777777" w:rsidR="0034779E" w:rsidRPr="00F30EF3"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cstheme="minorHAnsi"/>
          <w:rtl/>
        </w:rPr>
      </w:pPr>
      <w:r w:rsidRPr="00F30EF3">
        <w:rPr>
          <w:rFonts w:cstheme="minorHAnsi"/>
          <w:rtl/>
        </w:rPr>
        <w:t>وطبيعة التكنولوجيا/المنتج/العملية/الخدمة؛</w:t>
      </w:r>
    </w:p>
    <w:p w14:paraId="03053A09" w14:textId="77777777" w:rsidR="0034779E" w:rsidRPr="00F30EF3"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cstheme="minorHAnsi"/>
          <w:rtl/>
        </w:rPr>
      </w:pPr>
      <w:r w:rsidRPr="00F30EF3">
        <w:rPr>
          <w:rFonts w:cstheme="minorHAnsi"/>
          <w:rtl/>
        </w:rPr>
        <w:t>والسوق المستهدف وأفضل طريقة للوصول إليه؛</w:t>
      </w:r>
    </w:p>
    <w:p w14:paraId="7A902F87" w14:textId="77777777" w:rsidR="0034779E" w:rsidRPr="00F30EF3"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cstheme="minorHAnsi"/>
          <w:rtl/>
        </w:rPr>
      </w:pPr>
      <w:r w:rsidRPr="00F30EF3">
        <w:rPr>
          <w:rFonts w:cstheme="minorHAnsi"/>
          <w:rtl/>
        </w:rPr>
        <w:t>ومرحلة تطور السوق؛</w:t>
      </w:r>
    </w:p>
    <w:p w14:paraId="087C3A18" w14:textId="77777777" w:rsidR="0034779E" w:rsidRPr="00F30EF3"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cstheme="minorHAnsi"/>
          <w:rtl/>
        </w:rPr>
      </w:pPr>
      <w:r w:rsidRPr="00F30EF3">
        <w:rPr>
          <w:rFonts w:cstheme="minorHAnsi"/>
          <w:rtl/>
        </w:rPr>
        <w:t>وتركيز السوق؛</w:t>
      </w:r>
    </w:p>
    <w:p w14:paraId="20CD726D" w14:textId="77777777" w:rsidR="0034779E" w:rsidRPr="00F30EF3"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cstheme="minorHAnsi"/>
          <w:rtl/>
        </w:rPr>
      </w:pPr>
      <w:r w:rsidRPr="00F30EF3">
        <w:rPr>
          <w:rFonts w:cstheme="minorHAnsi"/>
          <w:rtl/>
        </w:rPr>
        <w:t>والكفاءة الإدارية؛</w:t>
      </w:r>
    </w:p>
    <w:p w14:paraId="04AB92EC" w14:textId="77777777" w:rsidR="0034779E" w:rsidRPr="00F30EF3"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cstheme="minorHAnsi"/>
          <w:rtl/>
        </w:rPr>
      </w:pPr>
      <w:r w:rsidRPr="00F30EF3">
        <w:rPr>
          <w:rFonts w:cstheme="minorHAnsi"/>
          <w:rtl/>
        </w:rPr>
        <w:lastRenderedPageBreak/>
        <w:t>وتطلعات المخترع؛</w:t>
      </w:r>
    </w:p>
    <w:p w14:paraId="45301A9C" w14:textId="77777777" w:rsidR="0034779E" w:rsidRPr="00F30EF3"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284" w:hanging="284"/>
        <w:jc w:val="both"/>
        <w:rPr>
          <w:rFonts w:cstheme="minorHAnsi"/>
          <w:rtl/>
        </w:rPr>
      </w:pPr>
      <w:r w:rsidRPr="00F30EF3">
        <w:rPr>
          <w:rFonts w:cstheme="minorHAnsi"/>
          <w:rtl/>
        </w:rPr>
        <w:t>والمتطلبات التشريعية</w:t>
      </w:r>
    </w:p>
    <w:p w14:paraId="6179B952" w14:textId="77777777" w:rsidR="0034779E" w:rsidRPr="00F30EF3" w:rsidRDefault="0034779E" w:rsidP="0034779E">
      <w:pPr>
        <w:spacing w:after="0" w:line="240" w:lineRule="auto"/>
        <w:jc w:val="both"/>
        <w:rPr>
          <w:rFonts w:cstheme="minorHAnsi"/>
          <w:lang w:val="en-US"/>
        </w:rPr>
      </w:pPr>
    </w:p>
    <w:p w14:paraId="15C77926" w14:textId="35830FDC" w:rsidR="0034779E" w:rsidRPr="00F30EF3"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cstheme="minorHAnsi"/>
          <w:rtl/>
        </w:rPr>
      </w:pPr>
      <w:bookmarkStart w:id="281" w:name="Box60"/>
      <w:r w:rsidRPr="00F30EF3">
        <w:rPr>
          <w:rFonts w:cstheme="minorHAnsi"/>
          <w:b/>
          <w:bCs/>
          <w:rtl/>
        </w:rPr>
        <w:t>الإطار</w:t>
      </w:r>
      <w:bookmarkEnd w:id="281"/>
      <w:r w:rsidR="00EC37A3" w:rsidRPr="00F30EF3">
        <w:rPr>
          <w:rFonts w:cstheme="minorHAnsi" w:hint="cs"/>
          <w:b/>
          <w:bCs/>
          <w:rtl/>
          <w:lang w:val="en-US" w:bidi="ar-SA"/>
        </w:rPr>
        <w:t xml:space="preserve"> 61. </w:t>
      </w:r>
      <w:r w:rsidRPr="00F30EF3">
        <w:rPr>
          <w:rFonts w:cstheme="minorHAnsi"/>
          <w:b/>
          <w:bCs/>
          <w:rtl/>
        </w:rPr>
        <w:t xml:space="preserve">مُقتطف من سياسة الملكية الفكرية الخاصة بجامعة ماليزيا </w:t>
      </w:r>
      <w:r w:rsidR="003B01CB" w:rsidRPr="00F30EF3">
        <w:rPr>
          <w:rStyle w:val="FootnoteReference"/>
          <w:rFonts w:cstheme="minorHAnsi"/>
          <w:b/>
          <w:bCs/>
          <w:rtl/>
          <w:lang w:val="en-US"/>
        </w:rPr>
        <w:footnoteReference w:id="163"/>
      </w:r>
      <w:r w:rsidRPr="00F30EF3">
        <w:rPr>
          <w:rFonts w:cstheme="minorHAnsi"/>
          <w:rtl/>
        </w:rPr>
        <w:t>يحدد مختلف الخيارات المنوطة بتسويق الملكية الفكرية للمؤسسة:</w:t>
      </w:r>
    </w:p>
    <w:p w14:paraId="207F7209" w14:textId="2883E10D" w:rsidR="0034779E" w:rsidRPr="00F30EF3"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eastAsia="Times New Roman" w:cstheme="minorHAnsi"/>
          <w:rtl/>
        </w:rPr>
      </w:pPr>
      <w:r w:rsidRPr="00F30EF3">
        <w:rPr>
          <w:rFonts w:cstheme="minorHAnsi"/>
          <w:rtl/>
        </w:rPr>
        <w:t>3.5</w:t>
      </w:r>
      <w:r w:rsidRPr="00F30EF3">
        <w:rPr>
          <w:rFonts w:cstheme="minorHAnsi"/>
          <w:b/>
          <w:bCs/>
          <w:rtl/>
        </w:rPr>
        <w:t xml:space="preserve"> الترخيص</w:t>
      </w:r>
      <w:r w:rsidRPr="00F30EF3">
        <w:rPr>
          <w:rFonts w:cstheme="minorHAnsi"/>
          <w:rtl/>
        </w:rPr>
        <w:t xml:space="preserve"> </w:t>
      </w:r>
    </w:p>
    <w:p w14:paraId="544684D5" w14:textId="77777777" w:rsidR="0034779E" w:rsidRPr="00F30EF3"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eastAsia="Times New Roman" w:cstheme="minorHAnsi"/>
          <w:rtl/>
        </w:rPr>
      </w:pPr>
      <w:r w:rsidRPr="00F30EF3">
        <w:rPr>
          <w:rFonts w:cstheme="minorHAnsi"/>
          <w:rtl/>
        </w:rPr>
        <w:t xml:space="preserve">1.3.5 يمكن أن يكون الترخيص في شكل ترخيص استئثاري وترخيص غير استئثاري وترخيص حصري وترخيص متبادل، مع مراعاة الفقرة 4.3.5. ويمكن تقييد جميع ترتيبات الترخيص بموجب عقد حسب المواقع الجغرافية والوقت والصناعة ومجالات التطبيق. </w:t>
      </w:r>
    </w:p>
    <w:p w14:paraId="3062B6BF" w14:textId="77777777" w:rsidR="0034779E" w:rsidRPr="00F30EF3"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eastAsia="Times New Roman" w:cstheme="minorHAnsi"/>
          <w:rtl/>
        </w:rPr>
      </w:pPr>
      <w:r w:rsidRPr="00F30EF3">
        <w:rPr>
          <w:rFonts w:cstheme="minorHAnsi"/>
          <w:u w:val="single"/>
          <w:rtl/>
        </w:rPr>
        <w:t>الترخيص الاستئثاري</w:t>
      </w:r>
      <w:r w:rsidRPr="00F30EF3">
        <w:rPr>
          <w:rFonts w:cstheme="minorHAnsi"/>
          <w:rtl/>
        </w:rPr>
        <w:t xml:space="preserve"> - يقوم المتلقي بنقل جميع حقوق استغلال الملكية الفكرية إلى المرخّص له. وهذا يعني أن يتنازل المتلقي عن حقوق استغلال الملكية الفكرية بنفسه أو منح أي ترخيص (تراخيص) إضافي لاحق لطرف آخر. ويحتفظ المتلقي بحقوق استخدام الملكية الفكرية وإجراء مزيد من الأبحاث والتطوير المتعلق بها واستغلالها لأغراض غير تجارية. </w:t>
      </w:r>
    </w:p>
    <w:p w14:paraId="56098F48" w14:textId="77777777" w:rsidR="0034779E" w:rsidRPr="00F30EF3"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eastAsia="Times New Roman" w:cstheme="minorHAnsi"/>
          <w:rtl/>
        </w:rPr>
      </w:pPr>
      <w:r w:rsidRPr="00F30EF3">
        <w:rPr>
          <w:rFonts w:cstheme="minorHAnsi"/>
          <w:u w:val="single"/>
          <w:rtl/>
        </w:rPr>
        <w:t>الترخيص غير الاستئثاري</w:t>
      </w:r>
      <w:r w:rsidRPr="00F30EF3">
        <w:rPr>
          <w:rFonts w:cstheme="minorHAnsi"/>
          <w:rtl/>
        </w:rPr>
        <w:t xml:space="preserve"> - يجوز للمتلقي منح حقوق استغلال الملكية الفكرية إلى طرف أو أكثر، ويشمل ذلك حق استغلال الملكية الفكرية بنفسه. ويجوز للمتلقي في الترخيص غير الاستئثاري منح المرخّص له حقوق ترخيص من الباطن. </w:t>
      </w:r>
    </w:p>
    <w:p w14:paraId="47CAAB73" w14:textId="77777777" w:rsidR="0034779E" w:rsidRPr="00F30EF3"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eastAsia="Times New Roman" w:cstheme="minorHAnsi"/>
          <w:rtl/>
        </w:rPr>
      </w:pPr>
      <w:r w:rsidRPr="00F30EF3">
        <w:rPr>
          <w:rFonts w:cstheme="minorHAnsi"/>
          <w:u w:val="single"/>
          <w:rtl/>
        </w:rPr>
        <w:t>الترخيص الحصري</w:t>
      </w:r>
      <w:r w:rsidRPr="00F30EF3">
        <w:rPr>
          <w:rFonts w:cstheme="minorHAnsi"/>
          <w:rtl/>
        </w:rPr>
        <w:t xml:space="preserve"> - ينقل المتلقي حقوق استغلال الملكية الفكرية إلى المرخّص له، ولكنه يحتفظ بحق استغلال الملكية الفكرية بنفسه. </w:t>
      </w:r>
    </w:p>
    <w:p w14:paraId="45204301" w14:textId="77777777" w:rsidR="0034779E" w:rsidRPr="00F30EF3"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eastAsia="Times New Roman" w:cstheme="minorHAnsi"/>
          <w:rtl/>
        </w:rPr>
      </w:pPr>
      <w:r w:rsidRPr="00F30EF3">
        <w:rPr>
          <w:rFonts w:cstheme="minorHAnsi"/>
          <w:u w:val="single"/>
          <w:rtl/>
        </w:rPr>
        <w:t>الترخيص المتبادل</w:t>
      </w:r>
      <w:r w:rsidRPr="00F30EF3">
        <w:rPr>
          <w:rFonts w:cstheme="minorHAnsi"/>
          <w:rtl/>
        </w:rPr>
        <w:t xml:space="preserve"> - يتيح هذا الخيار لاثنين أو أكثر من مالكي الملكية الفكرية تفويض بعضهم بعضاً بموجب عقد لاستخدام الملكية الفكرية الخاصة بهم لأغراض تجارية وغير تجارية. وفي ترتيب ترخيص متبادل، فإن مقابل الحقوق الممنوحة من أحد الطرفين هو المنح المتبادل للحقوق من جانب الطرف الآخر. وقد تتضمن شروط الترخيص المتبادل دفع رسوم الترخيص أو إتاوته إذا لم تكن الحقوق المنقولة من قبل الأطراف متساوية في القيمة. </w:t>
      </w:r>
    </w:p>
    <w:p w14:paraId="01B74A3E" w14:textId="77777777" w:rsidR="0034779E" w:rsidRPr="00F30EF3"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eastAsia="Times New Roman" w:cstheme="minorHAnsi"/>
          <w:rtl/>
        </w:rPr>
      </w:pPr>
      <w:r w:rsidRPr="00F30EF3">
        <w:rPr>
          <w:rFonts w:cstheme="minorHAnsi"/>
          <w:rtl/>
        </w:rPr>
        <w:t xml:space="preserve">4.3.5 </w:t>
      </w:r>
      <w:r w:rsidRPr="00F30EF3">
        <w:rPr>
          <w:rFonts w:cstheme="minorHAnsi"/>
          <w:b/>
          <w:bCs/>
          <w:rtl/>
        </w:rPr>
        <w:t>التنازل</w:t>
      </w:r>
      <w:r w:rsidRPr="00F30EF3">
        <w:rPr>
          <w:rFonts w:cstheme="minorHAnsi"/>
          <w:rtl/>
        </w:rPr>
        <w:t xml:space="preserve"> </w:t>
      </w:r>
    </w:p>
    <w:p w14:paraId="6FA7EDEF" w14:textId="77777777" w:rsidR="0034779E" w:rsidRPr="00F30EF3"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eastAsia="Times New Roman" w:cstheme="minorHAnsi"/>
          <w:rtl/>
        </w:rPr>
      </w:pPr>
      <w:r w:rsidRPr="00F30EF3">
        <w:rPr>
          <w:rFonts w:cstheme="minorHAnsi"/>
          <w:rtl/>
        </w:rPr>
        <w:t xml:space="preserve">ينقل المتلقي الملكية الكاملة إلى طرف آخر (المتنازل له). ويتضمن التنازل بيعاً مباشراً لحقوق الملكية الفكرية للمتنازل له. ومع ذلك، يُسمح بالتنازل الجزئي، وفقًا للفقرة 3.5. وعلى سبيل المثال، قد يكون التنازل مقيّد بالمواقع الجغرافية. </w:t>
      </w:r>
    </w:p>
    <w:p w14:paraId="185FD99F" w14:textId="77777777" w:rsidR="003B01CB" w:rsidRPr="00F30EF3"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eastAsia="Times New Roman" w:cstheme="minorHAnsi"/>
          <w:rtl/>
        </w:rPr>
      </w:pPr>
      <w:r w:rsidRPr="00F30EF3">
        <w:rPr>
          <w:rFonts w:cstheme="minorHAnsi"/>
          <w:rtl/>
        </w:rPr>
        <w:t xml:space="preserve">5.3.5 </w:t>
      </w:r>
      <w:r w:rsidRPr="00F30EF3">
        <w:rPr>
          <w:rFonts w:cstheme="minorHAnsi"/>
          <w:b/>
          <w:bCs/>
          <w:rtl/>
        </w:rPr>
        <w:t>الشركة المنبثقة</w:t>
      </w:r>
      <w:r w:rsidRPr="00F30EF3">
        <w:rPr>
          <w:rFonts w:cstheme="minorHAnsi"/>
          <w:rtl/>
        </w:rPr>
        <w:t xml:space="preserve"> </w:t>
      </w:r>
    </w:p>
    <w:p w14:paraId="302C739E" w14:textId="77777777" w:rsidR="0034779E" w:rsidRPr="00F30EF3"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eastAsia="Times New Roman" w:cstheme="minorHAnsi"/>
          <w:rtl/>
        </w:rPr>
      </w:pPr>
      <w:r w:rsidRPr="00F30EF3">
        <w:rPr>
          <w:rFonts w:cstheme="minorHAnsi"/>
          <w:rtl/>
        </w:rPr>
        <w:t>يؤسس المتلقي شركة لغرض تسويق الملكية الفكرية، حيث يمتلك كلاً من المخترع (المخترعين) والمتلقي أسهماً في الشركة مع أي طرف آخر، بنسب يتم التفاوض عليها.6.3.5 شركة مشروع مشترك. ويؤسس المتلقي كياناً مع طرف آخر لغرض تسويق الملكية الفكرية، حيث يكون المتلقي والطرف الآخر مساهمين في الشركة المذكورة</w:t>
      </w:r>
    </w:p>
    <w:p w14:paraId="345C397C" w14:textId="681D384E" w:rsidR="004B3FAF" w:rsidRPr="00F30EF3" w:rsidRDefault="004B3FAF" w:rsidP="009D4A54">
      <w:pPr>
        <w:pStyle w:val="NormalWeb"/>
        <w:numPr>
          <w:ilvl w:val="0"/>
          <w:numId w:val="19"/>
        </w:numPr>
        <w:tabs>
          <w:tab w:val="left" w:pos="851"/>
        </w:tabs>
        <w:spacing w:before="0" w:beforeAutospacing="0" w:after="200" w:afterAutospacing="0"/>
        <w:ind w:left="426" w:hanging="426"/>
        <w:jc w:val="both"/>
        <w:rPr>
          <w:rFonts w:asciiTheme="minorHAnsi" w:eastAsiaTheme="minorEastAsia" w:hAnsiTheme="minorHAnsi" w:cstheme="minorHAnsi"/>
          <w:sz w:val="22"/>
          <w:szCs w:val="22"/>
          <w:rtl/>
        </w:rPr>
      </w:pPr>
      <w:r w:rsidRPr="00F30EF3">
        <w:rPr>
          <w:rFonts w:asciiTheme="minorHAnsi" w:hAnsiTheme="minorHAnsi" w:cstheme="minorHAnsi"/>
          <w:b/>
          <w:bCs/>
          <w:sz w:val="22"/>
          <w:szCs w:val="22"/>
          <w:rtl/>
        </w:rPr>
        <w:t xml:space="preserve">المادة 4.9.أ، </w:t>
      </w:r>
      <w:r w:rsidRPr="00F30EF3">
        <w:rPr>
          <w:rFonts w:asciiTheme="minorHAnsi" w:hAnsiTheme="minorHAnsi" w:cstheme="minorHAnsi"/>
          <w:b/>
          <w:bCs/>
          <w:i/>
          <w:iCs/>
          <w:sz w:val="22"/>
          <w:szCs w:val="22"/>
          <w:rtl/>
        </w:rPr>
        <w:t>الترخيص، سواء كان استئثارياً أو غير استئثاري، والتغييرات الطارئة عليه</w:t>
      </w:r>
      <w:r w:rsidRPr="00F30EF3">
        <w:rPr>
          <w:rFonts w:asciiTheme="minorHAnsi" w:hAnsiTheme="minorHAnsi" w:cstheme="minorHAnsi"/>
          <w:sz w:val="22"/>
          <w:szCs w:val="22"/>
          <w:rtl/>
        </w:rPr>
        <w:t>. الترخيص هو عقد يمنح بموجبه صاحب الملكية الفكرية (المُرخِص) تصريحاً لشخص آخر (مُرخص له) باستخدام الملكية الفكرية الخاصة به، ضمن الحدود التي تقرّها أحكام العقد، دون التنازل عن ملكية الملكية الفكرية. وهذا هو الإطار الذي يُمنح فيه النفاذ إلى الاختراع "</w:t>
      </w:r>
      <w:r w:rsidRPr="00F30EF3">
        <w:rPr>
          <w:rFonts w:asciiTheme="minorHAnsi" w:hAnsiTheme="minorHAnsi" w:cstheme="minorHAnsi"/>
          <w:i/>
          <w:iCs/>
          <w:sz w:val="22"/>
          <w:szCs w:val="22"/>
          <w:rtl/>
        </w:rPr>
        <w:t>"صنع الاختراع أو استخدامه أو استغلاله أو عرض التصرف فيه أو التصرف فيه أو توريده</w:t>
      </w:r>
      <w:r w:rsidRPr="00F30EF3">
        <w:rPr>
          <w:rFonts w:asciiTheme="minorHAnsi" w:hAnsiTheme="minorHAnsi" w:cstheme="minorHAnsi"/>
          <w:sz w:val="22"/>
          <w:szCs w:val="22"/>
          <w:rtl/>
        </w:rPr>
        <w:t xml:space="preserve">" في حين تحتفظ المؤسسة بملكية الملكية الفكرية. وبالتالي تتولى المؤسسة مسؤولية أي معالجة متواصلة للملكية الفكرية وما يتصل بذلك من الاحتفاظ بالحقوق. </w:t>
      </w:r>
    </w:p>
    <w:p w14:paraId="51160FA8" w14:textId="6DB7AA46" w:rsidR="0056763A" w:rsidRPr="00F30EF3" w:rsidRDefault="004B3FAF" w:rsidP="004B3FAF">
      <w:pPr>
        <w:pStyle w:val="NormalWeb"/>
        <w:tabs>
          <w:tab w:val="left" w:pos="851"/>
        </w:tabs>
        <w:spacing w:before="0" w:beforeAutospacing="0" w:after="200" w:afterAutospacing="0"/>
        <w:ind w:left="426"/>
        <w:jc w:val="both"/>
        <w:rPr>
          <w:rFonts w:asciiTheme="minorHAnsi" w:hAnsiTheme="minorHAnsi" w:cstheme="minorHAnsi"/>
          <w:sz w:val="22"/>
          <w:szCs w:val="22"/>
          <w:rtl/>
        </w:rPr>
      </w:pPr>
      <w:r w:rsidRPr="00F30EF3">
        <w:rPr>
          <w:rFonts w:asciiTheme="minorHAnsi" w:hAnsiTheme="minorHAnsi" w:cstheme="minorHAnsi"/>
          <w:sz w:val="22"/>
          <w:szCs w:val="22"/>
          <w:rtl/>
        </w:rPr>
        <w:t xml:space="preserve">ويرد الفرق بين الترخيص غير الاستئثاري، والترخيص الاستئثاري، والترخيص الحصري والترخيص المتبادل في </w:t>
      </w:r>
      <w:hyperlink w:anchor="Box59" w:history="1">
        <w:r w:rsidRPr="00F30EF3">
          <w:rPr>
            <w:rStyle w:val="Hyperlink"/>
            <w:rFonts w:asciiTheme="minorHAnsi" w:hAnsiTheme="minorHAnsi" w:cstheme="minorHAnsi"/>
            <w:sz w:val="22"/>
            <w:szCs w:val="22"/>
            <w:rtl/>
          </w:rPr>
          <w:t>الإطار 60</w:t>
        </w:r>
      </w:hyperlink>
      <w:r w:rsidRPr="00F30EF3">
        <w:rPr>
          <w:rFonts w:asciiTheme="minorHAnsi" w:hAnsiTheme="minorHAnsi" w:cstheme="minorHAnsi"/>
          <w:sz w:val="22"/>
          <w:szCs w:val="22"/>
          <w:rtl/>
        </w:rPr>
        <w:t>. وبشكل عام، حين يتعلق الأمر بالملكية الفكرية المُموَّلة من الأموال العامة، يتم إعطاء الأفضلية للترخيص غير الاستئثاري وعلاوة على ذلك تُمنح الأفضلية للشركات الصغيرة والمتوسطة (</w:t>
      </w:r>
      <w:r w:rsidRPr="00F30EF3">
        <w:rPr>
          <w:rFonts w:asciiTheme="minorHAnsi" w:hAnsiTheme="minorHAnsi" w:cstheme="minorHAnsi"/>
          <w:sz w:val="22"/>
          <w:szCs w:val="22"/>
        </w:rPr>
        <w:t>SMEs</w:t>
      </w:r>
      <w:r w:rsidRPr="00F30EF3">
        <w:rPr>
          <w:rFonts w:asciiTheme="minorHAnsi" w:hAnsiTheme="minorHAnsi" w:cstheme="minorHAnsi"/>
          <w:sz w:val="22"/>
          <w:szCs w:val="22"/>
          <w:rtl/>
        </w:rPr>
        <w:t xml:space="preserve">). وفي جنوب أفريقيا، تمتد هذه التفضيلات لتشمل كيانات التمكين الاقتصادي للسود على نطاق واسع (كيانات </w:t>
      </w:r>
      <w:r w:rsidRPr="00F30EF3">
        <w:rPr>
          <w:rFonts w:asciiTheme="minorHAnsi" w:hAnsiTheme="minorHAnsi" w:cstheme="minorHAnsi"/>
          <w:sz w:val="22"/>
          <w:szCs w:val="22"/>
        </w:rPr>
        <w:t>BBBEE</w:t>
      </w:r>
      <w:r w:rsidRPr="00F30EF3">
        <w:rPr>
          <w:rFonts w:asciiTheme="minorHAnsi" w:hAnsiTheme="minorHAnsi" w:cstheme="minorHAnsi"/>
          <w:sz w:val="22"/>
          <w:szCs w:val="22"/>
          <w:rtl/>
        </w:rPr>
        <w:t>).</w:t>
      </w:r>
    </w:p>
    <w:p w14:paraId="3A0C3CB6" w14:textId="77777777" w:rsidR="0056763A" w:rsidRPr="00F30EF3" w:rsidRDefault="0056763A">
      <w:pPr>
        <w:bidi w:val="0"/>
        <w:rPr>
          <w:rFonts w:eastAsia="Times New Roman" w:cstheme="minorHAnsi"/>
          <w:rtl/>
        </w:rPr>
      </w:pPr>
      <w:r w:rsidRPr="00F30EF3">
        <w:rPr>
          <w:rFonts w:cstheme="minorHAnsi"/>
          <w:rtl/>
        </w:rPr>
        <w:lastRenderedPageBreak/>
        <w:br w:type="page"/>
      </w:r>
    </w:p>
    <w:p w14:paraId="33520C89" w14:textId="77777777" w:rsidR="004B3FAF" w:rsidRPr="00F30EF3" w:rsidRDefault="004B3FAF" w:rsidP="004B3FAF">
      <w:pPr>
        <w:pStyle w:val="NormalWeb"/>
        <w:tabs>
          <w:tab w:val="left" w:pos="851"/>
        </w:tabs>
        <w:spacing w:before="0" w:beforeAutospacing="0" w:after="200" w:afterAutospacing="0"/>
        <w:ind w:left="426"/>
        <w:jc w:val="both"/>
        <w:rPr>
          <w:rFonts w:asciiTheme="minorHAnsi" w:eastAsiaTheme="minorEastAsia" w:hAnsiTheme="minorHAnsi" w:cstheme="minorHAnsi"/>
          <w:sz w:val="22"/>
          <w:szCs w:val="22"/>
          <w:rtl/>
        </w:rPr>
      </w:pPr>
    </w:p>
    <w:tbl>
      <w:tblPr>
        <w:tblStyle w:val="LightShading-Accent11"/>
        <w:bidiVisual/>
        <w:tblW w:w="0" w:type="auto"/>
        <w:tblLook w:val="04A0" w:firstRow="1" w:lastRow="0" w:firstColumn="1" w:lastColumn="0" w:noHBand="0" w:noVBand="1"/>
      </w:tblPr>
      <w:tblGrid>
        <w:gridCol w:w="2803"/>
        <w:gridCol w:w="6223"/>
      </w:tblGrid>
      <w:tr w:rsidR="004B3FAF" w:rsidRPr="00F30EF3" w14:paraId="3FCEA2A0" w14:textId="77777777" w:rsidTr="004B3FAF">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044" w:type="dxa"/>
            <w:gridSpan w:val="2"/>
            <w:shd w:val="clear" w:color="auto" w:fill="D9D9D9" w:themeFill="background1" w:themeFillShade="D9"/>
          </w:tcPr>
          <w:p w14:paraId="5663700E" w14:textId="22464F3C" w:rsidR="004B3FAF" w:rsidRPr="00F30EF3" w:rsidRDefault="004B3FAF" w:rsidP="00380BE6">
            <w:pPr>
              <w:jc w:val="both"/>
              <w:rPr>
                <w:rFonts w:cstheme="minorHAnsi"/>
                <w:rtl/>
              </w:rPr>
            </w:pPr>
            <w:bookmarkStart w:id="282" w:name="Box61"/>
            <w:r w:rsidRPr="00F30EF3">
              <w:rPr>
                <w:rFonts w:cstheme="minorHAnsi"/>
                <w:rtl/>
              </w:rPr>
              <w:t xml:space="preserve">الإطار </w:t>
            </w:r>
            <w:bookmarkEnd w:id="282"/>
            <w:r w:rsidR="00B97B7F" w:rsidRPr="00F30EF3">
              <w:rPr>
                <w:rFonts w:cstheme="minorHAnsi" w:hint="cs"/>
                <w:rtl/>
              </w:rPr>
              <w:t>62.</w:t>
            </w:r>
            <w:r w:rsidRPr="00F30EF3">
              <w:rPr>
                <w:rFonts w:cstheme="minorHAnsi"/>
                <w:b w:val="0"/>
                <w:bCs w:val="0"/>
                <w:rtl/>
              </w:rPr>
              <w:t xml:space="preserve"> </w:t>
            </w:r>
            <w:r w:rsidRPr="00F30EF3">
              <w:rPr>
                <w:rFonts w:cstheme="minorHAnsi"/>
                <w:rtl/>
              </w:rPr>
              <w:t>إعطاء الأفضلية لإصدار التراخيص للشركات الصغيرة والمتوسطة - جنوب أفريقيا والولايات المتحدة</w:t>
            </w:r>
          </w:p>
        </w:tc>
      </w:tr>
      <w:tr w:rsidR="004B3FAF" w:rsidRPr="00F30EF3" w14:paraId="5CA5517E" w14:textId="77777777" w:rsidTr="004B3FA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808" w:type="dxa"/>
          </w:tcPr>
          <w:p w14:paraId="7541B049" w14:textId="77777777" w:rsidR="004B3FAF" w:rsidRPr="00F30EF3" w:rsidRDefault="004B3FAF" w:rsidP="004B3FAF">
            <w:pPr>
              <w:jc w:val="both"/>
              <w:rPr>
                <w:rFonts w:cstheme="minorHAnsi"/>
                <w:b w:val="0"/>
                <w:rtl/>
              </w:rPr>
            </w:pPr>
            <w:r w:rsidRPr="00F30EF3">
              <w:rPr>
                <w:rFonts w:cstheme="minorHAnsi"/>
                <w:rtl/>
              </w:rPr>
              <w:t>قانون حقوق الملكية الفكرية ولوائحه</w:t>
            </w:r>
          </w:p>
        </w:tc>
        <w:tc>
          <w:tcPr>
            <w:tcW w:w="6236" w:type="dxa"/>
          </w:tcPr>
          <w:p w14:paraId="7414CA64" w14:textId="77777777" w:rsidR="004B3FAF" w:rsidRPr="00F30EF3" w:rsidRDefault="004B3FAF" w:rsidP="004B3FAF">
            <w:pPr>
              <w:jc w:val="both"/>
              <w:cnfStyle w:val="000000100000" w:firstRow="0" w:lastRow="0" w:firstColumn="0" w:lastColumn="0" w:oddVBand="0" w:evenVBand="0" w:oddHBand="1" w:evenHBand="0" w:firstRowFirstColumn="0" w:firstRowLastColumn="0" w:lastRowFirstColumn="0" w:lastRowLastColumn="0"/>
              <w:rPr>
                <w:rFonts w:cstheme="minorHAnsi"/>
                <w:b/>
                <w:bCs/>
                <w:rtl/>
              </w:rPr>
            </w:pPr>
            <w:r w:rsidRPr="00F30EF3">
              <w:rPr>
                <w:rFonts w:cstheme="minorHAnsi"/>
                <w:rtl/>
              </w:rPr>
              <w:t>قانون بايه-دول ولوائحه</w:t>
            </w:r>
          </w:p>
        </w:tc>
      </w:tr>
      <w:tr w:rsidR="004B3FAF" w:rsidRPr="00F30EF3" w14:paraId="4B01740E" w14:textId="77777777" w:rsidTr="004B3FAF">
        <w:trPr>
          <w:trHeight w:val="2339"/>
        </w:trPr>
        <w:tc>
          <w:tcPr>
            <w:cnfStyle w:val="001000000000" w:firstRow="0" w:lastRow="0" w:firstColumn="1" w:lastColumn="0" w:oddVBand="0" w:evenVBand="0" w:oddHBand="0" w:evenHBand="0" w:firstRowFirstColumn="0" w:firstRowLastColumn="0" w:lastRowFirstColumn="0" w:lastRowLastColumn="0"/>
            <w:tcW w:w="2808" w:type="dxa"/>
            <w:shd w:val="clear" w:color="auto" w:fill="D9D9D9" w:themeFill="background1" w:themeFillShade="D9"/>
          </w:tcPr>
          <w:p w14:paraId="4D342FA8" w14:textId="77777777" w:rsidR="004B3FAF" w:rsidRPr="00F30EF3" w:rsidRDefault="004B3FAF" w:rsidP="004B3FAF">
            <w:pPr>
              <w:jc w:val="both"/>
              <w:rPr>
                <w:rFonts w:cstheme="minorHAnsi"/>
                <w:b w:val="0"/>
                <w:bCs w:val="0"/>
                <w:i/>
                <w:iCs/>
                <w:rtl/>
              </w:rPr>
            </w:pPr>
            <w:r w:rsidRPr="00F30EF3">
              <w:rPr>
                <w:rFonts w:cstheme="minorHAnsi"/>
                <w:rtl/>
              </w:rPr>
              <w:t xml:space="preserve">من القسم 11(1)(أ) إلى (ج) </w:t>
            </w:r>
            <w:r w:rsidRPr="00F30EF3">
              <w:rPr>
                <w:rFonts w:cstheme="minorHAnsi"/>
                <w:i/>
                <w:iCs/>
                <w:rtl/>
              </w:rPr>
              <w:t>(ملخص)</w:t>
            </w:r>
            <w:r w:rsidRPr="00F30EF3">
              <w:rPr>
                <w:rFonts w:cstheme="minorHAnsi"/>
                <w:rtl/>
              </w:rPr>
              <w:t>:</w:t>
            </w:r>
          </w:p>
          <w:p w14:paraId="6615148C" w14:textId="2638DFF5" w:rsidR="004B3FAF" w:rsidRPr="00F30EF3" w:rsidRDefault="004B3FAF" w:rsidP="004B3FAF">
            <w:pPr>
              <w:jc w:val="both"/>
              <w:rPr>
                <w:rFonts w:cstheme="minorHAnsi"/>
                <w:b w:val="0"/>
                <w:bCs w:val="0"/>
                <w:rtl/>
              </w:rPr>
            </w:pPr>
            <w:r w:rsidRPr="00F30EF3">
              <w:rPr>
                <w:rFonts w:cstheme="minorHAnsi"/>
                <w:rtl/>
              </w:rPr>
              <w:t>يجب إعطاء الأفضلية للترخيص غير الاستئثاري، وكيانات التمكين الاقتصادي للسود على نطاق واسع والشركات الصغيرة والأطراف التي تسعى إلى استخدام الملكية الفكرية بطرق تقدم منافع مثالية للاقتصاد ونوعية حياة شعب جنوب أفريقيا (من بين أمور أخرى).</w:t>
            </w:r>
          </w:p>
        </w:tc>
        <w:tc>
          <w:tcPr>
            <w:tcW w:w="6236" w:type="dxa"/>
            <w:shd w:val="clear" w:color="auto" w:fill="D9D9D9" w:themeFill="background1" w:themeFillShade="D9"/>
          </w:tcPr>
          <w:p w14:paraId="51C23ADD" w14:textId="77777777" w:rsidR="004B3FAF" w:rsidRPr="00F30EF3" w:rsidRDefault="004B3FAF" w:rsidP="004B3FAF">
            <w:pPr>
              <w:jc w:val="both"/>
              <w:cnfStyle w:val="000000000000" w:firstRow="0" w:lastRow="0" w:firstColumn="0" w:lastColumn="0" w:oddVBand="0" w:evenVBand="0" w:oddHBand="0" w:evenHBand="0" w:firstRowFirstColumn="0" w:firstRowLastColumn="0" w:lastRowFirstColumn="0" w:lastRowLastColumn="0"/>
              <w:rPr>
                <w:rFonts w:cstheme="minorHAnsi"/>
                <w:rtl/>
              </w:rPr>
            </w:pPr>
            <w:r w:rsidRPr="00F30EF3">
              <w:rPr>
                <w:rFonts w:cstheme="minorHAnsi"/>
                <w:b/>
                <w:bCs/>
                <w:rtl/>
              </w:rPr>
              <w:t>القسم 209(ج)(3):</w:t>
            </w:r>
          </w:p>
          <w:p w14:paraId="235921BB" w14:textId="77777777" w:rsidR="004B3FAF" w:rsidRPr="00F30EF3" w:rsidRDefault="004B3FAF" w:rsidP="004B3FAF">
            <w:pPr>
              <w:jc w:val="both"/>
              <w:cnfStyle w:val="000000000000" w:firstRow="0" w:lastRow="0" w:firstColumn="0" w:lastColumn="0" w:oddVBand="0" w:evenVBand="0" w:oddHBand="0" w:evenHBand="0" w:firstRowFirstColumn="0" w:firstRowLastColumn="0" w:lastRowFirstColumn="0" w:lastRowLastColumn="0"/>
              <w:rPr>
                <w:rFonts w:cstheme="minorHAnsi"/>
                <w:i/>
                <w:iCs/>
                <w:rtl/>
              </w:rPr>
            </w:pPr>
            <w:r w:rsidRPr="00F30EF3">
              <w:rPr>
                <w:rFonts w:cstheme="minorHAnsi"/>
                <w:rtl/>
              </w:rPr>
              <w:t>"</w:t>
            </w:r>
            <w:r w:rsidRPr="00F30EF3">
              <w:rPr>
                <w:rFonts w:cstheme="minorHAnsi"/>
                <w:i/>
                <w:iCs/>
                <w:rtl/>
              </w:rPr>
              <w:t>تُمنح الأفضلية الأولى في الترخيص الاستئثاري أو الترخيص شبه الاستئثاري عن الاختراعات المملوكة على الصعيد الفيدرالي للشركات الصغيرة التي تقدِّم خططاً ترى الوكالة أنها ضمن قدرات الشركات، ويرجح بالتساوي، حال تنفيذها، أن تُدخل الاختراع في حيز التطبيقات العملية مثلها مثل أي خطط يقدمها المودعون ممن ليسوا شركات أعمال صغيرة".</w:t>
            </w:r>
          </w:p>
          <w:p w14:paraId="2D6FB690" w14:textId="77777777" w:rsidR="004B3FAF" w:rsidRPr="00F30EF3" w:rsidRDefault="004B3FAF" w:rsidP="004B3FAF">
            <w:pPr>
              <w:jc w:val="both"/>
              <w:cnfStyle w:val="000000000000" w:firstRow="0" w:lastRow="0" w:firstColumn="0" w:lastColumn="0" w:oddVBand="0" w:evenVBand="0" w:oddHBand="0" w:evenHBand="0" w:firstRowFirstColumn="0" w:firstRowLastColumn="0" w:lastRowFirstColumn="0" w:lastRowLastColumn="0"/>
              <w:rPr>
                <w:rFonts w:cstheme="minorHAnsi"/>
                <w:i/>
                <w:iCs/>
                <w:lang w:val="en-US"/>
              </w:rPr>
            </w:pPr>
          </w:p>
          <w:p w14:paraId="31BB6B8F" w14:textId="77777777" w:rsidR="004B3FAF" w:rsidRPr="00F30EF3" w:rsidRDefault="004B3FAF" w:rsidP="004B3FAF">
            <w:pPr>
              <w:jc w:val="both"/>
              <w:cnfStyle w:val="000000000000" w:firstRow="0" w:lastRow="0" w:firstColumn="0" w:lastColumn="0" w:oddVBand="0" w:evenVBand="0" w:oddHBand="0" w:evenHBand="0" w:firstRowFirstColumn="0" w:firstRowLastColumn="0" w:lastRowFirstColumn="0" w:lastRowLastColumn="0"/>
              <w:rPr>
                <w:rFonts w:cstheme="minorHAnsi"/>
                <w:b/>
                <w:bCs/>
                <w:rtl/>
              </w:rPr>
            </w:pPr>
            <w:r w:rsidRPr="00F30EF3">
              <w:rPr>
                <w:rFonts w:cstheme="minorHAnsi"/>
                <w:b/>
                <w:bCs/>
                <w:rtl/>
              </w:rPr>
              <w:t>اللائحة 14.401"1":</w:t>
            </w:r>
            <w:r w:rsidRPr="00F30EF3">
              <w:rPr>
                <w:rFonts w:cstheme="minorHAnsi"/>
                <w:rtl/>
              </w:rPr>
              <w:t xml:space="preserve"> </w:t>
            </w:r>
          </w:p>
          <w:p w14:paraId="7E1A1E18" w14:textId="77777777" w:rsidR="004B3FAF" w:rsidRPr="00F30EF3" w:rsidRDefault="004B3FAF" w:rsidP="004B3FAF">
            <w:pPr>
              <w:jc w:val="both"/>
              <w:cnfStyle w:val="000000000000" w:firstRow="0" w:lastRow="0" w:firstColumn="0" w:lastColumn="0" w:oddVBand="0" w:evenVBand="0" w:oddHBand="0" w:evenHBand="0" w:firstRowFirstColumn="0" w:firstRowLastColumn="0" w:lastRowFirstColumn="0" w:lastRowLastColumn="0"/>
              <w:rPr>
                <w:rFonts w:cstheme="minorHAnsi"/>
                <w:rtl/>
              </w:rPr>
            </w:pPr>
            <w:r w:rsidRPr="00F30EF3">
              <w:rPr>
                <w:rFonts w:cstheme="minorHAnsi"/>
                <w:rtl/>
              </w:rPr>
              <w:t>"</w:t>
            </w:r>
            <w:r w:rsidRPr="00F30EF3">
              <w:rPr>
                <w:rFonts w:cstheme="minorHAnsi"/>
                <w:i/>
                <w:iCs/>
                <w:rtl/>
              </w:rPr>
              <w:t>الأفضلية المقدمة للقطاع الصناعي بالولايات المتحدة: دون المساس بأي حكم آخر من أحكام هذا البند</w:t>
            </w:r>
            <w:r w:rsidRPr="00F30EF3">
              <w:rPr>
                <w:rFonts w:cstheme="minorHAnsi"/>
                <w:rtl/>
              </w:rPr>
              <w:t xml:space="preserve">، </w:t>
            </w:r>
            <w:r w:rsidRPr="00F30EF3">
              <w:rPr>
                <w:rFonts w:cstheme="minorHAnsi"/>
                <w:i/>
                <w:iCs/>
                <w:rtl/>
              </w:rPr>
              <w:t>يوافق المتعاقد على ألا يمنح هو أو أي متنازل له أي شخص الحق الاستئثاري في استخدام أي من الاختراعات محل الموضوع أو بيعها في الولايات المتحدة ما لم يوافق هذا الشخص على أن أي منتجات تجسد الاختراع محل الموضوع أو يتم إنتاجها من خلال استخدام الاختراع محل الموضوع سيتم تصنيعها على نحو كبير في الولايات المتحدة. ومع ذلك، في الحالات الفردية، يجوز للوكالة الفيدرالية التنازل عن هذا الشرط في الاتفاق في حالة إثبات المتعاقد أو المتنازل له أنه قد تم بذل جهود معقولة ولكنها غير ناجحة لمنح تراخيص بشروط مماثلة للمرخص لهم المحتملين الذين من المرجح أن يصنّعوا على نحو كبير في الولايات المتحدة أو أن يكون التصنيع المحلي في ظل الظروف الحالية غير ممكن تجارياً</w:t>
            </w:r>
            <w:r w:rsidRPr="00F30EF3">
              <w:rPr>
                <w:rFonts w:cstheme="minorHAnsi"/>
                <w:rtl/>
              </w:rPr>
              <w:t>".</w:t>
            </w:r>
          </w:p>
        </w:tc>
      </w:tr>
    </w:tbl>
    <w:p w14:paraId="11CE2850" w14:textId="77777777" w:rsidR="004B3FAF" w:rsidRPr="00F30EF3" w:rsidRDefault="004B3FAF" w:rsidP="004B3FAF">
      <w:pPr>
        <w:pStyle w:val="NormalWeb"/>
        <w:tabs>
          <w:tab w:val="left" w:pos="851"/>
        </w:tabs>
        <w:spacing w:before="0" w:beforeAutospacing="0" w:after="200" w:afterAutospacing="0"/>
        <w:jc w:val="both"/>
        <w:rPr>
          <w:rFonts w:asciiTheme="minorHAnsi" w:eastAsiaTheme="minorEastAsia" w:hAnsiTheme="minorHAnsi" w:cstheme="minorHAnsi"/>
          <w:sz w:val="22"/>
          <w:szCs w:val="22"/>
          <w:lang w:val="en-US"/>
        </w:rPr>
      </w:pPr>
    </w:p>
    <w:p w14:paraId="2CED35C4" w14:textId="3C2D57F2" w:rsidR="004B3FAF" w:rsidRPr="00F30EF3" w:rsidRDefault="004B3FAF" w:rsidP="004B3FAF">
      <w:pPr>
        <w:pStyle w:val="NormalWeb"/>
        <w:tabs>
          <w:tab w:val="left" w:pos="851"/>
        </w:tabs>
        <w:spacing w:before="0" w:beforeAutospacing="0" w:after="200" w:afterAutospacing="0"/>
        <w:ind w:left="426"/>
        <w:jc w:val="both"/>
        <w:rPr>
          <w:rFonts w:asciiTheme="minorHAnsi" w:eastAsiaTheme="minorEastAsia" w:hAnsiTheme="minorHAnsi" w:cstheme="minorHAnsi"/>
          <w:sz w:val="22"/>
          <w:szCs w:val="22"/>
          <w:rtl/>
        </w:rPr>
      </w:pPr>
      <w:r w:rsidRPr="00F30EF3">
        <w:rPr>
          <w:rFonts w:asciiTheme="minorHAnsi" w:hAnsiTheme="minorHAnsi" w:cstheme="minorHAnsi"/>
          <w:sz w:val="22"/>
          <w:szCs w:val="22"/>
          <w:rtl/>
        </w:rPr>
        <w:t>ومن الممكن ترخيص تكنولوجيا ما على أساس مختلف بحسب استخدام التكنولوجيا أو الولاية القضائية مثلاً. وبالتالي، يمكن ترخيص شركة في أستراليا على أساس استئثاري لتصنيع التكنولوجيا واستخدامها وبيعها، في حين يمكن منح شركة في هونغ كونغ حقوقاً مماثلة في تلك الولاية القضائية.  وبدلاً من ذلك، يمكن ترخيص شركة تشيلية للحصول على حقوق استئثارية للتكنولوجيا على الصعيد العالمي لتطبيقها في قطاع مستحضرات التجميل، في حين مُنحت شركة في ماليزيا الحق الاستئثاري للتكنولوجيا في القطاع البحري.</w:t>
      </w:r>
    </w:p>
    <w:p w14:paraId="23347C97" w14:textId="618DAC58" w:rsidR="008905C0" w:rsidRPr="00F30EF3" w:rsidRDefault="008C13DD" w:rsidP="004B3FAF">
      <w:pPr>
        <w:pStyle w:val="NormalWeb"/>
        <w:tabs>
          <w:tab w:val="left" w:pos="851"/>
        </w:tabs>
        <w:spacing w:before="0" w:beforeAutospacing="0" w:after="200" w:afterAutospacing="0"/>
        <w:ind w:left="426"/>
        <w:jc w:val="both"/>
        <w:rPr>
          <w:rFonts w:asciiTheme="minorHAnsi" w:eastAsiaTheme="minorEastAsia" w:hAnsiTheme="minorHAnsi" w:cstheme="minorHAnsi"/>
          <w:sz w:val="22"/>
          <w:szCs w:val="22"/>
          <w:rtl/>
        </w:rPr>
      </w:pPr>
      <w:r w:rsidRPr="00F30EF3">
        <w:rPr>
          <w:rFonts w:asciiTheme="minorHAnsi" w:hAnsiTheme="minorHAnsi" w:cstheme="minorHAnsi"/>
          <w:b/>
          <w:bCs/>
          <w:sz w:val="22"/>
          <w:szCs w:val="22"/>
          <w:rtl/>
        </w:rPr>
        <w:t>التراخيص الاستئثارية</w:t>
      </w:r>
      <w:r w:rsidRPr="00F30EF3">
        <w:rPr>
          <w:rFonts w:asciiTheme="minorHAnsi" w:hAnsiTheme="minorHAnsi" w:cstheme="minorHAnsi"/>
          <w:sz w:val="22"/>
          <w:szCs w:val="22"/>
          <w:rtl/>
        </w:rPr>
        <w:t>. غالباً ما تطلب الأطراف أو الجهات المموّلة الخارجية الحصول على تراخيص استئثارية لأنها توفر مزيداً من الحماية لإجراء التطوير اللازم قبل أن يصبح الاختراع المُقدَّم من الجامعة منتجاً قابلاً للطرح في السوق. ولهذه المسألة أهمية بالغة للشركات الناشئة التي لديها أصول قليلة بخلاف ملكيتها الفكرية. ومن جانب آخر، التراخيص الاستئثارية تحدّ، بحكم طبيعتها، من انتشار التكنولوجيات. والرأي السائد هو وجوب ترخيص المؤسسات على نحو استئثاري وقتما يكون هذا الاستئثار ضرورياً لتقديم التبرير الذي ينطوي على عائد الاستثمار (</w:t>
      </w:r>
      <w:r w:rsidRPr="00F30EF3">
        <w:rPr>
          <w:rFonts w:asciiTheme="minorHAnsi" w:hAnsiTheme="minorHAnsi" w:cstheme="minorHAnsi"/>
          <w:sz w:val="22"/>
          <w:szCs w:val="22"/>
        </w:rPr>
        <w:t>ROI</w:t>
      </w:r>
      <w:r w:rsidRPr="00F30EF3">
        <w:rPr>
          <w:rFonts w:asciiTheme="minorHAnsi" w:hAnsiTheme="minorHAnsi" w:cstheme="minorHAnsi"/>
          <w:sz w:val="22"/>
          <w:szCs w:val="22"/>
          <w:rtl/>
        </w:rPr>
        <w:t>) للقطاع الخاص للاستثمار في تطوير التكنولوجيا. وتتطلب جميع التكنولوجيات الجامعية تقريباً ضخ استثمارات إضافية للتسويق، وعادةً ما تكون عدم الاستئثارية غير كافية لتبرير الاستثمار. وفي الوقت ذاته، غالباً ما يتم منح الاستئثارية في ظل فرض قيود على المرخّص له</w:t>
      </w:r>
      <w:r w:rsidR="004B3FAF" w:rsidRPr="00F30EF3">
        <w:rPr>
          <w:rStyle w:val="FootnoteReference"/>
          <w:rFonts w:asciiTheme="minorHAnsi" w:eastAsiaTheme="minorEastAsia" w:hAnsiTheme="minorHAnsi" w:cstheme="minorHAnsi"/>
          <w:sz w:val="22"/>
          <w:szCs w:val="22"/>
          <w:rtl/>
          <w:lang w:val="en-US"/>
        </w:rPr>
        <w:footnoteReference w:id="164"/>
      </w:r>
      <w:r w:rsidRPr="00F30EF3">
        <w:rPr>
          <w:rFonts w:asciiTheme="minorHAnsi" w:hAnsiTheme="minorHAnsi" w:cstheme="minorHAnsi"/>
          <w:sz w:val="22"/>
          <w:szCs w:val="22"/>
          <w:rtl/>
        </w:rPr>
        <w:t xml:space="preserve">: </w:t>
      </w:r>
    </w:p>
    <w:p w14:paraId="2F9C8546" w14:textId="77777777" w:rsidR="008905C0" w:rsidRPr="00F30EF3" w:rsidRDefault="004B3FAF" w:rsidP="009D4A54">
      <w:pPr>
        <w:pStyle w:val="NormalWeb"/>
        <w:numPr>
          <w:ilvl w:val="0"/>
          <w:numId w:val="163"/>
        </w:numPr>
        <w:tabs>
          <w:tab w:val="left" w:pos="851"/>
        </w:tabs>
        <w:spacing w:before="0" w:beforeAutospacing="0" w:after="200" w:afterAutospacing="0"/>
        <w:ind w:left="851" w:hanging="425"/>
        <w:jc w:val="both"/>
        <w:rPr>
          <w:rFonts w:asciiTheme="minorHAnsi" w:hAnsiTheme="minorHAnsi" w:cstheme="minorHAnsi"/>
          <w:i/>
          <w:iCs/>
          <w:sz w:val="22"/>
          <w:szCs w:val="22"/>
          <w:rtl/>
        </w:rPr>
      </w:pPr>
      <w:r w:rsidRPr="00F30EF3">
        <w:rPr>
          <w:rFonts w:asciiTheme="minorHAnsi" w:hAnsiTheme="minorHAnsi" w:cstheme="minorHAnsi"/>
          <w:sz w:val="22"/>
          <w:szCs w:val="22"/>
          <w:rtl/>
        </w:rPr>
        <w:t xml:space="preserve">وعادةً ما تُدرِج المؤسسات في اتفاقات الترخيص بنوداً لحماية المصالح العامة والنفاذ إلى الملكية الفكرية من أجل البحث والتطوير مستقبلاً.  </w:t>
      </w:r>
    </w:p>
    <w:p w14:paraId="22B18ECC" w14:textId="7CC1DD29" w:rsidR="002A1B08" w:rsidRPr="00F30EF3" w:rsidRDefault="004B3FAF" w:rsidP="009D4A54">
      <w:pPr>
        <w:pStyle w:val="NormalWeb"/>
        <w:numPr>
          <w:ilvl w:val="0"/>
          <w:numId w:val="163"/>
        </w:numPr>
        <w:tabs>
          <w:tab w:val="left" w:pos="851"/>
        </w:tabs>
        <w:spacing w:before="0" w:beforeAutospacing="0" w:after="200" w:afterAutospacing="0"/>
        <w:ind w:left="851" w:hanging="425"/>
        <w:jc w:val="both"/>
        <w:rPr>
          <w:rFonts w:asciiTheme="minorHAnsi" w:hAnsiTheme="minorHAnsi" w:cstheme="minorHAnsi"/>
          <w:sz w:val="22"/>
          <w:szCs w:val="22"/>
          <w:rtl/>
        </w:rPr>
      </w:pPr>
      <w:r w:rsidRPr="00F30EF3">
        <w:rPr>
          <w:rFonts w:asciiTheme="minorHAnsi" w:hAnsiTheme="minorHAnsi" w:cstheme="minorHAnsi"/>
          <w:sz w:val="22"/>
          <w:szCs w:val="22"/>
          <w:rtl/>
        </w:rPr>
        <w:t>وتتضمن اتفاقات الترخيص في كثير من المؤسسات شرطاً يُلزِم المُرخَّص له باستغلال الاختراع، لا سيّما إذا كان الترخيص استئثارياً، وبالموافقة على إنجاز مراحل رئيسية من أجل ضمان حدوث التسويق. ويمكن استخدام هذه الضمانات للتأكد من نقل التكنولوجيا ومن عدم استخدام البراءات المرخصة لمجرد منع المنافسين من الاستفادة منها.</w:t>
      </w:r>
      <w:r w:rsidRPr="00F30EF3">
        <w:rPr>
          <w:rStyle w:val="FootnoteReference"/>
          <w:rFonts w:asciiTheme="minorHAnsi" w:eastAsiaTheme="minorEastAsia" w:hAnsiTheme="minorHAnsi" w:cstheme="minorHAnsi"/>
          <w:sz w:val="22"/>
          <w:szCs w:val="22"/>
          <w:rtl/>
          <w:lang w:val="en-US"/>
        </w:rPr>
        <w:footnoteReference w:id="165"/>
      </w:r>
      <w:r w:rsidRPr="00F30EF3">
        <w:rPr>
          <w:rFonts w:asciiTheme="minorHAnsi" w:hAnsiTheme="minorHAnsi" w:cstheme="minorHAnsi"/>
          <w:sz w:val="22"/>
          <w:szCs w:val="22"/>
          <w:rtl/>
        </w:rPr>
        <w:t xml:space="preserve"> </w:t>
      </w:r>
    </w:p>
    <w:p w14:paraId="344E7B36" w14:textId="77777777" w:rsidR="002A1B08" w:rsidRPr="00F30EF3" w:rsidRDefault="002A1B08">
      <w:pPr>
        <w:bidi w:val="0"/>
        <w:rPr>
          <w:rFonts w:eastAsia="Times New Roman" w:cstheme="minorHAnsi"/>
          <w:rtl/>
        </w:rPr>
      </w:pPr>
      <w:r w:rsidRPr="00F30EF3">
        <w:rPr>
          <w:rFonts w:cstheme="minorHAnsi"/>
          <w:rtl/>
        </w:rPr>
        <w:br w:type="page"/>
      </w:r>
    </w:p>
    <w:p w14:paraId="10BFDCB6" w14:textId="5C7439CC" w:rsidR="00577265" w:rsidRPr="00F30EF3" w:rsidRDefault="00577265" w:rsidP="00577265">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200" w:afterAutospacing="0"/>
        <w:ind w:left="426"/>
        <w:jc w:val="both"/>
        <w:rPr>
          <w:rFonts w:asciiTheme="minorHAnsi" w:hAnsiTheme="minorHAnsi" w:cstheme="minorHAnsi"/>
          <w:b/>
          <w:bCs/>
          <w:sz w:val="22"/>
          <w:szCs w:val="22"/>
          <w:rtl/>
        </w:rPr>
      </w:pPr>
      <w:r w:rsidRPr="00F30EF3">
        <w:rPr>
          <w:rFonts w:asciiTheme="minorHAnsi" w:hAnsiTheme="minorHAnsi" w:cstheme="minorHAnsi"/>
          <w:b/>
          <w:bCs/>
          <w:sz w:val="22"/>
          <w:szCs w:val="22"/>
          <w:rtl/>
        </w:rPr>
        <w:lastRenderedPageBreak/>
        <w:t xml:space="preserve">الإطار </w:t>
      </w:r>
      <w:r w:rsidR="00354F63" w:rsidRPr="00F30EF3">
        <w:rPr>
          <w:rFonts w:asciiTheme="minorHAnsi" w:hAnsiTheme="minorHAnsi" w:cstheme="minorHAnsi"/>
          <w:b/>
          <w:bCs/>
          <w:sz w:val="22"/>
          <w:szCs w:val="22"/>
        </w:rPr>
        <w:t xml:space="preserve"> </w:t>
      </w:r>
      <w:r w:rsidR="002A1B08" w:rsidRPr="00F30EF3">
        <w:rPr>
          <w:rFonts w:asciiTheme="minorHAnsi" w:hAnsiTheme="minorHAnsi" w:cstheme="minorHAnsi"/>
          <w:b/>
          <w:bCs/>
          <w:sz w:val="22"/>
          <w:szCs w:val="22"/>
        </w:rPr>
        <w:t>.</w:t>
      </w:r>
      <w:r w:rsidR="007B3E0A" w:rsidRPr="00F30EF3">
        <w:rPr>
          <w:rFonts w:asciiTheme="minorHAnsi" w:hAnsiTheme="minorHAnsi" w:cstheme="minorHAnsi"/>
          <w:b/>
          <w:bCs/>
          <w:sz w:val="22"/>
          <w:szCs w:val="22"/>
        </w:rPr>
        <w:t>6</w:t>
      </w:r>
      <w:r w:rsidR="002A1B08" w:rsidRPr="00F30EF3">
        <w:rPr>
          <w:rFonts w:asciiTheme="minorHAnsi" w:hAnsiTheme="minorHAnsi" w:cstheme="minorHAnsi"/>
          <w:b/>
          <w:bCs/>
          <w:sz w:val="22"/>
          <w:szCs w:val="22"/>
        </w:rPr>
        <w:t>3</w:t>
      </w:r>
      <w:r w:rsidRPr="00F30EF3">
        <w:rPr>
          <w:rFonts w:asciiTheme="minorHAnsi" w:hAnsiTheme="minorHAnsi" w:cstheme="minorHAnsi"/>
          <w:b/>
          <w:bCs/>
          <w:sz w:val="22"/>
          <w:szCs w:val="22"/>
          <w:rtl/>
        </w:rPr>
        <w:t>من أجل المصلحة العامة: تسع نقاط يجب مراعاتها في ترخيص تكنولوجيا الجامعات</w:t>
      </w:r>
    </w:p>
    <w:p w14:paraId="2B82F93A" w14:textId="4DC33265" w:rsidR="00E568EC" w:rsidRPr="00F30EF3" w:rsidRDefault="00E568EC" w:rsidP="00577265">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200" w:afterAutospacing="0"/>
        <w:ind w:left="426"/>
        <w:jc w:val="both"/>
        <w:rPr>
          <w:rFonts w:asciiTheme="minorHAnsi" w:eastAsiaTheme="minorEastAsia" w:hAnsiTheme="minorHAnsi" w:cstheme="minorHAnsi"/>
          <w:sz w:val="22"/>
          <w:szCs w:val="22"/>
          <w:rtl/>
        </w:rPr>
      </w:pPr>
      <w:r w:rsidRPr="00F30EF3">
        <w:rPr>
          <w:rFonts w:asciiTheme="minorHAnsi" w:hAnsiTheme="minorHAnsi" w:cstheme="minorHAnsi"/>
          <w:sz w:val="22"/>
          <w:szCs w:val="22"/>
          <w:rtl/>
        </w:rPr>
        <w:t>في الولايات المتحدة، أصدرت أفضل الجامعات البحثية في البلاد وجمعية كليات الطب الأمريكية (</w:t>
      </w:r>
      <w:r w:rsidRPr="00F30EF3">
        <w:rPr>
          <w:rFonts w:asciiTheme="minorHAnsi" w:hAnsiTheme="minorHAnsi" w:cstheme="minorHAnsi"/>
          <w:sz w:val="22"/>
          <w:szCs w:val="22"/>
        </w:rPr>
        <w:t>AAMC</w:t>
      </w:r>
      <w:r w:rsidRPr="00F30EF3">
        <w:rPr>
          <w:rFonts w:asciiTheme="minorHAnsi" w:hAnsiTheme="minorHAnsi" w:cstheme="minorHAnsi"/>
          <w:sz w:val="22"/>
          <w:szCs w:val="22"/>
          <w:rtl/>
        </w:rPr>
        <w:t>) مجموعة من المبادئ التوجيهية المشتركة</w:t>
      </w:r>
      <w:r w:rsidRPr="00F30EF3">
        <w:rPr>
          <w:rStyle w:val="element-invisible"/>
          <w:rFonts w:asciiTheme="minorHAnsi" w:hAnsiTheme="minorHAnsi" w:cstheme="minorHAnsi"/>
          <w:sz w:val="22"/>
          <w:szCs w:val="22"/>
          <w:rtl/>
        </w:rPr>
        <w:t xml:space="preserve"> </w:t>
      </w:r>
      <w:r w:rsidRPr="00F30EF3">
        <w:rPr>
          <w:rFonts w:asciiTheme="minorHAnsi" w:hAnsiTheme="minorHAnsi" w:cstheme="minorHAnsi"/>
          <w:sz w:val="22"/>
          <w:szCs w:val="22"/>
          <w:rtl/>
        </w:rPr>
        <w:t>التي تهدف إلى حماية المصلحة العامة حين تمنح الجامعات جهات خاصة تراخيص حقوق للوصول إلى أحدث تطوراتها العلمية. وتنص "</w:t>
      </w:r>
      <w:hyperlink r:id="rId144" w:history="1">
        <w:r w:rsidRPr="00F30EF3">
          <w:rPr>
            <w:rStyle w:val="Hyperlink"/>
            <w:rFonts w:asciiTheme="minorHAnsi" w:hAnsiTheme="minorHAnsi" w:cstheme="minorHAnsi"/>
            <w:sz w:val="22"/>
            <w:szCs w:val="22"/>
            <w:rtl/>
          </w:rPr>
          <w:t>النقاط التسع</w:t>
        </w:r>
      </w:hyperlink>
      <w:r w:rsidRPr="00F30EF3">
        <w:rPr>
          <w:rFonts w:asciiTheme="minorHAnsi" w:hAnsiTheme="minorHAnsi" w:cstheme="minorHAnsi"/>
          <w:sz w:val="22"/>
          <w:szCs w:val="22"/>
          <w:rtl/>
        </w:rPr>
        <w:t>"</w:t>
      </w:r>
      <w:r w:rsidR="00E40747" w:rsidRPr="00F30EF3">
        <w:rPr>
          <w:rFonts w:asciiTheme="minorHAnsi" w:hAnsiTheme="minorHAnsi" w:cstheme="minorHAnsi"/>
          <w:sz w:val="22"/>
          <w:szCs w:val="22"/>
          <w:rtl/>
        </w:rPr>
        <w:t xml:space="preserve"> </w:t>
      </w:r>
      <w:r w:rsidRPr="00F30EF3">
        <w:rPr>
          <w:rFonts w:asciiTheme="minorHAnsi" w:hAnsiTheme="minorHAnsi" w:cstheme="minorHAnsi"/>
          <w:sz w:val="22"/>
          <w:szCs w:val="22"/>
          <w:rtl/>
        </w:rPr>
        <w:t>من بين أمور أخرى" على أنه غالباً ما يسعى المرخّص لهم إلى ضمان النفاذ إلى التحسينات المستقبلية للاختراعات المشمولة بالتراخيص، وأن مثل هذا النفاذ قد يؤدي من فوره إلى تعقيد برنامج بحثي من وضع أعضاء هيئة التدريس. وعلى هذا النحو، فإن "النقاط التسع" تمنع عملية منح تراخيص حصرية للاختراعات "التحسينية" أو "المُتبِعة"، وتنص بدلاً من ذلك على وجوب اقتصار الحقوق المرخصة على طلبات البراءات والبراءات القائمة. (انظر النقاط 1 و2 و3)</w:t>
      </w:r>
    </w:p>
    <w:p w14:paraId="5A9FE802" w14:textId="6AA8BE0E" w:rsidR="008905C0" w:rsidRPr="00F30EF3" w:rsidRDefault="004B3FAF" w:rsidP="009D4A54">
      <w:pPr>
        <w:pStyle w:val="NormalWeb"/>
        <w:numPr>
          <w:ilvl w:val="0"/>
          <w:numId w:val="19"/>
        </w:numPr>
        <w:tabs>
          <w:tab w:val="left" w:pos="851"/>
        </w:tabs>
        <w:spacing w:before="0" w:beforeAutospacing="0" w:after="200" w:afterAutospacing="0"/>
        <w:ind w:left="426" w:hanging="426"/>
        <w:jc w:val="both"/>
        <w:rPr>
          <w:rFonts w:asciiTheme="minorHAnsi" w:eastAsiaTheme="minorEastAsia" w:hAnsiTheme="minorHAnsi" w:cstheme="minorHAnsi"/>
          <w:i/>
          <w:iCs/>
          <w:sz w:val="22"/>
          <w:szCs w:val="22"/>
          <w:rtl/>
        </w:rPr>
      </w:pPr>
      <w:r w:rsidRPr="00F30EF3">
        <w:rPr>
          <w:rFonts w:asciiTheme="minorHAnsi" w:hAnsiTheme="minorHAnsi" w:cstheme="minorHAnsi"/>
          <w:b/>
          <w:bCs/>
          <w:sz w:val="22"/>
          <w:szCs w:val="22"/>
          <w:rtl/>
        </w:rPr>
        <w:t xml:space="preserve">المادة 4.9.ب، </w:t>
      </w:r>
      <w:r w:rsidRPr="00F30EF3">
        <w:rPr>
          <w:rFonts w:asciiTheme="minorHAnsi" w:hAnsiTheme="minorHAnsi" w:cstheme="minorHAnsi"/>
          <w:b/>
          <w:bCs/>
          <w:i/>
          <w:iCs/>
          <w:sz w:val="22"/>
          <w:szCs w:val="22"/>
          <w:rtl/>
        </w:rPr>
        <w:t>التنازل (البيع)</w:t>
      </w:r>
      <w:r w:rsidRPr="00F30EF3">
        <w:rPr>
          <w:rFonts w:asciiTheme="minorHAnsi" w:hAnsiTheme="minorHAnsi" w:cstheme="minorHAnsi"/>
          <w:b/>
          <w:bCs/>
          <w:sz w:val="22"/>
          <w:szCs w:val="22"/>
          <w:rtl/>
        </w:rPr>
        <w:t xml:space="preserve">: </w:t>
      </w:r>
      <w:r w:rsidRPr="00F30EF3">
        <w:rPr>
          <w:rFonts w:asciiTheme="minorHAnsi" w:hAnsiTheme="minorHAnsi" w:cstheme="minorHAnsi"/>
          <w:sz w:val="22"/>
          <w:szCs w:val="22"/>
          <w:rtl/>
        </w:rPr>
        <w:t xml:space="preserve">هناك جدل حول إذا ما كان ترخيص حق الملكية الفكرية للمؤسسة أو التنازل عنه هو الأكثر ملاءمة.  فنادراً ما تتنازل العديد من المؤسسات (في الولايات المتحدة، على سبيل المثال، بسبب الأحكام القانونية لقانون بايه-دول) عن حق الملكية الفكرية لديها بل الترخيص فقط. وتعتقد مؤسسات أخرى (في أوروبا، على سبيل المثال) أن التنازل ضروري في مواقف معينة بما في ذلك عقود الأبحاث المموّلة من شركات خاصة. وفي جنوب أفريقيا، ينص قانون حقوق الملكية الفكرية في مجال البحوث والتنمية الممولة من القطاع العام على أن التنازل عن الملكية الفكرية هو استثناء وليس القاعدة، حيث يتطلب أي تنازل اعتماد المكتب الوطني لإدارة الملكية الفكرية، وهو وكالة الإشراف.  </w:t>
      </w:r>
    </w:p>
    <w:p w14:paraId="43946892" w14:textId="00BE4952" w:rsidR="004B3FAF" w:rsidRPr="00F30EF3" w:rsidRDefault="004B3FAF" w:rsidP="008905C0">
      <w:pPr>
        <w:pStyle w:val="NormalWeb"/>
        <w:tabs>
          <w:tab w:val="left" w:pos="851"/>
        </w:tabs>
        <w:spacing w:before="0" w:beforeAutospacing="0" w:after="200" w:afterAutospacing="0"/>
        <w:ind w:left="426"/>
        <w:jc w:val="both"/>
        <w:rPr>
          <w:rFonts w:asciiTheme="minorHAnsi" w:eastAsiaTheme="minorEastAsia" w:hAnsiTheme="minorHAnsi" w:cstheme="minorHAnsi"/>
          <w:i/>
          <w:iCs/>
          <w:sz w:val="22"/>
          <w:szCs w:val="22"/>
          <w:rtl/>
        </w:rPr>
      </w:pPr>
      <w:r w:rsidRPr="00F30EF3">
        <w:rPr>
          <w:rFonts w:asciiTheme="minorHAnsi" w:hAnsiTheme="minorHAnsi" w:cstheme="minorHAnsi"/>
          <w:sz w:val="22"/>
          <w:szCs w:val="22"/>
          <w:rtl/>
        </w:rPr>
        <w:t>ويُنظر إلى منح الترخيص بشكل عام على أنه الشكل الأكثر ملاءمة لتسويق الملكية الفكرية الناشئة من المؤسسات، لأنه يتيح لعدد أكبر من الأطراف النفاذ إلى الملكية الفكرية وقد ينجم عن ذلك بالتالي نشر الملكية الفكرية على نطاق أوسع وبتأثير متشعب الأرجاء. ومع ذلك، يمكن أخذ التنازل في الاعتبار، في الحالات التي لا تزال تحتاج الملكية الفكرية فيها إلى ضخ استثمار كبير لطرحها بالسوق، وفي المواضع التي يوجد عندها شركاء صناعيون محدودون أيضاً يمكنهم تحقيق قيمة أكبر في الملكية الفكرية، وإذا لم تسمح التشريعات بذلك، فإن الترخيص الاستئثاري سيمثل الخيار الأفضل، حيث لا يمكن استغلال الملكية الفكرية إلا من خلال المرخّص له. وإذا وُضع الترخيص الاستئثاري في الاعتبار، فمن المستحسن أن يتضمن الاتفاق شروط الأداء، وذلك لضمان ألا تصبح الملكية الفكرية غير فعّالة في أيدي المرخّص له. وقد يكون من المفيد أيضاً ربط شروط الأداء بإنجاز مراحل رئيسية واضحة يتعين أن تكون أيضاً مرفقة مع المدفوعات المرحلية من قبل المرخّص له للمؤسسة.</w:t>
      </w:r>
    </w:p>
    <w:p w14:paraId="2F7C8CB2" w14:textId="77777777" w:rsidR="008F2873" w:rsidRPr="00F30EF3" w:rsidRDefault="004B3FAF" w:rsidP="009D4A54">
      <w:pPr>
        <w:pStyle w:val="NormalWeb"/>
        <w:numPr>
          <w:ilvl w:val="0"/>
          <w:numId w:val="19"/>
        </w:numPr>
        <w:tabs>
          <w:tab w:val="left" w:pos="851"/>
        </w:tabs>
        <w:spacing w:before="0" w:beforeAutospacing="0" w:after="240" w:afterAutospacing="0"/>
        <w:ind w:left="425" w:hanging="425"/>
        <w:jc w:val="both"/>
        <w:rPr>
          <w:rFonts w:asciiTheme="minorHAnsi" w:hAnsiTheme="minorHAnsi" w:cstheme="minorHAnsi"/>
          <w:sz w:val="22"/>
          <w:szCs w:val="22"/>
          <w:rtl/>
        </w:rPr>
      </w:pPr>
      <w:r w:rsidRPr="00F30EF3">
        <w:rPr>
          <w:rFonts w:asciiTheme="minorHAnsi" w:hAnsiTheme="minorHAnsi" w:cstheme="minorHAnsi"/>
          <w:b/>
          <w:bCs/>
          <w:sz w:val="22"/>
          <w:szCs w:val="22"/>
          <w:rtl/>
        </w:rPr>
        <w:t>المادة 4.9.ج،</w:t>
      </w:r>
      <w:r w:rsidRPr="00F30EF3">
        <w:rPr>
          <w:rFonts w:asciiTheme="minorHAnsi" w:hAnsiTheme="minorHAnsi" w:cstheme="minorHAnsi"/>
          <w:b/>
          <w:bCs/>
          <w:i/>
          <w:iCs/>
          <w:sz w:val="22"/>
          <w:szCs w:val="22"/>
          <w:rtl/>
        </w:rPr>
        <w:t xml:space="preserve"> تشكيل كيان تسويق:  </w:t>
      </w:r>
      <w:r w:rsidRPr="00F30EF3">
        <w:rPr>
          <w:rFonts w:asciiTheme="minorHAnsi" w:hAnsiTheme="minorHAnsi" w:cstheme="minorHAnsi"/>
          <w:sz w:val="22"/>
          <w:szCs w:val="22"/>
          <w:rtl/>
        </w:rPr>
        <w:t xml:space="preserve">يعد كيان التسويق (شركه منبثقة أو ناشئة) كياناً أنشأته المنظمة الأم (التي هي المؤسسة في هذه الحالة) لطرح أصول ملكيتها الفكرية بالسوق. </w:t>
      </w:r>
    </w:p>
    <w:p w14:paraId="582E5278" w14:textId="77777777" w:rsidR="008F2873" w:rsidRPr="00F30EF3" w:rsidRDefault="004B3FAF" w:rsidP="00442A35">
      <w:pPr>
        <w:pStyle w:val="NormalWeb"/>
        <w:tabs>
          <w:tab w:val="left" w:pos="851"/>
        </w:tabs>
        <w:spacing w:before="0" w:beforeAutospacing="0" w:after="240" w:afterAutospacing="0"/>
        <w:ind w:left="426"/>
        <w:jc w:val="both"/>
        <w:rPr>
          <w:rFonts w:asciiTheme="minorHAnsi" w:hAnsiTheme="minorHAnsi" w:cstheme="minorHAnsi"/>
          <w:sz w:val="22"/>
          <w:szCs w:val="22"/>
          <w:rtl/>
        </w:rPr>
      </w:pPr>
      <w:r w:rsidRPr="00F30EF3">
        <w:rPr>
          <w:rFonts w:asciiTheme="minorHAnsi" w:hAnsiTheme="minorHAnsi" w:cstheme="minorHAnsi"/>
          <w:sz w:val="22"/>
          <w:szCs w:val="22"/>
          <w:rtl/>
        </w:rPr>
        <w:t xml:space="preserve">ويقع الاختيار على هذا المسار عادة: </w:t>
      </w:r>
    </w:p>
    <w:p w14:paraId="041E9C37" w14:textId="46B5B432" w:rsidR="008F2873" w:rsidRPr="00F30EF3" w:rsidRDefault="00442A35" w:rsidP="009D4A54">
      <w:pPr>
        <w:pStyle w:val="NormalWeb"/>
        <w:numPr>
          <w:ilvl w:val="1"/>
          <w:numId w:val="19"/>
        </w:numPr>
        <w:tabs>
          <w:tab w:val="left" w:pos="851"/>
        </w:tabs>
        <w:spacing w:before="0" w:beforeAutospacing="0" w:after="240" w:afterAutospacing="0"/>
        <w:ind w:left="851" w:hanging="425"/>
        <w:jc w:val="both"/>
        <w:rPr>
          <w:rFonts w:asciiTheme="minorHAnsi" w:hAnsiTheme="minorHAnsi" w:cstheme="minorHAnsi"/>
          <w:sz w:val="22"/>
          <w:szCs w:val="22"/>
          <w:rtl/>
        </w:rPr>
      </w:pPr>
      <w:r w:rsidRPr="00F30EF3">
        <w:rPr>
          <w:rFonts w:asciiTheme="minorHAnsi" w:hAnsiTheme="minorHAnsi" w:cstheme="minorHAnsi"/>
          <w:sz w:val="22"/>
          <w:szCs w:val="22"/>
          <w:u w:val="single"/>
          <w:rtl/>
        </w:rPr>
        <w:t>حين لا تكون هناك شركة قائمة يمكن التواصل معها</w:t>
      </w:r>
      <w:r w:rsidR="00DD3189" w:rsidRPr="00F30EF3">
        <w:rPr>
          <w:rFonts w:asciiTheme="minorHAnsi" w:hAnsiTheme="minorHAnsi" w:cstheme="minorHAnsi"/>
          <w:sz w:val="22"/>
          <w:szCs w:val="22"/>
          <w:rtl/>
        </w:rPr>
        <w:t xml:space="preserve"> </w:t>
      </w:r>
      <w:r w:rsidRPr="00F30EF3">
        <w:rPr>
          <w:rFonts w:asciiTheme="minorHAnsi" w:hAnsiTheme="minorHAnsi" w:cstheme="minorHAnsi"/>
          <w:sz w:val="22"/>
          <w:szCs w:val="22"/>
          <w:rtl/>
        </w:rPr>
        <w:t>بشأن إحراز تقدم كبير في مجال التكنولوجيا. فقد يكون حينها مسار كيان التسويق هو الخيار الوحيد على الطاولة حين لا يمكن تعيين أي مرخّص له لتسويق منتج ما (أي إذا كانت التكنولوجيا لا تتناسب مع عروض المنتجات وأسواق طرحها الخاصة بالشركات القائمة) وحين لا يوجد سوق لطرح المنتج به بالفعل؛</w:t>
      </w:r>
    </w:p>
    <w:p w14:paraId="255B9C8F" w14:textId="1F0F6F4F" w:rsidR="008F2873" w:rsidRPr="00F30EF3" w:rsidRDefault="00442A35" w:rsidP="009D4A54">
      <w:pPr>
        <w:pStyle w:val="NormalWeb"/>
        <w:numPr>
          <w:ilvl w:val="1"/>
          <w:numId w:val="19"/>
        </w:numPr>
        <w:tabs>
          <w:tab w:val="left" w:pos="851"/>
        </w:tabs>
        <w:spacing w:before="0" w:beforeAutospacing="0" w:after="240" w:afterAutospacing="0"/>
        <w:ind w:left="851" w:hanging="425"/>
        <w:jc w:val="both"/>
        <w:rPr>
          <w:rFonts w:asciiTheme="minorHAnsi" w:hAnsiTheme="minorHAnsi" w:cstheme="minorHAnsi"/>
          <w:sz w:val="22"/>
          <w:szCs w:val="22"/>
          <w:rtl/>
        </w:rPr>
      </w:pPr>
      <w:r w:rsidRPr="00F30EF3">
        <w:rPr>
          <w:rFonts w:asciiTheme="minorHAnsi" w:hAnsiTheme="minorHAnsi" w:cstheme="minorHAnsi"/>
          <w:sz w:val="22"/>
          <w:szCs w:val="22"/>
          <w:u w:val="single"/>
          <w:rtl/>
        </w:rPr>
        <w:t>أو لأن التكنولوجيا لديها إمكانيات واضحة</w:t>
      </w:r>
      <w:r w:rsidR="00DD3189" w:rsidRPr="00F30EF3">
        <w:rPr>
          <w:rFonts w:asciiTheme="minorHAnsi" w:hAnsiTheme="minorHAnsi" w:cstheme="minorHAnsi"/>
          <w:sz w:val="22"/>
          <w:szCs w:val="22"/>
          <w:rtl/>
        </w:rPr>
        <w:t xml:space="preserve"> </w:t>
      </w:r>
      <w:r w:rsidRPr="00F30EF3">
        <w:rPr>
          <w:rFonts w:asciiTheme="minorHAnsi" w:hAnsiTheme="minorHAnsi" w:cstheme="minorHAnsi"/>
          <w:sz w:val="22"/>
          <w:szCs w:val="22"/>
          <w:rtl/>
        </w:rPr>
        <w:t xml:space="preserve">لإنتاج العديد من المنتجات والتطبيقات، وبالتالي يرجح أن تكون ذات قيمة كبيرة للغاية. وذلك حيث تكون التكنولوجيا واسعة النطاق بما فيه الكفاية (على سبيل المثال، تكنولوجيا منصات تمكن من إنتاج مجموعة من المنتجات المختلفة وطرحها في مجموعة من الأسواق المختلفة) وحيث يكون الاستثمار الرأسمالي المطلوب لتطوير المنتجات وتسويقها له ما يبرره في العوائد المحتملة  ويجب مقارنة التكاليف والمخاطر بالعوائد المحتملة عند اتخاذ القرار بشأن تأسيس شركة جديدة أو ترخيص التكنولوجيا لشركة قائمة لديها البنية التحتية اللازمة مثل قنوات التسويق والدراية بالقطاع والمرافق والإدارة التجارية وشبكة قائمة من العلاقات.  </w:t>
      </w:r>
    </w:p>
    <w:p w14:paraId="4691E4BA" w14:textId="0FF27CAA" w:rsidR="004B3FAF" w:rsidRPr="00F30EF3" w:rsidRDefault="004B3FAF" w:rsidP="00442A35">
      <w:pPr>
        <w:pStyle w:val="NormalWeb"/>
        <w:tabs>
          <w:tab w:val="left" w:pos="851"/>
        </w:tabs>
        <w:spacing w:before="0" w:beforeAutospacing="0" w:after="240" w:afterAutospacing="0"/>
        <w:ind w:left="426"/>
        <w:jc w:val="both"/>
        <w:rPr>
          <w:rFonts w:asciiTheme="minorHAnsi" w:hAnsiTheme="minorHAnsi" w:cstheme="minorHAnsi"/>
          <w:sz w:val="22"/>
          <w:szCs w:val="22"/>
          <w:rtl/>
        </w:rPr>
      </w:pPr>
      <w:r w:rsidRPr="00F30EF3">
        <w:rPr>
          <w:rFonts w:asciiTheme="minorHAnsi" w:hAnsiTheme="minorHAnsi" w:cstheme="minorHAnsi"/>
          <w:sz w:val="22"/>
          <w:szCs w:val="22"/>
          <w:rtl/>
        </w:rPr>
        <w:t xml:space="preserve">ومن ناحية أخرى، قد يكون الترخيص هو الخيار الوحيد، في حالة عدم إتاحة التمويل اللازم لتطوير المنتجات وتسويقها. وإن تشكيل شركة جديدة كوسيلة لتسويق التكنولوجيا له مخاطر أكبر من اتباع مسار الترخيص التقليدي، ولكنه لديه إمكانية المساهمة في التنمية الاقتصادية من خلال إتاحة فرص العمل. وهناك العديد من التحديات التي تواجه الشركات الجديدة، وخاصة الشركات المتفرعة المعتمدة على التكنولوجيا. ويتطلب الأمر طائفة عريضة من المهارات والخبرات والموارد حتى تتمكن من تطوير منتجاتها وتسويقها. وهي تتطلب عادة استثماراً ضخماً على مدى فترة طويلة نسبياً قبل تحقيق المبيعات والإيرادات. وعادةً ما تتمتع الشركات المنبثقة من الشركات القائمة ببنية تحتية قوية وقاعدة دعم، في حين أن الشركات المنبثقة من الجامعات والمؤسسات البحثية قد تكون معرضة لمخاطر أكبر، نظراً لأن المؤسسات عادةً ما تكون محدودة في الموظفين والموارد المالية والقدرات التي يمكنها تخصيصها لتسويق التكنولوجيا. وفي كلتا الحالتين، فإنه لمن الضروري وجود خطة تشغيل وعمل سليمة وقائمة على البحث الدقيق ونفاذ إلى الموارد المالية اللازمة. </w:t>
      </w:r>
    </w:p>
    <w:p w14:paraId="6600980C" w14:textId="636CF361" w:rsidR="00C21221" w:rsidRPr="00F30EF3" w:rsidRDefault="007E290E" w:rsidP="00C21221">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cstheme="minorHAnsi"/>
          <w:b/>
          <w:bCs/>
          <w:rtl/>
        </w:rPr>
      </w:pPr>
      <w:bookmarkStart w:id="283" w:name="Box63"/>
      <w:r w:rsidRPr="00F30EF3">
        <w:rPr>
          <w:rFonts w:cstheme="minorHAnsi"/>
          <w:b/>
          <w:bCs/>
          <w:rtl/>
        </w:rPr>
        <w:lastRenderedPageBreak/>
        <w:t xml:space="preserve">الإطار </w:t>
      </w:r>
      <w:bookmarkEnd w:id="283"/>
      <w:r w:rsidR="00C75ECC" w:rsidRPr="00F30EF3">
        <w:rPr>
          <w:rFonts w:cstheme="minorHAnsi"/>
          <w:b/>
          <w:bCs/>
          <w:lang w:val="en-US"/>
        </w:rPr>
        <w:t>.</w:t>
      </w:r>
      <w:r w:rsidR="007B3E0A" w:rsidRPr="00F30EF3">
        <w:rPr>
          <w:rFonts w:cstheme="minorHAnsi"/>
          <w:b/>
          <w:bCs/>
          <w:lang w:val="en-US"/>
        </w:rPr>
        <w:t>64</w:t>
      </w:r>
      <w:r w:rsidR="00C75ECC" w:rsidRPr="00F30EF3">
        <w:rPr>
          <w:rFonts w:cstheme="minorHAnsi" w:hint="cs"/>
          <w:b/>
          <w:bCs/>
          <w:rtl/>
          <w:lang w:val="en-US"/>
        </w:rPr>
        <w:t xml:space="preserve"> </w:t>
      </w:r>
      <w:r w:rsidRPr="00F30EF3">
        <w:rPr>
          <w:rFonts w:cstheme="minorHAnsi"/>
          <w:b/>
          <w:bCs/>
          <w:rtl/>
        </w:rPr>
        <w:t xml:space="preserve">نصائح حول تطوير تشكيل كيانات التسويق </w:t>
      </w:r>
      <w:r w:rsidR="00C21221" w:rsidRPr="00F30EF3">
        <w:rPr>
          <w:rStyle w:val="FootnoteReference"/>
          <w:rFonts w:cstheme="minorHAnsi"/>
          <w:b/>
          <w:bCs/>
          <w:rtl/>
          <w:lang w:val="en-US"/>
        </w:rPr>
        <w:footnoteReference w:id="166"/>
      </w:r>
    </w:p>
    <w:p w14:paraId="3FD5F474" w14:textId="77777777" w:rsidR="00C21221" w:rsidRPr="00F30EF3" w:rsidRDefault="00C21221" w:rsidP="00C21221">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cstheme="minorHAnsi"/>
          <w:b/>
          <w:bCs/>
          <w:lang w:val="en-US"/>
        </w:rPr>
      </w:pPr>
    </w:p>
    <w:p w14:paraId="0E0FD5CB" w14:textId="77777777" w:rsidR="007E290E" w:rsidRPr="00F30EF3" w:rsidRDefault="007E290E" w:rsidP="00C21221">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cstheme="minorHAnsi"/>
          <w:color w:val="000000" w:themeColor="text1"/>
          <w:rtl/>
        </w:rPr>
      </w:pPr>
      <w:r w:rsidRPr="00F30EF3">
        <w:rPr>
          <w:rFonts w:cstheme="minorHAnsi"/>
          <w:color w:val="000000" w:themeColor="text1"/>
          <w:rtl/>
        </w:rPr>
        <w:t>فيما يلي العوامل التي يُرجح أن تضفي تأثيراً إيجابياً على قدرة شركة منبثقة تابعة للمؤسسة:</w:t>
      </w:r>
    </w:p>
    <w:p w14:paraId="10898372" w14:textId="77777777" w:rsidR="007E290E" w:rsidRPr="00F30EF3"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cstheme="minorHAnsi"/>
          <w:color w:val="000000" w:themeColor="text1"/>
          <w:rtl/>
        </w:rPr>
      </w:pPr>
      <w:r w:rsidRPr="00F30EF3">
        <w:rPr>
          <w:rFonts w:cstheme="minorHAnsi"/>
          <w:color w:val="000000" w:themeColor="text1"/>
          <w:rtl/>
        </w:rPr>
        <w:t>إتاحة تملك الأسهم - تتمتع المؤسسات (والمبدعين) التي يمكنها تملّك الأسهم في شركة منبثقة، بدلاً من تلقي إتاوات الترخيص، بمعدل نجاح أعلى للشركات الناشئة من تلك التي ترفض تملّك الأسهم.</w:t>
      </w:r>
    </w:p>
    <w:p w14:paraId="068476D2" w14:textId="77777777" w:rsidR="007E290E" w:rsidRPr="00F30EF3"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cstheme="minorHAnsi"/>
          <w:color w:val="000000" w:themeColor="text1"/>
          <w:rtl/>
        </w:rPr>
      </w:pPr>
      <w:r w:rsidRPr="00F30EF3">
        <w:rPr>
          <w:rFonts w:cstheme="minorHAnsi"/>
          <w:color w:val="000000" w:themeColor="text1"/>
          <w:rtl/>
        </w:rPr>
        <w:t>إتاحة الترخيص الاستئثاري</w:t>
      </w:r>
    </w:p>
    <w:p w14:paraId="22CF17EE" w14:textId="77777777" w:rsidR="007E290E" w:rsidRPr="00F30EF3"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cstheme="minorHAnsi"/>
          <w:color w:val="000000" w:themeColor="text1"/>
          <w:rtl/>
        </w:rPr>
      </w:pPr>
      <w:r w:rsidRPr="00F30EF3">
        <w:rPr>
          <w:rFonts w:cstheme="minorHAnsi"/>
          <w:color w:val="000000" w:themeColor="text1"/>
          <w:rtl/>
        </w:rPr>
        <w:t>السماح بالإجازات</w:t>
      </w:r>
    </w:p>
    <w:p w14:paraId="7DD5BD6E" w14:textId="77777777" w:rsidR="007E290E" w:rsidRPr="00F30EF3"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cstheme="minorHAnsi"/>
          <w:color w:val="000000" w:themeColor="text1"/>
          <w:rtl/>
        </w:rPr>
      </w:pPr>
      <w:r w:rsidRPr="00F30EF3">
        <w:rPr>
          <w:rFonts w:cstheme="minorHAnsi"/>
          <w:color w:val="000000" w:themeColor="text1"/>
          <w:rtl/>
        </w:rPr>
        <w:t>السماح باستخدام موارد المؤسسة</w:t>
      </w:r>
    </w:p>
    <w:p w14:paraId="0BD1191A" w14:textId="77777777" w:rsidR="007E290E" w:rsidRPr="00F30EF3"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cstheme="minorHAnsi"/>
          <w:color w:val="000000" w:themeColor="text1"/>
          <w:rtl/>
        </w:rPr>
      </w:pPr>
      <w:r w:rsidRPr="00F30EF3">
        <w:rPr>
          <w:rFonts w:cstheme="minorHAnsi"/>
          <w:color w:val="000000" w:themeColor="text1"/>
          <w:rtl/>
        </w:rPr>
        <w:t>تخصيص حصة أقل من الإتاوات إلى المستثمرين</w:t>
      </w:r>
    </w:p>
    <w:p w14:paraId="6FBCC2E6" w14:textId="77777777" w:rsidR="007E290E" w:rsidRPr="00F30EF3"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cstheme="minorHAnsi"/>
          <w:color w:val="000000" w:themeColor="text1"/>
          <w:rtl/>
        </w:rPr>
      </w:pPr>
      <w:r w:rsidRPr="00F30EF3">
        <w:rPr>
          <w:rFonts w:cstheme="minorHAnsi"/>
          <w:color w:val="000000" w:themeColor="text1"/>
          <w:rtl/>
        </w:rPr>
        <w:t>إتاحة النفاذ إلى رأس المال في مرحلة التمويل الأولي</w:t>
      </w:r>
    </w:p>
    <w:p w14:paraId="378DE432" w14:textId="77777777" w:rsidR="007E290E" w:rsidRPr="00F30EF3"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cstheme="minorHAnsi"/>
          <w:color w:val="000000" w:themeColor="text1"/>
          <w:rtl/>
        </w:rPr>
      </w:pPr>
      <w:r w:rsidRPr="00F30EF3">
        <w:rPr>
          <w:rFonts w:cstheme="minorHAnsi"/>
          <w:color w:val="000000" w:themeColor="text1"/>
          <w:rtl/>
        </w:rPr>
        <w:t>السماح بالتعاون البحثي</w:t>
      </w:r>
    </w:p>
    <w:p w14:paraId="597828B4" w14:textId="77777777" w:rsidR="007E290E" w:rsidRPr="00F30EF3"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cstheme="minorHAnsi"/>
          <w:color w:val="000000" w:themeColor="text1"/>
          <w:rtl/>
        </w:rPr>
      </w:pPr>
      <w:r w:rsidRPr="00F30EF3">
        <w:rPr>
          <w:rFonts w:cstheme="minorHAnsi"/>
          <w:color w:val="000000" w:themeColor="text1"/>
          <w:rtl/>
        </w:rPr>
        <w:t>تعيين مسؤولي مكتب إدارة حقوق الملكية الفكرية الذين يتمتعون بمهارات تجارية واسعة النطاق وتدريبهم، ودفع تعويضات مناسبة لموظفي مكتب إدارة حقوق الملكية الفكرية</w:t>
      </w:r>
    </w:p>
    <w:p w14:paraId="71BE79B9" w14:textId="77777777" w:rsidR="007E290E" w:rsidRPr="00F30EF3" w:rsidRDefault="007E290E" w:rsidP="007E290E">
      <w:pPr>
        <w:pStyle w:val="NormalWeb"/>
        <w:tabs>
          <w:tab w:val="left" w:pos="851"/>
        </w:tabs>
        <w:spacing w:before="0" w:beforeAutospacing="0" w:after="200" w:afterAutospacing="0"/>
        <w:jc w:val="both"/>
        <w:rPr>
          <w:rFonts w:asciiTheme="minorHAnsi" w:hAnsiTheme="minorHAnsi" w:cstheme="minorHAnsi"/>
          <w:sz w:val="22"/>
          <w:szCs w:val="22"/>
          <w:lang w:val="en-US" w:eastAsia="en-US"/>
        </w:rPr>
      </w:pPr>
    </w:p>
    <w:p w14:paraId="3350A379" w14:textId="74FAF5BD" w:rsidR="004B3FAF" w:rsidRPr="00F30EF3" w:rsidRDefault="004B3FAF" w:rsidP="009D4A54">
      <w:pPr>
        <w:pStyle w:val="NormalWeb"/>
        <w:numPr>
          <w:ilvl w:val="0"/>
          <w:numId w:val="19"/>
        </w:numPr>
        <w:tabs>
          <w:tab w:val="left" w:pos="851"/>
        </w:tabs>
        <w:spacing w:before="0" w:beforeAutospacing="0" w:after="200" w:afterAutospacing="0"/>
        <w:ind w:left="426" w:hanging="426"/>
        <w:jc w:val="both"/>
        <w:rPr>
          <w:rFonts w:asciiTheme="minorHAnsi" w:hAnsiTheme="minorHAnsi" w:cstheme="minorHAnsi"/>
          <w:b/>
          <w:bCs/>
          <w:i/>
          <w:iCs/>
          <w:sz w:val="22"/>
          <w:szCs w:val="22"/>
          <w:rtl/>
        </w:rPr>
      </w:pPr>
      <w:r w:rsidRPr="00F30EF3">
        <w:rPr>
          <w:rFonts w:asciiTheme="minorHAnsi" w:hAnsiTheme="minorHAnsi" w:cstheme="minorHAnsi"/>
          <w:b/>
          <w:bCs/>
          <w:sz w:val="22"/>
          <w:szCs w:val="22"/>
          <w:rtl/>
        </w:rPr>
        <w:t>المادة 4.9.د،</w:t>
      </w:r>
      <w:r w:rsidRPr="00F30EF3">
        <w:rPr>
          <w:rFonts w:asciiTheme="minorHAnsi" w:hAnsiTheme="minorHAnsi" w:cstheme="minorHAnsi"/>
          <w:b/>
          <w:bCs/>
          <w:i/>
          <w:iCs/>
          <w:sz w:val="22"/>
          <w:szCs w:val="22"/>
          <w:rtl/>
        </w:rPr>
        <w:t xml:space="preserve"> الاستخدام غير المربح أو التبرع</w:t>
      </w:r>
      <w:r w:rsidRPr="00F30EF3">
        <w:rPr>
          <w:rFonts w:asciiTheme="minorHAnsi" w:hAnsiTheme="minorHAnsi" w:cstheme="minorHAnsi"/>
          <w:b/>
          <w:bCs/>
          <w:sz w:val="22"/>
          <w:szCs w:val="22"/>
          <w:rtl/>
        </w:rPr>
        <w:t>:</w:t>
      </w:r>
      <w:r w:rsidRPr="00F30EF3">
        <w:rPr>
          <w:rFonts w:asciiTheme="minorHAnsi" w:hAnsiTheme="minorHAnsi" w:cstheme="minorHAnsi"/>
          <w:sz w:val="22"/>
          <w:szCs w:val="22"/>
          <w:rtl/>
        </w:rPr>
        <w:t xml:space="preserve"> هناك حالات لا يكون فيها من الملائم تسويق الملكية الفكرية للمؤسسة لتحقيق عوائد مالية. وقد يشمل ذلك الحالات التي مول البحثَ فيها منظمة خيرية</w:t>
      </w:r>
      <w:r w:rsidR="00D12B99" w:rsidRPr="00F30EF3">
        <w:rPr>
          <w:rFonts w:asciiTheme="minorHAnsi" w:hAnsiTheme="minorHAnsi" w:cstheme="minorHAnsi"/>
          <w:sz w:val="22"/>
          <w:szCs w:val="22"/>
          <w:rtl/>
        </w:rPr>
        <w:t xml:space="preserve"> </w:t>
      </w:r>
      <w:r w:rsidRPr="00F30EF3">
        <w:rPr>
          <w:rFonts w:asciiTheme="minorHAnsi" w:hAnsiTheme="minorHAnsi" w:cstheme="minorHAnsi"/>
          <w:sz w:val="22"/>
          <w:szCs w:val="22"/>
          <w:rtl/>
        </w:rPr>
        <w:t>(مثل مؤسسة بيل وميليندا غيتس، أو منظمة الصحة العالمية)، ويكون التبرع بالملكية الفكرية أو منح حقوق النفاذ للاستخدام غير الربحي أمراً مهماً لنجاح المشروع. وعادةً ما يدير هؤلاء المموّلون مشاريع مماثلة في ولايات قضائية مختلفة، ومن المفيد إجراء تحليل على مجموع البيانات في كل ولاية قضائية لتصميم أنظمة جرعات لدواء معين على سبيل المثال</w:t>
      </w:r>
      <w:r w:rsidRPr="00F30EF3">
        <w:rPr>
          <w:rFonts w:asciiTheme="minorHAnsi" w:hAnsiTheme="minorHAnsi" w:cstheme="minorHAnsi"/>
          <w:b/>
          <w:bCs/>
          <w:i/>
          <w:iCs/>
          <w:sz w:val="22"/>
          <w:szCs w:val="22"/>
          <w:rtl/>
        </w:rPr>
        <w:t xml:space="preserve">  </w:t>
      </w:r>
      <w:r w:rsidRPr="00F30EF3">
        <w:rPr>
          <w:rFonts w:asciiTheme="minorHAnsi" w:hAnsiTheme="minorHAnsi" w:cstheme="minorHAnsi"/>
          <w:sz w:val="22"/>
          <w:szCs w:val="22"/>
          <w:rtl/>
        </w:rPr>
        <w:t>وفي أغلب الظن أن هذا المسار سيتوافق مع رؤية المؤسسة وسعيها للصالح العام.</w:t>
      </w:r>
    </w:p>
    <w:p w14:paraId="379C16C6" w14:textId="2065DA5E" w:rsidR="004B3FAF" w:rsidRPr="00F30EF3" w:rsidRDefault="004B3FAF" w:rsidP="009D4A54">
      <w:pPr>
        <w:pStyle w:val="ListParagraph"/>
        <w:numPr>
          <w:ilvl w:val="1"/>
          <w:numId w:val="19"/>
        </w:numPr>
        <w:spacing w:after="0" w:line="240" w:lineRule="auto"/>
        <w:ind w:left="426"/>
        <w:jc w:val="both"/>
        <w:rPr>
          <w:rFonts w:cstheme="minorHAnsi"/>
          <w:rtl/>
        </w:rPr>
      </w:pPr>
      <w:r w:rsidRPr="00F30EF3">
        <w:rPr>
          <w:rFonts w:cstheme="minorHAnsi"/>
          <w:b/>
          <w:bCs/>
          <w:rtl/>
        </w:rPr>
        <w:t>المادة 4.9.هـ</w:t>
      </w:r>
      <w:r w:rsidRPr="00F30EF3">
        <w:rPr>
          <w:rFonts w:cstheme="minorHAnsi"/>
          <w:b/>
          <w:bCs/>
          <w:i/>
          <w:iCs/>
          <w:rtl/>
        </w:rPr>
        <w:t>، المشاريع المشتركة</w:t>
      </w:r>
      <w:r w:rsidRPr="00F30EF3">
        <w:rPr>
          <w:rFonts w:cstheme="minorHAnsi"/>
          <w:rtl/>
        </w:rPr>
        <w:t>:  يجوز للمؤسسة أن تختار تأسيس مشروع مشترك (</w:t>
      </w:r>
      <w:r w:rsidRPr="00F30EF3">
        <w:rPr>
          <w:rFonts w:cstheme="minorHAnsi"/>
        </w:rPr>
        <w:t>JV</w:t>
      </w:r>
      <w:r w:rsidRPr="00F30EF3">
        <w:rPr>
          <w:rFonts w:cstheme="minorHAnsi"/>
          <w:rtl/>
        </w:rPr>
        <w:t>) مع طرف خارجي أو مموّل لتنفيذ تسويق الملكية الفكرية للمؤسسة. وقد يتطلب هذا من المؤسسة والطرف الخارجي أو المموّل الترخيص و/أو التنازل عن الملكية الفكرية أو مجموعة حقوق الملكية الفكرية للمشروع المشترك. وإن الأساس المنطقي لإبرام مشروع مشترك هو أن المخاطر يتم مقاسمتها وأن الأطراف تشترك في إجراء تسويق الملكية الفكرية. ويجب تحديد الملكية الفكرية التي يجلبها كل طرف إلى المشروع المشترك بشكل واضح بالإضافة إلى الملكية الفكرية التي تم تطويرها بشكل مشترك كجزء من المشروع المشترك.</w:t>
      </w:r>
    </w:p>
    <w:p w14:paraId="7A227E25" w14:textId="77777777" w:rsidR="004B3FAF" w:rsidRPr="00F30EF3" w:rsidRDefault="004B3FAF" w:rsidP="004B3FAF">
      <w:pPr>
        <w:pStyle w:val="ListParagraph"/>
        <w:spacing w:after="0" w:line="240" w:lineRule="auto"/>
        <w:ind w:left="426"/>
        <w:jc w:val="both"/>
        <w:rPr>
          <w:rFonts w:cstheme="minorHAnsi"/>
          <w:b/>
          <w:bCs/>
          <w:i/>
          <w:iCs/>
          <w:lang w:val="en-US"/>
        </w:rPr>
      </w:pPr>
    </w:p>
    <w:p w14:paraId="0FD2171D" w14:textId="77777777" w:rsidR="00B30378" w:rsidRPr="00F30EF3" w:rsidRDefault="00B30378" w:rsidP="004B3FAF">
      <w:pPr>
        <w:pStyle w:val="ListParagraph"/>
        <w:spacing w:after="0" w:line="240" w:lineRule="auto"/>
        <w:ind w:left="426"/>
        <w:jc w:val="both"/>
        <w:rPr>
          <w:rFonts w:cstheme="minorHAnsi"/>
          <w:b/>
          <w:bCs/>
          <w:i/>
          <w:iCs/>
          <w:lang w:val="en-US"/>
        </w:rPr>
      </w:pPr>
    </w:p>
    <w:p w14:paraId="09CD76C0" w14:textId="6150B8C9" w:rsidR="004B3FAF" w:rsidRPr="00F30EF3" w:rsidRDefault="007E290E"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cstheme="minorHAnsi"/>
          <w:rtl/>
        </w:rPr>
      </w:pPr>
      <w:r w:rsidRPr="00F30EF3">
        <w:rPr>
          <w:rFonts w:cstheme="minorHAnsi"/>
          <w:b/>
          <w:bCs/>
          <w:rtl/>
        </w:rPr>
        <w:t xml:space="preserve">الإطار </w:t>
      </w:r>
      <w:r w:rsidR="00044E5F" w:rsidRPr="00F30EF3">
        <w:rPr>
          <w:rFonts w:cstheme="minorHAnsi"/>
          <w:b/>
          <w:bCs/>
        </w:rPr>
        <w:t>65</w:t>
      </w:r>
      <w:r w:rsidR="006D0C47" w:rsidRPr="00F30EF3">
        <w:rPr>
          <w:rFonts w:cstheme="minorHAnsi" w:hint="cs"/>
          <w:b/>
          <w:bCs/>
          <w:rtl/>
        </w:rPr>
        <w:t xml:space="preserve">. </w:t>
      </w:r>
      <w:r w:rsidRPr="00F30EF3">
        <w:rPr>
          <w:rFonts w:cstheme="minorHAnsi"/>
          <w:b/>
          <w:bCs/>
          <w:rtl/>
        </w:rPr>
        <w:t>مُقتطف من سياسة الملكية الفكرية لمجلس البحوث الطبية (جنوب أفريقيا) بشأن المشاريع المشتركة</w:t>
      </w:r>
      <w:r w:rsidRPr="00F30EF3">
        <w:rPr>
          <w:rFonts w:cstheme="minorHAnsi"/>
          <w:rtl/>
        </w:rPr>
        <w:t xml:space="preserve">: </w:t>
      </w:r>
    </w:p>
    <w:p w14:paraId="2A51549B" w14:textId="77777777" w:rsidR="004B3FAF" w:rsidRPr="00F30EF3" w:rsidRDefault="004B3FAF"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cstheme="minorHAnsi"/>
          <w:lang w:val="en-US"/>
        </w:rPr>
      </w:pPr>
    </w:p>
    <w:p w14:paraId="0D278246" w14:textId="77777777" w:rsidR="004B3FAF" w:rsidRPr="00F30EF3" w:rsidRDefault="004B3FAF"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cstheme="minorHAnsi"/>
          <w:i/>
          <w:iCs/>
          <w:color w:val="000000"/>
          <w:rtl/>
        </w:rPr>
      </w:pPr>
      <w:r w:rsidRPr="00F30EF3">
        <w:rPr>
          <w:rFonts w:cstheme="minorHAnsi"/>
          <w:i/>
          <w:iCs/>
          <w:color w:val="000000"/>
          <w:rtl/>
        </w:rPr>
        <w:t xml:space="preserve">يجوز لمجلس البحوث الطبية، رهناً بموافقة وزير الصحة والخزانة الوطنية حيث يتطلب إطار الجدوى والأهمية مثل هذه الموافقة، إبرام شراكة في شركة مشروع مشترك مع كيان أو منظمة خارجية لغرض استغلال الملكية الفكرية أو إنتاج المنتجات أو تقديم الخدمات، وفي هذه الحالة تصبح الشركة الفرعية، مثل </w:t>
      </w:r>
      <w:r w:rsidRPr="00F30EF3">
        <w:rPr>
          <w:rFonts w:cstheme="minorHAnsi"/>
          <w:i/>
          <w:iCs/>
          <w:color w:val="000000"/>
        </w:rPr>
        <w:t>MedRes</w:t>
      </w:r>
      <w:r w:rsidRPr="00F30EF3">
        <w:rPr>
          <w:rFonts w:cstheme="minorHAnsi"/>
          <w:i/>
          <w:iCs/>
          <w:color w:val="000000"/>
          <w:rtl/>
        </w:rPr>
        <w:t>، مساهماً في شركة المشروع المشترك نيابة عن مجلس البحوث الطبية.</w:t>
      </w:r>
      <w:r w:rsidRPr="00F30EF3">
        <w:rPr>
          <w:rFonts w:cstheme="minorHAnsi"/>
          <w:rtl/>
        </w:rPr>
        <w:t xml:space="preserve"> </w:t>
      </w:r>
    </w:p>
    <w:p w14:paraId="3FBD613D" w14:textId="77777777" w:rsidR="004B3FAF" w:rsidRPr="00F30EF3" w:rsidRDefault="004B3FAF"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cstheme="minorHAnsi"/>
          <w:i/>
          <w:iCs/>
          <w:color w:val="000000"/>
          <w:lang w:val="en-US"/>
        </w:rPr>
      </w:pPr>
    </w:p>
    <w:p w14:paraId="5F4848A2" w14:textId="77777777" w:rsidR="004B3FAF" w:rsidRPr="00F30EF3" w:rsidRDefault="004B3FAF"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cstheme="minorHAnsi"/>
          <w:i/>
          <w:iCs/>
          <w:rtl/>
        </w:rPr>
      </w:pPr>
      <w:r w:rsidRPr="00F30EF3">
        <w:rPr>
          <w:rFonts w:cstheme="minorHAnsi"/>
          <w:i/>
          <w:iCs/>
          <w:color w:val="000000"/>
          <w:rtl/>
        </w:rPr>
        <w:t>ويجوز لمجلس البحوث الطبية ترخيص الملكية الفكرية أو التنازل عنها إلى شركة المشروع المشترك. ويكون أي تنازل عن الملكية الفكرية لشركة المشروع المشترك مشروطًا بأن تكون الشركة قائمة في جنوب إفريقيا، وأنه في حالة تصفية شركة المشروع المشترك، تعود الملكية الفكرية إلى مجلس البحوث الطبية قبل هذه التصفية. ويخضع تنازل مجلس البحوث الطبية عن الملكية الفكرية إلى موافقة المكتب الوطني لإدارة الملكية الفكرية .</w:t>
      </w:r>
    </w:p>
    <w:p w14:paraId="73176922" w14:textId="77777777" w:rsidR="009B74C8" w:rsidRPr="00F30EF3" w:rsidRDefault="009B74C8" w:rsidP="004228B2">
      <w:pPr>
        <w:pStyle w:val="Heading3"/>
        <w:tabs>
          <w:tab w:val="left" w:pos="567"/>
        </w:tabs>
        <w:spacing w:before="0" w:after="0"/>
        <w:rPr>
          <w:rFonts w:asciiTheme="minorHAnsi" w:hAnsiTheme="minorHAnsi" w:cstheme="minorHAnsi"/>
          <w:sz w:val="22"/>
          <w:szCs w:val="22"/>
          <w:rtl/>
        </w:rPr>
      </w:pPr>
      <w:bookmarkStart w:id="284" w:name="_Toc516219423"/>
      <w:bookmarkStart w:id="285" w:name="_Toc515566173"/>
      <w:bookmarkStart w:id="286" w:name="_Toc516121336"/>
    </w:p>
    <w:p w14:paraId="642927F9" w14:textId="2ACC4506" w:rsidR="009B74C8" w:rsidRPr="00F30EF3" w:rsidRDefault="009B74C8"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cstheme="minorHAnsi"/>
          <w:b/>
          <w:bCs/>
          <w:rtl/>
        </w:rPr>
      </w:pPr>
      <w:r w:rsidRPr="00F30EF3">
        <w:rPr>
          <w:rFonts w:cstheme="minorHAnsi"/>
          <w:b/>
          <w:bCs/>
          <w:rtl/>
        </w:rPr>
        <w:t xml:space="preserve">الإطار </w:t>
      </w:r>
      <w:r w:rsidR="00044E5F" w:rsidRPr="00F30EF3">
        <w:rPr>
          <w:rFonts w:cstheme="minorHAnsi"/>
          <w:b/>
          <w:bCs/>
          <w:lang w:val="en-US"/>
        </w:rPr>
        <w:t>66</w:t>
      </w:r>
      <w:r w:rsidRPr="00F30EF3">
        <w:rPr>
          <w:rFonts w:cstheme="minorHAnsi"/>
          <w:rtl/>
        </w:rPr>
        <w:t xml:space="preserve">: </w:t>
      </w:r>
      <w:r w:rsidRPr="00F30EF3">
        <w:rPr>
          <w:rFonts w:cstheme="minorHAnsi"/>
          <w:b/>
          <w:bCs/>
          <w:rtl/>
        </w:rPr>
        <w:t>مُقتطف من "تحليل فعالية نقل التكنولوجيا الجامعية"</w:t>
      </w:r>
      <w:r w:rsidR="00867E12" w:rsidRPr="00F30EF3">
        <w:rPr>
          <w:rStyle w:val="FootnoteReference"/>
          <w:rFonts w:cstheme="minorHAnsi"/>
          <w:b/>
          <w:bCs/>
          <w:rtl/>
          <w:lang w:val="en-US"/>
        </w:rPr>
        <w:footnoteReference w:id="167"/>
      </w:r>
    </w:p>
    <w:p w14:paraId="19EF6795" w14:textId="77777777" w:rsidR="009B74C8" w:rsidRPr="00F30EF3" w:rsidRDefault="009B74C8"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cstheme="minorHAnsi"/>
          <w:lang w:val="en-US"/>
        </w:rPr>
      </w:pPr>
    </w:p>
    <w:p w14:paraId="106576BB" w14:textId="77777777" w:rsidR="00867E12" w:rsidRPr="00F30EF3" w:rsidRDefault="00867E1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cstheme="minorHAnsi"/>
          <w:i/>
          <w:iCs/>
          <w:color w:val="000000"/>
          <w:rtl/>
        </w:rPr>
      </w:pPr>
      <w:r w:rsidRPr="00F30EF3">
        <w:rPr>
          <w:rFonts w:cstheme="minorHAnsi"/>
          <w:i/>
          <w:iCs/>
          <w:color w:val="000000"/>
          <w:rtl/>
        </w:rPr>
        <w:t>يجب على الجامعات أن تتسم بالشفافية والوضوح والاتساق بشأن أهدافها وأولوياتها الاستراتيجية لنقل التكنولوجيا. […]</w:t>
      </w:r>
    </w:p>
    <w:p w14:paraId="1F888EDF" w14:textId="77777777" w:rsidR="004228B2" w:rsidRPr="00F30EF3" w:rsidRDefault="004228B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cstheme="minorHAnsi"/>
          <w:i/>
          <w:iCs/>
          <w:color w:val="000000"/>
          <w:lang w:val="en-US"/>
        </w:rPr>
      </w:pPr>
    </w:p>
    <w:p w14:paraId="54DDB78F" w14:textId="77777777" w:rsidR="004228B2" w:rsidRPr="00F30EF3" w:rsidRDefault="00867E1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cstheme="minorHAnsi"/>
          <w:i/>
          <w:iCs/>
          <w:color w:val="000000"/>
          <w:rtl/>
        </w:rPr>
      </w:pPr>
      <w:r w:rsidRPr="00F30EF3">
        <w:rPr>
          <w:rFonts w:cstheme="minorHAnsi"/>
          <w:i/>
          <w:iCs/>
          <w:color w:val="000000"/>
          <w:rtl/>
        </w:rPr>
        <w:lastRenderedPageBreak/>
        <w:t>وتكون قرارات تخصيص الموارد مدفوعة بالاختيارات الاستراتيجية التي تتخذها الجامعة فيما يتعلق بالنماذج المختلفة لنقل التكنولوجيا. حيث يمكن للجامعات الاختيار من بين مجموعة متنوعة من "المخرجات" لإعطائها الأولوية، بما في ذلك الترخيص، والشركات الناشئة، والبحوث المموّلة، وغيرها من آليات نقل التكنولوجيا التي تركز بشكل مباشر على تحفيز التنمية الاقتصادية والإقليمية، مثل الحاضنات ومجمعات العلوم.</w:t>
      </w:r>
      <w:r w:rsidRPr="00F30EF3">
        <w:rPr>
          <w:rFonts w:cstheme="minorHAnsi"/>
          <w:rtl/>
        </w:rPr>
        <w:t xml:space="preserve"> </w:t>
      </w:r>
    </w:p>
    <w:p w14:paraId="58D7CBC7" w14:textId="77777777" w:rsidR="004228B2" w:rsidRPr="00F30EF3" w:rsidRDefault="004228B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cstheme="minorHAnsi"/>
          <w:i/>
          <w:iCs/>
          <w:color w:val="000000"/>
          <w:lang w:val="en-US"/>
        </w:rPr>
      </w:pPr>
    </w:p>
    <w:p w14:paraId="69B18189" w14:textId="77777777" w:rsidR="009B74C8" w:rsidRPr="00F30EF3" w:rsidRDefault="00867E1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cstheme="minorHAnsi"/>
          <w:i/>
          <w:iCs/>
          <w:color w:val="000000"/>
          <w:rtl/>
        </w:rPr>
      </w:pPr>
      <w:r w:rsidRPr="00F30EF3">
        <w:rPr>
          <w:rFonts w:cstheme="minorHAnsi"/>
          <w:i/>
          <w:iCs/>
          <w:color w:val="000000"/>
          <w:rtl/>
        </w:rPr>
        <w:t>ويحقق الترخيص والبحوث الممولة إيرادات، في حين قد يحقق تملُّك الأسهم في الشركات الناشئة عائداً طويل الأجل. وتُنصح الجامعات التي تهتم بمخرجات التنمية الاقتصادية بالتركيز على الشركات الناشئة لأن هذه الشركات يمكن أن تكون قادرة على توفير فرص عمل في الدولة أو المنطقة المحلية. ولا تغفل كذلك عن أنه على الرغم من أن استراتيجية الشركات الناشئة تنطوي على مخاطر أكبر (نظراً لأن احتمال فشل الشركات الجديدة مرتفع نسبيًا)، إلا أنها قد تحقق عوائد عالية إذا تم طرح الشركة الناشئة للاكتتاب العام. ومع ذلك، تستلزم استراتيجية الشركات الناشئة موارد إضافية، إذا اختارت الجامعة مساعدة رائد الأعمال الأكاديمي في إطلاق شركته الناشئة وتطويرها.</w:t>
      </w:r>
    </w:p>
    <w:p w14:paraId="59C3425B" w14:textId="77777777" w:rsidR="004B3FAF" w:rsidRPr="00F30EF3" w:rsidRDefault="007E290E" w:rsidP="007E290E">
      <w:pPr>
        <w:pStyle w:val="Heading3"/>
        <w:tabs>
          <w:tab w:val="left" w:pos="567"/>
        </w:tabs>
        <w:spacing w:before="360"/>
        <w:rPr>
          <w:rFonts w:asciiTheme="minorHAnsi" w:hAnsiTheme="minorHAnsi" w:cstheme="minorHAnsi"/>
          <w:sz w:val="24"/>
          <w:szCs w:val="24"/>
          <w:rtl/>
        </w:rPr>
      </w:pPr>
      <w:bookmarkStart w:id="287" w:name="_Toc516496067"/>
      <w:bookmarkStart w:id="288" w:name="_Toc516829439"/>
      <w:r w:rsidRPr="00F30EF3">
        <w:rPr>
          <w:rFonts w:asciiTheme="minorHAnsi" w:hAnsiTheme="minorHAnsi" w:cstheme="minorHAnsi"/>
          <w:sz w:val="24"/>
          <w:szCs w:val="24"/>
          <w:rtl/>
        </w:rPr>
        <w:t>المبادئ التوجيهية للتسويق</w:t>
      </w:r>
      <w:bookmarkEnd w:id="284"/>
      <w:bookmarkEnd w:id="287"/>
      <w:bookmarkEnd w:id="288"/>
      <w:r w:rsidRPr="00F30EF3">
        <w:rPr>
          <w:rFonts w:asciiTheme="minorHAnsi" w:hAnsiTheme="minorHAnsi" w:cstheme="minorHAnsi"/>
          <w:sz w:val="24"/>
          <w:szCs w:val="24"/>
          <w:rtl/>
        </w:rPr>
        <w:t xml:space="preserve">  </w:t>
      </w:r>
    </w:p>
    <w:p w14:paraId="32D571E1" w14:textId="77777777" w:rsidR="004B3FAF" w:rsidRPr="00F30EF3" w:rsidRDefault="004B3FAF" w:rsidP="007E290E">
      <w:pPr>
        <w:spacing w:after="0" w:line="240" w:lineRule="auto"/>
        <w:jc w:val="both"/>
        <w:rPr>
          <w:rFonts w:cstheme="minorHAnsi"/>
          <w:rtl/>
        </w:rPr>
      </w:pPr>
      <w:r w:rsidRPr="00F30EF3">
        <w:rPr>
          <w:rFonts w:cstheme="minorHAnsi"/>
          <w:rtl/>
        </w:rPr>
        <w:t>تحدد المبادئ التوجيهية الأهداف الأساسية للطريقة التي تستخدم/ تسوق بها المؤسسة حقوق ملكيتها الفكرية بطريقة مسؤولة اجتماعياً من بين أمور أخرى.</w:t>
      </w:r>
      <w:bookmarkEnd w:id="285"/>
      <w:bookmarkEnd w:id="286"/>
      <w:r w:rsidRPr="00F30EF3">
        <w:rPr>
          <w:rFonts w:cstheme="minorHAnsi"/>
          <w:rtl/>
        </w:rPr>
        <w:t xml:space="preserve"> </w:t>
      </w:r>
    </w:p>
    <w:p w14:paraId="417E8FE4" w14:textId="77777777" w:rsidR="007E290E" w:rsidRPr="00F30EF3" w:rsidRDefault="007E290E" w:rsidP="007E290E">
      <w:pPr>
        <w:spacing w:after="0"/>
        <w:jc w:val="both"/>
        <w:rPr>
          <w:rFonts w:cstheme="minorHAnsi"/>
          <w:lang w:val="en-US"/>
        </w:rPr>
      </w:pPr>
    </w:p>
    <w:p w14:paraId="2F62FEC9" w14:textId="10932875" w:rsidR="004B3FAF" w:rsidRPr="00F30EF3" w:rsidRDefault="004B3FAF" w:rsidP="009D4A54">
      <w:pPr>
        <w:pStyle w:val="NormalWeb"/>
        <w:numPr>
          <w:ilvl w:val="0"/>
          <w:numId w:val="19"/>
        </w:numPr>
        <w:spacing w:before="0" w:beforeAutospacing="0" w:after="200" w:afterAutospacing="0"/>
        <w:ind w:left="426" w:hanging="426"/>
        <w:jc w:val="both"/>
        <w:rPr>
          <w:rFonts w:asciiTheme="minorHAnsi" w:eastAsiaTheme="minorEastAsia" w:hAnsiTheme="minorHAnsi" w:cstheme="minorHAnsi"/>
          <w:color w:val="000000" w:themeColor="text1"/>
          <w:sz w:val="22"/>
          <w:szCs w:val="22"/>
          <w:rtl/>
        </w:rPr>
      </w:pPr>
      <w:r w:rsidRPr="00F30EF3">
        <w:rPr>
          <w:rFonts w:asciiTheme="minorHAnsi" w:hAnsiTheme="minorHAnsi" w:cstheme="minorHAnsi"/>
          <w:b/>
          <w:bCs/>
          <w:color w:val="000000" w:themeColor="text1"/>
          <w:sz w:val="22"/>
          <w:szCs w:val="22"/>
          <w:rtl/>
        </w:rPr>
        <w:t>المادة 5.9.هـ، "</w:t>
      </w:r>
      <w:r w:rsidRPr="00F30EF3">
        <w:rPr>
          <w:rFonts w:asciiTheme="minorHAnsi" w:hAnsiTheme="minorHAnsi" w:cstheme="minorHAnsi"/>
          <w:b/>
          <w:bCs/>
          <w:i/>
          <w:iCs/>
          <w:color w:val="000000" w:themeColor="text1"/>
          <w:sz w:val="22"/>
          <w:szCs w:val="22"/>
          <w:rtl/>
        </w:rPr>
        <w:t>إهمال" أو "تعطيل"</w:t>
      </w:r>
      <w:r w:rsidRPr="00F30EF3">
        <w:rPr>
          <w:rStyle w:val="FootnoteReference"/>
          <w:rFonts w:asciiTheme="minorHAnsi" w:hAnsiTheme="minorHAnsi" w:cstheme="minorHAnsi"/>
          <w:b/>
          <w:bCs/>
          <w:i/>
          <w:iCs/>
          <w:sz w:val="22"/>
          <w:szCs w:val="22"/>
          <w:rtl/>
          <w:lang w:val="en-US"/>
        </w:rPr>
        <w:footnoteReference w:id="168"/>
      </w:r>
      <w:r w:rsidRPr="00F30EF3">
        <w:rPr>
          <w:rStyle w:val="FootnoteReference"/>
          <w:rFonts w:asciiTheme="minorHAnsi" w:hAnsiTheme="minorHAnsi" w:cstheme="minorHAnsi"/>
          <w:b/>
          <w:bCs/>
          <w:i/>
          <w:iCs/>
          <w:sz w:val="22"/>
          <w:szCs w:val="22"/>
          <w:rtl/>
        </w:rPr>
        <w:t xml:space="preserve"> </w:t>
      </w:r>
      <w:r w:rsidRPr="00F30EF3">
        <w:rPr>
          <w:rFonts w:asciiTheme="minorHAnsi" w:hAnsiTheme="minorHAnsi" w:cstheme="minorHAnsi"/>
          <w:b/>
          <w:bCs/>
          <w:i/>
          <w:iCs/>
          <w:color w:val="000000" w:themeColor="text1"/>
          <w:sz w:val="22"/>
          <w:szCs w:val="22"/>
          <w:rtl/>
        </w:rPr>
        <w:t>الملكية الفكرية أو استخدامها بأي طريقة غير قانونية أو غير أخلاقية:</w:t>
      </w:r>
      <w:r w:rsidRPr="00F30EF3">
        <w:rPr>
          <w:rFonts w:asciiTheme="minorHAnsi" w:hAnsiTheme="minorHAnsi" w:cstheme="minorHAnsi"/>
          <w:color w:val="000000" w:themeColor="text1"/>
          <w:sz w:val="22"/>
          <w:szCs w:val="22"/>
          <w:rtl/>
        </w:rPr>
        <w:t xml:space="preserve"> حيث </w:t>
      </w:r>
      <w:r w:rsidR="008A6BE1" w:rsidRPr="00F30EF3">
        <w:rPr>
          <w:rFonts w:asciiTheme="minorHAnsi" w:hAnsiTheme="minorHAnsi" w:cstheme="minorHAnsi" w:hint="cs"/>
          <w:color w:val="000000" w:themeColor="text1"/>
          <w:sz w:val="22"/>
          <w:szCs w:val="22"/>
          <w:rtl/>
        </w:rPr>
        <w:t>إ</w:t>
      </w:r>
      <w:r w:rsidRPr="00F30EF3">
        <w:rPr>
          <w:rFonts w:asciiTheme="minorHAnsi" w:hAnsiTheme="minorHAnsi" w:cstheme="minorHAnsi"/>
          <w:color w:val="000000" w:themeColor="text1"/>
          <w:sz w:val="22"/>
          <w:szCs w:val="22"/>
          <w:rtl/>
        </w:rPr>
        <w:t>ن الاختراعات الأكاديمية في مجالات أقرب إلى البحوث الأساسية، يخشى أيضاً العلماء وراسمو السياسات من أن يؤدي إصدار براءات لاختراعات معينة إلى إعاقة بحوث المراحل النهائية. ومن أمثلة ذلك أدوات البحث التي يمكن أن يؤدي منحها براءة إلى إعاقة انتشارها بسبب زيادة التكاليف وصعوبة استخدام هذه الأدوات في البحوث التطبيقية. وفي المقابل، اعتمدت وكالات التمويل والمؤسسات البحثية سياسة تمنع إصدار البراءات غير الضروري وتشجع الترخيص غير الاستئثاري.</w:t>
      </w:r>
      <w:r w:rsidRPr="00F30EF3">
        <w:rPr>
          <w:rStyle w:val="FootnoteReference"/>
          <w:rFonts w:asciiTheme="minorHAnsi" w:eastAsiaTheme="minorEastAsia" w:hAnsiTheme="minorHAnsi" w:cstheme="minorHAnsi"/>
          <w:color w:val="000000" w:themeColor="text1"/>
          <w:sz w:val="22"/>
          <w:szCs w:val="22"/>
          <w:rtl/>
          <w:lang w:val="en-US"/>
        </w:rPr>
        <w:footnoteReference w:id="169"/>
      </w:r>
      <w:r w:rsidRPr="00F30EF3">
        <w:rPr>
          <w:rFonts w:asciiTheme="minorHAnsi" w:hAnsiTheme="minorHAnsi" w:cstheme="minorHAnsi"/>
          <w:sz w:val="22"/>
          <w:szCs w:val="22"/>
          <w:rtl/>
        </w:rPr>
        <w:t xml:space="preserve"> </w:t>
      </w:r>
    </w:p>
    <w:p w14:paraId="03D54083" w14:textId="77777777" w:rsidR="00C2707B" w:rsidRPr="00F30EF3" w:rsidRDefault="00B626EE" w:rsidP="00B30378">
      <w:pPr>
        <w:pStyle w:val="Heading3"/>
        <w:numPr>
          <w:ilvl w:val="0"/>
          <w:numId w:val="19"/>
        </w:numPr>
        <w:tabs>
          <w:tab w:val="left" w:pos="567"/>
        </w:tabs>
        <w:spacing w:before="360" w:after="0"/>
        <w:ind w:left="432" w:hanging="432"/>
        <w:jc w:val="both"/>
        <w:rPr>
          <w:rFonts w:asciiTheme="minorHAnsi" w:eastAsiaTheme="minorEastAsia" w:hAnsiTheme="minorHAnsi" w:cstheme="minorHAnsi"/>
          <w:b w:val="0"/>
          <w:bCs w:val="0"/>
          <w:color w:val="000000" w:themeColor="text1"/>
          <w:sz w:val="22"/>
          <w:szCs w:val="22"/>
          <w:rtl/>
        </w:rPr>
      </w:pPr>
      <w:r w:rsidRPr="00F30EF3">
        <w:rPr>
          <w:rFonts w:asciiTheme="minorHAnsi" w:hAnsiTheme="minorHAnsi" w:cstheme="minorHAnsi"/>
          <w:b w:val="0"/>
          <w:bCs w:val="0"/>
          <w:color w:val="000000" w:themeColor="text1"/>
          <w:sz w:val="22"/>
          <w:szCs w:val="22"/>
          <w:rtl/>
        </w:rPr>
        <w:t xml:space="preserve">وعلاوة على ذلك، وضعت الحكومات والمؤسسات مبادئ توجيهية أو أفضل الممارسات بهدف وضع ضمانات ضد العواقب السلبية غير المقصودة للتسويق التجاري القائم على الملكية الفكرية (انظر </w:t>
      </w:r>
      <w:hyperlink w:anchor="Box6" w:history="1">
        <w:r w:rsidRPr="00F30EF3">
          <w:rPr>
            <w:rStyle w:val="Hyperlink"/>
            <w:rFonts w:asciiTheme="minorHAnsi" w:hAnsiTheme="minorHAnsi" w:cstheme="minorHAnsi"/>
            <w:b w:val="0"/>
            <w:bCs w:val="0"/>
            <w:sz w:val="22"/>
            <w:szCs w:val="22"/>
            <w:rtl/>
          </w:rPr>
          <w:t>الإطار 6</w:t>
        </w:r>
      </w:hyperlink>
      <w:r w:rsidRPr="00F30EF3">
        <w:rPr>
          <w:rFonts w:asciiTheme="minorHAnsi" w:hAnsiTheme="minorHAnsi" w:cstheme="minorHAnsi"/>
          <w:b w:val="0"/>
          <w:bCs w:val="0"/>
          <w:color w:val="000000" w:themeColor="text1"/>
          <w:sz w:val="22"/>
          <w:szCs w:val="22"/>
          <w:rtl/>
        </w:rPr>
        <w:t>). ومن أمثلة هذه التوصيات ما يلي</w:t>
      </w:r>
      <w:r w:rsidR="00D457D9" w:rsidRPr="00F30EF3">
        <w:rPr>
          <w:rStyle w:val="FootnoteReference"/>
          <w:rFonts w:asciiTheme="minorHAnsi" w:eastAsiaTheme="minorEastAsia" w:hAnsiTheme="minorHAnsi" w:cstheme="minorHAnsi"/>
          <w:b w:val="0"/>
          <w:bCs w:val="0"/>
          <w:color w:val="000000" w:themeColor="text1"/>
          <w:sz w:val="22"/>
          <w:szCs w:val="22"/>
          <w:rtl/>
        </w:rPr>
        <w:footnoteReference w:id="170"/>
      </w:r>
      <w:r w:rsidRPr="00F30EF3">
        <w:rPr>
          <w:rFonts w:asciiTheme="minorHAnsi" w:hAnsiTheme="minorHAnsi" w:cstheme="minorHAnsi"/>
          <w:b w:val="0"/>
          <w:bCs w:val="0"/>
          <w:color w:val="000000" w:themeColor="text1"/>
          <w:sz w:val="22"/>
          <w:szCs w:val="22"/>
          <w:rtl/>
        </w:rPr>
        <w:t>:</w:t>
      </w:r>
    </w:p>
    <w:p w14:paraId="27188CC0" w14:textId="77777777" w:rsidR="00C2707B" w:rsidRPr="00F30EF3" w:rsidRDefault="00C2707B" w:rsidP="009D4A54">
      <w:pPr>
        <w:numPr>
          <w:ilvl w:val="0"/>
          <w:numId w:val="165"/>
        </w:numPr>
        <w:spacing w:after="0" w:line="240" w:lineRule="auto"/>
        <w:jc w:val="both"/>
        <w:rPr>
          <w:rFonts w:eastAsia="SimSun" w:cstheme="minorHAnsi"/>
          <w:rtl/>
        </w:rPr>
      </w:pPr>
      <w:r w:rsidRPr="00F30EF3">
        <w:rPr>
          <w:rFonts w:cstheme="minorHAnsi"/>
          <w:rtl/>
        </w:rPr>
        <w:t>يمكن أن تتطلب المبادئ التوجيهية ضرورة الحصول على البراءات، ومنح التراخيص الاستئثارية، عندما يكون ذلك شرطاً ضرورياً لتسويقها فقط؛</w:t>
      </w:r>
    </w:p>
    <w:p w14:paraId="73DC6D33" w14:textId="77777777" w:rsidR="00C2707B" w:rsidRPr="00F30EF3" w:rsidRDefault="00C2707B" w:rsidP="009D4A54">
      <w:pPr>
        <w:numPr>
          <w:ilvl w:val="0"/>
          <w:numId w:val="165"/>
        </w:numPr>
        <w:spacing w:after="0" w:line="240" w:lineRule="auto"/>
        <w:jc w:val="both"/>
        <w:rPr>
          <w:rFonts w:eastAsia="SimSun" w:cstheme="minorHAnsi"/>
          <w:rtl/>
        </w:rPr>
      </w:pPr>
      <w:r w:rsidRPr="00F30EF3">
        <w:rPr>
          <w:rFonts w:cstheme="minorHAnsi"/>
          <w:rtl/>
        </w:rPr>
        <w:t xml:space="preserve">ويمكن لسياسات المؤسسات والهيئات الحكومية أن تعلن عن حظر بعض المجالات فيما يتعلق بإصدار براءات المؤسسات: مثل البحوث الأساسية، وأدوات البحث، والتكنولوجيات الضرورية للصحة العامة في البلدان المنخفضة الدخل، وما إلى ذلك؛ </w:t>
      </w:r>
    </w:p>
    <w:p w14:paraId="6A563A5B" w14:textId="77777777" w:rsidR="00D457D9" w:rsidRPr="00F30EF3" w:rsidRDefault="00C2707B" w:rsidP="009D4A54">
      <w:pPr>
        <w:numPr>
          <w:ilvl w:val="0"/>
          <w:numId w:val="165"/>
        </w:numPr>
        <w:spacing w:after="0" w:line="240" w:lineRule="auto"/>
        <w:jc w:val="both"/>
        <w:rPr>
          <w:rFonts w:eastAsia="SimSun" w:cstheme="minorHAnsi"/>
          <w:rtl/>
        </w:rPr>
      </w:pPr>
      <w:r w:rsidRPr="00F30EF3">
        <w:rPr>
          <w:rFonts w:cstheme="minorHAnsi"/>
          <w:rtl/>
        </w:rPr>
        <w:t xml:space="preserve">ويمكن إلزام المرخّص لهم بالتكنولوجيات الممولة من الحكومة بالكشف عن التمويل اللاحق للاستثمار والاستخدام الفعلي للبراءة، على سبيل المثال تجنُّب استخدام هذه البراءات لإعاقة اختراعات لاحقة من شركات تجميع البراءات؛ </w:t>
      </w:r>
    </w:p>
    <w:p w14:paraId="0909A694" w14:textId="77777777" w:rsidR="00D457D9" w:rsidRPr="00F30EF3" w:rsidRDefault="00C2707B" w:rsidP="009D4A54">
      <w:pPr>
        <w:numPr>
          <w:ilvl w:val="0"/>
          <w:numId w:val="165"/>
        </w:numPr>
        <w:spacing w:after="0" w:line="240" w:lineRule="auto"/>
        <w:jc w:val="both"/>
        <w:rPr>
          <w:rStyle w:val="FootnoteReference"/>
          <w:rFonts w:eastAsia="SimSun" w:cstheme="minorHAnsi"/>
          <w:vertAlign w:val="baseline"/>
          <w:rtl/>
        </w:rPr>
      </w:pPr>
      <w:r w:rsidRPr="00F30EF3">
        <w:rPr>
          <w:rFonts w:cstheme="minorHAnsi"/>
          <w:rtl/>
        </w:rPr>
        <w:t>ويمكن وضع اشتراطات معينة لضمان بيع المنتجات المشتقة من هذه الاختراعات للمستهلكين في البلدان الفقيرة بشروط معقولة؛</w:t>
      </w:r>
    </w:p>
    <w:p w14:paraId="5248365C" w14:textId="77777777" w:rsidR="00D457D9" w:rsidRPr="00F30EF3" w:rsidRDefault="00C2707B" w:rsidP="009D4A54">
      <w:pPr>
        <w:numPr>
          <w:ilvl w:val="0"/>
          <w:numId w:val="165"/>
        </w:numPr>
        <w:spacing w:after="0" w:line="240" w:lineRule="auto"/>
        <w:jc w:val="both"/>
        <w:rPr>
          <w:rFonts w:eastAsia="SimSun" w:cstheme="minorHAnsi"/>
          <w:rtl/>
        </w:rPr>
      </w:pPr>
      <w:r w:rsidRPr="00F30EF3">
        <w:rPr>
          <w:rFonts w:cstheme="minorHAnsi"/>
          <w:rtl/>
        </w:rPr>
        <w:t xml:space="preserve">ويمكن تنفيذ قيود مجال الاستخدام لضمان إتاحة الملكية الفكرية للأبحاث المستقبلية، بما في ذلك للشركات الأخرى؛ </w:t>
      </w:r>
    </w:p>
    <w:p w14:paraId="375A42E9" w14:textId="77777777" w:rsidR="00C2707B" w:rsidRPr="00F30EF3" w:rsidRDefault="00C2707B" w:rsidP="009D4A54">
      <w:pPr>
        <w:numPr>
          <w:ilvl w:val="0"/>
          <w:numId w:val="165"/>
        </w:numPr>
        <w:spacing w:after="0" w:line="240" w:lineRule="auto"/>
        <w:jc w:val="both"/>
        <w:rPr>
          <w:rFonts w:eastAsia="SimSun" w:cstheme="minorHAnsi"/>
          <w:rtl/>
        </w:rPr>
      </w:pPr>
      <w:r w:rsidRPr="00F30EF3">
        <w:rPr>
          <w:rFonts w:cstheme="minorHAnsi"/>
          <w:rtl/>
        </w:rPr>
        <w:t>ويمكن للحكومات أن تحتفظ بالحق في تطبيق الاختراع أو تجاوز حقوق الترخيص الاستئثارية ("حقوق التدخل").</w:t>
      </w:r>
    </w:p>
    <w:p w14:paraId="1CC5B62B" w14:textId="77777777" w:rsidR="00C21221" w:rsidRPr="00F30EF3" w:rsidRDefault="00C21221" w:rsidP="00C2707B">
      <w:pPr>
        <w:pStyle w:val="Heading3"/>
        <w:tabs>
          <w:tab w:val="left" w:pos="567"/>
        </w:tabs>
        <w:spacing w:before="360"/>
        <w:rPr>
          <w:rFonts w:asciiTheme="minorHAnsi" w:hAnsiTheme="minorHAnsi" w:cstheme="minorHAnsi"/>
          <w:sz w:val="24"/>
          <w:szCs w:val="24"/>
          <w:rtl/>
        </w:rPr>
      </w:pPr>
      <w:bookmarkStart w:id="289" w:name="_Toc516219424"/>
      <w:bookmarkStart w:id="290" w:name="_Toc516496068"/>
      <w:bookmarkStart w:id="291" w:name="_Toc516829440"/>
      <w:r w:rsidRPr="00F30EF3">
        <w:rPr>
          <w:rFonts w:asciiTheme="minorHAnsi" w:hAnsiTheme="minorHAnsi" w:cstheme="minorHAnsi"/>
          <w:sz w:val="24"/>
          <w:szCs w:val="24"/>
          <w:rtl/>
        </w:rPr>
        <w:t>الموارد المفيدة المتعلقة بالمادة 9</w:t>
      </w:r>
      <w:bookmarkEnd w:id="289"/>
      <w:bookmarkEnd w:id="290"/>
      <w:bookmarkEnd w:id="291"/>
    </w:p>
    <w:p w14:paraId="67EA5B12" w14:textId="77777777" w:rsidR="00464282" w:rsidRPr="00F30EF3" w:rsidRDefault="00464282" w:rsidP="00464282">
      <w:pPr>
        <w:pStyle w:val="ListParagraph"/>
        <w:numPr>
          <w:ilvl w:val="0"/>
          <w:numId w:val="12"/>
        </w:numPr>
        <w:spacing w:line="240" w:lineRule="auto"/>
        <w:ind w:left="426" w:hanging="426"/>
        <w:jc w:val="both"/>
        <w:rPr>
          <w:rFonts w:cstheme="minorHAnsi"/>
          <w:rtl/>
        </w:rPr>
      </w:pPr>
      <w:r w:rsidRPr="00F30EF3">
        <w:rPr>
          <w:rFonts w:cstheme="minorHAnsi"/>
          <w:b/>
          <w:bCs/>
          <w:rtl/>
        </w:rPr>
        <w:t xml:space="preserve">الجمعيات المهنية والصناعية والتجارية </w:t>
      </w:r>
      <w:r w:rsidRPr="00F30EF3">
        <w:rPr>
          <w:rFonts w:cstheme="minorHAnsi"/>
          <w:rtl/>
        </w:rPr>
        <w:t>تشكل مصادر مفيدة للمعلومات والمشورة بشأن تسويق الملكية الفكرية ونقل المعارف.  وتتوفر قائمة شاملة لأبرز الجمعيات على الصفحة الإلكترونية التي تخص</w:t>
      </w:r>
      <w:hyperlink r:id="rId145" w:history="1">
        <w:r w:rsidRPr="00F30EF3">
          <w:rPr>
            <w:rStyle w:val="Hyperlink"/>
            <w:rFonts w:cstheme="minorHAnsi"/>
          </w:rPr>
          <w:t xml:space="preserve"> Tech Transfer Central</w:t>
        </w:r>
      </w:hyperlink>
      <w:r w:rsidRPr="00F30EF3">
        <w:rPr>
          <w:rFonts w:cstheme="minorHAnsi"/>
          <w:rtl/>
        </w:rPr>
        <w:t>.</w:t>
      </w:r>
    </w:p>
    <w:p w14:paraId="24B4BE5F" w14:textId="77777777" w:rsidR="00464282" w:rsidRPr="00F30EF3" w:rsidRDefault="00464282" w:rsidP="00464282">
      <w:pPr>
        <w:pStyle w:val="ListParagraph"/>
        <w:spacing w:line="240" w:lineRule="auto"/>
        <w:ind w:left="426"/>
        <w:jc w:val="both"/>
        <w:rPr>
          <w:rFonts w:cstheme="minorHAnsi"/>
          <w:lang w:val="en-US"/>
        </w:rPr>
      </w:pPr>
    </w:p>
    <w:p w14:paraId="44F80D84" w14:textId="77777777" w:rsidR="00C21221" w:rsidRPr="00F30EF3" w:rsidRDefault="00C21221" w:rsidP="009D4A54">
      <w:pPr>
        <w:pStyle w:val="ListParagraph"/>
        <w:numPr>
          <w:ilvl w:val="0"/>
          <w:numId w:val="57"/>
        </w:numPr>
        <w:ind w:left="426" w:hanging="426"/>
        <w:jc w:val="both"/>
        <w:rPr>
          <w:rFonts w:eastAsia="Times New Roman" w:cstheme="minorHAnsi"/>
          <w:b/>
          <w:bCs/>
          <w:rtl/>
        </w:rPr>
      </w:pPr>
      <w:r w:rsidRPr="00F30EF3">
        <w:rPr>
          <w:rFonts w:cstheme="minorHAnsi"/>
          <w:b/>
          <w:bCs/>
          <w:rtl/>
        </w:rPr>
        <w:t>المبادئ التوجيهية بشأن عملية نقل المعارف/ التكنولوجيا</w:t>
      </w:r>
    </w:p>
    <w:p w14:paraId="7B2B53F8" w14:textId="7883CD7E" w:rsidR="00C21221" w:rsidRPr="00F30EF3" w:rsidRDefault="00C21221" w:rsidP="009D4A54">
      <w:pPr>
        <w:pStyle w:val="ListParagraph"/>
        <w:numPr>
          <w:ilvl w:val="1"/>
          <w:numId w:val="156"/>
        </w:numPr>
        <w:spacing w:line="240" w:lineRule="auto"/>
        <w:ind w:left="851" w:hanging="425"/>
        <w:jc w:val="both"/>
        <w:rPr>
          <w:rFonts w:eastAsia="Times New Roman" w:cstheme="minorHAnsi"/>
          <w:b/>
          <w:bCs/>
          <w:rtl/>
        </w:rPr>
      </w:pPr>
      <w:r w:rsidRPr="00F30EF3">
        <w:rPr>
          <w:rFonts w:cstheme="minorHAnsi"/>
          <w:color w:val="666666"/>
          <w:rtl/>
        </w:rPr>
        <w:lastRenderedPageBreak/>
        <w:t xml:space="preserve">  </w:t>
      </w:r>
      <w:r w:rsidRPr="00F30EF3">
        <w:rPr>
          <w:rFonts w:cstheme="minorHAnsi"/>
          <w:rtl/>
        </w:rPr>
        <w:t xml:space="preserve">الكتاب الأبيض (2012) من إصدار </w:t>
      </w:r>
      <w:hyperlink r:id="rId146" w:tgtFrame="_self" w:history="1">
        <w:r w:rsidRPr="00F30EF3">
          <w:rPr>
            <w:rStyle w:val="Hyperlink"/>
            <w:rFonts w:cstheme="minorHAnsi"/>
          </w:rPr>
          <w:t>Biocat</w:t>
        </w:r>
      </w:hyperlink>
      <w:r w:rsidRPr="00F30EF3">
        <w:rPr>
          <w:rFonts w:cstheme="minorHAnsi"/>
          <w:color w:val="666666"/>
          <w:rtl/>
        </w:rPr>
        <w:t xml:space="preserve"> </w:t>
      </w:r>
      <w:r w:rsidRPr="00F30EF3">
        <w:rPr>
          <w:rFonts w:cstheme="minorHAnsi"/>
          <w:rtl/>
        </w:rPr>
        <w:t xml:space="preserve">/ </w:t>
      </w:r>
      <w:hyperlink r:id="rId147" w:tgtFrame="_blank" w:history="1">
        <w:r w:rsidRPr="00F30EF3">
          <w:rPr>
            <w:rStyle w:val="Hyperlink"/>
            <w:rFonts w:cstheme="minorHAnsi"/>
          </w:rPr>
          <w:t>Interbio</w:t>
        </w:r>
      </w:hyperlink>
      <w:r w:rsidRPr="00F30EF3">
        <w:rPr>
          <w:rFonts w:cstheme="minorHAnsi"/>
          <w:rtl/>
        </w:rPr>
        <w:t>‏</w:t>
      </w:r>
      <w:hyperlink r:id="rId148" w:history="1">
        <w:r w:rsidRPr="00F30EF3">
          <w:rPr>
            <w:rStyle w:val="Hyperlink"/>
            <w:rFonts w:cstheme="minorHAnsi"/>
          </w:rPr>
          <w:t>From Research to Market:</w:t>
        </w:r>
      </w:hyperlink>
      <w:hyperlink r:id="rId149" w:history="1">
        <w:r w:rsidRPr="00F30EF3">
          <w:rPr>
            <w:rStyle w:val="Hyperlink"/>
            <w:rFonts w:cstheme="minorHAnsi"/>
          </w:rPr>
          <w:t>From Research to Market: Key Issues of Technology Transfer from Public Research Centers</w:t>
        </w:r>
      </w:hyperlink>
      <w:r w:rsidRPr="00F30EF3">
        <w:rPr>
          <w:rStyle w:val="Hyperlink"/>
          <w:rFonts w:cstheme="minorHAnsi"/>
          <w:rtl/>
        </w:rPr>
        <w:t>"</w:t>
      </w:r>
      <w:r w:rsidRPr="00F30EF3">
        <w:rPr>
          <w:rFonts w:cstheme="minorHAnsi"/>
          <w:rtl/>
        </w:rPr>
        <w:t xml:space="preserve"> يحتوي على مبادئ توجيهية عملية لنقل التكنولوجيا في مجال البحث العام في البيوتكنولوجيا والطب الحيوي والتكنولوجيات الطبية. ويتناول الممارسات الفضلى والتقييم والتقدير والتراخيص والشركات الفرعية والتسويق</w:t>
      </w:r>
      <w:r w:rsidRPr="00F30EF3">
        <w:rPr>
          <w:rStyle w:val="FootnoteReference"/>
          <w:rFonts w:cstheme="minorHAnsi"/>
          <w:rtl/>
          <w:lang w:val="en-US"/>
        </w:rPr>
        <w:footnoteReference w:id="171"/>
      </w:r>
      <w:r w:rsidRPr="00F30EF3">
        <w:rPr>
          <w:rFonts w:cstheme="minorHAnsi"/>
          <w:rtl/>
        </w:rPr>
        <w:t>.</w:t>
      </w:r>
    </w:p>
    <w:p w14:paraId="48415B30" w14:textId="77777777" w:rsidR="00C21221" w:rsidRPr="00F30EF3" w:rsidRDefault="00C21221" w:rsidP="009D4A54">
      <w:pPr>
        <w:pStyle w:val="ListParagraph"/>
        <w:numPr>
          <w:ilvl w:val="1"/>
          <w:numId w:val="156"/>
        </w:numPr>
        <w:spacing w:line="240" w:lineRule="auto"/>
        <w:ind w:left="851" w:hanging="425"/>
        <w:jc w:val="both"/>
        <w:rPr>
          <w:rFonts w:eastAsia="Times New Roman" w:cstheme="minorHAnsi"/>
          <w:b/>
          <w:bCs/>
          <w:rtl/>
        </w:rPr>
      </w:pPr>
      <w:r w:rsidRPr="00F30EF3">
        <w:rPr>
          <w:rFonts w:cstheme="minorHAnsi"/>
          <w:rtl/>
        </w:rPr>
        <w:t>مكتب المساعدة الأوروبي في مجال حقوق الملكية الفكرية (2016)، يوفر "</w:t>
      </w:r>
      <w:hyperlink r:id="rId150" w:history="1">
        <w:r w:rsidRPr="00F30EF3">
          <w:rPr>
            <w:rStyle w:val="Hyperlink"/>
            <w:rFonts w:cstheme="minorHAnsi"/>
            <w:rtl/>
          </w:rPr>
          <w:t>دليلك لتسويق الملكية الفكرية</w:t>
        </w:r>
      </w:hyperlink>
      <w:r w:rsidRPr="00F30EF3">
        <w:rPr>
          <w:rFonts w:cstheme="minorHAnsi"/>
          <w:rtl/>
        </w:rPr>
        <w:t>" حقائق أساسية حول جوانب الملكية الفكرية في أنشطة التسويق.</w:t>
      </w:r>
    </w:p>
    <w:p w14:paraId="0E54114A" w14:textId="77777777" w:rsidR="00660745" w:rsidRPr="00F30EF3" w:rsidRDefault="00660745" w:rsidP="009D4A54">
      <w:pPr>
        <w:pStyle w:val="ListParagraph"/>
        <w:numPr>
          <w:ilvl w:val="1"/>
          <w:numId w:val="156"/>
        </w:numPr>
        <w:spacing w:line="240" w:lineRule="auto"/>
        <w:ind w:left="851" w:hanging="425"/>
        <w:jc w:val="both"/>
        <w:rPr>
          <w:rFonts w:eastAsia="Times New Roman" w:cstheme="minorHAnsi"/>
          <w:b/>
          <w:bCs/>
          <w:rtl/>
        </w:rPr>
      </w:pPr>
      <w:r w:rsidRPr="00F30EF3">
        <w:rPr>
          <w:rFonts w:cstheme="minorHAnsi"/>
          <w:rtl/>
        </w:rPr>
        <w:t xml:space="preserve">للحصول على قائمة بالمبادئ التوجيهية الوطنية أو مدونات الممارسات، أنظر </w:t>
      </w:r>
      <w:hyperlink w:anchor="Box6" w:history="1">
        <w:r w:rsidRPr="00F30EF3">
          <w:rPr>
            <w:rStyle w:val="Hyperlink"/>
            <w:rFonts w:cstheme="minorHAnsi"/>
            <w:rtl/>
          </w:rPr>
          <w:t>الإطار 6</w:t>
        </w:r>
      </w:hyperlink>
      <w:r w:rsidRPr="00F30EF3">
        <w:rPr>
          <w:rFonts w:cstheme="minorHAnsi"/>
          <w:rtl/>
        </w:rPr>
        <w:t>.</w:t>
      </w:r>
    </w:p>
    <w:p w14:paraId="4A27F6FC" w14:textId="77777777" w:rsidR="00C21221" w:rsidRPr="00F30EF3" w:rsidRDefault="00C21221" w:rsidP="00C21221">
      <w:pPr>
        <w:pStyle w:val="ListParagraph"/>
        <w:ind w:left="426"/>
        <w:jc w:val="both"/>
        <w:rPr>
          <w:rFonts w:eastAsia="Times New Roman" w:cstheme="minorHAnsi"/>
          <w:b/>
          <w:bCs/>
          <w:lang w:val="en-US"/>
        </w:rPr>
      </w:pPr>
    </w:p>
    <w:p w14:paraId="7A3AF6BD" w14:textId="77777777" w:rsidR="00C21221" w:rsidRPr="00F30EF3" w:rsidRDefault="00B30378" w:rsidP="009D4A54">
      <w:pPr>
        <w:pStyle w:val="ListParagraph"/>
        <w:numPr>
          <w:ilvl w:val="0"/>
          <w:numId w:val="57"/>
        </w:numPr>
        <w:ind w:left="426" w:hanging="426"/>
        <w:jc w:val="both"/>
        <w:rPr>
          <w:rFonts w:eastAsia="Times New Roman" w:cstheme="minorHAnsi"/>
          <w:b/>
          <w:bCs/>
          <w:rtl/>
        </w:rPr>
      </w:pPr>
      <w:r w:rsidRPr="00F30EF3">
        <w:rPr>
          <w:rFonts w:cstheme="minorHAnsi"/>
          <w:b/>
          <w:bCs/>
          <w:rtl/>
        </w:rPr>
        <w:t>الترخيص</w:t>
      </w:r>
    </w:p>
    <w:p w14:paraId="43189EA8" w14:textId="77777777" w:rsidR="00E568EC" w:rsidRPr="00F30EF3" w:rsidRDefault="00C21221" w:rsidP="009D4A54">
      <w:pPr>
        <w:pStyle w:val="ListParagraph"/>
        <w:numPr>
          <w:ilvl w:val="0"/>
          <w:numId w:val="59"/>
        </w:numPr>
        <w:jc w:val="both"/>
        <w:rPr>
          <w:rFonts w:eastAsia="Times New Roman" w:cstheme="minorHAnsi"/>
          <w:b/>
          <w:bCs/>
          <w:rtl/>
        </w:rPr>
      </w:pPr>
      <w:r w:rsidRPr="00F30EF3">
        <w:rPr>
          <w:rFonts w:cstheme="minorHAnsi"/>
          <w:rtl/>
        </w:rPr>
        <w:t>منشورات الويبو:</w:t>
      </w:r>
      <w:hyperlink r:id="rId151" w:history="1">
        <w:r w:rsidRPr="00F30EF3">
          <w:rPr>
            <w:rFonts w:cstheme="minorHAnsi"/>
            <w:rtl/>
          </w:rPr>
          <w:t xml:space="preserve"> </w:t>
        </w:r>
        <w:r w:rsidRPr="00F30EF3">
          <w:rPr>
            <w:rStyle w:val="Hyperlink"/>
            <w:rFonts w:cstheme="minorHAnsi"/>
            <w:rtl/>
          </w:rPr>
          <w:t>ترخيص التكنولوجيا الناجح</w:t>
        </w:r>
      </w:hyperlink>
      <w:r w:rsidRPr="00F30EF3">
        <w:rPr>
          <w:rFonts w:cstheme="minorHAnsi"/>
          <w:rtl/>
        </w:rPr>
        <w:t xml:space="preserve"> </w:t>
      </w:r>
    </w:p>
    <w:p w14:paraId="228B5F63" w14:textId="736F556E" w:rsidR="00E568EC" w:rsidRPr="00F30EF3" w:rsidRDefault="00E568EC" w:rsidP="009D4A54">
      <w:pPr>
        <w:pStyle w:val="ListParagraph"/>
        <w:numPr>
          <w:ilvl w:val="0"/>
          <w:numId w:val="59"/>
        </w:numPr>
        <w:jc w:val="both"/>
        <w:rPr>
          <w:rFonts w:eastAsia="Times New Roman" w:cstheme="minorHAnsi"/>
          <w:b/>
          <w:bCs/>
          <w:rtl/>
        </w:rPr>
      </w:pPr>
      <w:r w:rsidRPr="00F30EF3">
        <w:rPr>
          <w:rFonts w:cstheme="minorHAnsi"/>
          <w:rtl/>
        </w:rPr>
        <w:t xml:space="preserve">ورقة عمل </w:t>
      </w:r>
      <w:hyperlink r:id="rId152" w:history="1">
        <w:r w:rsidRPr="00F30EF3">
          <w:rPr>
            <w:rStyle w:val="Hyperlink"/>
            <w:rFonts w:cstheme="minorHAnsi"/>
            <w:rtl/>
          </w:rPr>
          <w:t>من أجل المصلحة العامة:</w:t>
        </w:r>
      </w:hyperlink>
      <w:r w:rsidR="00D24BA6" w:rsidRPr="00F30EF3">
        <w:rPr>
          <w:rStyle w:val="Hyperlink"/>
          <w:rFonts w:cstheme="minorHAnsi"/>
          <w:rtl/>
        </w:rPr>
        <w:t xml:space="preserve"> </w:t>
      </w:r>
      <w:hyperlink r:id="rId153" w:history="1">
        <w:r w:rsidRPr="00F30EF3">
          <w:rPr>
            <w:rStyle w:val="Hyperlink"/>
            <w:rFonts w:cstheme="minorHAnsi"/>
            <w:rtl/>
          </w:rPr>
          <w:t>تسع نقاط يجب مراعاتها في ترخيص تكنولوجيات الجامعات</w:t>
        </w:r>
      </w:hyperlink>
      <w:r w:rsidRPr="00F30EF3">
        <w:rPr>
          <w:rFonts w:cstheme="minorHAnsi"/>
          <w:rtl/>
        </w:rPr>
        <w:t>.  وقد شارك في صياغتها 12 مؤسسة واعتمدتها جمعية مديري التكنولوجيا بالجامعات وأكثر من 70 مؤسسة أخرى. كما تحتوي الورقة على مُرفق يتضمن أمثلة للبنود.</w:t>
      </w:r>
    </w:p>
    <w:p w14:paraId="57D70FF6" w14:textId="77777777" w:rsidR="00C21221" w:rsidRPr="00F30EF3" w:rsidRDefault="00C21221" w:rsidP="00C21221">
      <w:pPr>
        <w:pStyle w:val="ListParagraph"/>
        <w:ind w:left="426"/>
        <w:jc w:val="both"/>
        <w:rPr>
          <w:rFonts w:eastAsia="Times New Roman" w:cstheme="minorHAnsi"/>
          <w:b/>
          <w:bCs/>
          <w:lang w:val="en-US"/>
        </w:rPr>
      </w:pPr>
    </w:p>
    <w:p w14:paraId="708C36A4" w14:textId="77777777" w:rsidR="00C21221" w:rsidRPr="00F30EF3" w:rsidRDefault="00C21221" w:rsidP="009D4A54">
      <w:pPr>
        <w:pStyle w:val="ListParagraph"/>
        <w:numPr>
          <w:ilvl w:val="0"/>
          <w:numId w:val="57"/>
        </w:numPr>
        <w:ind w:left="426" w:hanging="426"/>
        <w:jc w:val="both"/>
        <w:rPr>
          <w:rFonts w:eastAsia="Times New Roman" w:cstheme="minorHAnsi"/>
          <w:b/>
          <w:bCs/>
          <w:rtl/>
        </w:rPr>
      </w:pPr>
      <w:r w:rsidRPr="00F30EF3">
        <w:rPr>
          <w:rFonts w:cstheme="minorHAnsi"/>
          <w:b/>
          <w:bCs/>
          <w:rtl/>
        </w:rPr>
        <w:t>تأسيس شركات منبثقة</w:t>
      </w:r>
    </w:p>
    <w:p w14:paraId="4E192F75" w14:textId="77777777" w:rsidR="00C21221" w:rsidRPr="00F30EF3" w:rsidRDefault="002D1000" w:rsidP="009D4A54">
      <w:pPr>
        <w:pStyle w:val="ListParagraph"/>
        <w:numPr>
          <w:ilvl w:val="0"/>
          <w:numId w:val="59"/>
        </w:numPr>
        <w:spacing w:line="240" w:lineRule="auto"/>
        <w:jc w:val="both"/>
        <w:rPr>
          <w:rFonts w:cstheme="minorHAnsi"/>
          <w:rtl/>
        </w:rPr>
      </w:pPr>
      <w:r w:rsidRPr="00F30EF3">
        <w:rPr>
          <w:rFonts w:cstheme="minorHAnsi"/>
          <w:rtl/>
        </w:rPr>
        <w:t xml:space="preserve">الأدلة العملية لشركة </w:t>
      </w:r>
      <w:r w:rsidRPr="00F30EF3">
        <w:rPr>
          <w:rFonts w:cstheme="minorHAnsi"/>
        </w:rPr>
        <w:t>UNICO.</w:t>
      </w:r>
      <w:hyperlink r:id="rId154" w:history="1">
        <w:r w:rsidRPr="00F30EF3">
          <w:rPr>
            <w:rFonts w:cstheme="minorHAnsi"/>
            <w:rtl/>
          </w:rPr>
          <w:t xml:space="preserve"> </w:t>
        </w:r>
        <w:r w:rsidRPr="00F30EF3">
          <w:rPr>
            <w:rStyle w:val="Hyperlink"/>
            <w:rFonts w:cstheme="minorHAnsi"/>
            <w:rtl/>
          </w:rPr>
          <w:t>معاملات الشركات المتفرعة</w:t>
        </w:r>
      </w:hyperlink>
      <w:r w:rsidRPr="00F30EF3">
        <w:rPr>
          <w:rFonts w:cstheme="minorHAnsi"/>
          <w:rtl/>
        </w:rPr>
        <w:t>. يقدم توطئة لمعاملات الشركات المتفرعة؛ ونماذجها المقترحة؛ ومناقشة القضايا القانونية والتفاوضية لها؛ وبعض القضايا الأساسية التي تثير تخوف الجامعات بشكل خاص.</w:t>
      </w:r>
    </w:p>
    <w:p w14:paraId="373E7B57" w14:textId="77777777" w:rsidR="00C21221" w:rsidRPr="00F30EF3" w:rsidRDefault="00C21221" w:rsidP="009D4A54">
      <w:pPr>
        <w:pStyle w:val="ListParagraph"/>
        <w:numPr>
          <w:ilvl w:val="0"/>
          <w:numId w:val="59"/>
        </w:numPr>
        <w:spacing w:line="240" w:lineRule="auto"/>
        <w:jc w:val="both"/>
        <w:rPr>
          <w:rFonts w:cstheme="minorHAnsi"/>
          <w:rtl/>
        </w:rPr>
      </w:pPr>
      <w:r w:rsidRPr="00F30EF3">
        <w:rPr>
          <w:rFonts w:cstheme="minorHAnsi"/>
          <w:rtl/>
        </w:rPr>
        <w:t>إ. راسموسين، إ. م. رايت (2015). "</w:t>
      </w:r>
      <w:hyperlink r:id="rId155" w:history="1">
        <w:r w:rsidRPr="00F30EF3">
          <w:rPr>
            <w:rStyle w:val="Hyperlink"/>
            <w:rFonts w:cstheme="minorHAnsi"/>
          </w:rPr>
          <w:t>How can universities facilitate academic spin-offs?</w:t>
        </w:r>
      </w:hyperlink>
      <w:hyperlink r:id="rId156" w:history="1">
        <w:r w:rsidRPr="00F30EF3">
          <w:rPr>
            <w:rStyle w:val="Hyperlink"/>
            <w:rFonts w:cstheme="minorHAnsi"/>
          </w:rPr>
          <w:t xml:space="preserve"> An entrepreneurial competency perspective</w:t>
        </w:r>
      </w:hyperlink>
      <w:r w:rsidRPr="00F30EF3">
        <w:rPr>
          <w:rFonts w:cstheme="minorHAnsi"/>
          <w:rtl/>
        </w:rPr>
        <w:t xml:space="preserve">." مجلة نقل التكنولوجيا المجلد 40 العدد (5) الصفحات من 782 إلى 799 </w:t>
      </w:r>
    </w:p>
    <w:p w14:paraId="730E784B" w14:textId="77777777" w:rsidR="00C21221" w:rsidRPr="00F30EF3" w:rsidRDefault="00C21221" w:rsidP="009D4A54">
      <w:pPr>
        <w:pStyle w:val="ListParagraph"/>
        <w:numPr>
          <w:ilvl w:val="0"/>
          <w:numId w:val="59"/>
        </w:numPr>
        <w:spacing w:after="0" w:line="240" w:lineRule="auto"/>
        <w:ind w:left="714" w:hanging="357"/>
        <w:jc w:val="both"/>
        <w:rPr>
          <w:rFonts w:cstheme="minorHAnsi"/>
          <w:rtl/>
        </w:rPr>
      </w:pPr>
      <w:r w:rsidRPr="00F30EF3">
        <w:rPr>
          <w:rFonts w:cstheme="minorHAnsi"/>
          <w:rtl/>
        </w:rPr>
        <w:t xml:space="preserve">المفوضية الأوروبية، </w:t>
      </w:r>
      <w:hyperlink r:id="rId157" w:history="1">
        <w:r w:rsidRPr="00F30EF3">
          <w:rPr>
            <w:rStyle w:val="Hyperlink"/>
            <w:rFonts w:cstheme="minorHAnsi"/>
            <w:rtl/>
          </w:rPr>
          <w:t>الشركات المتفرعة عن الجامعات في أوروبا - نظرة عامة وممارسات جيدة</w:t>
        </w:r>
      </w:hyperlink>
      <w:r w:rsidRPr="00F30EF3">
        <w:rPr>
          <w:rFonts w:cstheme="minorHAnsi"/>
          <w:rtl/>
        </w:rPr>
        <w:t xml:space="preserve">، 2002. </w:t>
      </w:r>
    </w:p>
    <w:p w14:paraId="0D29BE39" w14:textId="77777777" w:rsidR="00C21221" w:rsidRPr="00F30EF3" w:rsidRDefault="00C21221" w:rsidP="009D4A54">
      <w:pPr>
        <w:pStyle w:val="ListParagraph"/>
        <w:numPr>
          <w:ilvl w:val="0"/>
          <w:numId w:val="59"/>
        </w:numPr>
        <w:spacing w:line="240" w:lineRule="auto"/>
        <w:jc w:val="both"/>
        <w:rPr>
          <w:rFonts w:cstheme="minorHAnsi"/>
          <w:rtl/>
        </w:rPr>
      </w:pPr>
      <w:r w:rsidRPr="00F30EF3">
        <w:rPr>
          <w:rFonts w:cstheme="minorHAnsi"/>
          <w:rtl/>
        </w:rPr>
        <w:t xml:space="preserve">جامعة كولورادو، </w:t>
      </w:r>
      <w:r w:rsidRPr="00F30EF3">
        <w:rPr>
          <w:rFonts w:cstheme="minorHAnsi"/>
          <w:color w:val="333333"/>
          <w:rtl/>
        </w:rPr>
        <w:t>"</w:t>
      </w:r>
      <w:hyperlink r:id="rId158" w:tgtFrame="_blank" w:history="1">
        <w:r w:rsidRPr="00F30EF3">
          <w:rPr>
            <w:rStyle w:val="Hyperlink"/>
            <w:rFonts w:cstheme="minorHAnsi"/>
            <w:rtl/>
          </w:rPr>
          <w:t>الشروع في إنشاء شركات ناشئة:</w:t>
        </w:r>
      </w:hyperlink>
      <w:hyperlink r:id="rId159" w:tgtFrame="_blank" w:history="1">
        <w:r w:rsidRPr="00F30EF3">
          <w:rPr>
            <w:rStyle w:val="Hyperlink"/>
            <w:rFonts w:cstheme="minorHAnsi"/>
            <w:rtl/>
          </w:rPr>
          <w:t xml:space="preserve"> إدارة ديناميكيات الشركة الجديدة بنجاح</w:t>
        </w:r>
      </w:hyperlink>
      <w:r w:rsidRPr="00F30EF3">
        <w:rPr>
          <w:rFonts w:cstheme="minorHAnsi"/>
          <w:color w:val="333333"/>
          <w:rtl/>
        </w:rPr>
        <w:t>" يحتوي على معلومات مفصلة حول عملية تأسيس الشركات الناشئة والاعتبارات القانونية والتجارية المهمة، بالإضافة إلى الموارد الإضافية لمساعدة الشركات الناشئة على البدء بشكل صحيح.</w:t>
      </w:r>
    </w:p>
    <w:p w14:paraId="1573569E" w14:textId="77777777" w:rsidR="00B30378" w:rsidRPr="00F30EF3" w:rsidRDefault="00B30378" w:rsidP="00B30378">
      <w:pPr>
        <w:pStyle w:val="ListParagraph"/>
        <w:spacing w:line="240" w:lineRule="auto"/>
        <w:jc w:val="both"/>
        <w:rPr>
          <w:rFonts w:cstheme="minorHAnsi"/>
          <w:lang w:val="en-US"/>
        </w:rPr>
      </w:pPr>
    </w:p>
    <w:p w14:paraId="04CEB0F0" w14:textId="77777777" w:rsidR="00C21221" w:rsidRPr="00F30EF3" w:rsidRDefault="00C21221" w:rsidP="009D4A54">
      <w:pPr>
        <w:pStyle w:val="ListParagraph"/>
        <w:numPr>
          <w:ilvl w:val="0"/>
          <w:numId w:val="57"/>
        </w:numPr>
        <w:spacing w:line="240" w:lineRule="auto"/>
        <w:ind w:left="426" w:hanging="426"/>
        <w:rPr>
          <w:rFonts w:eastAsia="Times New Roman" w:cstheme="minorHAnsi"/>
          <w:b/>
          <w:bCs/>
          <w:rtl/>
        </w:rPr>
      </w:pPr>
      <w:r w:rsidRPr="00F30EF3">
        <w:rPr>
          <w:rFonts w:cstheme="minorHAnsi"/>
          <w:b/>
          <w:bCs/>
          <w:rtl/>
        </w:rPr>
        <w:t>المشاريع المشتركة</w:t>
      </w:r>
    </w:p>
    <w:p w14:paraId="086689E2" w14:textId="77777777" w:rsidR="00C21221" w:rsidRPr="00F30EF3" w:rsidRDefault="00660745" w:rsidP="009D4A54">
      <w:pPr>
        <w:pStyle w:val="ListParagraph"/>
        <w:numPr>
          <w:ilvl w:val="1"/>
          <w:numId w:val="59"/>
        </w:numPr>
        <w:ind w:left="851" w:hanging="425"/>
        <w:jc w:val="both"/>
        <w:rPr>
          <w:rFonts w:eastAsia="Times New Roman" w:cstheme="minorHAnsi"/>
          <w:b/>
          <w:bCs/>
          <w:rtl/>
        </w:rPr>
      </w:pPr>
      <w:r w:rsidRPr="00F30EF3">
        <w:rPr>
          <w:rFonts w:cstheme="minorHAnsi"/>
          <w:rtl/>
        </w:rPr>
        <w:t xml:space="preserve">مكتب المساعدة الأوروبي في مجال حقوق الملكية الفكرية، </w:t>
      </w:r>
      <w:hyperlink r:id="rId160" w:history="1">
        <w:r w:rsidRPr="00F30EF3">
          <w:rPr>
            <w:rStyle w:val="Hyperlink"/>
            <w:rFonts w:cstheme="minorHAnsi"/>
            <w:rtl/>
          </w:rPr>
          <w:t>صحيفة وقائع - تسويق الملكية الفكرية:</w:t>
        </w:r>
      </w:hyperlink>
      <w:hyperlink r:id="rId161" w:history="1">
        <w:r w:rsidRPr="00F30EF3">
          <w:rPr>
            <w:rStyle w:val="Hyperlink"/>
            <w:rFonts w:cstheme="minorHAnsi"/>
            <w:rtl/>
          </w:rPr>
          <w:t xml:space="preserve"> المشاريع المشتركة</w:t>
        </w:r>
      </w:hyperlink>
    </w:p>
    <w:p w14:paraId="60C45A66" w14:textId="77777777" w:rsidR="00DB735F" w:rsidRPr="00F30EF3" w:rsidRDefault="00DB735F" w:rsidP="002F3C51">
      <w:pPr>
        <w:pStyle w:val="Heading2"/>
        <w:rPr>
          <w:rFonts w:asciiTheme="minorHAnsi" w:hAnsiTheme="minorHAnsi" w:cstheme="minorHAnsi"/>
          <w:sz w:val="22"/>
          <w:szCs w:val="22"/>
          <w:rtl/>
        </w:rPr>
      </w:pPr>
      <w:bookmarkStart w:id="292" w:name="_Toc490468525"/>
      <w:bookmarkStart w:id="293" w:name="_Toc490821213"/>
    </w:p>
    <w:p w14:paraId="67CCD6D7" w14:textId="77777777" w:rsidR="00BB7028" w:rsidRPr="00F30EF3" w:rsidRDefault="00BB7028" w:rsidP="002F3C51">
      <w:pPr>
        <w:pStyle w:val="Heading2"/>
        <w:rPr>
          <w:rFonts w:asciiTheme="minorHAnsi" w:hAnsiTheme="minorHAnsi" w:cstheme="minorHAnsi"/>
          <w:rtl/>
        </w:rPr>
      </w:pPr>
      <w:bookmarkStart w:id="294" w:name="_ARTICLE_10_-"/>
      <w:bookmarkStart w:id="295" w:name="_Toc516160089"/>
      <w:bookmarkStart w:id="296" w:name="_Toc516219425"/>
      <w:bookmarkStart w:id="297" w:name="_Toc516496069"/>
      <w:bookmarkStart w:id="298" w:name="_Toc516829441"/>
      <w:bookmarkStart w:id="299" w:name="_Toc178260768"/>
      <w:bookmarkEnd w:id="294"/>
      <w:r w:rsidRPr="00F30EF3">
        <w:rPr>
          <w:rFonts w:asciiTheme="minorHAnsi" w:hAnsiTheme="minorHAnsi" w:cstheme="minorHAnsi"/>
          <w:rtl/>
        </w:rPr>
        <w:t>المادة 10 - توزيع الإيرادات والحوافز</w:t>
      </w:r>
      <w:bookmarkEnd w:id="292"/>
      <w:bookmarkEnd w:id="293"/>
      <w:bookmarkEnd w:id="295"/>
      <w:bookmarkEnd w:id="296"/>
      <w:bookmarkEnd w:id="297"/>
      <w:bookmarkEnd w:id="298"/>
      <w:bookmarkEnd w:id="299"/>
      <w:r w:rsidRPr="00F30EF3">
        <w:rPr>
          <w:rFonts w:asciiTheme="minorHAnsi" w:hAnsiTheme="minorHAnsi" w:cstheme="minorHAnsi"/>
          <w:rtl/>
        </w:rPr>
        <w:t xml:space="preserve"> </w:t>
      </w:r>
    </w:p>
    <w:p w14:paraId="385AE380" w14:textId="77777777" w:rsidR="00E22076" w:rsidRPr="00F30EF3" w:rsidRDefault="00E22076" w:rsidP="002F3C51">
      <w:pPr>
        <w:pStyle w:val="Heading2"/>
        <w:rPr>
          <w:rFonts w:asciiTheme="minorHAnsi" w:hAnsiTheme="minorHAnsi" w:cstheme="minorHAnsi"/>
          <w:sz w:val="22"/>
          <w:szCs w:val="22"/>
          <w:lang w:val="en-US"/>
        </w:rPr>
      </w:pPr>
    </w:p>
    <w:p w14:paraId="11D686D6" w14:textId="77777777" w:rsidR="00437015" w:rsidRPr="00F30EF3" w:rsidRDefault="00517252" w:rsidP="00B7519E">
      <w:pPr>
        <w:pStyle w:val="Heading3"/>
        <w:jc w:val="both"/>
        <w:rPr>
          <w:rFonts w:asciiTheme="minorHAnsi" w:hAnsiTheme="minorHAnsi" w:cstheme="minorHAnsi"/>
          <w:sz w:val="24"/>
          <w:szCs w:val="24"/>
          <w:rtl/>
        </w:rPr>
      </w:pPr>
      <w:bookmarkStart w:id="300" w:name="_Article_10.1_–"/>
      <w:bookmarkStart w:id="301" w:name="_Toc516160090"/>
      <w:bookmarkStart w:id="302" w:name="_Toc516219426"/>
      <w:bookmarkStart w:id="303" w:name="_Toc516496070"/>
      <w:bookmarkStart w:id="304" w:name="_Toc516829442"/>
      <w:bookmarkStart w:id="305" w:name="_Toc494115993"/>
      <w:bookmarkEnd w:id="300"/>
      <w:r w:rsidRPr="00F30EF3">
        <w:rPr>
          <w:rFonts w:asciiTheme="minorHAnsi" w:hAnsiTheme="minorHAnsi" w:cstheme="minorHAnsi"/>
          <w:sz w:val="24"/>
          <w:szCs w:val="24"/>
          <w:rtl/>
        </w:rPr>
        <w:t>المادة 1.10 - هيكل الحوافز للمؤسسة</w:t>
      </w:r>
      <w:bookmarkEnd w:id="301"/>
      <w:bookmarkEnd w:id="302"/>
      <w:bookmarkEnd w:id="303"/>
      <w:bookmarkEnd w:id="304"/>
      <w:r w:rsidRPr="00F30EF3">
        <w:rPr>
          <w:rFonts w:asciiTheme="minorHAnsi" w:hAnsiTheme="minorHAnsi" w:cstheme="minorHAnsi"/>
          <w:sz w:val="24"/>
          <w:szCs w:val="24"/>
          <w:rtl/>
        </w:rPr>
        <w:t xml:space="preserve"> </w:t>
      </w:r>
    </w:p>
    <w:p w14:paraId="6DFF7158" w14:textId="77777777" w:rsidR="00517252" w:rsidRPr="00F30EF3" w:rsidRDefault="00437015" w:rsidP="00B7519E">
      <w:pPr>
        <w:pStyle w:val="Heading3"/>
        <w:jc w:val="both"/>
        <w:rPr>
          <w:rFonts w:asciiTheme="minorHAnsi" w:hAnsiTheme="minorHAnsi" w:cstheme="minorHAnsi"/>
          <w:sz w:val="24"/>
          <w:szCs w:val="24"/>
          <w:rtl/>
        </w:rPr>
      </w:pPr>
      <w:bookmarkStart w:id="306" w:name="_Toc516160091"/>
      <w:bookmarkStart w:id="307" w:name="_Toc516219427"/>
      <w:bookmarkStart w:id="308" w:name="_Toc516496071"/>
      <w:bookmarkStart w:id="309" w:name="_Toc516829443"/>
      <w:r w:rsidRPr="00F30EF3">
        <w:rPr>
          <w:rFonts w:asciiTheme="minorHAnsi" w:hAnsiTheme="minorHAnsi" w:cstheme="minorHAnsi"/>
          <w:sz w:val="24"/>
          <w:szCs w:val="24"/>
          <w:rtl/>
        </w:rPr>
        <w:t>الغرض - لماذا يُشترط وجود الحوافز؟</w:t>
      </w:r>
      <w:bookmarkEnd w:id="306"/>
      <w:bookmarkEnd w:id="307"/>
      <w:bookmarkEnd w:id="308"/>
      <w:bookmarkEnd w:id="309"/>
    </w:p>
    <w:p w14:paraId="7BAC203F" w14:textId="77777777" w:rsidR="0068766A" w:rsidRPr="00F30EF3" w:rsidRDefault="0068766A" w:rsidP="00B7519E">
      <w:pPr>
        <w:spacing w:after="0" w:line="240" w:lineRule="auto"/>
        <w:jc w:val="both"/>
        <w:rPr>
          <w:rFonts w:cstheme="minorHAnsi"/>
          <w:rtl/>
        </w:rPr>
      </w:pPr>
      <w:r w:rsidRPr="00F30EF3">
        <w:rPr>
          <w:rFonts w:cstheme="minorHAnsi"/>
          <w:rtl/>
        </w:rPr>
        <w:t>تلعب الحوافز المؤسسية دوراً هاماً في تعزيز فعالية نقل المعارف. ويؤكد النموذج على أهمية تناول أنظمة المكافآت التي تتوافق مع نشاط ريادة الأعمال الأكبر.</w:t>
      </w:r>
    </w:p>
    <w:p w14:paraId="155E04A7" w14:textId="77777777" w:rsidR="0068766A" w:rsidRPr="00F30EF3" w:rsidRDefault="0068766A" w:rsidP="00B7519E">
      <w:pPr>
        <w:spacing w:after="0" w:line="240" w:lineRule="auto"/>
        <w:jc w:val="both"/>
        <w:rPr>
          <w:rFonts w:cstheme="minorHAnsi"/>
          <w:lang w:val="en-US"/>
        </w:rPr>
      </w:pPr>
    </w:p>
    <w:p w14:paraId="52E54692" w14:textId="0E46BC1A" w:rsidR="0095482B" w:rsidRPr="00F30EF3" w:rsidRDefault="0095482B" w:rsidP="009D4A54">
      <w:pPr>
        <w:pStyle w:val="ListParagraph"/>
        <w:numPr>
          <w:ilvl w:val="0"/>
          <w:numId w:val="52"/>
        </w:numPr>
        <w:spacing w:after="0" w:line="240" w:lineRule="auto"/>
        <w:ind w:left="426" w:hanging="426"/>
        <w:jc w:val="both"/>
        <w:rPr>
          <w:rFonts w:cstheme="minorHAnsi"/>
          <w:rtl/>
        </w:rPr>
      </w:pPr>
      <w:r w:rsidRPr="00F30EF3">
        <w:rPr>
          <w:rFonts w:cstheme="minorHAnsi"/>
          <w:b/>
          <w:bCs/>
          <w:rtl/>
        </w:rPr>
        <w:t>المادة 1.1.10،</w:t>
      </w:r>
      <w:r w:rsidRPr="00F30EF3">
        <w:rPr>
          <w:rFonts w:cstheme="minorHAnsi"/>
          <w:rtl/>
        </w:rPr>
        <w:t xml:space="preserve"> </w:t>
      </w:r>
      <w:r w:rsidRPr="00F30EF3">
        <w:rPr>
          <w:rFonts w:cstheme="minorHAnsi"/>
          <w:b/>
          <w:bCs/>
          <w:i/>
          <w:iCs/>
          <w:rtl/>
        </w:rPr>
        <w:t>من أجل تعزيز نقل المعارف</w:t>
      </w:r>
      <w:r w:rsidRPr="00F30EF3">
        <w:rPr>
          <w:rFonts w:cstheme="minorHAnsi"/>
          <w:b/>
          <w:bCs/>
          <w:rtl/>
        </w:rPr>
        <w:t>:</w:t>
      </w:r>
      <w:r w:rsidRPr="00F30EF3">
        <w:rPr>
          <w:rFonts w:cstheme="minorHAnsi"/>
          <w:rtl/>
        </w:rPr>
        <w:t xml:space="preserve"> طالما عانى الباحثون من مبدأ "إما النشر وإما النسيان" حيث يتطلب تقدم حياتك المهنية الأكاديمية تواتر المنشورات التي تخضع لمراجعة الأقران في مجلات كلما زاد فيها عامل التأثير</w:t>
      </w:r>
      <w:r w:rsidRPr="00F30EF3">
        <w:rPr>
          <w:rStyle w:val="FootnoteReference"/>
          <w:rFonts w:cstheme="minorHAnsi"/>
          <w:rtl/>
          <w:lang w:val="en-US"/>
        </w:rPr>
        <w:footnoteReference w:id="172"/>
      </w:r>
      <w:r w:rsidRPr="00F30EF3">
        <w:rPr>
          <w:rFonts w:cstheme="minorHAnsi"/>
          <w:rtl/>
        </w:rPr>
        <w:t xml:space="preserve">، زاد التقدير للمخرج الأكاديمي. ويظل الدور المنوط بتسويق مخرجات الأبحاث دوراً غير مألوف بالنسبة لمعظم الباحثين. ومع تحول دور الجامعات والمؤسسات البحثية، وخاصة في الاقتصادات النامية والناشئة، كوسيلة لتقديم حلول محلية للمشكلات المحلية، فقد زادت التوقعات المنوطة بالباحثين من أجل اضطلاعهم بدور أكبر في أنشطة الابتكار. </w:t>
      </w:r>
    </w:p>
    <w:p w14:paraId="40D128F4" w14:textId="77777777" w:rsidR="0095482B" w:rsidRPr="00F30EF3" w:rsidRDefault="0095482B" w:rsidP="00B7519E">
      <w:pPr>
        <w:spacing w:after="0" w:line="240" w:lineRule="auto"/>
        <w:jc w:val="both"/>
        <w:rPr>
          <w:rFonts w:cstheme="minorHAnsi"/>
          <w:lang w:val="en-US"/>
        </w:rPr>
      </w:pPr>
    </w:p>
    <w:p w14:paraId="331CF148" w14:textId="4AAAFCD3" w:rsidR="007F7961" w:rsidRPr="00F30EF3" w:rsidRDefault="0095482B" w:rsidP="00A7349E">
      <w:pPr>
        <w:spacing w:after="120" w:line="240" w:lineRule="auto"/>
        <w:ind w:left="432"/>
        <w:jc w:val="both"/>
        <w:rPr>
          <w:rFonts w:cstheme="minorHAnsi"/>
          <w:rtl/>
        </w:rPr>
      </w:pPr>
      <w:r w:rsidRPr="00F30EF3">
        <w:rPr>
          <w:rFonts w:cstheme="minorHAnsi"/>
          <w:rtl/>
        </w:rPr>
        <w:lastRenderedPageBreak/>
        <w:t>وقد تولى الباحثون الأكاديميون طوعاً هذا الدور الأكثر نشاطاً في نقل المعارف إلى حد ما. ومع ذلك، فإن وجود هيكل حوافز مناسب أمر ضروري لتحفيز وتشجيع الباحثين حقاً على تبني هذا النوع من السلوك.</w:t>
      </w:r>
      <w:r w:rsidR="007F7961" w:rsidRPr="00F30EF3">
        <w:rPr>
          <w:rStyle w:val="FootnoteReference"/>
          <w:rFonts w:cstheme="minorHAnsi"/>
          <w:rtl/>
          <w:lang w:val="en-US"/>
        </w:rPr>
        <w:footnoteReference w:id="173"/>
      </w:r>
      <w:r w:rsidRPr="00F30EF3">
        <w:rPr>
          <w:rFonts w:cstheme="minorHAnsi"/>
          <w:rtl/>
        </w:rPr>
        <w:t xml:space="preserve"> </w:t>
      </w:r>
    </w:p>
    <w:p w14:paraId="42F22033" w14:textId="2D9FEFE7" w:rsidR="0095482B" w:rsidRPr="00F30EF3" w:rsidRDefault="0095482B" w:rsidP="00A7349E">
      <w:pPr>
        <w:spacing w:after="120" w:line="240" w:lineRule="auto"/>
        <w:ind w:left="432"/>
        <w:jc w:val="both"/>
        <w:rPr>
          <w:rFonts w:cstheme="minorHAnsi"/>
          <w:rtl/>
        </w:rPr>
      </w:pPr>
      <w:r w:rsidRPr="00F30EF3">
        <w:rPr>
          <w:rFonts w:cstheme="minorHAnsi"/>
          <w:rtl/>
        </w:rPr>
        <w:t xml:space="preserve">وقد تتطلب الحوافز التنفيذ </w:t>
      </w:r>
      <w:r w:rsidRPr="00F30EF3">
        <w:rPr>
          <w:rFonts w:cstheme="minorHAnsi"/>
          <w:b/>
          <w:bCs/>
          <w:rtl/>
        </w:rPr>
        <w:t>الإلزامي</w:t>
      </w:r>
      <w:r w:rsidRPr="00F30EF3">
        <w:rPr>
          <w:rFonts w:cstheme="minorHAnsi"/>
          <w:rtl/>
        </w:rPr>
        <w:t xml:space="preserve"> وفقاً للإطار التشريعي</w:t>
      </w:r>
      <w:r w:rsidRPr="00F30EF3">
        <w:rPr>
          <w:rStyle w:val="FootnoteReference"/>
          <w:rFonts w:cstheme="minorHAnsi"/>
          <w:rtl/>
          <w:lang w:val="en-US"/>
        </w:rPr>
        <w:footnoteReference w:id="174"/>
      </w:r>
      <w:r w:rsidRPr="00F30EF3">
        <w:rPr>
          <w:rFonts w:cstheme="minorHAnsi"/>
          <w:rtl/>
        </w:rPr>
        <w:t xml:space="preserve"> أو قد تكون متوافقة مع </w:t>
      </w:r>
      <w:r w:rsidRPr="00F30EF3">
        <w:rPr>
          <w:rFonts w:cstheme="minorHAnsi"/>
          <w:b/>
          <w:bCs/>
          <w:rtl/>
        </w:rPr>
        <w:t>رؤية المؤسسة</w:t>
      </w:r>
      <w:r w:rsidR="007F7961" w:rsidRPr="00F30EF3">
        <w:rPr>
          <w:rStyle w:val="FootnoteReference"/>
          <w:rFonts w:cstheme="minorHAnsi"/>
          <w:b/>
          <w:bCs/>
          <w:rtl/>
          <w:lang w:val="en-US"/>
        </w:rPr>
        <w:footnoteReference w:id="175"/>
      </w:r>
      <w:r w:rsidRPr="00F30EF3">
        <w:rPr>
          <w:rFonts w:cstheme="minorHAnsi"/>
          <w:rtl/>
        </w:rPr>
        <w:t xml:space="preserve"> لضمان أن يكون للبحث تطبيق اجتماعي اقتصادي. وكان أول مثال على الحوافز التي ألزم التشريع بها هو قانون بايه- دول في الولايات المتحدة عام 1980</w:t>
      </w:r>
      <w:r w:rsidRPr="00F30EF3">
        <w:rPr>
          <w:rStyle w:val="FootnoteReference"/>
          <w:rFonts w:cstheme="minorHAnsi"/>
          <w:rtl/>
          <w:lang w:val="en-US"/>
        </w:rPr>
        <w:footnoteReference w:id="176"/>
      </w:r>
      <w:r w:rsidRPr="00F30EF3">
        <w:rPr>
          <w:rFonts w:cstheme="minorHAnsi"/>
          <w:rtl/>
        </w:rPr>
        <w:t xml:space="preserve">. وقد تم اعتماد هذا التدخل في وقت لاحق من طرف عدد من البلدان المتقدمة الأخرى، ثم البلدان النامية والبلدان التي تمر بمرحلة انتقالية. وتشمل الأمثلة جنوب أفريقيا (انظر المُقتطف أدناه)، والصين، والبرازيل، والهند، والمكسيك، والفلبين، والتي لديها جميعها أحكام تشريعية، في حين أن أوغندا وبوتسوانا من أمثلة البلدان التي اتّبعت واحدة أو أكثر من مؤسساتها سياسات حوافز تتماشى مع رؤيتها المؤسسية.  </w:t>
      </w:r>
    </w:p>
    <w:p w14:paraId="5DCA0CD5" w14:textId="77777777" w:rsidR="0095482B" w:rsidRPr="00F30EF3" w:rsidRDefault="0095482B" w:rsidP="00B7519E">
      <w:pPr>
        <w:spacing w:after="0" w:line="240" w:lineRule="auto"/>
        <w:ind w:left="567" w:hanging="567"/>
        <w:jc w:val="both"/>
        <w:rPr>
          <w:rFonts w:cstheme="minorHAnsi"/>
          <w:lang w:val="en-US" w:eastAsia="en-US"/>
        </w:rPr>
      </w:pPr>
    </w:p>
    <w:p w14:paraId="2B5B2C16" w14:textId="2E24CAE8" w:rsidR="0095482B" w:rsidRPr="00F30EF3" w:rsidRDefault="0095482B"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567"/>
        <w:jc w:val="both"/>
        <w:rPr>
          <w:rFonts w:cstheme="minorHAnsi"/>
          <w:b/>
          <w:bCs/>
          <w:rtl/>
        </w:rPr>
      </w:pPr>
      <w:bookmarkStart w:id="310" w:name="Box66"/>
      <w:r w:rsidRPr="00F30EF3">
        <w:rPr>
          <w:rFonts w:cstheme="minorHAnsi"/>
          <w:b/>
          <w:bCs/>
          <w:rtl/>
        </w:rPr>
        <w:t xml:space="preserve">الإطار </w:t>
      </w:r>
      <w:bookmarkEnd w:id="310"/>
      <w:r w:rsidR="00CE6896" w:rsidRPr="00F30EF3">
        <w:rPr>
          <w:rFonts w:cstheme="minorHAnsi"/>
          <w:b/>
          <w:bCs/>
        </w:rPr>
        <w:t>67</w:t>
      </w:r>
      <w:r w:rsidR="00A7349E" w:rsidRPr="00F30EF3">
        <w:rPr>
          <w:rFonts w:cstheme="minorHAnsi" w:hint="cs"/>
          <w:b/>
          <w:bCs/>
          <w:rtl/>
        </w:rPr>
        <w:t>.</w:t>
      </w:r>
      <w:r w:rsidRPr="00F30EF3">
        <w:rPr>
          <w:rFonts w:cstheme="minorHAnsi"/>
          <w:b/>
          <w:bCs/>
          <w:rtl/>
        </w:rPr>
        <w:t xml:space="preserve"> الحوافز الإلزامية في جنوب أفريقيا</w:t>
      </w:r>
      <w:r w:rsidRPr="00F30EF3">
        <w:rPr>
          <w:rFonts w:cstheme="minorHAnsi"/>
          <w:rtl/>
        </w:rPr>
        <w:t xml:space="preserve"> </w:t>
      </w:r>
    </w:p>
    <w:p w14:paraId="63B70043" w14:textId="77777777" w:rsidR="007F7961" w:rsidRPr="00F30EF3" w:rsidRDefault="007F7961"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567"/>
        <w:jc w:val="both"/>
        <w:rPr>
          <w:rFonts w:cstheme="minorHAnsi"/>
          <w:lang w:val="en-US"/>
        </w:rPr>
      </w:pPr>
    </w:p>
    <w:p w14:paraId="7E91F3FC" w14:textId="77777777" w:rsidR="0095482B" w:rsidRPr="00F30EF3" w:rsidRDefault="0095482B"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567"/>
        <w:jc w:val="both"/>
        <w:rPr>
          <w:rFonts w:cstheme="minorHAnsi"/>
          <w:rtl/>
        </w:rPr>
      </w:pPr>
      <w:r w:rsidRPr="00F30EF3">
        <w:rPr>
          <w:rFonts w:cstheme="minorHAnsi"/>
          <w:rtl/>
        </w:rPr>
        <w:t>يوفر قانون حقوق الملكية الفكرية في مجال البحوث والتنمية الممولة من الأموال العامة في جنوب أفريقيا (رقم 51 لسنة 2008؛ قانون حقوق الملكية الفكرية) هذا الإطار حيث ينص القسم (2)(1)(د)، بموجب أغراض التشريع، على أن "</w:t>
      </w:r>
      <w:r w:rsidRPr="00F30EF3">
        <w:rPr>
          <w:rFonts w:cstheme="minorHAnsi"/>
          <w:i/>
          <w:iCs/>
          <w:rtl/>
        </w:rPr>
        <w:t>الإبداع والبراعة البشريين مقَرّ بهما وواجب مكافأتهما</w:t>
      </w:r>
      <w:r w:rsidRPr="00F30EF3">
        <w:rPr>
          <w:rFonts w:cstheme="minorHAnsi"/>
          <w:rtl/>
        </w:rPr>
        <w:t xml:space="preserve">".  وانظر أيضاً </w:t>
      </w:r>
      <w:hyperlink w:anchor="Box56" w:history="1">
        <w:r w:rsidRPr="00F30EF3">
          <w:rPr>
            <w:rStyle w:val="Hyperlink"/>
            <w:rFonts w:cstheme="minorHAnsi"/>
            <w:rtl/>
          </w:rPr>
          <w:t>الإطار 57</w:t>
        </w:r>
      </w:hyperlink>
      <w:r w:rsidRPr="00F30EF3">
        <w:rPr>
          <w:rFonts w:cstheme="minorHAnsi"/>
          <w:rtl/>
        </w:rPr>
        <w:t>.</w:t>
      </w:r>
    </w:p>
    <w:p w14:paraId="404A0F18" w14:textId="77777777" w:rsidR="0095482B" w:rsidRPr="00F30EF3" w:rsidRDefault="0095482B" w:rsidP="00B7519E">
      <w:pPr>
        <w:spacing w:after="0" w:line="240" w:lineRule="auto"/>
        <w:jc w:val="both"/>
        <w:rPr>
          <w:rFonts w:cstheme="minorHAnsi"/>
          <w:lang w:val="en-US" w:eastAsia="en-US"/>
        </w:rPr>
      </w:pPr>
    </w:p>
    <w:p w14:paraId="7431F1FE" w14:textId="0D96470A" w:rsidR="0095482B" w:rsidRPr="00F30EF3" w:rsidRDefault="0095482B" w:rsidP="00B7519E">
      <w:pPr>
        <w:spacing w:after="0" w:line="240" w:lineRule="auto"/>
        <w:ind w:left="426"/>
        <w:jc w:val="both"/>
        <w:rPr>
          <w:rFonts w:cstheme="minorHAnsi"/>
          <w:rtl/>
        </w:rPr>
      </w:pPr>
      <w:r w:rsidRPr="00F30EF3">
        <w:rPr>
          <w:rFonts w:cstheme="minorHAnsi"/>
          <w:rtl/>
        </w:rPr>
        <w:t xml:space="preserve">يتم تشجيع المؤسسة، في إطار تعزيز نقل المعارف ولا سيّما نقل التكنولوجيا، على إيلاء الاعتبار الواجب </w:t>
      </w:r>
      <w:r w:rsidRPr="00F30EF3">
        <w:rPr>
          <w:rFonts w:cstheme="minorHAnsi"/>
          <w:b/>
          <w:bCs/>
          <w:rtl/>
        </w:rPr>
        <w:t>لأنواع مختلفة</w:t>
      </w:r>
      <w:r w:rsidRPr="00F30EF3">
        <w:rPr>
          <w:rFonts w:cstheme="minorHAnsi"/>
          <w:rtl/>
        </w:rPr>
        <w:t xml:space="preserve"> من الحوافز التي تقدم للباحثين لتعزيز البحث ذو الأثر الاجتماعي الاقتصادي. ويميز النموذج بين تقاسم الإيرادات والحوافز الأخرى. </w:t>
      </w:r>
    </w:p>
    <w:p w14:paraId="3B1D9B27" w14:textId="77777777" w:rsidR="007F7961" w:rsidRPr="00F30EF3" w:rsidRDefault="007F7961" w:rsidP="00B7519E">
      <w:pPr>
        <w:spacing w:after="0" w:line="240" w:lineRule="auto"/>
        <w:ind w:left="426"/>
        <w:jc w:val="both"/>
        <w:rPr>
          <w:rFonts w:cstheme="minorHAnsi"/>
          <w:lang w:val="en-US" w:eastAsia="en-US"/>
        </w:rPr>
      </w:pPr>
    </w:p>
    <w:p w14:paraId="79D60700" w14:textId="089185E0" w:rsidR="007F7961" w:rsidRPr="00F30EF3" w:rsidRDefault="007F7961"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567"/>
        <w:jc w:val="both"/>
        <w:rPr>
          <w:rFonts w:cstheme="minorHAnsi"/>
          <w:b/>
          <w:bCs/>
          <w:rtl/>
        </w:rPr>
      </w:pPr>
      <w:r w:rsidRPr="00F30EF3">
        <w:rPr>
          <w:rFonts w:cstheme="minorHAnsi"/>
          <w:b/>
          <w:bCs/>
          <w:rtl/>
        </w:rPr>
        <w:t xml:space="preserve">الإطار </w:t>
      </w:r>
      <w:r w:rsidR="00CE6896" w:rsidRPr="00F30EF3">
        <w:rPr>
          <w:rFonts w:cstheme="minorHAnsi"/>
          <w:b/>
          <w:bCs/>
        </w:rPr>
        <w:t>68</w:t>
      </w:r>
      <w:r w:rsidR="00A7349E" w:rsidRPr="00F30EF3">
        <w:rPr>
          <w:rFonts w:cstheme="minorHAnsi" w:hint="cs"/>
          <w:b/>
          <w:bCs/>
          <w:rtl/>
        </w:rPr>
        <w:t>.</w:t>
      </w:r>
      <w:r w:rsidRPr="00F30EF3">
        <w:rPr>
          <w:rFonts w:cstheme="minorHAnsi"/>
          <w:b/>
          <w:bCs/>
          <w:rtl/>
        </w:rPr>
        <w:t xml:space="preserve"> نصائح لوضع برنامج حوافز</w:t>
      </w:r>
    </w:p>
    <w:p w14:paraId="22D7710E" w14:textId="77777777" w:rsidR="00E8794D" w:rsidRPr="00F30EF3" w:rsidRDefault="00E8794D"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cstheme="minorHAnsi"/>
          <w:rtl/>
        </w:rPr>
      </w:pPr>
      <w:r w:rsidRPr="00F30EF3">
        <w:rPr>
          <w:rFonts w:cstheme="minorHAnsi"/>
          <w:u w:val="single"/>
          <w:rtl/>
        </w:rPr>
        <w:t>نشر</w:t>
      </w:r>
      <w:r w:rsidRPr="00F30EF3">
        <w:rPr>
          <w:rFonts w:cstheme="minorHAnsi"/>
          <w:rtl/>
        </w:rPr>
        <w:t xml:space="preserve"> سياسة حوافز تشرح بوضوح سياسة تقاسم الإيرادات ودخل التسويق القائم على الأسهم بما في ذلك أحكام التقاسم مع المبدعين والممكّنين.</w:t>
      </w:r>
    </w:p>
    <w:p w14:paraId="3E18E8D9" w14:textId="5315A667" w:rsidR="00E8794D" w:rsidRPr="00F30EF3" w:rsidRDefault="007F7961"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cstheme="minorHAnsi"/>
          <w:rtl/>
        </w:rPr>
      </w:pPr>
      <w:r w:rsidRPr="00F30EF3">
        <w:rPr>
          <w:rFonts w:cstheme="minorHAnsi"/>
          <w:rtl/>
        </w:rPr>
        <w:t>قد تتضمن هذه الحوافز تدابير "</w:t>
      </w:r>
      <w:r w:rsidRPr="00F30EF3">
        <w:rPr>
          <w:rFonts w:cstheme="minorHAnsi"/>
          <w:u w:val="single"/>
          <w:rtl/>
        </w:rPr>
        <w:t>من باب الترهيب</w:t>
      </w:r>
      <w:r w:rsidRPr="00F30EF3">
        <w:rPr>
          <w:rFonts w:cstheme="minorHAnsi"/>
          <w:rtl/>
        </w:rPr>
        <w:t>"،</w:t>
      </w:r>
      <w:r w:rsidRPr="00F30EF3">
        <w:rPr>
          <w:rFonts w:cstheme="minorHAnsi"/>
          <w:b/>
          <w:bCs/>
          <w:rtl/>
        </w:rPr>
        <w:t xml:space="preserve"> </w:t>
      </w:r>
      <w:r w:rsidRPr="00F30EF3">
        <w:rPr>
          <w:rFonts w:cstheme="minorHAnsi"/>
          <w:rtl/>
        </w:rPr>
        <w:t xml:space="preserve">مثل المتطلبات القانونية أو الإدارية التي تُلزِم الباحثين بالكشف عن الاختراعات إلى المؤسسات التي تقوم بتوظيفهم، ولكن أيضاً يمكن </w:t>
      </w:r>
      <w:r w:rsidR="00D24BA6" w:rsidRPr="00F30EF3">
        <w:rPr>
          <w:rFonts w:cstheme="minorHAnsi"/>
          <w:rtl/>
        </w:rPr>
        <w:t>أ</w:t>
      </w:r>
      <w:r w:rsidRPr="00F30EF3">
        <w:rPr>
          <w:rFonts w:cstheme="minorHAnsi"/>
          <w:rtl/>
        </w:rPr>
        <w:t>ن تتضمن تدابير</w:t>
      </w:r>
      <w:r w:rsidR="00D24BA6" w:rsidRPr="00F30EF3">
        <w:rPr>
          <w:rFonts w:cstheme="minorHAnsi"/>
          <w:rtl/>
        </w:rPr>
        <w:t xml:space="preserve"> </w:t>
      </w:r>
      <w:r w:rsidRPr="00F30EF3">
        <w:rPr>
          <w:rFonts w:cstheme="minorHAnsi"/>
          <w:b/>
          <w:bCs/>
          <w:rtl/>
        </w:rPr>
        <w:t>"</w:t>
      </w:r>
      <w:r w:rsidRPr="00F30EF3">
        <w:rPr>
          <w:rFonts w:cstheme="minorHAnsi"/>
          <w:u w:val="single"/>
          <w:rtl/>
        </w:rPr>
        <w:t>من باب الترغيب"</w:t>
      </w:r>
      <w:r w:rsidRPr="00F30EF3">
        <w:rPr>
          <w:rFonts w:cstheme="minorHAnsi"/>
          <w:rtl/>
        </w:rPr>
        <w:t xml:space="preserve">. </w:t>
      </w:r>
    </w:p>
    <w:p w14:paraId="5CA9A09A" w14:textId="77777777" w:rsidR="00B02FB0" w:rsidRPr="00F30EF3" w:rsidRDefault="00B02FB0"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cstheme="minorHAnsi"/>
          <w:rtl/>
        </w:rPr>
      </w:pPr>
      <w:r w:rsidRPr="00F30EF3">
        <w:rPr>
          <w:rFonts w:cstheme="minorHAnsi"/>
          <w:rtl/>
        </w:rPr>
        <w:t xml:space="preserve">عدم تحصر هيكل الحوافز الخاص بك على المنافع </w:t>
      </w:r>
      <w:r w:rsidRPr="00F30EF3">
        <w:rPr>
          <w:rFonts w:cstheme="minorHAnsi"/>
          <w:u w:val="single"/>
          <w:rtl/>
        </w:rPr>
        <w:t>المالية</w:t>
      </w:r>
      <w:r w:rsidRPr="00F30EF3">
        <w:rPr>
          <w:rFonts w:cstheme="minorHAnsi"/>
          <w:rtl/>
        </w:rPr>
        <w:t xml:space="preserve"> فقط؛ ولكن ضع باعتبارك </w:t>
      </w:r>
      <w:r w:rsidRPr="00F30EF3">
        <w:rPr>
          <w:rFonts w:cstheme="minorHAnsi"/>
          <w:u w:val="single"/>
          <w:rtl/>
        </w:rPr>
        <w:t>أنواع أخرى</w:t>
      </w:r>
      <w:r w:rsidRPr="00F30EF3">
        <w:rPr>
          <w:rFonts w:cstheme="minorHAnsi"/>
          <w:rtl/>
        </w:rPr>
        <w:t xml:space="preserve"> كذلك من المنافع (انظر </w:t>
      </w:r>
      <w:hyperlink w:anchor="Article10p3" w:history="1">
        <w:r w:rsidRPr="00F30EF3">
          <w:rPr>
            <w:rStyle w:val="Hyperlink"/>
            <w:rFonts w:cstheme="minorHAnsi"/>
            <w:rtl/>
          </w:rPr>
          <w:t>المادة 3.10</w:t>
        </w:r>
      </w:hyperlink>
      <w:r w:rsidRPr="00F30EF3">
        <w:rPr>
          <w:rFonts w:cstheme="minorHAnsi"/>
          <w:rtl/>
        </w:rPr>
        <w:t xml:space="preserve">). </w:t>
      </w:r>
    </w:p>
    <w:p w14:paraId="728310A1" w14:textId="77777777" w:rsidR="00B02FB0" w:rsidRPr="00F30EF3" w:rsidRDefault="00B02FB0"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cstheme="minorHAnsi"/>
          <w:rtl/>
        </w:rPr>
      </w:pPr>
      <w:r w:rsidRPr="00F30EF3">
        <w:rPr>
          <w:rFonts w:cstheme="minorHAnsi"/>
          <w:rtl/>
        </w:rPr>
        <w:t>تحديد معايير تقاسم الإيرادات قدر الإمكان، من خلال تبني نهج موحد (انظر</w:t>
      </w:r>
      <w:hyperlink w:anchor="Article10p2" w:history="1">
        <w:r w:rsidRPr="00F30EF3">
          <w:rPr>
            <w:rStyle w:val="Hyperlink"/>
            <w:rFonts w:cstheme="minorHAnsi"/>
            <w:rtl/>
          </w:rPr>
          <w:t xml:space="preserve"> المادة 2.10 </w:t>
        </w:r>
      </w:hyperlink>
      <w:r w:rsidRPr="00F30EF3">
        <w:rPr>
          <w:rFonts w:cstheme="minorHAnsi"/>
          <w:rtl/>
        </w:rPr>
        <w:t>).</w:t>
      </w:r>
    </w:p>
    <w:p w14:paraId="2921E4C7" w14:textId="77777777" w:rsidR="00AD755F" w:rsidRPr="00F30EF3" w:rsidRDefault="00B02FB0"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cstheme="minorHAnsi"/>
          <w:rtl/>
        </w:rPr>
      </w:pPr>
      <w:r w:rsidRPr="00F30EF3">
        <w:rPr>
          <w:rFonts w:cstheme="minorHAnsi"/>
          <w:rtl/>
        </w:rPr>
        <w:t xml:space="preserve">التأكد من أن سياساتك المتعلقة بتقاسم الإيرادات تقرّ بالشروط والأحكام المحددة في </w:t>
      </w:r>
      <w:r w:rsidRPr="00F30EF3">
        <w:rPr>
          <w:rFonts w:cstheme="minorHAnsi"/>
          <w:u w:val="single"/>
          <w:rtl/>
        </w:rPr>
        <w:t xml:space="preserve">عقود التمويل </w:t>
      </w:r>
      <w:r w:rsidRPr="00F30EF3">
        <w:rPr>
          <w:rFonts w:cstheme="minorHAnsi"/>
          <w:rtl/>
        </w:rPr>
        <w:t>ذات الصلة.</w:t>
      </w:r>
    </w:p>
    <w:p w14:paraId="14527C8A" w14:textId="77777777" w:rsidR="00A23549" w:rsidRPr="00F30EF3" w:rsidRDefault="00730341"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cstheme="minorHAnsi"/>
          <w:rtl/>
        </w:rPr>
      </w:pPr>
      <w:r w:rsidRPr="00F30EF3">
        <w:rPr>
          <w:rFonts w:cstheme="minorHAnsi"/>
          <w:rtl/>
        </w:rPr>
        <w:t xml:space="preserve">اختيار أنواع الحوافز بعناية؛ فصيغة توزيع إتاوات أو هيكل حوافز معينان من الممكن أن يعززا ترخيص التكنولوجيا، في حين أن البعض الآخر من المرجح أن يعزز الشركات الفرعية (انظر </w:t>
      </w:r>
      <w:hyperlink w:anchor="Box61" w:history="1">
        <w:r w:rsidRPr="00F30EF3">
          <w:rPr>
            <w:rStyle w:val="Hyperlink"/>
            <w:rFonts w:cstheme="minorHAnsi"/>
            <w:rtl/>
          </w:rPr>
          <w:t>الإطار 62</w:t>
        </w:r>
      </w:hyperlink>
      <w:r w:rsidRPr="00F30EF3">
        <w:rPr>
          <w:rFonts w:cstheme="minorHAnsi"/>
          <w:rtl/>
        </w:rPr>
        <w:t>).</w:t>
      </w:r>
    </w:p>
    <w:p w14:paraId="3B80703B" w14:textId="77777777" w:rsidR="00437015" w:rsidRPr="00F30EF3" w:rsidRDefault="00437015" w:rsidP="00831449">
      <w:pPr>
        <w:pStyle w:val="Heading3"/>
        <w:spacing w:before="360"/>
        <w:jc w:val="both"/>
        <w:rPr>
          <w:rFonts w:asciiTheme="minorHAnsi" w:hAnsiTheme="minorHAnsi" w:cstheme="minorHAnsi"/>
          <w:sz w:val="24"/>
          <w:szCs w:val="24"/>
          <w:rtl/>
        </w:rPr>
      </w:pPr>
      <w:bookmarkStart w:id="311" w:name="_Toc516160092"/>
      <w:bookmarkStart w:id="312" w:name="_Toc516219428"/>
      <w:bookmarkStart w:id="313" w:name="_Toc516496072"/>
      <w:bookmarkStart w:id="314" w:name="_Toc516829444"/>
      <w:r w:rsidRPr="00F30EF3">
        <w:rPr>
          <w:rFonts w:asciiTheme="minorHAnsi" w:hAnsiTheme="minorHAnsi" w:cstheme="minorHAnsi"/>
          <w:sz w:val="24"/>
          <w:szCs w:val="24"/>
          <w:rtl/>
        </w:rPr>
        <w:t>النطاق - على من تنطبق الحوافز؟</w:t>
      </w:r>
      <w:bookmarkEnd w:id="311"/>
      <w:bookmarkEnd w:id="312"/>
      <w:bookmarkEnd w:id="313"/>
      <w:bookmarkEnd w:id="314"/>
    </w:p>
    <w:p w14:paraId="495E66D1" w14:textId="687ABB84" w:rsidR="0095482B" w:rsidRPr="00F30EF3" w:rsidRDefault="006D4C25" w:rsidP="009D4A54">
      <w:pPr>
        <w:pStyle w:val="ListParagraph"/>
        <w:numPr>
          <w:ilvl w:val="0"/>
          <w:numId w:val="99"/>
        </w:numPr>
        <w:spacing w:after="0" w:line="240" w:lineRule="auto"/>
        <w:ind w:left="426" w:hanging="284"/>
        <w:jc w:val="both"/>
        <w:rPr>
          <w:rFonts w:cstheme="minorHAnsi"/>
          <w:rtl/>
        </w:rPr>
      </w:pPr>
      <w:r w:rsidRPr="00F30EF3">
        <w:rPr>
          <w:rFonts w:cstheme="minorHAnsi"/>
          <w:b/>
          <w:bCs/>
          <w:rtl/>
        </w:rPr>
        <w:t>المادة 1.1.10،</w:t>
      </w:r>
      <w:r w:rsidRPr="00F30EF3">
        <w:rPr>
          <w:rFonts w:cstheme="minorHAnsi"/>
          <w:rtl/>
        </w:rPr>
        <w:t xml:space="preserve"> </w:t>
      </w:r>
      <w:r w:rsidRPr="00F30EF3">
        <w:rPr>
          <w:rFonts w:cstheme="minorHAnsi"/>
          <w:b/>
          <w:bCs/>
          <w:i/>
          <w:iCs/>
          <w:rtl/>
        </w:rPr>
        <w:t xml:space="preserve">المبدعون: </w:t>
      </w:r>
      <w:r w:rsidRPr="00F30EF3">
        <w:rPr>
          <w:rFonts w:cstheme="minorHAnsi"/>
          <w:color w:val="000000" w:themeColor="text1"/>
          <w:rtl/>
        </w:rPr>
        <w:t xml:space="preserve">توضع الحوافز في المقام الأول للباحثين الذين </w:t>
      </w:r>
      <w:r w:rsidRPr="00F30EF3">
        <w:rPr>
          <w:rFonts w:cstheme="minorHAnsi"/>
          <w:rtl/>
        </w:rPr>
        <w:t>يشاركون بشكل مباشر في إنشاء الملكية الفكرية الناتجة عن مساعيهم البحثية/ الفكرية. ويعتبر هؤلاء الأفراد مبدعي الملكية الفكرية، كما هو محدد في المادة 2، وهو مصطلح عام شامل، ومع ذلك، سيتم تخصيص مصطلحات أكثر تحديدًا لمبدعي الملكية الفكرية، اعتماداً على نوع الملكية الفكرية وحق الملكية الفكرية القانوني المرتبط بها، كما هو موضح في الجدول أدناه:</w:t>
      </w:r>
    </w:p>
    <w:p w14:paraId="459B4288" w14:textId="77777777" w:rsidR="0095482B" w:rsidRPr="00F30EF3" w:rsidRDefault="0095482B" w:rsidP="0095482B">
      <w:pPr>
        <w:pStyle w:val="ListParagraph"/>
        <w:spacing w:after="0"/>
        <w:ind w:left="426"/>
        <w:jc w:val="both"/>
        <w:rPr>
          <w:rFonts w:cstheme="minorHAnsi"/>
          <w:lang w:val="en-US" w:eastAsia="en-US"/>
        </w:rPr>
      </w:pPr>
    </w:p>
    <w:tbl>
      <w:tblPr>
        <w:bidiVisual/>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1"/>
        <w:gridCol w:w="5089"/>
        <w:gridCol w:w="2410"/>
      </w:tblGrid>
      <w:tr w:rsidR="00437015" w:rsidRPr="00F30EF3" w14:paraId="69C500F8" w14:textId="77777777" w:rsidTr="00F841B0">
        <w:tc>
          <w:tcPr>
            <w:tcW w:w="8930" w:type="dxa"/>
            <w:gridSpan w:val="3"/>
            <w:shd w:val="clear" w:color="auto" w:fill="D9D9D9" w:themeFill="background1" w:themeFillShade="D9"/>
            <w:vAlign w:val="center"/>
          </w:tcPr>
          <w:p w14:paraId="705436BE" w14:textId="6B0A4A01" w:rsidR="00437015" w:rsidRPr="00F30EF3" w:rsidRDefault="00437015" w:rsidP="00CA48D2">
            <w:pPr>
              <w:pStyle w:val="Style2"/>
              <w:keepNext/>
              <w:keepLines/>
              <w:bidi/>
              <w:spacing w:line="276" w:lineRule="auto"/>
              <w:ind w:left="0"/>
              <w:rPr>
                <w:rStyle w:val="CharacterStyle1"/>
                <w:rFonts w:asciiTheme="minorHAnsi" w:hAnsiTheme="minorHAnsi" w:cstheme="minorHAnsi"/>
                <w:b/>
                <w:bCs/>
                <w:sz w:val="22"/>
                <w:szCs w:val="22"/>
                <w:rtl/>
              </w:rPr>
            </w:pPr>
            <w:r w:rsidRPr="00F30EF3">
              <w:rPr>
                <w:rFonts w:asciiTheme="minorHAnsi" w:hAnsiTheme="minorHAnsi" w:cstheme="minorHAnsi"/>
                <w:b/>
                <w:bCs/>
                <w:sz w:val="22"/>
                <w:szCs w:val="22"/>
                <w:rtl/>
              </w:rPr>
              <w:lastRenderedPageBreak/>
              <w:t xml:space="preserve">الإطار </w:t>
            </w:r>
            <w:r w:rsidR="00FE618B" w:rsidRPr="00F30EF3">
              <w:rPr>
                <w:rFonts w:asciiTheme="minorHAnsi" w:hAnsiTheme="minorHAnsi" w:cstheme="minorHAnsi"/>
                <w:b/>
                <w:bCs/>
                <w:sz w:val="22"/>
                <w:szCs w:val="22"/>
              </w:rPr>
              <w:t>69</w:t>
            </w:r>
            <w:r w:rsidR="00A7349E" w:rsidRPr="00F30EF3">
              <w:rPr>
                <w:rFonts w:asciiTheme="minorHAnsi" w:hAnsiTheme="minorHAnsi" w:cstheme="minorHAnsi" w:hint="cs"/>
                <w:b/>
                <w:bCs/>
                <w:sz w:val="22"/>
                <w:szCs w:val="22"/>
                <w:rtl/>
              </w:rPr>
              <w:t>.</w:t>
            </w:r>
            <w:r w:rsidRPr="00F30EF3">
              <w:rPr>
                <w:rFonts w:asciiTheme="minorHAnsi" w:hAnsiTheme="minorHAnsi" w:cstheme="minorHAnsi"/>
                <w:b/>
                <w:bCs/>
                <w:sz w:val="22"/>
                <w:szCs w:val="22"/>
                <w:rtl/>
              </w:rPr>
              <w:t xml:space="preserve"> أنواع المبدعين</w:t>
            </w:r>
          </w:p>
        </w:tc>
      </w:tr>
      <w:tr w:rsidR="0095482B" w:rsidRPr="00F30EF3" w14:paraId="10D35EDE" w14:textId="77777777" w:rsidTr="00CA48D2">
        <w:tc>
          <w:tcPr>
            <w:tcW w:w="1431" w:type="dxa"/>
            <w:shd w:val="clear" w:color="auto" w:fill="95B3D7" w:themeFill="accent1" w:themeFillTint="99"/>
            <w:vAlign w:val="center"/>
          </w:tcPr>
          <w:p w14:paraId="45C3244D" w14:textId="77777777" w:rsidR="0095482B" w:rsidRPr="00F30EF3" w:rsidRDefault="0095482B" w:rsidP="00CA48D2">
            <w:pPr>
              <w:pStyle w:val="Style2"/>
              <w:keepNext/>
              <w:keepLines/>
              <w:tabs>
                <w:tab w:val="left" w:pos="0"/>
              </w:tabs>
              <w:bidi/>
              <w:spacing w:line="276" w:lineRule="auto"/>
              <w:ind w:left="0"/>
              <w:rPr>
                <w:rStyle w:val="CharacterStyle1"/>
                <w:rFonts w:asciiTheme="minorHAnsi" w:hAnsiTheme="minorHAnsi" w:cstheme="minorHAnsi"/>
                <w:b/>
                <w:sz w:val="22"/>
                <w:szCs w:val="22"/>
                <w:rtl/>
              </w:rPr>
            </w:pPr>
            <w:r w:rsidRPr="00F30EF3">
              <w:rPr>
                <w:rStyle w:val="CharacterStyle1"/>
                <w:rFonts w:asciiTheme="minorHAnsi" w:hAnsiTheme="minorHAnsi" w:cstheme="minorHAnsi"/>
                <w:b/>
                <w:bCs/>
                <w:sz w:val="22"/>
                <w:szCs w:val="22"/>
                <w:rtl/>
              </w:rPr>
              <w:t>مبدع الملكية الفكرية</w:t>
            </w:r>
          </w:p>
        </w:tc>
        <w:tc>
          <w:tcPr>
            <w:tcW w:w="5089" w:type="dxa"/>
            <w:shd w:val="clear" w:color="auto" w:fill="95B3D7" w:themeFill="accent1" w:themeFillTint="99"/>
            <w:vAlign w:val="center"/>
          </w:tcPr>
          <w:p w14:paraId="6A5481A0" w14:textId="77777777" w:rsidR="0095482B" w:rsidRPr="00F30EF3" w:rsidRDefault="0095482B" w:rsidP="00CA48D2">
            <w:pPr>
              <w:pStyle w:val="Style2"/>
              <w:keepNext/>
              <w:keepLines/>
              <w:bidi/>
              <w:spacing w:line="276" w:lineRule="auto"/>
              <w:ind w:left="0"/>
              <w:rPr>
                <w:rStyle w:val="CharacterStyle1"/>
                <w:rFonts w:asciiTheme="minorHAnsi" w:hAnsiTheme="minorHAnsi" w:cstheme="minorHAnsi"/>
                <w:b/>
                <w:sz w:val="22"/>
                <w:szCs w:val="22"/>
                <w:rtl/>
              </w:rPr>
            </w:pPr>
            <w:r w:rsidRPr="00F30EF3">
              <w:rPr>
                <w:rStyle w:val="CharacterStyle1"/>
                <w:rFonts w:asciiTheme="minorHAnsi" w:hAnsiTheme="minorHAnsi" w:cstheme="minorHAnsi"/>
                <w:b/>
                <w:bCs/>
                <w:sz w:val="22"/>
                <w:szCs w:val="22"/>
                <w:rtl/>
              </w:rPr>
              <w:t>المثال (الأمثلة)</w:t>
            </w:r>
          </w:p>
        </w:tc>
        <w:tc>
          <w:tcPr>
            <w:tcW w:w="2410" w:type="dxa"/>
            <w:shd w:val="clear" w:color="auto" w:fill="95B3D7" w:themeFill="accent1" w:themeFillTint="99"/>
            <w:vAlign w:val="center"/>
          </w:tcPr>
          <w:p w14:paraId="46FDC74B" w14:textId="77777777" w:rsidR="0095482B" w:rsidRPr="00F30EF3" w:rsidRDefault="0095482B" w:rsidP="00CA48D2">
            <w:pPr>
              <w:pStyle w:val="Style2"/>
              <w:keepNext/>
              <w:keepLines/>
              <w:bidi/>
              <w:spacing w:line="276" w:lineRule="auto"/>
              <w:ind w:left="0"/>
              <w:rPr>
                <w:rStyle w:val="CharacterStyle1"/>
                <w:rFonts w:asciiTheme="minorHAnsi" w:hAnsiTheme="minorHAnsi" w:cstheme="minorHAnsi"/>
                <w:b/>
                <w:bCs/>
                <w:sz w:val="22"/>
                <w:szCs w:val="22"/>
                <w:rtl/>
              </w:rPr>
            </w:pPr>
            <w:r w:rsidRPr="00F30EF3">
              <w:rPr>
                <w:rStyle w:val="CharacterStyle1"/>
                <w:rFonts w:asciiTheme="minorHAnsi" w:hAnsiTheme="minorHAnsi" w:cstheme="minorHAnsi"/>
                <w:b/>
                <w:bCs/>
                <w:sz w:val="22"/>
                <w:szCs w:val="22"/>
                <w:rtl/>
              </w:rPr>
              <w:t>حق الملكية الفكرية القانوني</w:t>
            </w:r>
          </w:p>
        </w:tc>
      </w:tr>
      <w:tr w:rsidR="0095482B" w:rsidRPr="00F30EF3" w14:paraId="44DCAE65" w14:textId="77777777" w:rsidTr="00CA48D2">
        <w:tc>
          <w:tcPr>
            <w:tcW w:w="1431" w:type="dxa"/>
            <w:vAlign w:val="center"/>
          </w:tcPr>
          <w:p w14:paraId="17EB1D3A" w14:textId="77777777" w:rsidR="0095482B" w:rsidRPr="00F30EF3" w:rsidRDefault="0095482B" w:rsidP="00CA48D2">
            <w:pPr>
              <w:pStyle w:val="Style2"/>
              <w:keepNext/>
              <w:keepLines/>
              <w:bidi/>
              <w:spacing w:line="276" w:lineRule="auto"/>
              <w:ind w:left="0"/>
              <w:jc w:val="both"/>
              <w:rPr>
                <w:rStyle w:val="CharacterStyle1"/>
                <w:rFonts w:asciiTheme="minorHAnsi" w:hAnsiTheme="minorHAnsi" w:cstheme="minorHAnsi"/>
                <w:sz w:val="22"/>
                <w:szCs w:val="22"/>
                <w:rtl/>
              </w:rPr>
            </w:pPr>
            <w:r w:rsidRPr="00F30EF3">
              <w:rPr>
                <w:rStyle w:val="CharacterStyle1"/>
                <w:rFonts w:asciiTheme="minorHAnsi" w:hAnsiTheme="minorHAnsi" w:cstheme="minorHAnsi"/>
                <w:sz w:val="22"/>
                <w:szCs w:val="22"/>
                <w:rtl/>
              </w:rPr>
              <w:t>المخترع</w:t>
            </w:r>
          </w:p>
        </w:tc>
        <w:tc>
          <w:tcPr>
            <w:tcW w:w="5089" w:type="dxa"/>
            <w:vAlign w:val="center"/>
          </w:tcPr>
          <w:p w14:paraId="31CD04DA" w14:textId="77777777" w:rsidR="0095482B" w:rsidRPr="00F30EF3" w:rsidRDefault="0095482B" w:rsidP="00CA48D2">
            <w:pPr>
              <w:pStyle w:val="Style2"/>
              <w:keepNext/>
              <w:keepLines/>
              <w:bidi/>
              <w:spacing w:line="276" w:lineRule="auto"/>
              <w:ind w:left="0"/>
              <w:jc w:val="both"/>
              <w:rPr>
                <w:rStyle w:val="CharacterStyle1"/>
                <w:rFonts w:asciiTheme="minorHAnsi" w:hAnsiTheme="minorHAnsi" w:cstheme="minorHAnsi"/>
                <w:sz w:val="22"/>
                <w:szCs w:val="22"/>
                <w:rtl/>
              </w:rPr>
            </w:pPr>
            <w:r w:rsidRPr="00F30EF3">
              <w:rPr>
                <w:rStyle w:val="CharacterStyle1"/>
                <w:rFonts w:asciiTheme="minorHAnsi" w:hAnsiTheme="minorHAnsi" w:cstheme="minorHAnsi"/>
                <w:sz w:val="22"/>
                <w:szCs w:val="22"/>
                <w:rtl/>
              </w:rPr>
              <w:t>الاختراع</w:t>
            </w:r>
            <w:r w:rsidRPr="00F30EF3">
              <w:rPr>
                <w:rFonts w:asciiTheme="minorHAnsi" w:hAnsiTheme="minorHAnsi" w:cstheme="minorHAnsi"/>
                <w:sz w:val="22"/>
                <w:szCs w:val="22"/>
                <w:rtl/>
              </w:rPr>
              <w:t xml:space="preserve"> </w:t>
            </w:r>
          </w:p>
          <w:p w14:paraId="213FDD50" w14:textId="77777777" w:rsidR="0095482B" w:rsidRPr="00F30EF3" w:rsidRDefault="0095482B" w:rsidP="00CA48D2">
            <w:pPr>
              <w:pStyle w:val="Style2"/>
              <w:keepNext/>
              <w:keepLines/>
              <w:bidi/>
              <w:spacing w:line="276" w:lineRule="auto"/>
              <w:ind w:left="0"/>
              <w:jc w:val="both"/>
              <w:rPr>
                <w:rStyle w:val="CharacterStyle1"/>
                <w:rFonts w:asciiTheme="minorHAnsi" w:hAnsiTheme="minorHAnsi" w:cstheme="minorHAnsi"/>
                <w:sz w:val="22"/>
                <w:szCs w:val="22"/>
                <w:rtl/>
              </w:rPr>
            </w:pPr>
            <w:r w:rsidRPr="00F30EF3">
              <w:rPr>
                <w:rStyle w:val="CharacterStyle1"/>
                <w:rFonts w:asciiTheme="minorHAnsi" w:hAnsiTheme="minorHAnsi" w:cstheme="minorHAnsi"/>
                <w:sz w:val="22"/>
                <w:szCs w:val="22"/>
                <w:rtl/>
              </w:rPr>
              <w:t>(يشمل الأصناف النباتية المعدلة وراثياً)</w:t>
            </w:r>
          </w:p>
        </w:tc>
        <w:tc>
          <w:tcPr>
            <w:tcW w:w="2410" w:type="dxa"/>
            <w:vAlign w:val="center"/>
          </w:tcPr>
          <w:p w14:paraId="2A1A0FCB" w14:textId="77777777" w:rsidR="0095482B" w:rsidRPr="00F30EF3" w:rsidRDefault="0095482B" w:rsidP="00CA48D2">
            <w:pPr>
              <w:pStyle w:val="Style2"/>
              <w:keepNext/>
              <w:keepLines/>
              <w:bidi/>
              <w:spacing w:line="276" w:lineRule="auto"/>
              <w:ind w:left="0" w:right="-252"/>
              <w:jc w:val="both"/>
              <w:rPr>
                <w:rStyle w:val="CharacterStyle1"/>
                <w:rFonts w:asciiTheme="minorHAnsi" w:hAnsiTheme="minorHAnsi" w:cstheme="minorHAnsi"/>
                <w:sz w:val="22"/>
                <w:szCs w:val="22"/>
                <w:rtl/>
              </w:rPr>
            </w:pPr>
            <w:r w:rsidRPr="00F30EF3">
              <w:rPr>
                <w:rStyle w:val="CharacterStyle1"/>
                <w:rFonts w:asciiTheme="minorHAnsi" w:hAnsiTheme="minorHAnsi" w:cstheme="minorHAnsi"/>
                <w:sz w:val="22"/>
                <w:szCs w:val="22"/>
                <w:rtl/>
              </w:rPr>
              <w:t>البراءة</w:t>
            </w:r>
          </w:p>
        </w:tc>
      </w:tr>
      <w:tr w:rsidR="0095482B" w:rsidRPr="00F30EF3" w14:paraId="0F18F0FB" w14:textId="77777777" w:rsidTr="00CA48D2">
        <w:tc>
          <w:tcPr>
            <w:tcW w:w="1431" w:type="dxa"/>
            <w:vAlign w:val="center"/>
          </w:tcPr>
          <w:p w14:paraId="611B35C0" w14:textId="77777777" w:rsidR="0095482B" w:rsidRPr="00F30EF3" w:rsidRDefault="0095482B" w:rsidP="00CA48D2">
            <w:pPr>
              <w:pStyle w:val="Style2"/>
              <w:bidi/>
              <w:spacing w:line="276" w:lineRule="auto"/>
              <w:ind w:left="0"/>
              <w:jc w:val="both"/>
              <w:rPr>
                <w:rStyle w:val="CharacterStyle1"/>
                <w:rFonts w:asciiTheme="minorHAnsi" w:hAnsiTheme="minorHAnsi" w:cstheme="minorHAnsi"/>
                <w:sz w:val="22"/>
                <w:szCs w:val="22"/>
                <w:rtl/>
              </w:rPr>
            </w:pPr>
            <w:r w:rsidRPr="00F30EF3">
              <w:rPr>
                <w:rStyle w:val="CharacterStyle1"/>
                <w:rFonts w:asciiTheme="minorHAnsi" w:hAnsiTheme="minorHAnsi" w:cstheme="minorHAnsi"/>
                <w:sz w:val="22"/>
                <w:szCs w:val="22"/>
                <w:rtl/>
              </w:rPr>
              <w:t>المؤلف/ المالك</w:t>
            </w:r>
          </w:p>
        </w:tc>
        <w:tc>
          <w:tcPr>
            <w:tcW w:w="5089" w:type="dxa"/>
            <w:vAlign w:val="center"/>
          </w:tcPr>
          <w:p w14:paraId="6BE9F784" w14:textId="77777777" w:rsidR="0095482B" w:rsidRPr="00F30EF3" w:rsidRDefault="0095482B" w:rsidP="00CA48D2">
            <w:pPr>
              <w:pStyle w:val="Style2"/>
              <w:bidi/>
              <w:spacing w:line="276" w:lineRule="auto"/>
              <w:ind w:left="0"/>
              <w:jc w:val="both"/>
              <w:rPr>
                <w:rStyle w:val="CharacterStyle1"/>
                <w:rFonts w:asciiTheme="minorHAnsi" w:hAnsiTheme="minorHAnsi" w:cstheme="minorHAnsi"/>
                <w:sz w:val="22"/>
                <w:szCs w:val="22"/>
                <w:rtl/>
              </w:rPr>
            </w:pPr>
            <w:r w:rsidRPr="00F30EF3">
              <w:rPr>
                <w:rStyle w:val="CharacterStyle1"/>
                <w:rFonts w:asciiTheme="minorHAnsi" w:hAnsiTheme="minorHAnsi" w:cstheme="minorHAnsi"/>
                <w:sz w:val="22"/>
                <w:szCs w:val="22"/>
                <w:rtl/>
              </w:rPr>
              <w:t>التصميم الوظيفي أو الجمالي</w:t>
            </w:r>
          </w:p>
        </w:tc>
        <w:tc>
          <w:tcPr>
            <w:tcW w:w="2410" w:type="dxa"/>
            <w:vAlign w:val="center"/>
          </w:tcPr>
          <w:p w14:paraId="09C96AF5" w14:textId="77777777" w:rsidR="0095482B" w:rsidRPr="00F30EF3" w:rsidRDefault="0095482B" w:rsidP="00CA48D2">
            <w:pPr>
              <w:pStyle w:val="Style2"/>
              <w:bidi/>
              <w:spacing w:line="276" w:lineRule="auto"/>
              <w:ind w:left="0" w:right="-252"/>
              <w:jc w:val="both"/>
              <w:rPr>
                <w:rStyle w:val="CharacterStyle1"/>
                <w:rFonts w:asciiTheme="minorHAnsi" w:hAnsiTheme="minorHAnsi" w:cstheme="minorHAnsi"/>
                <w:sz w:val="22"/>
                <w:szCs w:val="22"/>
                <w:rtl/>
              </w:rPr>
            </w:pPr>
            <w:r w:rsidRPr="00F30EF3">
              <w:rPr>
                <w:rStyle w:val="CharacterStyle1"/>
                <w:rFonts w:asciiTheme="minorHAnsi" w:hAnsiTheme="minorHAnsi" w:cstheme="minorHAnsi"/>
                <w:sz w:val="22"/>
                <w:szCs w:val="22"/>
                <w:rtl/>
              </w:rPr>
              <w:t>التصميم</w:t>
            </w:r>
          </w:p>
        </w:tc>
      </w:tr>
      <w:tr w:rsidR="0095482B" w:rsidRPr="00F30EF3" w14:paraId="5D655641" w14:textId="77777777" w:rsidTr="00CA48D2">
        <w:tc>
          <w:tcPr>
            <w:tcW w:w="1431" w:type="dxa"/>
            <w:vAlign w:val="center"/>
          </w:tcPr>
          <w:p w14:paraId="4AE17498" w14:textId="77777777" w:rsidR="0095482B" w:rsidRPr="00F30EF3" w:rsidRDefault="0095482B" w:rsidP="00CA48D2">
            <w:pPr>
              <w:pStyle w:val="Style2"/>
              <w:bidi/>
              <w:spacing w:line="276" w:lineRule="auto"/>
              <w:ind w:left="0"/>
              <w:jc w:val="both"/>
              <w:rPr>
                <w:rStyle w:val="CharacterStyle1"/>
                <w:rFonts w:asciiTheme="minorHAnsi" w:hAnsiTheme="minorHAnsi" w:cstheme="minorHAnsi"/>
                <w:sz w:val="22"/>
                <w:szCs w:val="22"/>
                <w:rtl/>
              </w:rPr>
            </w:pPr>
            <w:r w:rsidRPr="00F30EF3">
              <w:rPr>
                <w:rStyle w:val="CharacterStyle1"/>
                <w:rFonts w:asciiTheme="minorHAnsi" w:hAnsiTheme="minorHAnsi" w:cstheme="minorHAnsi"/>
                <w:sz w:val="22"/>
                <w:szCs w:val="22"/>
                <w:rtl/>
              </w:rPr>
              <w:t>المُربي</w:t>
            </w:r>
          </w:p>
        </w:tc>
        <w:tc>
          <w:tcPr>
            <w:tcW w:w="5089" w:type="dxa"/>
            <w:vAlign w:val="center"/>
          </w:tcPr>
          <w:p w14:paraId="4642D9E3" w14:textId="77777777" w:rsidR="0095482B" w:rsidRPr="00F30EF3" w:rsidRDefault="0095482B" w:rsidP="00CA48D2">
            <w:pPr>
              <w:pStyle w:val="Style2"/>
              <w:bidi/>
              <w:spacing w:line="276" w:lineRule="auto"/>
              <w:ind w:left="0"/>
              <w:jc w:val="both"/>
              <w:rPr>
                <w:rStyle w:val="CharacterStyle1"/>
                <w:rFonts w:asciiTheme="minorHAnsi" w:hAnsiTheme="minorHAnsi" w:cstheme="minorHAnsi"/>
                <w:sz w:val="22"/>
                <w:szCs w:val="22"/>
                <w:rtl/>
              </w:rPr>
            </w:pPr>
            <w:r w:rsidRPr="00F30EF3">
              <w:rPr>
                <w:rStyle w:val="CharacterStyle1"/>
                <w:rFonts w:asciiTheme="minorHAnsi" w:hAnsiTheme="minorHAnsi" w:cstheme="minorHAnsi"/>
                <w:sz w:val="22"/>
                <w:szCs w:val="22"/>
                <w:rtl/>
              </w:rPr>
              <w:t>الأصناف النباتية</w:t>
            </w:r>
          </w:p>
        </w:tc>
        <w:tc>
          <w:tcPr>
            <w:tcW w:w="2410" w:type="dxa"/>
            <w:vAlign w:val="center"/>
          </w:tcPr>
          <w:p w14:paraId="0DADBE2C" w14:textId="77777777" w:rsidR="0095482B" w:rsidRPr="00F30EF3" w:rsidRDefault="0095482B" w:rsidP="00CA48D2">
            <w:pPr>
              <w:pStyle w:val="Style2"/>
              <w:bidi/>
              <w:spacing w:line="276" w:lineRule="auto"/>
              <w:ind w:left="0" w:right="-252"/>
              <w:rPr>
                <w:rStyle w:val="CharacterStyle1"/>
                <w:rFonts w:asciiTheme="minorHAnsi" w:hAnsiTheme="minorHAnsi" w:cstheme="minorHAnsi"/>
                <w:sz w:val="22"/>
                <w:szCs w:val="22"/>
                <w:rtl/>
              </w:rPr>
            </w:pPr>
            <w:r w:rsidRPr="00F30EF3">
              <w:rPr>
                <w:rStyle w:val="CharacterStyle1"/>
                <w:rFonts w:asciiTheme="minorHAnsi" w:hAnsiTheme="minorHAnsi" w:cstheme="minorHAnsi"/>
                <w:sz w:val="22"/>
                <w:szCs w:val="22"/>
                <w:rtl/>
              </w:rPr>
              <w:t>حق مربي النباتات</w:t>
            </w:r>
          </w:p>
        </w:tc>
      </w:tr>
      <w:tr w:rsidR="0095482B" w:rsidRPr="00F30EF3" w14:paraId="45C821A6" w14:textId="77777777" w:rsidTr="00CA48D2">
        <w:tc>
          <w:tcPr>
            <w:tcW w:w="1431" w:type="dxa"/>
            <w:vAlign w:val="center"/>
          </w:tcPr>
          <w:p w14:paraId="13AAE544" w14:textId="77777777" w:rsidR="0095482B" w:rsidRPr="00F30EF3" w:rsidRDefault="0095482B" w:rsidP="00CA48D2">
            <w:pPr>
              <w:pStyle w:val="Style2"/>
              <w:bidi/>
              <w:spacing w:line="276" w:lineRule="auto"/>
              <w:ind w:left="0"/>
              <w:jc w:val="both"/>
              <w:rPr>
                <w:rStyle w:val="CharacterStyle1"/>
                <w:rFonts w:asciiTheme="minorHAnsi" w:hAnsiTheme="minorHAnsi" w:cstheme="minorHAnsi"/>
                <w:sz w:val="22"/>
                <w:szCs w:val="22"/>
                <w:rtl/>
              </w:rPr>
            </w:pPr>
            <w:r w:rsidRPr="00F30EF3">
              <w:rPr>
                <w:rStyle w:val="CharacterStyle1"/>
                <w:rFonts w:asciiTheme="minorHAnsi" w:hAnsiTheme="minorHAnsi" w:cstheme="minorHAnsi"/>
                <w:sz w:val="22"/>
                <w:szCs w:val="22"/>
                <w:rtl/>
              </w:rPr>
              <w:t>المالك</w:t>
            </w:r>
          </w:p>
        </w:tc>
        <w:tc>
          <w:tcPr>
            <w:tcW w:w="5089" w:type="dxa"/>
            <w:vAlign w:val="center"/>
          </w:tcPr>
          <w:p w14:paraId="1E2A1987" w14:textId="77777777" w:rsidR="0095482B" w:rsidRPr="00F30EF3" w:rsidRDefault="0095482B" w:rsidP="00CA48D2">
            <w:pPr>
              <w:pStyle w:val="Style2"/>
              <w:bidi/>
              <w:spacing w:line="276" w:lineRule="auto"/>
              <w:ind w:left="0"/>
              <w:jc w:val="both"/>
              <w:rPr>
                <w:rStyle w:val="CharacterStyle1"/>
                <w:rFonts w:asciiTheme="minorHAnsi" w:hAnsiTheme="minorHAnsi" w:cstheme="minorHAnsi"/>
                <w:sz w:val="22"/>
                <w:szCs w:val="22"/>
                <w:rtl/>
              </w:rPr>
            </w:pPr>
            <w:r w:rsidRPr="00F30EF3">
              <w:rPr>
                <w:rStyle w:val="CharacterStyle1"/>
                <w:rFonts w:asciiTheme="minorHAnsi" w:hAnsiTheme="minorHAnsi" w:cstheme="minorHAnsi"/>
                <w:sz w:val="22"/>
                <w:szCs w:val="22"/>
                <w:rtl/>
              </w:rPr>
              <w:t>العلامة</w:t>
            </w:r>
          </w:p>
        </w:tc>
        <w:tc>
          <w:tcPr>
            <w:tcW w:w="2410" w:type="dxa"/>
            <w:vAlign w:val="center"/>
          </w:tcPr>
          <w:p w14:paraId="50220FE2" w14:textId="77777777" w:rsidR="0095482B" w:rsidRPr="00F30EF3" w:rsidRDefault="0095482B" w:rsidP="00CA48D2">
            <w:pPr>
              <w:pStyle w:val="Style2"/>
              <w:bidi/>
              <w:spacing w:line="276" w:lineRule="auto"/>
              <w:ind w:left="0" w:right="-252"/>
              <w:jc w:val="both"/>
              <w:rPr>
                <w:rStyle w:val="CharacterStyle1"/>
                <w:rFonts w:asciiTheme="minorHAnsi" w:hAnsiTheme="minorHAnsi" w:cstheme="minorHAnsi"/>
                <w:sz w:val="22"/>
                <w:szCs w:val="22"/>
                <w:rtl/>
              </w:rPr>
            </w:pPr>
            <w:r w:rsidRPr="00F30EF3">
              <w:rPr>
                <w:rStyle w:val="CharacterStyle1"/>
                <w:rFonts w:asciiTheme="minorHAnsi" w:hAnsiTheme="minorHAnsi" w:cstheme="minorHAnsi"/>
                <w:sz w:val="22"/>
                <w:szCs w:val="22"/>
                <w:rtl/>
              </w:rPr>
              <w:t>العلامة التجارية</w:t>
            </w:r>
          </w:p>
        </w:tc>
      </w:tr>
      <w:tr w:rsidR="0095482B" w:rsidRPr="00F30EF3" w14:paraId="45B88DEC" w14:textId="77777777" w:rsidTr="00CA48D2">
        <w:tc>
          <w:tcPr>
            <w:tcW w:w="1431" w:type="dxa"/>
            <w:vAlign w:val="center"/>
          </w:tcPr>
          <w:p w14:paraId="29BFC143" w14:textId="77777777" w:rsidR="0095482B" w:rsidRPr="00F30EF3" w:rsidRDefault="0095482B" w:rsidP="00CA48D2">
            <w:pPr>
              <w:pStyle w:val="Style2"/>
              <w:bidi/>
              <w:spacing w:line="276" w:lineRule="auto"/>
              <w:ind w:left="0"/>
              <w:jc w:val="both"/>
              <w:rPr>
                <w:rStyle w:val="CharacterStyle1"/>
                <w:rFonts w:asciiTheme="minorHAnsi" w:hAnsiTheme="minorHAnsi" w:cstheme="minorHAnsi"/>
                <w:sz w:val="22"/>
                <w:szCs w:val="22"/>
                <w:rtl/>
              </w:rPr>
            </w:pPr>
            <w:r w:rsidRPr="00F30EF3">
              <w:rPr>
                <w:rStyle w:val="CharacterStyle1"/>
                <w:rFonts w:asciiTheme="minorHAnsi" w:hAnsiTheme="minorHAnsi" w:cstheme="minorHAnsi"/>
                <w:sz w:val="22"/>
                <w:szCs w:val="22"/>
                <w:rtl/>
              </w:rPr>
              <w:t>المؤلف</w:t>
            </w:r>
          </w:p>
        </w:tc>
        <w:tc>
          <w:tcPr>
            <w:tcW w:w="5089" w:type="dxa"/>
            <w:vAlign w:val="center"/>
          </w:tcPr>
          <w:p w14:paraId="3C65E6A8" w14:textId="77777777" w:rsidR="0095482B" w:rsidRPr="00F30EF3" w:rsidRDefault="0095482B" w:rsidP="00CA48D2">
            <w:pPr>
              <w:pStyle w:val="Style2"/>
              <w:bidi/>
              <w:spacing w:line="276" w:lineRule="auto"/>
              <w:ind w:left="0"/>
              <w:jc w:val="both"/>
              <w:rPr>
                <w:rStyle w:val="CharacterStyle1"/>
                <w:rFonts w:asciiTheme="minorHAnsi" w:hAnsiTheme="minorHAnsi" w:cstheme="minorHAnsi"/>
                <w:sz w:val="22"/>
                <w:szCs w:val="22"/>
                <w:rtl/>
              </w:rPr>
            </w:pPr>
            <w:r w:rsidRPr="00F30EF3">
              <w:rPr>
                <w:rStyle w:val="CharacterStyle1"/>
                <w:rFonts w:asciiTheme="minorHAnsi" w:hAnsiTheme="minorHAnsi" w:cstheme="minorHAnsi"/>
                <w:sz w:val="22"/>
                <w:szCs w:val="22"/>
                <w:rtl/>
              </w:rPr>
              <w:t>المصنفات الأدبية/الموسيقية/الفنية</w:t>
            </w:r>
          </w:p>
          <w:p w14:paraId="2C4E812A" w14:textId="77777777" w:rsidR="0095482B" w:rsidRPr="00F30EF3" w:rsidRDefault="0095482B" w:rsidP="00CA48D2">
            <w:pPr>
              <w:pStyle w:val="Style2"/>
              <w:bidi/>
              <w:spacing w:line="276" w:lineRule="auto"/>
              <w:ind w:left="0"/>
              <w:jc w:val="both"/>
              <w:rPr>
                <w:rStyle w:val="CharacterStyle1"/>
                <w:rFonts w:asciiTheme="minorHAnsi" w:hAnsiTheme="minorHAnsi" w:cstheme="minorHAnsi"/>
                <w:sz w:val="22"/>
                <w:szCs w:val="22"/>
                <w:rtl/>
              </w:rPr>
            </w:pPr>
            <w:r w:rsidRPr="00F30EF3">
              <w:rPr>
                <w:rStyle w:val="CharacterStyle1"/>
                <w:rFonts w:asciiTheme="minorHAnsi" w:hAnsiTheme="minorHAnsi" w:cstheme="minorHAnsi"/>
                <w:sz w:val="22"/>
                <w:szCs w:val="22"/>
                <w:rtl/>
              </w:rPr>
              <w:t>الأفلام السينمائية</w:t>
            </w:r>
          </w:p>
          <w:p w14:paraId="5ABE02B2" w14:textId="77777777" w:rsidR="0095482B" w:rsidRPr="00F30EF3" w:rsidRDefault="0095482B" w:rsidP="00CA48D2">
            <w:pPr>
              <w:pStyle w:val="Style2"/>
              <w:bidi/>
              <w:spacing w:line="276" w:lineRule="auto"/>
              <w:ind w:left="0"/>
              <w:jc w:val="both"/>
              <w:rPr>
                <w:rStyle w:val="CharacterStyle1"/>
                <w:rFonts w:asciiTheme="minorHAnsi" w:hAnsiTheme="minorHAnsi" w:cstheme="minorHAnsi"/>
                <w:sz w:val="22"/>
                <w:szCs w:val="22"/>
                <w:rtl/>
              </w:rPr>
            </w:pPr>
            <w:r w:rsidRPr="00F30EF3">
              <w:rPr>
                <w:rStyle w:val="CharacterStyle1"/>
                <w:rFonts w:asciiTheme="minorHAnsi" w:hAnsiTheme="minorHAnsi" w:cstheme="minorHAnsi"/>
                <w:sz w:val="22"/>
                <w:szCs w:val="22"/>
                <w:rtl/>
              </w:rPr>
              <w:t>التسجيلات الصوتية</w:t>
            </w:r>
          </w:p>
          <w:p w14:paraId="467A49B8" w14:textId="77777777" w:rsidR="0095482B" w:rsidRPr="00F30EF3" w:rsidRDefault="0095482B" w:rsidP="00CA48D2">
            <w:pPr>
              <w:pStyle w:val="Style2"/>
              <w:bidi/>
              <w:spacing w:line="276" w:lineRule="auto"/>
              <w:ind w:left="0"/>
              <w:jc w:val="both"/>
              <w:rPr>
                <w:rStyle w:val="CharacterStyle1"/>
                <w:rFonts w:asciiTheme="minorHAnsi" w:hAnsiTheme="minorHAnsi" w:cstheme="minorHAnsi"/>
                <w:sz w:val="22"/>
                <w:szCs w:val="22"/>
                <w:rtl/>
              </w:rPr>
            </w:pPr>
            <w:r w:rsidRPr="00F30EF3">
              <w:rPr>
                <w:rStyle w:val="CharacterStyle1"/>
                <w:rFonts w:asciiTheme="minorHAnsi" w:hAnsiTheme="minorHAnsi" w:cstheme="minorHAnsi"/>
                <w:sz w:val="22"/>
                <w:szCs w:val="22"/>
                <w:rtl/>
              </w:rPr>
              <w:t>البث الإذاعي والتلفزيوني</w:t>
            </w:r>
          </w:p>
          <w:p w14:paraId="5C6AF6A0" w14:textId="77777777" w:rsidR="0095482B" w:rsidRPr="00F30EF3" w:rsidRDefault="0095482B" w:rsidP="00CA48D2">
            <w:pPr>
              <w:pStyle w:val="Style2"/>
              <w:bidi/>
              <w:spacing w:line="276" w:lineRule="auto"/>
              <w:ind w:left="0"/>
              <w:jc w:val="both"/>
              <w:rPr>
                <w:rStyle w:val="CharacterStyle1"/>
                <w:rFonts w:asciiTheme="minorHAnsi" w:hAnsiTheme="minorHAnsi" w:cstheme="minorHAnsi"/>
                <w:sz w:val="22"/>
                <w:szCs w:val="22"/>
                <w:rtl/>
              </w:rPr>
            </w:pPr>
            <w:r w:rsidRPr="00F30EF3">
              <w:rPr>
                <w:rStyle w:val="CharacterStyle1"/>
                <w:rFonts w:asciiTheme="minorHAnsi" w:hAnsiTheme="minorHAnsi" w:cstheme="minorHAnsi"/>
                <w:sz w:val="22"/>
                <w:szCs w:val="22"/>
                <w:rtl/>
              </w:rPr>
              <w:t>الإشارات الحاملة لبرنامج</w:t>
            </w:r>
          </w:p>
          <w:p w14:paraId="0E844FB7" w14:textId="77777777" w:rsidR="0095482B" w:rsidRPr="00F30EF3" w:rsidRDefault="0095482B" w:rsidP="00CA48D2">
            <w:pPr>
              <w:pStyle w:val="Style2"/>
              <w:bidi/>
              <w:spacing w:line="276" w:lineRule="auto"/>
              <w:ind w:left="0"/>
              <w:jc w:val="both"/>
              <w:rPr>
                <w:rStyle w:val="CharacterStyle1"/>
                <w:rFonts w:asciiTheme="minorHAnsi" w:hAnsiTheme="minorHAnsi" w:cstheme="minorHAnsi"/>
                <w:sz w:val="22"/>
                <w:szCs w:val="22"/>
                <w:rtl/>
              </w:rPr>
            </w:pPr>
            <w:r w:rsidRPr="00F30EF3">
              <w:rPr>
                <w:rStyle w:val="CharacterStyle1"/>
                <w:rFonts w:asciiTheme="minorHAnsi" w:hAnsiTheme="minorHAnsi" w:cstheme="minorHAnsi"/>
                <w:sz w:val="22"/>
                <w:szCs w:val="22"/>
                <w:rtl/>
              </w:rPr>
              <w:t>الطبعات المنشورة</w:t>
            </w:r>
          </w:p>
          <w:p w14:paraId="04F2CF10" w14:textId="77777777" w:rsidR="0095482B" w:rsidRPr="00F30EF3" w:rsidRDefault="0095482B" w:rsidP="00CA48D2">
            <w:pPr>
              <w:pStyle w:val="Style2"/>
              <w:bidi/>
              <w:spacing w:line="276" w:lineRule="auto"/>
              <w:ind w:left="0"/>
              <w:jc w:val="both"/>
              <w:rPr>
                <w:rStyle w:val="CharacterStyle1"/>
                <w:rFonts w:asciiTheme="minorHAnsi" w:hAnsiTheme="minorHAnsi" w:cstheme="minorHAnsi"/>
                <w:i/>
                <w:iCs/>
                <w:sz w:val="22"/>
                <w:szCs w:val="22"/>
                <w:rtl/>
              </w:rPr>
            </w:pPr>
            <w:r w:rsidRPr="00F30EF3">
              <w:rPr>
                <w:rStyle w:val="CharacterStyle1"/>
                <w:rFonts w:asciiTheme="minorHAnsi" w:hAnsiTheme="minorHAnsi" w:cstheme="minorHAnsi"/>
                <w:sz w:val="22"/>
                <w:szCs w:val="22"/>
                <w:rtl/>
              </w:rPr>
              <w:t>برامج الكمبيوتر وغير ذلك</w:t>
            </w:r>
          </w:p>
        </w:tc>
        <w:tc>
          <w:tcPr>
            <w:tcW w:w="2410" w:type="dxa"/>
            <w:vAlign w:val="center"/>
          </w:tcPr>
          <w:p w14:paraId="71FE5966" w14:textId="77777777" w:rsidR="0095482B" w:rsidRPr="00F30EF3" w:rsidRDefault="0095482B" w:rsidP="00CA48D2">
            <w:pPr>
              <w:pStyle w:val="Style2"/>
              <w:bidi/>
              <w:spacing w:line="276" w:lineRule="auto"/>
              <w:ind w:left="0" w:right="-252"/>
              <w:jc w:val="both"/>
              <w:rPr>
                <w:rStyle w:val="CharacterStyle1"/>
                <w:rFonts w:asciiTheme="minorHAnsi" w:hAnsiTheme="minorHAnsi" w:cstheme="minorHAnsi"/>
                <w:sz w:val="22"/>
                <w:szCs w:val="22"/>
                <w:rtl/>
              </w:rPr>
            </w:pPr>
            <w:r w:rsidRPr="00F30EF3">
              <w:rPr>
                <w:rStyle w:val="CharacterStyle1"/>
                <w:rFonts w:asciiTheme="minorHAnsi" w:hAnsiTheme="minorHAnsi" w:cstheme="minorHAnsi"/>
                <w:sz w:val="22"/>
                <w:szCs w:val="22"/>
                <w:rtl/>
              </w:rPr>
              <w:t>حق المؤلف</w:t>
            </w:r>
          </w:p>
        </w:tc>
      </w:tr>
    </w:tbl>
    <w:p w14:paraId="542977EA" w14:textId="77777777" w:rsidR="0095482B" w:rsidRPr="00F30EF3" w:rsidRDefault="0095482B" w:rsidP="0095482B">
      <w:pPr>
        <w:pStyle w:val="ListParagraph"/>
        <w:spacing w:after="0"/>
        <w:ind w:left="426"/>
        <w:jc w:val="both"/>
        <w:rPr>
          <w:rFonts w:cstheme="minorHAnsi"/>
          <w:lang w:val="en-US" w:eastAsia="en-US"/>
        </w:rPr>
      </w:pPr>
    </w:p>
    <w:p w14:paraId="55EA3C66" w14:textId="3383CDC3" w:rsidR="0095482B" w:rsidRPr="00F30EF3" w:rsidRDefault="0095482B" w:rsidP="00B7519E">
      <w:pPr>
        <w:pStyle w:val="ListParagraph"/>
        <w:spacing w:after="0" w:line="240" w:lineRule="auto"/>
        <w:ind w:left="426"/>
        <w:jc w:val="both"/>
        <w:rPr>
          <w:rFonts w:cstheme="minorHAnsi"/>
          <w:color w:val="000000" w:themeColor="text1"/>
          <w:rtl/>
        </w:rPr>
      </w:pPr>
      <w:r w:rsidRPr="00F30EF3">
        <w:rPr>
          <w:rFonts w:cstheme="minorHAnsi"/>
          <w:color w:val="000000" w:themeColor="text1"/>
          <w:rtl/>
        </w:rPr>
        <w:t>سيتم تطبيق الحوافز على المخترعين والمؤلفين والمالكين والمربين. من المهم أن يتم تعريف المبدعين وتحديد هويتهم بوضوح من خلال عملية الكشف.</w:t>
      </w:r>
      <w:r w:rsidR="00DC4182" w:rsidRPr="00F30EF3">
        <w:rPr>
          <w:rStyle w:val="FootnoteReference"/>
          <w:rFonts w:cstheme="minorHAnsi"/>
          <w:color w:val="000000" w:themeColor="text1"/>
          <w:rtl/>
          <w:lang w:val="en-US" w:eastAsia="en-US"/>
        </w:rPr>
        <w:footnoteReference w:id="177"/>
      </w:r>
    </w:p>
    <w:p w14:paraId="161C0094" w14:textId="77777777" w:rsidR="0095482B" w:rsidRPr="00F30EF3" w:rsidRDefault="0095482B" w:rsidP="00B7519E">
      <w:pPr>
        <w:pStyle w:val="ListParagraph"/>
        <w:spacing w:after="0" w:line="240" w:lineRule="auto"/>
        <w:ind w:left="0"/>
        <w:jc w:val="both"/>
        <w:rPr>
          <w:rFonts w:cstheme="minorHAnsi"/>
          <w:color w:val="000000" w:themeColor="text1"/>
          <w:lang w:val="en-US" w:eastAsia="en-US"/>
        </w:rPr>
      </w:pPr>
    </w:p>
    <w:p w14:paraId="4B4EFA58" w14:textId="7673FFF4" w:rsidR="0095482B" w:rsidRPr="00F30EF3" w:rsidRDefault="006D4C25" w:rsidP="009D4A54">
      <w:pPr>
        <w:pStyle w:val="ListParagraph"/>
        <w:numPr>
          <w:ilvl w:val="0"/>
          <w:numId w:val="99"/>
        </w:numPr>
        <w:spacing w:after="0" w:line="240" w:lineRule="auto"/>
        <w:ind w:left="426" w:hanging="426"/>
        <w:jc w:val="both"/>
        <w:rPr>
          <w:rFonts w:cstheme="minorHAnsi"/>
          <w:color w:val="000000" w:themeColor="text1"/>
          <w:rtl/>
        </w:rPr>
      </w:pPr>
      <w:r w:rsidRPr="00F30EF3">
        <w:rPr>
          <w:rFonts w:cstheme="minorHAnsi"/>
          <w:b/>
          <w:bCs/>
          <w:rtl/>
        </w:rPr>
        <w:t>المادة 1.1.10،</w:t>
      </w:r>
      <w:r w:rsidRPr="00F30EF3">
        <w:rPr>
          <w:rFonts w:cstheme="minorHAnsi"/>
          <w:rtl/>
        </w:rPr>
        <w:t xml:space="preserve"> </w:t>
      </w:r>
      <w:r w:rsidRPr="00F30EF3">
        <w:rPr>
          <w:rFonts w:cstheme="minorHAnsi"/>
          <w:b/>
          <w:bCs/>
          <w:i/>
          <w:iCs/>
          <w:rtl/>
        </w:rPr>
        <w:t>المُمكّنون</w:t>
      </w:r>
      <w:r w:rsidRPr="00F30EF3">
        <w:rPr>
          <w:rFonts w:cstheme="minorHAnsi"/>
          <w:b/>
          <w:bCs/>
          <w:rtl/>
        </w:rPr>
        <w:t>:</w:t>
      </w:r>
      <w:r w:rsidRPr="00F30EF3">
        <w:rPr>
          <w:rFonts w:cstheme="minorHAnsi"/>
          <w:b/>
          <w:bCs/>
          <w:i/>
          <w:iCs/>
          <w:rtl/>
        </w:rPr>
        <w:t xml:space="preserve"> </w:t>
      </w:r>
      <w:r w:rsidRPr="00F30EF3">
        <w:rPr>
          <w:rFonts w:cstheme="minorHAnsi"/>
          <w:color w:val="000000" w:themeColor="text1"/>
          <w:rtl/>
        </w:rPr>
        <w:t>يمكن وضع حوافز أيضًا لمُمكّني الملكية الفكرية، حسب التعريف المحدَّد لهم في المادة 2، وهم ليسوا مسؤولين بشكل مباشر عن إبداع الملكية الفكرية من خلال مساهمة فكرية لحل مشكلة صعبة بطريقة جديدة ومبتكرة، ولكنهم ساهموا بدور داعم، حيث يضطلعون بشكل عام بتنفيذ التعليمات ويؤدون الإجراءات القياسية وبدونهم لم يكن إبداع الملكية الفكرية ليحدث. على سبيل المثال، فني يجري تحليل الكروماتوغرافيا الغازية - مطياف الكتلة، وزراعة الأنسجة، وتسلسل الحمض النووي الريبوزي، متبوعا</w:t>
      </w:r>
      <w:r w:rsidR="00A7349E" w:rsidRPr="00F30EF3">
        <w:rPr>
          <w:rFonts w:cstheme="minorHAnsi" w:hint="cs"/>
          <w:color w:val="000000" w:themeColor="text1"/>
          <w:rtl/>
        </w:rPr>
        <w:t>ً</w:t>
      </w:r>
      <w:r w:rsidRPr="00F30EF3">
        <w:rPr>
          <w:rFonts w:cstheme="minorHAnsi"/>
          <w:color w:val="000000" w:themeColor="text1"/>
          <w:rtl/>
        </w:rPr>
        <w:t xml:space="preserve"> بترتيب لبيانات التسلسل الناتجة وما إلى ذلك.  </w:t>
      </w:r>
    </w:p>
    <w:p w14:paraId="2FE6CDDF" w14:textId="77777777" w:rsidR="00C209E5" w:rsidRPr="00F30EF3" w:rsidRDefault="00C209E5" w:rsidP="00B7519E">
      <w:pPr>
        <w:pStyle w:val="ListParagraph"/>
        <w:spacing w:after="0" w:line="240" w:lineRule="auto"/>
        <w:ind w:left="426"/>
        <w:jc w:val="both"/>
        <w:rPr>
          <w:rFonts w:cstheme="minorHAnsi"/>
          <w:color w:val="000000" w:themeColor="text1"/>
          <w:lang w:val="en-US" w:eastAsia="en-US"/>
        </w:rPr>
      </w:pPr>
    </w:p>
    <w:p w14:paraId="4474BDED" w14:textId="3E1B2940" w:rsidR="00C209E5" w:rsidRPr="00F30EF3" w:rsidRDefault="00C209E5"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cstheme="minorHAnsi"/>
          <w:rtl/>
        </w:rPr>
      </w:pPr>
      <w:r w:rsidRPr="00F30EF3">
        <w:rPr>
          <w:rFonts w:cstheme="minorHAnsi"/>
          <w:b/>
          <w:bCs/>
          <w:color w:val="000000" w:themeColor="text1"/>
          <w:rtl/>
        </w:rPr>
        <w:t>آخرون</w:t>
      </w:r>
      <w:r w:rsidRPr="00F30EF3">
        <w:rPr>
          <w:rFonts w:cstheme="minorHAnsi"/>
          <w:color w:val="000000" w:themeColor="text1"/>
          <w:rtl/>
        </w:rPr>
        <w:t xml:space="preserve">. </w:t>
      </w:r>
      <w:r w:rsidRPr="00F30EF3">
        <w:rPr>
          <w:rFonts w:cstheme="minorHAnsi"/>
          <w:rtl/>
        </w:rPr>
        <w:t>يهدف هذا النموذج إلى تحفيز الباحثين على المشاركة في عملية نقل المعارف، وذلك في المقام الأول بمنحهم تعويض من خلال إيرادات الإتاوات. ومع ذلك، ينطوي نقل المعارف على جهات مستفيدة مختلفة، بما في ذلك العلماء الأكاديميون،</w:t>
      </w:r>
      <w:r w:rsidR="00DB1B01" w:rsidRPr="00F30EF3">
        <w:rPr>
          <w:rStyle w:val="FootnoteReference"/>
          <w:rFonts w:cstheme="minorHAnsi"/>
          <w:rtl/>
          <w:lang w:val="en-US"/>
        </w:rPr>
        <w:footnoteReference w:id="178"/>
      </w:r>
      <w:r w:rsidRPr="00F30EF3">
        <w:rPr>
          <w:rFonts w:cstheme="minorHAnsi"/>
          <w:rtl/>
        </w:rPr>
        <w:t>ومكتب إدارة الملكية الفكرية، ومديرو المؤسسات</w:t>
      </w:r>
      <w:r w:rsidR="00DB1B01" w:rsidRPr="00F30EF3">
        <w:rPr>
          <w:rStyle w:val="FootnoteReference"/>
          <w:rFonts w:cstheme="minorHAnsi"/>
          <w:rtl/>
          <w:lang w:val="en-US"/>
        </w:rPr>
        <w:footnoteReference w:id="179"/>
      </w:r>
      <w:r w:rsidRPr="00F30EF3">
        <w:rPr>
          <w:rFonts w:cstheme="minorHAnsi"/>
          <w:rtl/>
        </w:rPr>
        <w:t>، والشركات/روَّاد الأعمال</w:t>
      </w:r>
      <w:r w:rsidR="00DB1B01" w:rsidRPr="00F30EF3">
        <w:rPr>
          <w:rStyle w:val="FootnoteReference"/>
          <w:rFonts w:cstheme="minorHAnsi"/>
          <w:rtl/>
          <w:lang w:val="en-US"/>
        </w:rPr>
        <w:footnoteReference w:id="180"/>
      </w:r>
      <w:r w:rsidRPr="00F30EF3">
        <w:rPr>
          <w:rFonts w:cstheme="minorHAnsi"/>
          <w:rtl/>
        </w:rPr>
        <w:t>. وينبغي للمؤسسات أن تعالج أنظمة المكافآت لكل من أصحاب المصلحة، وأن تأخذ في الاعتبار دوافعهم ووجهات نظرهم وثقافاتهم.</w:t>
      </w:r>
    </w:p>
    <w:p w14:paraId="1B93F8EE" w14:textId="77777777" w:rsidR="00BB7028" w:rsidRPr="00F30EF3" w:rsidRDefault="003F24F3" w:rsidP="00FE618B">
      <w:pPr>
        <w:pStyle w:val="Heading3"/>
        <w:spacing w:before="240" w:after="240"/>
        <w:rPr>
          <w:rFonts w:asciiTheme="minorHAnsi" w:hAnsiTheme="minorHAnsi" w:cstheme="minorHAnsi"/>
          <w:sz w:val="24"/>
          <w:szCs w:val="24"/>
          <w:rtl/>
        </w:rPr>
      </w:pPr>
      <w:bookmarkStart w:id="315" w:name="Article10p2"/>
      <w:bookmarkStart w:id="316" w:name="_Toc494115994"/>
      <w:bookmarkStart w:id="317" w:name="_Toc516160093"/>
      <w:bookmarkStart w:id="318" w:name="_Toc516219429"/>
      <w:bookmarkStart w:id="319" w:name="_Toc516496073"/>
      <w:bookmarkStart w:id="320" w:name="_Toc516829445"/>
      <w:bookmarkEnd w:id="305"/>
      <w:r w:rsidRPr="00F30EF3">
        <w:rPr>
          <w:rFonts w:asciiTheme="minorHAnsi" w:hAnsiTheme="minorHAnsi" w:cstheme="minorHAnsi"/>
          <w:sz w:val="24"/>
          <w:szCs w:val="24"/>
          <w:rtl/>
        </w:rPr>
        <w:t>المادة 2.10</w:t>
      </w:r>
      <w:bookmarkEnd w:id="315"/>
      <w:r w:rsidRPr="00F30EF3">
        <w:rPr>
          <w:rFonts w:asciiTheme="minorHAnsi" w:hAnsiTheme="minorHAnsi" w:cstheme="minorHAnsi"/>
          <w:sz w:val="24"/>
          <w:szCs w:val="24"/>
          <w:rtl/>
        </w:rPr>
        <w:t xml:space="preserve"> – </w:t>
      </w:r>
      <w:bookmarkEnd w:id="316"/>
      <w:r w:rsidRPr="00F30EF3">
        <w:rPr>
          <w:rFonts w:asciiTheme="minorHAnsi" w:hAnsiTheme="minorHAnsi" w:cstheme="minorHAnsi"/>
          <w:sz w:val="24"/>
          <w:szCs w:val="24"/>
          <w:rtl/>
        </w:rPr>
        <w:t>تقاسم الإيرادات</w:t>
      </w:r>
      <w:bookmarkEnd w:id="317"/>
      <w:bookmarkEnd w:id="318"/>
      <w:bookmarkEnd w:id="319"/>
      <w:bookmarkEnd w:id="320"/>
    </w:p>
    <w:p w14:paraId="16C19110" w14:textId="77777777" w:rsidR="008E29A8" w:rsidRPr="00F30EF3" w:rsidRDefault="008E29A8" w:rsidP="00A7349E">
      <w:pPr>
        <w:pStyle w:val="Heading3"/>
        <w:spacing w:before="240" w:after="240"/>
        <w:contextualSpacing/>
        <w:jc w:val="both"/>
        <w:rPr>
          <w:rFonts w:asciiTheme="minorHAnsi" w:hAnsiTheme="minorHAnsi" w:cstheme="minorHAnsi"/>
          <w:sz w:val="24"/>
          <w:szCs w:val="24"/>
          <w:rtl/>
        </w:rPr>
      </w:pPr>
      <w:bookmarkStart w:id="321" w:name="_Toc516160094"/>
      <w:bookmarkStart w:id="322" w:name="_Toc516219430"/>
      <w:bookmarkStart w:id="323" w:name="_Toc516496074"/>
      <w:bookmarkStart w:id="324" w:name="_Toc516829446"/>
      <w:r w:rsidRPr="00F30EF3">
        <w:rPr>
          <w:rFonts w:asciiTheme="minorHAnsi" w:hAnsiTheme="minorHAnsi" w:cstheme="minorHAnsi"/>
          <w:sz w:val="24"/>
          <w:szCs w:val="24"/>
          <w:rtl/>
        </w:rPr>
        <w:t>عام</w:t>
      </w:r>
      <w:bookmarkEnd w:id="321"/>
      <w:bookmarkEnd w:id="322"/>
      <w:bookmarkEnd w:id="323"/>
      <w:bookmarkEnd w:id="324"/>
    </w:p>
    <w:p w14:paraId="1AE6DB0C" w14:textId="64482D9E" w:rsidR="00E8794D" w:rsidRPr="00F30EF3" w:rsidRDefault="008B479F" w:rsidP="00A7349E">
      <w:pPr>
        <w:spacing w:after="120" w:line="240" w:lineRule="auto"/>
        <w:jc w:val="both"/>
        <w:rPr>
          <w:rFonts w:cstheme="minorHAnsi"/>
          <w:color w:val="000000" w:themeColor="text1"/>
          <w:rtl/>
        </w:rPr>
      </w:pPr>
      <w:r w:rsidRPr="00F30EF3">
        <w:rPr>
          <w:rFonts w:cstheme="minorHAnsi"/>
          <w:color w:val="000000" w:themeColor="text1"/>
          <w:rtl/>
        </w:rPr>
        <w:t>إن حصة المخترع في عائدات التسويق هي الحافز الأكثر شيوعا</w:t>
      </w:r>
      <w:r w:rsidR="00A7349E" w:rsidRPr="00F30EF3">
        <w:rPr>
          <w:rFonts w:cstheme="minorHAnsi" w:hint="cs"/>
          <w:color w:val="000000" w:themeColor="text1"/>
          <w:rtl/>
        </w:rPr>
        <w:t>ً</w:t>
      </w:r>
      <w:r w:rsidRPr="00F30EF3">
        <w:rPr>
          <w:rFonts w:cstheme="minorHAnsi"/>
          <w:color w:val="000000" w:themeColor="text1"/>
          <w:rtl/>
        </w:rPr>
        <w:t xml:space="preserve"> </w:t>
      </w:r>
      <w:r w:rsidRPr="00F30EF3">
        <w:rPr>
          <w:rFonts w:cstheme="minorHAnsi"/>
          <w:rtl/>
        </w:rPr>
        <w:t>للباحثين الأكاديميين لتسويق نتائج أبحاثهم</w:t>
      </w:r>
      <w:r w:rsidRPr="00F30EF3">
        <w:rPr>
          <w:rFonts w:cstheme="minorHAnsi"/>
          <w:color w:val="000000" w:themeColor="text1"/>
          <w:rtl/>
        </w:rPr>
        <w:t>. وقد يكون لهذه الحوافز حد أدنى للتطبيق من خلال الأحكام التشريعية أو قد تكون قرارا</w:t>
      </w:r>
      <w:r w:rsidR="00A7349E" w:rsidRPr="00F30EF3">
        <w:rPr>
          <w:rFonts w:cstheme="minorHAnsi" w:hint="cs"/>
          <w:color w:val="000000" w:themeColor="text1"/>
          <w:rtl/>
        </w:rPr>
        <w:t>ً</w:t>
      </w:r>
      <w:r w:rsidRPr="00F30EF3">
        <w:rPr>
          <w:rFonts w:cstheme="minorHAnsi"/>
          <w:color w:val="000000" w:themeColor="text1"/>
          <w:rtl/>
        </w:rPr>
        <w:t xml:space="preserve"> اختياري</w:t>
      </w:r>
      <w:r w:rsidR="00A7349E" w:rsidRPr="00F30EF3">
        <w:rPr>
          <w:rFonts w:cstheme="minorHAnsi" w:hint="cs"/>
          <w:color w:val="000000" w:themeColor="text1"/>
          <w:rtl/>
        </w:rPr>
        <w:t>اً</w:t>
      </w:r>
      <w:r w:rsidRPr="00F30EF3">
        <w:rPr>
          <w:rFonts w:cstheme="minorHAnsi"/>
          <w:color w:val="000000" w:themeColor="text1"/>
          <w:rtl/>
        </w:rPr>
        <w:t xml:space="preserve"> من جانب المؤسسة لتحقيق رؤيتها الشاملة.</w:t>
      </w:r>
    </w:p>
    <w:p w14:paraId="0AD172B1" w14:textId="6ABBBFFF" w:rsidR="00E8794D" w:rsidRPr="00F30EF3" w:rsidRDefault="00E8794D" w:rsidP="00A7349E">
      <w:pPr>
        <w:pStyle w:val="ListParagraph"/>
        <w:numPr>
          <w:ilvl w:val="0"/>
          <w:numId w:val="100"/>
        </w:numPr>
        <w:spacing w:after="120" w:line="240" w:lineRule="auto"/>
        <w:ind w:left="425" w:hanging="425"/>
        <w:contextualSpacing w:val="0"/>
        <w:jc w:val="both"/>
        <w:rPr>
          <w:rFonts w:cstheme="minorHAnsi"/>
          <w:color w:val="000000" w:themeColor="text1"/>
          <w:rtl/>
        </w:rPr>
      </w:pPr>
      <w:r w:rsidRPr="00F30EF3">
        <w:rPr>
          <w:rFonts w:cstheme="minorHAnsi"/>
          <w:b/>
          <w:bCs/>
          <w:color w:val="000000" w:themeColor="text1"/>
          <w:rtl/>
        </w:rPr>
        <w:t xml:space="preserve">المادة 1.2.10، </w:t>
      </w:r>
      <w:r w:rsidRPr="00F30EF3">
        <w:rPr>
          <w:rFonts w:cstheme="minorHAnsi"/>
          <w:b/>
          <w:bCs/>
          <w:i/>
          <w:iCs/>
          <w:color w:val="000000" w:themeColor="text1"/>
          <w:rtl/>
        </w:rPr>
        <w:t>تماشياً مع الحد الأدنى للمتطلبات المنصوص عليها في التشريعات الوطنية ذات الصلة</w:t>
      </w:r>
      <w:r w:rsidRPr="00F30EF3">
        <w:rPr>
          <w:rFonts w:cstheme="minorHAnsi"/>
          <w:b/>
          <w:bCs/>
          <w:color w:val="000000" w:themeColor="text1"/>
          <w:rtl/>
        </w:rPr>
        <w:t xml:space="preserve">: </w:t>
      </w:r>
      <w:r w:rsidRPr="00F30EF3">
        <w:rPr>
          <w:rFonts w:cstheme="minorHAnsi"/>
          <w:color w:val="000000" w:themeColor="text1"/>
          <w:rtl/>
        </w:rPr>
        <w:t>لعبت الحكومات دوراً هاماً في تحفيز تطوير نتائج البحث الأكاديمي وتسويقها. وفي السنوات الأخيرة، اعتمدت بلدان مختلفة تشريعات تنص على ترتيبات الحد الأدنى لتقاسم المنافع.</w:t>
      </w:r>
      <w:r w:rsidRPr="00F30EF3">
        <w:rPr>
          <w:rFonts w:cstheme="minorHAnsi"/>
          <w:rtl/>
        </w:rPr>
        <w:t xml:space="preserve"> </w:t>
      </w:r>
    </w:p>
    <w:p w14:paraId="7ACD0052" w14:textId="7D3B2CAF" w:rsidR="00E8794D" w:rsidRPr="00F30EF3" w:rsidRDefault="00E8794D" w:rsidP="00B7519E">
      <w:pPr>
        <w:spacing w:after="0" w:line="240" w:lineRule="auto"/>
        <w:ind w:left="425"/>
        <w:jc w:val="both"/>
        <w:rPr>
          <w:rFonts w:cstheme="minorHAnsi"/>
          <w:color w:val="000000" w:themeColor="text1"/>
          <w:rtl/>
        </w:rPr>
      </w:pPr>
      <w:r w:rsidRPr="00F30EF3">
        <w:rPr>
          <w:rFonts w:cstheme="minorHAnsi"/>
          <w:color w:val="000000" w:themeColor="text1"/>
          <w:rtl/>
        </w:rPr>
        <w:lastRenderedPageBreak/>
        <w:t xml:space="preserve">ترد بعض الأمثلة على هذه الأحكام التشريعية في </w:t>
      </w:r>
      <w:hyperlink w:anchor="Box63" w:history="1">
        <w:r w:rsidRPr="00F30EF3">
          <w:rPr>
            <w:rStyle w:val="Hyperlink"/>
            <w:rFonts w:cstheme="minorHAnsi"/>
            <w:rtl/>
          </w:rPr>
          <w:t>الأطر من 64 إلى 66</w:t>
        </w:r>
      </w:hyperlink>
      <w:r w:rsidRPr="00F30EF3">
        <w:rPr>
          <w:rFonts w:cstheme="minorHAnsi"/>
          <w:color w:val="000000" w:themeColor="text1"/>
          <w:rtl/>
        </w:rPr>
        <w:t xml:space="preserve">، وفي </w:t>
      </w:r>
      <w:hyperlink w:anchor="_Useful_Resources_Related" w:history="1">
        <w:r w:rsidRPr="00F30EF3">
          <w:rPr>
            <w:rStyle w:val="Hyperlink"/>
            <w:rFonts w:cstheme="minorHAnsi"/>
            <w:rtl/>
          </w:rPr>
          <w:t>الموارد المفيدة المتعلقة بالمادة 10</w:t>
        </w:r>
      </w:hyperlink>
      <w:r w:rsidRPr="00F30EF3">
        <w:rPr>
          <w:rFonts w:cstheme="minorHAnsi"/>
          <w:color w:val="000000" w:themeColor="text1"/>
          <w:rtl/>
        </w:rPr>
        <w:t>. وتحدد جنوب أفريقيا أحكاماً للحد الأدنى من تقاسم مبدعي الملكية الفكرية للمنافع من إجمالي إيرادات الملكية الفكرية قبل خصم نفقات الملكية الفكرية وبعد ذلك نسبة مئوية دنيا من صافي إيرادات الملكية الفكرية. وفي البرازيل، ينص حكم تشريعي على تقاسم المنافع وكذلك على نسب مئوية دنيا وقصوى محددة، في حين تفرض الصين تقاسم المنافع بشكل عام. ويكون القرار بشأن النهج الذي يجب اتباعه من تخصص الحكومة الوطنية أو المؤسسة، حسب الاقتضاء.</w:t>
      </w:r>
    </w:p>
    <w:p w14:paraId="25924499" w14:textId="77777777" w:rsidR="00E8794D" w:rsidRPr="00F30EF3" w:rsidRDefault="00E8794D" w:rsidP="00B7519E">
      <w:pPr>
        <w:spacing w:after="0" w:line="240" w:lineRule="auto"/>
        <w:ind w:left="425"/>
        <w:rPr>
          <w:rFonts w:cstheme="minorHAnsi"/>
          <w:color w:val="000000" w:themeColor="text1"/>
          <w:lang w:val="en-US" w:eastAsia="en-US"/>
        </w:rPr>
      </w:pPr>
    </w:p>
    <w:p w14:paraId="775E7054" w14:textId="6EE39C16" w:rsidR="00E8794D" w:rsidRPr="00F30EF3" w:rsidRDefault="00166FF0"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b/>
          <w:bCs/>
          <w:color w:val="000000" w:themeColor="text1"/>
          <w:rtl/>
        </w:rPr>
      </w:pPr>
      <w:r w:rsidRPr="00F30EF3">
        <w:rPr>
          <w:rFonts w:cstheme="minorHAnsi"/>
          <w:b/>
          <w:bCs/>
          <w:rtl/>
        </w:rPr>
        <w:t xml:space="preserve">الإطار </w:t>
      </w:r>
      <w:r w:rsidR="00880954" w:rsidRPr="00F30EF3">
        <w:rPr>
          <w:rFonts w:cstheme="minorHAnsi"/>
          <w:b/>
          <w:bCs/>
        </w:rPr>
        <w:t>70</w:t>
      </w:r>
      <w:r w:rsidR="00E209CF" w:rsidRPr="00F30EF3">
        <w:rPr>
          <w:rFonts w:cstheme="minorHAnsi" w:hint="cs"/>
          <w:b/>
          <w:bCs/>
          <w:rtl/>
        </w:rPr>
        <w:t>.</w:t>
      </w:r>
      <w:r w:rsidRPr="00F30EF3">
        <w:rPr>
          <w:rFonts w:cstheme="minorHAnsi"/>
          <w:b/>
          <w:bCs/>
          <w:rtl/>
        </w:rPr>
        <w:t xml:space="preserve"> </w:t>
      </w:r>
      <w:r w:rsidRPr="00F30EF3">
        <w:rPr>
          <w:rFonts w:cstheme="minorHAnsi"/>
          <w:b/>
          <w:bCs/>
          <w:color w:val="000000" w:themeColor="text1"/>
          <w:rtl/>
        </w:rPr>
        <w:t>تقاسم المنافع - مثال جنوب أفريقيا</w:t>
      </w:r>
      <w:r w:rsidRPr="00F30EF3">
        <w:rPr>
          <w:rFonts w:cstheme="minorHAnsi"/>
          <w:rtl/>
        </w:rPr>
        <w:t xml:space="preserve"> </w:t>
      </w:r>
    </w:p>
    <w:p w14:paraId="7D08430B" w14:textId="77777777" w:rsidR="00F841B0" w:rsidRPr="00F30EF3" w:rsidRDefault="00F841B0"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b/>
          <w:bCs/>
          <w:color w:val="000000" w:themeColor="text1"/>
          <w:lang w:val="en-US" w:eastAsia="en-US"/>
        </w:rPr>
      </w:pPr>
    </w:p>
    <w:p w14:paraId="4100F901" w14:textId="77777777" w:rsidR="009E4A63" w:rsidRPr="00F30EF3"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color w:val="000000" w:themeColor="text1"/>
          <w:rtl/>
        </w:rPr>
      </w:pPr>
      <w:r w:rsidRPr="00F30EF3">
        <w:rPr>
          <w:rFonts w:cstheme="minorHAnsi"/>
          <w:color w:val="000000" w:themeColor="text1"/>
          <w:rtl/>
        </w:rPr>
        <w:t>ينص قانون حقوق الملكية الفكرية، القسم من 10(1) إلى (4) بخصوص الحد الأدنى للمنافع لمبدعي الملكية الفكرية على ما يلي:</w:t>
      </w:r>
      <w:r w:rsidRPr="00F30EF3">
        <w:rPr>
          <w:rFonts w:cstheme="minorHAnsi"/>
          <w:rtl/>
        </w:rPr>
        <w:t xml:space="preserve"> </w:t>
      </w:r>
    </w:p>
    <w:p w14:paraId="5D5D6684" w14:textId="77777777" w:rsidR="009E4A63" w:rsidRPr="00F30EF3" w:rsidRDefault="009E4A63"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color w:val="000000" w:themeColor="text1"/>
          <w:lang w:val="en-US" w:eastAsia="en-US"/>
        </w:rPr>
      </w:pPr>
    </w:p>
    <w:p w14:paraId="6332B6E9" w14:textId="77777777" w:rsidR="00E8794D" w:rsidRPr="00F30EF3"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i/>
          <w:iCs/>
          <w:rtl/>
        </w:rPr>
      </w:pPr>
      <w:r w:rsidRPr="00F30EF3">
        <w:rPr>
          <w:rFonts w:cstheme="minorHAnsi"/>
          <w:color w:val="000000" w:themeColor="text1"/>
          <w:rtl/>
        </w:rPr>
        <w:t>"</w:t>
      </w:r>
      <w:r w:rsidRPr="00F30EF3">
        <w:rPr>
          <w:rFonts w:cstheme="minorHAnsi"/>
          <w:i/>
          <w:iCs/>
          <w:rtl/>
        </w:rPr>
        <w:t>يُمنح مبدعو الملكية الفكرية في المؤسسة وورثتهم الحق في الحصول على جزء محدد من الإيرادات التي تعود على المؤسسة من ملكيتهم الفكرية وفقاً لأحكام هذا القانون وحتى انتهاء هذا الحق.</w:t>
      </w:r>
    </w:p>
    <w:p w14:paraId="2B9FE422" w14:textId="77777777" w:rsidR="00E8794D" w:rsidRPr="00F30EF3"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i/>
          <w:iCs/>
          <w:rtl/>
        </w:rPr>
      </w:pPr>
      <w:r w:rsidRPr="00F30EF3">
        <w:rPr>
          <w:rFonts w:cstheme="minorHAnsi"/>
          <w:i/>
          <w:iCs/>
          <w:rtl/>
        </w:rPr>
        <w:t>(2) يحق لمبدعي الملكية الفكرية في مؤسسة وورثتهم تقاسم المنافع التالية:</w:t>
      </w:r>
    </w:p>
    <w:p w14:paraId="2FFFBDE0" w14:textId="77777777" w:rsidR="00E8794D" w:rsidRPr="00F30EF3"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i/>
          <w:iCs/>
          <w:rtl/>
        </w:rPr>
      </w:pPr>
      <w:r w:rsidRPr="00F30EF3">
        <w:rPr>
          <w:rFonts w:cstheme="minorHAnsi"/>
          <w:i/>
          <w:iCs/>
          <w:rtl/>
        </w:rPr>
        <w:t xml:space="preserve">(أ) </w:t>
      </w:r>
      <w:r w:rsidRPr="00F30EF3">
        <w:rPr>
          <w:rFonts w:cstheme="minorHAnsi"/>
          <w:b/>
          <w:bCs/>
          <w:i/>
          <w:iCs/>
          <w:rtl/>
        </w:rPr>
        <w:t>على الأقل 20 بالمائة من الإيرادات</w:t>
      </w:r>
      <w:r w:rsidRPr="00F30EF3">
        <w:rPr>
          <w:rFonts w:cstheme="minorHAnsi"/>
          <w:i/>
          <w:iCs/>
          <w:rtl/>
        </w:rPr>
        <w:t xml:space="preserve"> </w:t>
      </w:r>
      <w:r w:rsidRPr="00F30EF3">
        <w:rPr>
          <w:rFonts w:cstheme="minorHAnsi"/>
          <w:rtl/>
        </w:rPr>
        <w:t xml:space="preserve">[إجمالي إيرادات الملكية الفكرية] </w:t>
      </w:r>
      <w:r w:rsidRPr="00F30EF3">
        <w:rPr>
          <w:rFonts w:cstheme="minorHAnsi"/>
          <w:i/>
          <w:iCs/>
          <w:rtl/>
        </w:rPr>
        <w:t>التي تعود على المؤسسة من هذه الملكية الفكرية لأول مليون راند من الإيرادات، أو أي مبلغ أعلى قد يحدده الوزير؛</w:t>
      </w:r>
    </w:p>
    <w:p w14:paraId="012405D5" w14:textId="77777777" w:rsidR="00E8794D" w:rsidRPr="00F30EF3"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i/>
          <w:iCs/>
          <w:rtl/>
        </w:rPr>
      </w:pPr>
      <w:r w:rsidRPr="00F30EF3">
        <w:rPr>
          <w:rFonts w:cstheme="minorHAnsi"/>
          <w:i/>
          <w:iCs/>
          <w:rtl/>
        </w:rPr>
        <w:t xml:space="preserve">(ب) وبعد ذلك، </w:t>
      </w:r>
      <w:r w:rsidRPr="00F30EF3">
        <w:rPr>
          <w:rFonts w:cstheme="minorHAnsi"/>
          <w:b/>
          <w:bCs/>
          <w:i/>
          <w:iCs/>
          <w:rtl/>
        </w:rPr>
        <w:t>على الأقل 30 بالمائة من صافي الإيرادات</w:t>
      </w:r>
      <w:r w:rsidRPr="00F30EF3">
        <w:rPr>
          <w:rFonts w:cstheme="minorHAnsi"/>
          <w:i/>
          <w:iCs/>
          <w:rtl/>
        </w:rPr>
        <w:t xml:space="preserve"> التي تعود على المؤسسة من هذه الملكية الفكرية.</w:t>
      </w:r>
    </w:p>
    <w:p w14:paraId="5E006C7B" w14:textId="77777777" w:rsidR="00E8794D" w:rsidRPr="00F30EF3"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i/>
          <w:iCs/>
          <w:rtl/>
        </w:rPr>
      </w:pPr>
      <w:r w:rsidRPr="00F30EF3">
        <w:rPr>
          <w:rFonts w:cstheme="minorHAnsi"/>
          <w:i/>
          <w:iCs/>
          <w:rtl/>
        </w:rPr>
        <w:t>(3) المنافع المنصوص عليها في الفقرة الفرعية (2) يجب تقاسمها بنسب متساوية بين مبدعي الملكية الفكرية المؤهلين أو ورثتهم ما لم يتم الاتفاق على خلاف ذلك بين هؤلاء المبدعين والمتلقي، أو وفقًا للسياسات المؤسسية.</w:t>
      </w:r>
    </w:p>
    <w:p w14:paraId="514E9C0D" w14:textId="77777777" w:rsidR="00E8794D" w:rsidRPr="00F30EF3"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rtl/>
        </w:rPr>
      </w:pPr>
      <w:r w:rsidRPr="00F30EF3">
        <w:rPr>
          <w:rFonts w:cstheme="minorHAnsi"/>
          <w:i/>
          <w:iCs/>
          <w:rtl/>
        </w:rPr>
        <w:t>(4) المنافع التي تعود على مبدعي الملكية الفكرية وورثتهم المنصوص عليها في القسم الفرعي (2)(أ) يجب أن تكون ذات أولوية على الإيرادات المعمول بها قبل أي توزيع مؤسسي</w:t>
      </w:r>
      <w:r w:rsidRPr="00F30EF3">
        <w:rPr>
          <w:rFonts w:cstheme="minorHAnsi"/>
          <w:rtl/>
        </w:rPr>
        <w:t>." [التوكيد المُضاف]</w:t>
      </w:r>
    </w:p>
    <w:p w14:paraId="4FC57D35" w14:textId="77777777" w:rsidR="00E8794D" w:rsidRPr="00F30EF3" w:rsidRDefault="00E8794D" w:rsidP="00B7519E">
      <w:pPr>
        <w:spacing w:after="0" w:line="240" w:lineRule="auto"/>
        <w:ind w:left="567"/>
        <w:jc w:val="both"/>
        <w:rPr>
          <w:rFonts w:cstheme="minorHAnsi"/>
          <w:color w:val="000000" w:themeColor="text1"/>
          <w:lang w:val="en-US" w:eastAsia="en-US"/>
        </w:rPr>
      </w:pPr>
    </w:p>
    <w:p w14:paraId="666135F7" w14:textId="2F34852F" w:rsidR="00E8794D" w:rsidRPr="00F30EF3" w:rsidRDefault="009E4A63"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b/>
          <w:bCs/>
          <w:color w:val="000000" w:themeColor="text1"/>
          <w:rtl/>
        </w:rPr>
      </w:pPr>
      <w:r w:rsidRPr="00F30EF3">
        <w:rPr>
          <w:rFonts w:cstheme="minorHAnsi"/>
          <w:b/>
          <w:bCs/>
          <w:rtl/>
        </w:rPr>
        <w:t xml:space="preserve">الإطار </w:t>
      </w:r>
      <w:r w:rsidR="00880954" w:rsidRPr="00F30EF3">
        <w:rPr>
          <w:rFonts w:cstheme="minorHAnsi"/>
          <w:b/>
          <w:bCs/>
        </w:rPr>
        <w:t>71</w:t>
      </w:r>
      <w:r w:rsidR="00E209CF" w:rsidRPr="00F30EF3">
        <w:rPr>
          <w:rFonts w:cstheme="minorHAnsi" w:hint="cs"/>
          <w:b/>
          <w:bCs/>
          <w:rtl/>
        </w:rPr>
        <w:t>.</w:t>
      </w:r>
      <w:r w:rsidRPr="00F30EF3">
        <w:rPr>
          <w:rFonts w:cstheme="minorHAnsi"/>
          <w:b/>
          <w:bCs/>
          <w:rtl/>
        </w:rPr>
        <w:t xml:space="preserve"> </w:t>
      </w:r>
      <w:r w:rsidRPr="00F30EF3">
        <w:rPr>
          <w:rFonts w:cstheme="minorHAnsi"/>
          <w:b/>
          <w:bCs/>
          <w:color w:val="000000" w:themeColor="text1"/>
          <w:rtl/>
        </w:rPr>
        <w:t>تقاسم المنافع - مثال البرازيل</w:t>
      </w:r>
      <w:r w:rsidRPr="00F30EF3">
        <w:rPr>
          <w:rFonts w:cstheme="minorHAnsi"/>
          <w:rtl/>
        </w:rPr>
        <w:t xml:space="preserve"> </w:t>
      </w:r>
    </w:p>
    <w:p w14:paraId="3A602B28" w14:textId="77777777" w:rsidR="00F841B0" w:rsidRPr="00F30EF3" w:rsidRDefault="00F841B0"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b/>
          <w:bCs/>
          <w:color w:val="000000" w:themeColor="text1"/>
          <w:lang w:val="en-US" w:eastAsia="en-US"/>
        </w:rPr>
      </w:pPr>
    </w:p>
    <w:p w14:paraId="166482FD" w14:textId="77777777" w:rsidR="00E8794D" w:rsidRPr="00F30EF3"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color w:val="000000" w:themeColor="text1"/>
          <w:rtl/>
        </w:rPr>
      </w:pPr>
      <w:r w:rsidRPr="00F30EF3">
        <w:rPr>
          <w:rFonts w:cstheme="minorHAnsi"/>
          <w:color w:val="000000" w:themeColor="text1"/>
          <w:rtl/>
        </w:rPr>
        <w:t>مع الأخذ في الاعتبار المادة 13 من قانون العلوم والتكنولوجيا والابتكار الجديد</w:t>
      </w:r>
      <w:r w:rsidR="009E4A63" w:rsidRPr="00F30EF3">
        <w:rPr>
          <w:rStyle w:val="FootnoteReference"/>
          <w:rFonts w:cstheme="minorHAnsi"/>
          <w:color w:val="000000" w:themeColor="text1"/>
          <w:rtl/>
          <w:lang w:val="en-US" w:eastAsia="en-US"/>
        </w:rPr>
        <w:footnoteReference w:id="181"/>
      </w:r>
      <w:r w:rsidRPr="00F30EF3">
        <w:rPr>
          <w:rFonts w:cstheme="minorHAnsi"/>
          <w:color w:val="000000" w:themeColor="text1"/>
          <w:rtl/>
        </w:rPr>
        <w:t>:</w:t>
      </w:r>
    </w:p>
    <w:p w14:paraId="2901D524" w14:textId="77777777" w:rsidR="00E8794D" w:rsidRPr="00F30EF3"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color w:val="000000" w:themeColor="text1"/>
          <w:lang w:val="en-US" w:eastAsia="en-US"/>
        </w:rPr>
      </w:pPr>
    </w:p>
    <w:p w14:paraId="465A8684" w14:textId="77777777" w:rsidR="00E8794D" w:rsidRPr="00F30EF3"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color w:val="000000" w:themeColor="text1"/>
          <w:rtl/>
        </w:rPr>
      </w:pPr>
      <w:r w:rsidRPr="00F30EF3">
        <w:rPr>
          <w:rFonts w:cstheme="minorHAnsi"/>
          <w:color w:val="000000" w:themeColor="text1"/>
          <w:rtl/>
        </w:rPr>
        <w:t>"</w:t>
      </w:r>
      <w:r w:rsidRPr="00F30EF3">
        <w:rPr>
          <w:rFonts w:cstheme="minorHAnsi"/>
          <w:i/>
          <w:iCs/>
          <w:color w:val="000000" w:themeColor="text1"/>
          <w:rtl/>
        </w:rPr>
        <w:t xml:space="preserve">يضمن المبدع </w:t>
      </w:r>
      <w:r w:rsidRPr="00F30EF3">
        <w:rPr>
          <w:rFonts w:cstheme="minorHAnsi"/>
          <w:b/>
          <w:bCs/>
          <w:i/>
          <w:iCs/>
          <w:color w:val="000000" w:themeColor="text1"/>
          <w:rtl/>
        </w:rPr>
        <w:t>حصة لا تقل عن 5%</w:t>
      </w:r>
      <w:r w:rsidRPr="00F30EF3">
        <w:rPr>
          <w:rFonts w:cstheme="minorHAnsi"/>
          <w:i/>
          <w:iCs/>
          <w:color w:val="000000" w:themeColor="text1"/>
          <w:rtl/>
        </w:rPr>
        <w:t xml:space="preserve"> (5 بالمائة) و</w:t>
      </w:r>
      <w:r w:rsidRPr="00F30EF3">
        <w:rPr>
          <w:rFonts w:cstheme="minorHAnsi"/>
          <w:b/>
          <w:bCs/>
          <w:i/>
          <w:iCs/>
          <w:color w:val="000000" w:themeColor="text1"/>
          <w:rtl/>
        </w:rPr>
        <w:t>حصة قصوى لا تقل عن 1/3</w:t>
      </w:r>
      <w:r w:rsidRPr="00F30EF3">
        <w:rPr>
          <w:rFonts w:cstheme="minorHAnsi"/>
          <w:i/>
          <w:iCs/>
          <w:color w:val="000000" w:themeColor="text1"/>
          <w:rtl/>
        </w:rPr>
        <w:t xml:space="preserve"> (الثلث) من الدخل الذي تجنيه تكنولوجيا المعلومات والاتصالات [العلوم والتكنولوجيا والابتكار بموجب قانون الابتكار الجديد] الناتج عن اتفاقيات نقل التكنولوجيا وترخيصها لمنح حق استخدام أو استكشاف إبداع محمي كان هو مخترعه أو الحاصل عليه أو مؤلفه، وذلك وفقاً للأحكام المنصوص عليها في الفقرة الوحيدة من المادة 93 من القانون رقم 9,279 المؤرخ لسنة 1996</w:t>
      </w:r>
      <w:r w:rsidRPr="00F30EF3">
        <w:rPr>
          <w:rFonts w:cstheme="minorHAnsi"/>
          <w:color w:val="000000" w:themeColor="text1"/>
          <w:rtl/>
        </w:rPr>
        <w:t>" [وفقًا لقانون الابتكار]</w:t>
      </w:r>
    </w:p>
    <w:p w14:paraId="19E757E3" w14:textId="77777777" w:rsidR="00E8794D" w:rsidRPr="00F30EF3"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color w:val="000000" w:themeColor="text1"/>
          <w:rtl/>
        </w:rPr>
      </w:pPr>
      <w:r w:rsidRPr="00F30EF3">
        <w:rPr>
          <w:rFonts w:cstheme="minorHAnsi"/>
          <w:i/>
          <w:iCs/>
          <w:color w:val="000000" w:themeColor="text1"/>
          <w:rtl/>
        </w:rPr>
        <w:t xml:space="preserve">"§ 4 تبدأ المشاركة المذكورة في المادة أعلاه خلال مدة لا تتجاوز </w:t>
      </w:r>
      <w:r w:rsidRPr="00F30EF3">
        <w:rPr>
          <w:rFonts w:cstheme="minorHAnsi"/>
          <w:b/>
          <w:bCs/>
          <w:i/>
          <w:iCs/>
          <w:color w:val="000000" w:themeColor="text1"/>
          <w:rtl/>
        </w:rPr>
        <w:t>عام واحد (1) بعد تحقيق</w:t>
      </w:r>
      <w:r w:rsidRPr="00F30EF3">
        <w:rPr>
          <w:rFonts w:cstheme="minorHAnsi"/>
          <w:i/>
          <w:iCs/>
          <w:color w:val="000000" w:themeColor="text1"/>
          <w:rtl/>
        </w:rPr>
        <w:t xml:space="preserve"> الدخل الذي تستند إليه المادة، وذلك وفقًا للائحة الصادرة عن السلطة الداخلية المختصة</w:t>
      </w:r>
      <w:r w:rsidRPr="00F30EF3">
        <w:rPr>
          <w:rFonts w:cstheme="minorHAnsi"/>
          <w:color w:val="000000" w:themeColor="text1"/>
          <w:rtl/>
        </w:rPr>
        <w:t>"</w:t>
      </w:r>
    </w:p>
    <w:p w14:paraId="5B236273" w14:textId="77777777" w:rsidR="00E8794D" w:rsidRPr="00F30EF3" w:rsidRDefault="00E8794D" w:rsidP="00F841B0">
      <w:pPr>
        <w:shd w:val="clear" w:color="auto" w:fill="FFFFFF" w:themeFill="background1"/>
        <w:spacing w:after="0" w:line="240" w:lineRule="auto"/>
        <w:jc w:val="both"/>
        <w:rPr>
          <w:rFonts w:cstheme="minorHAnsi"/>
          <w:b/>
          <w:bCs/>
          <w:color w:val="000000" w:themeColor="text1"/>
          <w:lang w:val="en-US"/>
        </w:rPr>
      </w:pPr>
    </w:p>
    <w:p w14:paraId="7784BE73" w14:textId="404EE27F" w:rsidR="00E8794D" w:rsidRPr="00F30EF3" w:rsidRDefault="009E4A63"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b/>
          <w:bCs/>
          <w:color w:val="000000" w:themeColor="text1"/>
          <w:rtl/>
        </w:rPr>
      </w:pPr>
      <w:r w:rsidRPr="00F30EF3">
        <w:rPr>
          <w:rFonts w:cstheme="minorHAnsi"/>
          <w:b/>
          <w:bCs/>
          <w:rtl/>
        </w:rPr>
        <w:t xml:space="preserve">الإطار </w:t>
      </w:r>
      <w:r w:rsidR="00880954" w:rsidRPr="00F30EF3">
        <w:rPr>
          <w:rFonts w:cstheme="minorHAnsi"/>
          <w:b/>
          <w:bCs/>
        </w:rPr>
        <w:t>72</w:t>
      </w:r>
      <w:r w:rsidR="00E209CF" w:rsidRPr="00F30EF3">
        <w:rPr>
          <w:rFonts w:cstheme="minorHAnsi" w:hint="cs"/>
          <w:b/>
          <w:bCs/>
          <w:rtl/>
        </w:rPr>
        <w:t>.</w:t>
      </w:r>
      <w:r w:rsidRPr="00F30EF3">
        <w:rPr>
          <w:rFonts w:cstheme="minorHAnsi"/>
          <w:b/>
          <w:bCs/>
          <w:rtl/>
        </w:rPr>
        <w:t xml:space="preserve"> </w:t>
      </w:r>
      <w:r w:rsidRPr="00F30EF3">
        <w:rPr>
          <w:rFonts w:cstheme="minorHAnsi"/>
          <w:b/>
          <w:bCs/>
          <w:color w:val="000000" w:themeColor="text1"/>
          <w:rtl/>
        </w:rPr>
        <w:t>تقاسم المنافع - مثال الصين</w:t>
      </w:r>
      <w:r w:rsidRPr="00F30EF3">
        <w:rPr>
          <w:rFonts w:cstheme="minorHAnsi"/>
          <w:rtl/>
        </w:rPr>
        <w:t xml:space="preserve"> </w:t>
      </w:r>
    </w:p>
    <w:p w14:paraId="3A8B3877" w14:textId="77777777" w:rsidR="00F841B0" w:rsidRPr="00F30EF3" w:rsidRDefault="00F841B0"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b/>
          <w:bCs/>
          <w:color w:val="000000" w:themeColor="text1"/>
          <w:lang w:val="en-US" w:eastAsia="en-US"/>
        </w:rPr>
      </w:pPr>
    </w:p>
    <w:p w14:paraId="0A01FC49" w14:textId="77777777" w:rsidR="009E4A63" w:rsidRPr="00F30EF3"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color w:val="000000" w:themeColor="text1"/>
          <w:rtl/>
        </w:rPr>
      </w:pPr>
      <w:r w:rsidRPr="00F30EF3">
        <w:rPr>
          <w:rFonts w:cstheme="minorHAnsi"/>
          <w:color w:val="000000" w:themeColor="text1"/>
          <w:rtl/>
        </w:rPr>
        <w:t>تنص المادة 20 من قانون جمهورية الصين الشعبية بشأن تقدم العلوم والتكنولوجيا على ما يلي:</w:t>
      </w:r>
      <w:r w:rsidRPr="00F30EF3">
        <w:rPr>
          <w:rFonts w:cstheme="minorHAnsi"/>
          <w:rtl/>
        </w:rPr>
        <w:t xml:space="preserve"> </w:t>
      </w:r>
    </w:p>
    <w:p w14:paraId="093821D6" w14:textId="77777777" w:rsidR="009E4A63" w:rsidRPr="00F30EF3" w:rsidRDefault="009E4A63"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color w:val="000000" w:themeColor="text1"/>
          <w:lang w:val="en-US"/>
        </w:rPr>
      </w:pPr>
    </w:p>
    <w:p w14:paraId="4976D3C0" w14:textId="77777777" w:rsidR="00E8794D" w:rsidRPr="00F30EF3"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cstheme="minorHAnsi"/>
          <w:color w:val="000000" w:themeColor="text1"/>
          <w:rtl/>
        </w:rPr>
      </w:pPr>
      <w:r w:rsidRPr="00F30EF3">
        <w:rPr>
          <w:rFonts w:cstheme="minorHAnsi"/>
          <w:i/>
          <w:iCs/>
          <w:color w:val="000000" w:themeColor="text1"/>
          <w:rtl/>
        </w:rPr>
        <w:t>"تُوزَّع المنافع الناتجة من ممارسة حقوق الملكية الفكرية، المنصوص عليها في الفقرة الأولى من هذه المادة</w:t>
      </w:r>
      <w:r w:rsidRPr="00F30EF3">
        <w:rPr>
          <w:rStyle w:val="FootnoteReference"/>
          <w:rFonts w:cstheme="minorHAnsi"/>
          <w:i/>
          <w:iCs/>
          <w:color w:val="000000" w:themeColor="text1"/>
          <w:rtl/>
          <w:lang w:val="en-US"/>
        </w:rPr>
        <w:footnoteReference w:id="182"/>
      </w:r>
      <w:r w:rsidRPr="00F30EF3">
        <w:rPr>
          <w:rFonts w:cstheme="minorHAnsi"/>
          <w:i/>
          <w:iCs/>
          <w:color w:val="000000" w:themeColor="text1"/>
          <w:rtl/>
        </w:rPr>
        <w:t xml:space="preserve"> بين القائمين على المشروع وفقاً لأحكام القوانين واللوائح الإدارية ذات الصلة، وفي حالة عدم وجود مثل هذه الأحكام في القوانين أو اللوائح الإدارية يتم توزيع المنافع على النحو المتفق عليه".</w:t>
      </w:r>
    </w:p>
    <w:p w14:paraId="6EA651C0" w14:textId="77777777" w:rsidR="008E29A8" w:rsidRPr="00F30EF3" w:rsidRDefault="008E29A8" w:rsidP="00B7519E">
      <w:pPr>
        <w:pStyle w:val="Heading3"/>
        <w:spacing w:after="240"/>
        <w:jc w:val="both"/>
        <w:rPr>
          <w:rFonts w:asciiTheme="minorHAnsi" w:hAnsiTheme="minorHAnsi" w:cstheme="minorHAnsi"/>
          <w:sz w:val="22"/>
          <w:szCs w:val="22"/>
          <w:rtl/>
        </w:rPr>
      </w:pPr>
      <w:bookmarkStart w:id="325" w:name="_Toc516160095"/>
      <w:bookmarkStart w:id="326" w:name="_Toc516219431"/>
      <w:bookmarkStart w:id="327" w:name="_Toc516496075"/>
      <w:bookmarkStart w:id="328" w:name="_Toc516829447"/>
      <w:r w:rsidRPr="00F30EF3">
        <w:rPr>
          <w:rFonts w:asciiTheme="minorHAnsi" w:hAnsiTheme="minorHAnsi" w:cstheme="minorHAnsi"/>
          <w:sz w:val="22"/>
          <w:szCs w:val="22"/>
          <w:rtl/>
        </w:rPr>
        <w:t>حساب الإيرادات للتوزيع</w:t>
      </w:r>
      <w:bookmarkEnd w:id="325"/>
      <w:bookmarkEnd w:id="326"/>
      <w:bookmarkEnd w:id="327"/>
      <w:bookmarkEnd w:id="328"/>
    </w:p>
    <w:p w14:paraId="7D9B2D41" w14:textId="24E58701" w:rsidR="00E8794D" w:rsidRPr="00F30EF3" w:rsidRDefault="00E8794D" w:rsidP="00215996">
      <w:pPr>
        <w:pStyle w:val="ListParagraph"/>
        <w:numPr>
          <w:ilvl w:val="0"/>
          <w:numId w:val="101"/>
        </w:numPr>
        <w:tabs>
          <w:tab w:val="left" w:pos="851"/>
        </w:tabs>
        <w:spacing w:after="120" w:line="240" w:lineRule="auto"/>
        <w:ind w:left="432" w:hanging="432"/>
        <w:contextualSpacing w:val="0"/>
        <w:jc w:val="both"/>
        <w:rPr>
          <w:rFonts w:cstheme="minorHAnsi"/>
          <w:color w:val="000000" w:themeColor="text1"/>
          <w:rtl/>
        </w:rPr>
      </w:pPr>
      <w:r w:rsidRPr="00F30EF3">
        <w:rPr>
          <w:rFonts w:cstheme="minorHAnsi"/>
          <w:b/>
          <w:bCs/>
          <w:color w:val="000000" w:themeColor="text1"/>
          <w:rtl/>
        </w:rPr>
        <w:t xml:space="preserve">المادة 2.2.10، </w:t>
      </w:r>
      <w:r w:rsidRPr="00F30EF3">
        <w:rPr>
          <w:rFonts w:cstheme="minorHAnsi"/>
          <w:b/>
          <w:bCs/>
          <w:i/>
          <w:iCs/>
          <w:color w:val="000000" w:themeColor="text1"/>
          <w:rtl/>
        </w:rPr>
        <w:t>حساب الإيرادات للتوزيع</w:t>
      </w:r>
      <w:r w:rsidRPr="00F30EF3">
        <w:rPr>
          <w:rFonts w:cstheme="minorHAnsi"/>
          <w:b/>
          <w:bCs/>
          <w:color w:val="000000" w:themeColor="text1"/>
          <w:rtl/>
        </w:rPr>
        <w:t>:</w:t>
      </w:r>
      <w:r w:rsidRPr="00F30EF3">
        <w:rPr>
          <w:rFonts w:cstheme="minorHAnsi"/>
          <w:b/>
          <w:bCs/>
          <w:i/>
          <w:iCs/>
          <w:color w:val="000000" w:themeColor="text1"/>
          <w:rtl/>
        </w:rPr>
        <w:t xml:space="preserve"> </w:t>
      </w:r>
      <w:r w:rsidRPr="00F30EF3">
        <w:rPr>
          <w:rFonts w:cstheme="minorHAnsi"/>
          <w:color w:val="000000" w:themeColor="text1"/>
          <w:rtl/>
        </w:rPr>
        <w:t xml:space="preserve">تتمتع المؤسسات بمستويات من المرونة فيما يتعلق بالدخل الذي سيدخل ضمن "إجمالي إيرادات الملكية الفكرية" والتكاليف التي سيتم تخصيصها لنفقات الملكية الفكرية، وقد تتأثر بالنفقات العامة </w:t>
      </w:r>
      <w:r w:rsidRPr="00F30EF3">
        <w:rPr>
          <w:rFonts w:cstheme="minorHAnsi"/>
          <w:color w:val="000000" w:themeColor="text1"/>
          <w:rtl/>
        </w:rPr>
        <w:lastRenderedPageBreak/>
        <w:t xml:space="preserve">للمؤسسة التي قد تستلزم اعتبار قدر أقل من الدخل كإجمالي لإيرادات الملكية الفكرية وتخصيص المزيد من التكاليف لنفقات الملكية الفكرية.  </w:t>
      </w:r>
    </w:p>
    <w:p w14:paraId="45241637" w14:textId="77777777" w:rsidR="00E8794D" w:rsidRPr="00F30EF3" w:rsidRDefault="00E8794D" w:rsidP="00B7519E">
      <w:pPr>
        <w:tabs>
          <w:tab w:val="left" w:pos="851"/>
        </w:tabs>
        <w:spacing w:after="0" w:line="240" w:lineRule="auto"/>
        <w:ind w:left="426" w:hanging="426"/>
        <w:jc w:val="both"/>
        <w:rPr>
          <w:rFonts w:cstheme="minorHAnsi"/>
          <w:color w:val="000000" w:themeColor="text1"/>
          <w:lang w:val="en-US"/>
        </w:rPr>
      </w:pPr>
    </w:p>
    <w:p w14:paraId="147522B6" w14:textId="2A9FE5CE" w:rsidR="00E8794D" w:rsidRPr="00F30EF3" w:rsidRDefault="00E8794D" w:rsidP="009D4A54">
      <w:pPr>
        <w:pStyle w:val="ListParagraph"/>
        <w:numPr>
          <w:ilvl w:val="0"/>
          <w:numId w:val="101"/>
        </w:numPr>
        <w:tabs>
          <w:tab w:val="left" w:pos="851"/>
        </w:tabs>
        <w:spacing w:after="0" w:line="240" w:lineRule="auto"/>
        <w:ind w:left="426" w:hanging="426"/>
        <w:jc w:val="both"/>
        <w:rPr>
          <w:rFonts w:cstheme="minorHAnsi"/>
          <w:color w:val="000000" w:themeColor="text1"/>
          <w:rtl/>
        </w:rPr>
      </w:pPr>
      <w:bookmarkStart w:id="329" w:name="_Ref510811052"/>
      <w:r w:rsidRPr="00F30EF3">
        <w:rPr>
          <w:rFonts w:cstheme="minorHAnsi"/>
          <w:b/>
          <w:bCs/>
          <w:color w:val="000000" w:themeColor="text1"/>
          <w:rtl/>
        </w:rPr>
        <w:t>المادة 1.2.2.10،</w:t>
      </w:r>
      <w:r w:rsidR="00D12B99" w:rsidRPr="00F30EF3">
        <w:rPr>
          <w:rFonts w:cstheme="minorHAnsi"/>
          <w:b/>
          <w:bCs/>
          <w:i/>
          <w:iCs/>
          <w:color w:val="000000" w:themeColor="text1"/>
          <w:rtl/>
        </w:rPr>
        <w:t xml:space="preserve"> </w:t>
      </w:r>
      <w:r w:rsidRPr="00F30EF3">
        <w:rPr>
          <w:rFonts w:cstheme="minorHAnsi"/>
          <w:b/>
          <w:bCs/>
          <w:i/>
          <w:iCs/>
          <w:color w:val="000000" w:themeColor="text1"/>
          <w:rtl/>
        </w:rPr>
        <w:t>حساب إجمالي إيرادات الملكية الفكرية</w:t>
      </w:r>
      <w:r w:rsidRPr="00F30EF3">
        <w:rPr>
          <w:rFonts w:cstheme="minorHAnsi"/>
          <w:b/>
          <w:bCs/>
          <w:color w:val="000000" w:themeColor="text1"/>
          <w:rtl/>
        </w:rPr>
        <w:t>:</w:t>
      </w:r>
      <w:bookmarkEnd w:id="329"/>
      <w:r w:rsidRPr="00F30EF3">
        <w:rPr>
          <w:rFonts w:cstheme="minorHAnsi"/>
          <w:color w:val="000000" w:themeColor="text1"/>
          <w:rtl/>
        </w:rPr>
        <w:t xml:space="preserve"> من المهم ملاحظة أن إجمالي إيرادات الملكية الفكرية يتم تسجيله لجزء معين من الملكية الفكرية.  على سبيل المثال، إذا تم ترخيص تكنولوجيا باسم "توربينات الرياح" ببراءة، وترخيص التصميم وجميع المعارف المرتبطة بها، لطرف آخر، فإن جميع الإيرادات الواردة</w:t>
      </w:r>
      <w:r w:rsidR="00D12B99" w:rsidRPr="00F30EF3">
        <w:rPr>
          <w:rFonts w:cstheme="minorHAnsi"/>
          <w:color w:val="000000" w:themeColor="text1"/>
          <w:rtl/>
        </w:rPr>
        <w:t xml:space="preserve"> </w:t>
      </w:r>
      <w:r w:rsidRPr="00F30EF3">
        <w:rPr>
          <w:rFonts w:cstheme="minorHAnsi"/>
          <w:color w:val="000000" w:themeColor="text1"/>
          <w:rtl/>
        </w:rPr>
        <w:t>من هذا الطرف الآخر نتيجة ترخيص تكنولوجيا توربينات الرياح في فترة مالية يتم تسجيلها باعتبارها إجمالي إيرادات الملكية الفكرية لتكنولوجيا توربينات الرياح. وجميع نفقات الملكية الفكرية المتكبدة لتكنولوجيا توربينات الرياح حتى وقت استلام أول إجمالي لإيرادات الملكية الفكرية يمكن خصمها من إجمالي إيرادات الملكية الفكرية للوصول إلى صافي إيرادات الملكية الفكرية. وبالنسبة إلى إجمالي إيرادات الملكية الفكرية اللاحقة الواردة في الفترة المالية التالية، فلن تخصم سوى نفقات الملكية الفكرية المتكبدة في تلك الفترة المالية لتكنولوجيا توربينات الرياح قبل التقاسم مع مبدعي الملكية الفكرية/ مُمكّني الملكية الفكرية.</w:t>
      </w:r>
    </w:p>
    <w:p w14:paraId="6CC154B7" w14:textId="77777777" w:rsidR="00E8794D" w:rsidRPr="00F30EF3" w:rsidRDefault="00E8794D" w:rsidP="00B7519E">
      <w:pPr>
        <w:tabs>
          <w:tab w:val="left" w:pos="851"/>
        </w:tabs>
        <w:spacing w:after="0" w:line="240" w:lineRule="auto"/>
        <w:jc w:val="both"/>
        <w:rPr>
          <w:rFonts w:cstheme="minorHAnsi"/>
          <w:color w:val="000000" w:themeColor="text1"/>
          <w:lang w:val="en-US"/>
        </w:rPr>
      </w:pPr>
    </w:p>
    <w:p w14:paraId="4FDBDDF3" w14:textId="52B2C906" w:rsidR="00E8794D" w:rsidRPr="00F30EF3" w:rsidRDefault="00547F07" w:rsidP="009D4A54">
      <w:pPr>
        <w:pStyle w:val="ListParagraph"/>
        <w:numPr>
          <w:ilvl w:val="0"/>
          <w:numId w:val="100"/>
        </w:numPr>
        <w:tabs>
          <w:tab w:val="left" w:pos="1843"/>
        </w:tabs>
        <w:spacing w:after="0" w:line="240" w:lineRule="auto"/>
        <w:ind w:left="426" w:hanging="426"/>
        <w:jc w:val="both"/>
        <w:rPr>
          <w:rFonts w:cstheme="minorHAnsi"/>
          <w:color w:val="000000" w:themeColor="text1"/>
          <w:rtl/>
        </w:rPr>
      </w:pPr>
      <w:r w:rsidRPr="00F30EF3">
        <w:rPr>
          <w:rFonts w:cstheme="minorHAnsi"/>
          <w:b/>
          <w:bCs/>
          <w:color w:val="000000" w:themeColor="text1"/>
          <w:rtl/>
        </w:rPr>
        <w:t xml:space="preserve">المادة 1.2.2.10، </w:t>
      </w:r>
      <w:r w:rsidRPr="00F30EF3">
        <w:rPr>
          <w:rFonts w:cstheme="minorHAnsi"/>
          <w:b/>
          <w:bCs/>
          <w:i/>
          <w:iCs/>
          <w:color w:val="000000" w:themeColor="text1"/>
          <w:rtl/>
        </w:rPr>
        <w:t>والبيع المباشر للمنتجات والخدمات</w:t>
      </w:r>
      <w:r w:rsidRPr="00F30EF3">
        <w:rPr>
          <w:rFonts w:cstheme="minorHAnsi"/>
          <w:b/>
          <w:bCs/>
          <w:color w:val="000000" w:themeColor="text1"/>
          <w:rtl/>
        </w:rPr>
        <w:t>:</w:t>
      </w:r>
      <w:r w:rsidRPr="00F30EF3">
        <w:rPr>
          <w:rFonts w:cstheme="minorHAnsi"/>
          <w:color w:val="000000" w:themeColor="text1"/>
          <w:rtl/>
        </w:rPr>
        <w:t xml:space="preserve"> عادةً ما يتم استلام إجمالي إيرادات الملكية الفكرية من طرف آخر </w:t>
      </w:r>
      <w:r w:rsidRPr="00F30EF3">
        <w:rPr>
          <w:rFonts w:cstheme="minorHAnsi"/>
          <w:i/>
          <w:iCs/>
          <w:color w:val="000000" w:themeColor="text1"/>
          <w:rtl/>
        </w:rPr>
        <w:t>مقابل</w:t>
      </w:r>
      <w:r w:rsidRPr="00F30EF3">
        <w:rPr>
          <w:rFonts w:cstheme="minorHAnsi"/>
          <w:color w:val="000000" w:themeColor="text1"/>
          <w:rtl/>
        </w:rPr>
        <w:t xml:space="preserve"> الحقوق الممنوحة/المنقولة لجزء معين من الملكية الفكرية. ويرد حكم بالنموذج يتناول "</w:t>
      </w:r>
      <w:r w:rsidRPr="00F30EF3">
        <w:rPr>
          <w:rFonts w:cstheme="minorHAnsi"/>
          <w:i/>
          <w:iCs/>
          <w:color w:val="000000" w:themeColor="text1"/>
          <w:rtl/>
        </w:rPr>
        <w:t>البيع المباشر للمنتجات أو الخدمات</w:t>
      </w:r>
      <w:r w:rsidRPr="00F30EF3">
        <w:rPr>
          <w:rFonts w:cstheme="minorHAnsi"/>
          <w:color w:val="000000" w:themeColor="text1"/>
          <w:rtl/>
        </w:rPr>
        <w:t xml:space="preserve">". وينطبق هذا عادةً فقط إذا كانت المؤسسة نفسها هي التي تصنع المنتج أو تقدم الخدمة، وبالتالي فإن الإيرادات التي تتلقاها تأتي من طرف يشتري المنتج أو يحصل على الخدمة.  </w:t>
      </w:r>
    </w:p>
    <w:p w14:paraId="40DE9BA7" w14:textId="77777777" w:rsidR="00E8794D" w:rsidRPr="00F30EF3" w:rsidRDefault="00E8794D" w:rsidP="00B7519E">
      <w:pPr>
        <w:tabs>
          <w:tab w:val="left" w:pos="1843"/>
        </w:tabs>
        <w:spacing w:after="0" w:line="240" w:lineRule="auto"/>
        <w:ind w:left="567"/>
        <w:jc w:val="both"/>
        <w:rPr>
          <w:rFonts w:cstheme="minorHAnsi"/>
          <w:color w:val="000000" w:themeColor="text1"/>
          <w:lang w:val="en-US"/>
        </w:rPr>
      </w:pPr>
    </w:p>
    <w:p w14:paraId="3706307B" w14:textId="4921D58B" w:rsidR="00E8794D" w:rsidRPr="00F30EF3" w:rsidRDefault="00547F07"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cstheme="minorHAnsi"/>
          <w:color w:val="000000"/>
          <w:rtl/>
        </w:rPr>
      </w:pPr>
      <w:r w:rsidRPr="00F30EF3">
        <w:rPr>
          <w:rFonts w:cstheme="minorHAnsi"/>
          <w:b/>
          <w:bCs/>
          <w:rtl/>
        </w:rPr>
        <w:t xml:space="preserve">الإطار </w:t>
      </w:r>
      <w:r w:rsidR="00880954" w:rsidRPr="00F30EF3">
        <w:rPr>
          <w:rFonts w:cstheme="minorHAnsi"/>
          <w:b/>
          <w:bCs/>
        </w:rPr>
        <w:t>73</w:t>
      </w:r>
      <w:r w:rsidR="00215996" w:rsidRPr="00F30EF3">
        <w:rPr>
          <w:rFonts w:cstheme="minorHAnsi" w:hint="cs"/>
          <w:b/>
          <w:bCs/>
          <w:rtl/>
        </w:rPr>
        <w:t>.</w:t>
      </w:r>
      <w:r w:rsidRPr="00F30EF3">
        <w:rPr>
          <w:rFonts w:cstheme="minorHAnsi"/>
          <w:b/>
          <w:bCs/>
          <w:rtl/>
        </w:rPr>
        <w:t xml:space="preserve"> </w:t>
      </w:r>
      <w:r w:rsidRPr="00F30EF3">
        <w:rPr>
          <w:rFonts w:cstheme="minorHAnsi"/>
          <w:color w:val="000000"/>
          <w:rtl/>
        </w:rPr>
        <w:t>مع الأخذ في الاعتبار المثال التالي:</w:t>
      </w:r>
    </w:p>
    <w:p w14:paraId="037EBE39" w14:textId="4D4F60DB" w:rsidR="00E8794D" w:rsidRPr="00F30EF3" w:rsidRDefault="00E8794D"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cstheme="minorHAnsi"/>
          <w:color w:val="000000"/>
          <w:rtl/>
        </w:rPr>
      </w:pPr>
      <w:r w:rsidRPr="00F30EF3">
        <w:rPr>
          <w:rFonts w:cstheme="minorHAnsi"/>
          <w:color w:val="000000"/>
          <w:rtl/>
        </w:rPr>
        <w:t>إذا تم اتخاذ قرار بتسويق التكنولوجيا "داخليا</w:t>
      </w:r>
      <w:r w:rsidR="00215996" w:rsidRPr="00F30EF3">
        <w:rPr>
          <w:rFonts w:cstheme="minorHAnsi" w:hint="cs"/>
          <w:color w:val="000000"/>
          <w:rtl/>
        </w:rPr>
        <w:t>ً</w:t>
      </w:r>
      <w:r w:rsidRPr="00F30EF3">
        <w:rPr>
          <w:rFonts w:cstheme="minorHAnsi"/>
          <w:color w:val="000000"/>
          <w:rtl/>
        </w:rPr>
        <w:t>"، فإنه يجب وضع خطة عمل تتضمن اقتراحاً لتقاسم المنافع مع مبدعي/مُمكّني الملكية الفكرية بما يتماشى مع الجدوى التجارية للمنتج أو العملية و/أو الخدمة. ويجب ألا يكون تقاسم المنافع الذي تم التوصل إليه مختلف بشكل كبير عن الإيرادات التي يمكن توقعها إذا تم ترخيص الملكية الفكرية لطرف آخر.</w:t>
      </w:r>
      <w:r w:rsidRPr="00F30EF3">
        <w:rPr>
          <w:rFonts w:cstheme="minorHAnsi"/>
          <w:rtl/>
        </w:rPr>
        <w:t xml:space="preserve"> </w:t>
      </w:r>
    </w:p>
    <w:p w14:paraId="30543486" w14:textId="77777777" w:rsidR="00E8794D" w:rsidRPr="00F30EF3" w:rsidRDefault="00E8794D" w:rsidP="00B7519E">
      <w:pPr>
        <w:tabs>
          <w:tab w:val="left" w:pos="1843"/>
        </w:tabs>
        <w:spacing w:after="0" w:line="240" w:lineRule="auto"/>
        <w:jc w:val="both"/>
        <w:rPr>
          <w:rFonts w:cstheme="minorHAnsi"/>
          <w:color w:val="000000" w:themeColor="text1"/>
          <w:lang w:val="en-US" w:eastAsia="en-US"/>
        </w:rPr>
      </w:pPr>
    </w:p>
    <w:p w14:paraId="296FCBC7" w14:textId="7943845A" w:rsidR="00E8794D" w:rsidRPr="00F30EF3" w:rsidRDefault="00E8794D" w:rsidP="00215996">
      <w:pPr>
        <w:pStyle w:val="ListParagraph"/>
        <w:widowControl w:val="0"/>
        <w:numPr>
          <w:ilvl w:val="0"/>
          <w:numId w:val="102"/>
        </w:numPr>
        <w:autoSpaceDE w:val="0"/>
        <w:autoSpaceDN w:val="0"/>
        <w:spacing w:after="120" w:line="240" w:lineRule="auto"/>
        <w:ind w:left="426" w:hanging="426"/>
        <w:contextualSpacing w:val="0"/>
        <w:jc w:val="both"/>
        <w:rPr>
          <w:rFonts w:cstheme="minorHAnsi"/>
          <w:color w:val="000000" w:themeColor="text1"/>
          <w:rtl/>
        </w:rPr>
      </w:pPr>
      <w:bookmarkStart w:id="330" w:name="_Ref510815393"/>
      <w:r w:rsidRPr="00F30EF3">
        <w:rPr>
          <w:rFonts w:cstheme="minorHAnsi"/>
          <w:b/>
          <w:bCs/>
          <w:color w:val="000000" w:themeColor="text1"/>
          <w:rtl/>
        </w:rPr>
        <w:t xml:space="preserve">المادة 2.2.2.10، </w:t>
      </w:r>
      <w:r w:rsidRPr="00F30EF3">
        <w:rPr>
          <w:rFonts w:cstheme="minorHAnsi"/>
          <w:b/>
          <w:bCs/>
          <w:i/>
          <w:iCs/>
          <w:color w:val="000000" w:themeColor="text1"/>
          <w:rtl/>
        </w:rPr>
        <w:t>نفقات الملكية الفكرية</w:t>
      </w:r>
      <w:r w:rsidRPr="00F30EF3">
        <w:rPr>
          <w:rFonts w:cstheme="minorHAnsi"/>
          <w:i/>
          <w:iCs/>
          <w:color w:val="000000" w:themeColor="text1"/>
          <w:rtl/>
        </w:rPr>
        <w:t>:</w:t>
      </w:r>
      <w:r w:rsidRPr="00F30EF3">
        <w:rPr>
          <w:rFonts w:cstheme="minorHAnsi"/>
          <w:color w:val="000000" w:themeColor="text1"/>
          <w:rtl/>
        </w:rPr>
        <w:t xml:space="preserve"> قد تشمل نفقات المؤسسة - والتي يتم تكبدها من خلال الدفع إلى كيانات خارجية لتأمين الملكية الفكرية وحفظها وإنفاذها - تكاليف البحث (بما في ذلك الجِدَّة وحرية إجراء عمليات البحث)؛ وأتعاب محامي الملكية الفكرية (أو ما شابه ذلك) نظير صياغة الطلب وإيداع الطلب (سواء طلب دولي أو وطني) وإعداد أي مستندات رسمية مطلوبة أثناء الإيداع و/أو التقاضي اللاحق (بما في ذلك التنازل أو التوكيل الرسمي) ومعالجة طلب المنح (بما في ذلك التصحيح أو التعديل؛ والاستلام والتحضير والرد على إجراء رسمي، ورسوم الترجمة، والتحقق من صحة طلب ممنوح؛ وجميع رسوم الشركاء الأجانب ذات الصلة ورسوم المسؤولين في مكتب الملكية الفكرية)؛ ورسوم التجديد/المحافظة؛ والنفقات العامة (على سبيل المثال، الطباعة، والفاكس، والهاتف، وما إلى ذلك)، والتي يتحملها مزود الخدمة والواردة في فاتورته مقابل الخدمات المقدمة.</w:t>
      </w:r>
    </w:p>
    <w:p w14:paraId="5286CE24" w14:textId="77777777" w:rsidR="00E8794D" w:rsidRPr="00F30EF3" w:rsidRDefault="00E8794D" w:rsidP="00215996">
      <w:pPr>
        <w:pStyle w:val="ListParagraph"/>
        <w:widowControl w:val="0"/>
        <w:autoSpaceDE w:val="0"/>
        <w:autoSpaceDN w:val="0"/>
        <w:spacing w:after="120" w:line="240" w:lineRule="auto"/>
        <w:ind w:left="426"/>
        <w:contextualSpacing w:val="0"/>
        <w:jc w:val="both"/>
        <w:rPr>
          <w:rFonts w:cstheme="minorHAnsi"/>
          <w:rtl/>
        </w:rPr>
      </w:pPr>
      <w:r w:rsidRPr="00F30EF3">
        <w:rPr>
          <w:rFonts w:cstheme="minorHAnsi"/>
          <w:color w:val="000000" w:themeColor="text1"/>
          <w:rtl/>
        </w:rPr>
        <w:t xml:space="preserve">قد تتضمن النفقات التي تتكبدها المؤسسات في ترخيص/التنازل عن الملكية الفكرية </w:t>
      </w:r>
      <w:r w:rsidRPr="00F30EF3">
        <w:rPr>
          <w:rFonts w:cstheme="minorHAnsi"/>
          <w:rtl/>
        </w:rPr>
        <w:t>تكاليف أداء العناية الواجبة على الطرف الآخر الذي سيتم ترخيص الملكية الفكرية له أو التنازل له عنها.</w:t>
      </w:r>
    </w:p>
    <w:p w14:paraId="28E6F912" w14:textId="61169988" w:rsidR="00E8794D" w:rsidRPr="00F30EF3" w:rsidRDefault="00E8794D" w:rsidP="00215996">
      <w:pPr>
        <w:widowControl w:val="0"/>
        <w:autoSpaceDE w:val="0"/>
        <w:autoSpaceDN w:val="0"/>
        <w:spacing w:after="120" w:line="240" w:lineRule="auto"/>
        <w:ind w:left="432"/>
        <w:jc w:val="both"/>
        <w:rPr>
          <w:rFonts w:cstheme="minorHAnsi"/>
          <w:color w:val="000000" w:themeColor="text1"/>
          <w:rtl/>
        </w:rPr>
      </w:pPr>
      <w:r w:rsidRPr="00F30EF3">
        <w:rPr>
          <w:rFonts w:cstheme="minorHAnsi"/>
          <w:color w:val="000000" w:themeColor="text1"/>
          <w:rtl/>
        </w:rPr>
        <w:t>كما هو موضح في المادة 1.2.2.10، يُلاحظ أن تكاليف تصنيع أو شحن أو توزيع المنتجات أو العمليات أو الخدمات التي تجسد الملكية الفكرية المحددة لن يتم تضمينها إلا إذا صنعت المؤسسة المنتج أو العملية أو الخدمة مباشرةً. وإذا لم يكن الأمر كذلك، فليس من المناسب تضمين مثل هذه التكاليف في نفقات الملكية الفكرية حيث سيتحملها المُرخَّص له أو المُتنازَل إليه.</w:t>
      </w:r>
    </w:p>
    <w:p w14:paraId="28981956" w14:textId="77777777" w:rsidR="00E8794D" w:rsidRPr="00F30EF3" w:rsidRDefault="00E8794D" w:rsidP="00215996">
      <w:pPr>
        <w:widowControl w:val="0"/>
        <w:autoSpaceDE w:val="0"/>
        <w:autoSpaceDN w:val="0"/>
        <w:spacing w:after="120" w:line="240" w:lineRule="auto"/>
        <w:ind w:left="432"/>
        <w:jc w:val="both"/>
        <w:rPr>
          <w:rFonts w:cstheme="minorHAnsi"/>
          <w:rtl/>
        </w:rPr>
      </w:pPr>
      <w:r w:rsidRPr="00F30EF3">
        <w:rPr>
          <w:rFonts w:cstheme="minorHAnsi"/>
          <w:color w:val="000000" w:themeColor="text1"/>
          <w:rtl/>
        </w:rPr>
        <w:t>وأخيراً، لا يُوصى بتضمين وقت الموظفين في مكتب إدارة الملكية الفكرية (والذي يتم تضمينه في النفقات العامة للمؤسسة) أو التكاليف الإدارية المتكبدة في هذا المكتب، مثل النسخ الضوئي.</w:t>
      </w:r>
      <w:bookmarkEnd w:id="330"/>
    </w:p>
    <w:p w14:paraId="11929844" w14:textId="7CC8DF65" w:rsidR="00E8794D" w:rsidRPr="00F30EF3" w:rsidRDefault="00E8794D" w:rsidP="00215996">
      <w:pPr>
        <w:pStyle w:val="ListParagraph"/>
        <w:numPr>
          <w:ilvl w:val="0"/>
          <w:numId w:val="102"/>
        </w:numPr>
        <w:tabs>
          <w:tab w:val="left" w:pos="1843"/>
        </w:tabs>
        <w:spacing w:after="120" w:line="240" w:lineRule="auto"/>
        <w:ind w:left="432" w:hanging="426"/>
        <w:contextualSpacing w:val="0"/>
        <w:jc w:val="both"/>
        <w:rPr>
          <w:rFonts w:cstheme="minorHAnsi"/>
          <w:color w:val="000000" w:themeColor="text1"/>
          <w:rtl/>
        </w:rPr>
      </w:pPr>
      <w:r w:rsidRPr="00F30EF3">
        <w:rPr>
          <w:rFonts w:cstheme="minorHAnsi"/>
          <w:b/>
          <w:bCs/>
          <w:color w:val="000000" w:themeColor="text1"/>
          <w:rtl/>
        </w:rPr>
        <w:t xml:space="preserve">المادة 4.2.2.10، </w:t>
      </w:r>
      <w:r w:rsidRPr="00F30EF3">
        <w:rPr>
          <w:rFonts w:cstheme="minorHAnsi"/>
          <w:b/>
          <w:bCs/>
          <w:i/>
          <w:iCs/>
          <w:color w:val="000000" w:themeColor="text1"/>
          <w:rtl/>
        </w:rPr>
        <w:t>الملكية الفكرية ذات الحيازة المشتركة</w:t>
      </w:r>
      <w:r w:rsidRPr="00F30EF3">
        <w:rPr>
          <w:rFonts w:cstheme="minorHAnsi"/>
          <w:b/>
          <w:bCs/>
          <w:color w:val="000000" w:themeColor="text1"/>
          <w:rtl/>
        </w:rPr>
        <w:t>:</w:t>
      </w:r>
      <w:r w:rsidRPr="00F30EF3">
        <w:rPr>
          <w:rFonts w:cstheme="minorHAnsi"/>
          <w:color w:val="000000" w:themeColor="text1"/>
          <w:rtl/>
        </w:rPr>
        <w:t xml:space="preserve"> يجوز أن يشارك طرف آخر في حيازة الملكية الفكرية مثل شريك صناعي أو مؤسسة أخرى. ويمكن أن يتطلب ترتيب الحيازة المشتركة للملكية الفكرية الامتثال للتشريعات الوطنية (على سبيل المثال في جنوب أفريقيا، تستوجب المشاركة في حيازة الملكية مع مؤسسة استيفاء أربعة متطلبات، أحدها هو اتفاق لتقاسم المنافع لضمان الاعتراف دائما</w:t>
      </w:r>
      <w:r w:rsidR="00215996" w:rsidRPr="00F30EF3">
        <w:rPr>
          <w:rFonts w:cstheme="minorHAnsi" w:hint="cs"/>
          <w:color w:val="000000" w:themeColor="text1"/>
          <w:rtl/>
        </w:rPr>
        <w:t>ً</w:t>
      </w:r>
      <w:r w:rsidRPr="00F30EF3">
        <w:rPr>
          <w:rFonts w:cstheme="minorHAnsi"/>
          <w:color w:val="000000" w:themeColor="text1"/>
          <w:rtl/>
        </w:rPr>
        <w:t xml:space="preserve"> بمبدعي الملكية الفكرية ومكافأتهم).  </w:t>
      </w:r>
    </w:p>
    <w:p w14:paraId="4A4277B4" w14:textId="77777777" w:rsidR="00E8794D" w:rsidRPr="00F30EF3" w:rsidRDefault="00E8794D" w:rsidP="00215996">
      <w:pPr>
        <w:spacing w:after="120" w:line="240" w:lineRule="auto"/>
        <w:ind w:left="432"/>
        <w:jc w:val="both"/>
        <w:rPr>
          <w:rFonts w:cstheme="minorHAnsi"/>
          <w:color w:val="000000" w:themeColor="text1"/>
          <w:rtl/>
        </w:rPr>
      </w:pPr>
      <w:r w:rsidRPr="00F30EF3">
        <w:rPr>
          <w:rFonts w:cstheme="minorHAnsi"/>
          <w:color w:val="000000" w:themeColor="text1"/>
          <w:rtl/>
        </w:rPr>
        <w:t xml:space="preserve">يجوز تحديد نسبة المشاركة في الحيازة تعاقدياً عن طريق معادلة موضوعة مسبقاً يتم تحديدها عادةً من خلال نسبة المبدعين المئوية في إبداع الملكية الفكرية في مؤسسة معينة أو مع شريك صناعي.  </w:t>
      </w:r>
    </w:p>
    <w:p w14:paraId="72F722E8" w14:textId="3499451B" w:rsidR="00B32201" w:rsidRPr="00F30EF3" w:rsidRDefault="00B32201">
      <w:pPr>
        <w:bidi w:val="0"/>
        <w:rPr>
          <w:rFonts w:cstheme="minorHAnsi"/>
          <w:color w:val="000000" w:themeColor="text1"/>
          <w:rtl/>
          <w:lang w:val="en-US"/>
        </w:rPr>
      </w:pPr>
      <w:r w:rsidRPr="00F30EF3">
        <w:rPr>
          <w:rFonts w:cstheme="minorHAnsi"/>
          <w:color w:val="000000" w:themeColor="text1"/>
          <w:rtl/>
          <w:lang w:val="en-US"/>
        </w:rPr>
        <w:br w:type="page"/>
      </w:r>
    </w:p>
    <w:p w14:paraId="76FCE7BC" w14:textId="77777777" w:rsidR="00E8794D" w:rsidRPr="00F30EF3" w:rsidRDefault="00E8794D" w:rsidP="00B7519E">
      <w:pPr>
        <w:spacing w:after="0" w:line="240" w:lineRule="auto"/>
        <w:ind w:left="567"/>
        <w:jc w:val="both"/>
        <w:rPr>
          <w:rFonts w:cstheme="minorHAnsi"/>
          <w:color w:val="000000" w:themeColor="text1"/>
          <w:lang w:val="en-US"/>
        </w:rPr>
      </w:pPr>
    </w:p>
    <w:p w14:paraId="0E031B6A" w14:textId="0B1575AF" w:rsidR="008E29A8" w:rsidRPr="00F30EF3" w:rsidRDefault="008E29A8"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cstheme="minorHAnsi"/>
          <w:b/>
          <w:bCs/>
          <w:rtl/>
        </w:rPr>
      </w:pPr>
      <w:r w:rsidRPr="00F30EF3">
        <w:rPr>
          <w:rFonts w:cstheme="minorHAnsi"/>
          <w:b/>
          <w:bCs/>
          <w:rtl/>
        </w:rPr>
        <w:t xml:space="preserve">الإطار </w:t>
      </w:r>
      <w:r w:rsidR="00B32201" w:rsidRPr="00F30EF3">
        <w:rPr>
          <w:rFonts w:cstheme="minorHAnsi"/>
          <w:b/>
          <w:bCs/>
        </w:rPr>
        <w:t>74</w:t>
      </w:r>
      <w:r w:rsidR="00215996" w:rsidRPr="00F30EF3">
        <w:rPr>
          <w:rFonts w:cstheme="minorHAnsi" w:hint="cs"/>
          <w:b/>
          <w:bCs/>
          <w:rtl/>
        </w:rPr>
        <w:t>.</w:t>
      </w:r>
      <w:r w:rsidRPr="00F30EF3">
        <w:rPr>
          <w:rFonts w:cstheme="minorHAnsi"/>
          <w:b/>
          <w:bCs/>
          <w:rtl/>
        </w:rPr>
        <w:t xml:space="preserve"> تقاسم المنافع من تسويق الملكية الفكرية ذات الحيازة المشتركة - مثال افتراضي</w:t>
      </w:r>
    </w:p>
    <w:p w14:paraId="283F722C" w14:textId="77777777" w:rsidR="008E29A8" w:rsidRPr="00F30EF3" w:rsidRDefault="008E29A8"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cstheme="minorHAnsi"/>
          <w:b/>
          <w:bCs/>
          <w:lang w:val="en-US"/>
        </w:rPr>
      </w:pPr>
    </w:p>
    <w:p w14:paraId="250BD276" w14:textId="37F8D37C" w:rsidR="00E8794D" w:rsidRPr="00F30EF3"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cstheme="minorHAnsi"/>
          <w:color w:val="000000" w:themeColor="text1"/>
          <w:rtl/>
        </w:rPr>
      </w:pPr>
      <w:r w:rsidRPr="00F30EF3">
        <w:rPr>
          <w:rFonts w:cstheme="minorHAnsi"/>
          <w:color w:val="000000" w:themeColor="text1"/>
          <w:rtl/>
        </w:rPr>
        <w:t>على سبيل المثال، أنشأت المؤسسة (أ) ملكية فكرية بنسبة 65% وأنشأ الشريك الصناعي ملكية فكرية بنسبة 35%. سيتم تقاسم الإيرادات الناتجة عن تسويق الملكية الفكرية بنسبة 65% للمؤسسة (أ) و35% للشريك (ب). وبعد ذلك، ستبين استمارة الكشف عن الملكية الفكرية (المادة 2.8 والمادة 3.8) كم تكون النسبة المئوية لنسبة 65% المملوكة من قِبل المؤسسة (أ) التي أنشأها موظفوها أو طلابها أو زائروها. إذا ساهم كل من الموظف (س) و(ص) بنسبة 25% والزائر (ع) بنسبة 15%، فسيتم تقاسم الإيرادات (100,000 وحدة من إجمالي إيرادات الملكية الفكرية [قد تكون بأي عملة] والتي كانت حصة المؤسسة (أ)) على النحو التالي:</w:t>
      </w:r>
    </w:p>
    <w:p w14:paraId="5195AF7D" w14:textId="77777777" w:rsidR="00E8794D" w:rsidRPr="00F30EF3"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cstheme="minorHAnsi"/>
          <w:color w:val="000000" w:themeColor="text1"/>
          <w:lang w:val="en-US"/>
        </w:rPr>
      </w:pPr>
    </w:p>
    <w:p w14:paraId="767A3835" w14:textId="77777777" w:rsidR="00E8794D" w:rsidRPr="00F30EF3"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cstheme="minorHAnsi"/>
          <w:color w:val="000000" w:themeColor="text1"/>
          <w:rtl/>
        </w:rPr>
      </w:pPr>
      <w:r w:rsidRPr="00F30EF3">
        <w:rPr>
          <w:rFonts w:cstheme="minorHAnsi"/>
          <w:color w:val="000000" w:themeColor="text1"/>
          <w:rtl/>
        </w:rPr>
        <w:t>100,000 وحدة تساوي 65% من إجمالي إيرادات الملكية الفكرية التي تتلقاها المؤسسة (أ)</w:t>
      </w:r>
    </w:p>
    <w:p w14:paraId="49CB3560" w14:textId="77777777" w:rsidR="00E8794D" w:rsidRPr="00F30EF3"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cstheme="minorHAnsi"/>
          <w:color w:val="000000" w:themeColor="text1"/>
          <w:lang w:val="en-US"/>
        </w:rPr>
      </w:pPr>
    </w:p>
    <w:p w14:paraId="13CB81EA" w14:textId="77777777" w:rsidR="00E8794D" w:rsidRPr="00F30EF3"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cstheme="minorHAnsi"/>
          <w:color w:val="000000" w:themeColor="text1"/>
          <w:rtl/>
        </w:rPr>
      </w:pPr>
      <w:r w:rsidRPr="00F30EF3">
        <w:rPr>
          <w:rFonts w:cstheme="minorHAnsi"/>
          <w:color w:val="000000" w:themeColor="text1"/>
          <w:rtl/>
        </w:rPr>
        <w:t>الموظف (س)‏ = 25%‏/65%‏*100,000 = 38,462</w:t>
      </w:r>
    </w:p>
    <w:p w14:paraId="01439FEA" w14:textId="77777777" w:rsidR="00E8794D" w:rsidRPr="00F30EF3"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cstheme="minorHAnsi"/>
          <w:color w:val="000000" w:themeColor="text1"/>
          <w:rtl/>
        </w:rPr>
      </w:pPr>
      <w:r w:rsidRPr="00F30EF3">
        <w:rPr>
          <w:rFonts w:cstheme="minorHAnsi"/>
          <w:color w:val="000000" w:themeColor="text1"/>
          <w:rtl/>
        </w:rPr>
        <w:t>الموظف (ص)‏ = 25%/65%‏*100,000 = 38,462</w:t>
      </w:r>
    </w:p>
    <w:p w14:paraId="1A5A8670" w14:textId="77777777" w:rsidR="00E8794D" w:rsidRPr="00F30EF3" w:rsidRDefault="00E8794D" w:rsidP="00F841B0">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tabs>
          <w:tab w:val="left" w:pos="1843"/>
        </w:tabs>
        <w:spacing w:after="0" w:line="240" w:lineRule="auto"/>
        <w:ind w:left="426"/>
        <w:jc w:val="both"/>
        <w:rPr>
          <w:rFonts w:cstheme="minorHAnsi"/>
          <w:color w:val="000000" w:themeColor="text1"/>
          <w:rtl/>
        </w:rPr>
      </w:pPr>
      <w:r w:rsidRPr="00F30EF3">
        <w:rPr>
          <w:rFonts w:cstheme="minorHAnsi"/>
          <w:color w:val="000000" w:themeColor="text1"/>
          <w:rtl/>
        </w:rPr>
        <w:t>الزائر (ع)‏ = 15%‏/65%*‏*100,000 = 23,076</w:t>
      </w:r>
    </w:p>
    <w:p w14:paraId="1DE43388" w14:textId="77777777" w:rsidR="00E8794D" w:rsidRPr="00F30EF3" w:rsidRDefault="00E8794D" w:rsidP="00B7519E">
      <w:pPr>
        <w:tabs>
          <w:tab w:val="left" w:pos="1843"/>
        </w:tabs>
        <w:spacing w:after="0" w:line="240" w:lineRule="auto"/>
        <w:jc w:val="both"/>
        <w:rPr>
          <w:rFonts w:cstheme="minorHAnsi"/>
          <w:color w:val="000000" w:themeColor="text1"/>
          <w:lang w:val="en-US"/>
        </w:rPr>
      </w:pPr>
    </w:p>
    <w:p w14:paraId="5699BA44" w14:textId="2F77C0A7" w:rsidR="00E8794D" w:rsidRPr="00F30EF3" w:rsidRDefault="00E8794D" w:rsidP="00B7519E">
      <w:pPr>
        <w:pStyle w:val="ListParagraph"/>
        <w:tabs>
          <w:tab w:val="left" w:pos="1843"/>
        </w:tabs>
        <w:spacing w:after="0" w:line="240" w:lineRule="auto"/>
        <w:ind w:left="426"/>
        <w:jc w:val="both"/>
        <w:rPr>
          <w:rFonts w:cstheme="minorHAnsi"/>
          <w:color w:val="000000" w:themeColor="text1"/>
          <w:rtl/>
        </w:rPr>
      </w:pPr>
      <w:r w:rsidRPr="00F30EF3">
        <w:rPr>
          <w:rFonts w:cstheme="minorHAnsi"/>
          <w:color w:val="000000" w:themeColor="text1"/>
          <w:rtl/>
        </w:rPr>
        <w:t>في حالة تعذر تحديد النسبة المئوية لملكية المؤسسة أو شريك الصناعة للملكية الفكرية، يُفترض عندئذٍ أن الملكية الفكرية مملوكة بحصة متساوية وغير مقسّمة. وبالمثل، إذا كان غير ممكن تحديد المساهمة الفردية لكل منشئ للملكية الفكرية في الحصة الإجمالية في إنشاء الملكية الفكرية، يُفترض أن تكون درجة إنشاء الملكية الفكرية في حصة متساوية غير مقسمة.</w:t>
      </w:r>
    </w:p>
    <w:p w14:paraId="628B9A54" w14:textId="77777777" w:rsidR="008E29A8" w:rsidRPr="00F30EF3" w:rsidRDefault="008E29A8" w:rsidP="008E29A8">
      <w:pPr>
        <w:pStyle w:val="Heading3"/>
        <w:spacing w:after="240"/>
        <w:jc w:val="both"/>
        <w:rPr>
          <w:rFonts w:asciiTheme="minorHAnsi" w:hAnsiTheme="minorHAnsi" w:cstheme="minorHAnsi"/>
          <w:sz w:val="24"/>
          <w:szCs w:val="24"/>
          <w:rtl/>
        </w:rPr>
      </w:pPr>
      <w:bookmarkStart w:id="331" w:name="_Toc516160096"/>
      <w:bookmarkStart w:id="332" w:name="_Toc516219432"/>
      <w:bookmarkStart w:id="333" w:name="_Toc516496076"/>
      <w:bookmarkStart w:id="334" w:name="_Toc516829448"/>
      <w:r w:rsidRPr="00F30EF3">
        <w:rPr>
          <w:rFonts w:asciiTheme="minorHAnsi" w:hAnsiTheme="minorHAnsi" w:cstheme="minorHAnsi"/>
          <w:sz w:val="24"/>
          <w:szCs w:val="24"/>
          <w:rtl/>
        </w:rPr>
        <w:t>تقاسم الإيرادات - المبدعون/المُمكّنون</w:t>
      </w:r>
      <w:bookmarkEnd w:id="331"/>
      <w:bookmarkEnd w:id="332"/>
      <w:bookmarkEnd w:id="333"/>
      <w:bookmarkEnd w:id="334"/>
    </w:p>
    <w:p w14:paraId="20AC85F3" w14:textId="01DD6FF3" w:rsidR="00E8794D" w:rsidRPr="00F30EF3" w:rsidRDefault="00E8794D" w:rsidP="009D4A54">
      <w:pPr>
        <w:pStyle w:val="ListParagraph"/>
        <w:numPr>
          <w:ilvl w:val="0"/>
          <w:numId w:val="101"/>
        </w:numPr>
        <w:spacing w:after="0" w:line="240" w:lineRule="auto"/>
        <w:ind w:left="426" w:hanging="426"/>
        <w:jc w:val="both"/>
        <w:rPr>
          <w:rFonts w:cstheme="minorHAnsi"/>
          <w:color w:val="000000" w:themeColor="text1"/>
          <w:rtl/>
        </w:rPr>
      </w:pPr>
      <w:r w:rsidRPr="00F30EF3">
        <w:rPr>
          <w:rFonts w:cstheme="minorHAnsi"/>
          <w:b/>
          <w:bCs/>
          <w:color w:val="000000" w:themeColor="text1"/>
          <w:rtl/>
        </w:rPr>
        <w:t xml:space="preserve">المادة 1.3.2.10، </w:t>
      </w:r>
      <w:r w:rsidRPr="00F30EF3">
        <w:rPr>
          <w:rFonts w:cstheme="minorHAnsi"/>
          <w:b/>
          <w:bCs/>
          <w:i/>
          <w:iCs/>
          <w:color w:val="000000" w:themeColor="text1"/>
          <w:rtl/>
        </w:rPr>
        <w:t>النسبة المئوية % من إجمالي إيرادات الملكية الفكرية / النسبة المئوية % من صافي إيرادات الملكية الفكرية:</w:t>
      </w:r>
      <w:r w:rsidRPr="00F30EF3">
        <w:rPr>
          <w:rFonts w:cstheme="minorHAnsi"/>
          <w:b/>
          <w:bCs/>
          <w:color w:val="000000" w:themeColor="text1"/>
          <w:rtl/>
        </w:rPr>
        <w:t xml:space="preserve"> </w:t>
      </w:r>
      <w:r w:rsidRPr="00F30EF3">
        <w:rPr>
          <w:rFonts w:cstheme="minorHAnsi"/>
          <w:color w:val="000000" w:themeColor="text1"/>
          <w:rtl/>
        </w:rPr>
        <w:t xml:space="preserve">كنقطة انطلاق أولى، يجب على المؤسسات أن تتأكد من أن صيغة تقاسم المنافع الخاصة بها متوافقة مع أي تشريعات وطنية في هذا الصدد. ويجوز للمؤسسة أن تختار ما إذا كانت ستكافئ مبدعي/مُمكّني الملكية الفكرية من إجمالي و/أو صافي إيرادات الملكية الفكرية في حالة تناول التشريع لذلك أو عدم وجود تشريع.  </w:t>
      </w:r>
    </w:p>
    <w:p w14:paraId="159B714E" w14:textId="77777777" w:rsidR="00020809" w:rsidRPr="00F30EF3" w:rsidRDefault="00020809" w:rsidP="00B7519E">
      <w:pPr>
        <w:pStyle w:val="ListParagraph"/>
        <w:spacing w:after="0" w:line="240" w:lineRule="auto"/>
        <w:ind w:left="426"/>
        <w:jc w:val="both"/>
        <w:rPr>
          <w:rFonts w:cstheme="minorHAnsi"/>
          <w:color w:val="000000" w:themeColor="text1"/>
          <w:lang w:val="en-US"/>
        </w:rPr>
      </w:pPr>
    </w:p>
    <w:p w14:paraId="07566F64" w14:textId="300636DF" w:rsidR="00CA48D2" w:rsidRPr="00F30EF3" w:rsidRDefault="00020809" w:rsidP="009D4A54">
      <w:pPr>
        <w:pStyle w:val="ListParagraph"/>
        <w:numPr>
          <w:ilvl w:val="0"/>
          <w:numId w:val="101"/>
        </w:numPr>
        <w:spacing w:after="0" w:line="240" w:lineRule="auto"/>
        <w:ind w:left="426" w:hanging="426"/>
        <w:jc w:val="both"/>
        <w:rPr>
          <w:rFonts w:cstheme="minorHAnsi"/>
          <w:color w:val="000000" w:themeColor="text1"/>
          <w:rtl/>
        </w:rPr>
      </w:pPr>
      <w:r w:rsidRPr="00F30EF3">
        <w:rPr>
          <w:rFonts w:cstheme="minorHAnsi"/>
          <w:b/>
          <w:bCs/>
          <w:color w:val="000000" w:themeColor="text1"/>
          <w:rtl/>
        </w:rPr>
        <w:t xml:space="preserve">المادة 1.3.2.10 و2.3.2.12، حصة المبدع/المُمكّن المعيارية: </w:t>
      </w:r>
      <w:r w:rsidRPr="00F30EF3">
        <w:rPr>
          <w:rFonts w:cstheme="minorHAnsi"/>
          <w:color w:val="000000" w:themeColor="text1"/>
          <w:rtl/>
        </w:rPr>
        <w:t>تحدث التغييرات التي تطرأ على الحوافز تغييراً في سلوك المبدعين/ المُمكّنين. وأُجريت العديد من الدراسات حول الارتباط بين النسبة المئوية لإتاوات المبدع ومقدار التراخيص أو الشركات المنبثقة. تكمن الاستنتاجات العامة لهذه الدراسات</w:t>
      </w:r>
      <w:r w:rsidR="00FF6014" w:rsidRPr="00F30EF3">
        <w:rPr>
          <w:rStyle w:val="FootnoteReference"/>
          <w:rFonts w:cstheme="minorHAnsi"/>
          <w:color w:val="000000" w:themeColor="text1"/>
          <w:rtl/>
          <w:lang w:val="en-US"/>
        </w:rPr>
        <w:footnoteReference w:id="183"/>
      </w:r>
      <w:r w:rsidRPr="00F30EF3">
        <w:rPr>
          <w:rFonts w:cstheme="minorHAnsi"/>
          <w:color w:val="000000" w:themeColor="text1"/>
          <w:rtl/>
        </w:rPr>
        <w:t xml:space="preserve"> في:</w:t>
      </w:r>
    </w:p>
    <w:p w14:paraId="19FC0FB2" w14:textId="77777777" w:rsidR="00FF6014" w:rsidRPr="00F30EF3" w:rsidRDefault="00FF6014" w:rsidP="009D4A54">
      <w:pPr>
        <w:pStyle w:val="ListParagraph"/>
        <w:numPr>
          <w:ilvl w:val="0"/>
          <w:numId w:val="105"/>
        </w:numPr>
        <w:spacing w:after="0" w:line="240" w:lineRule="auto"/>
        <w:ind w:left="851" w:hanging="425"/>
        <w:jc w:val="both"/>
        <w:rPr>
          <w:rFonts w:cstheme="minorHAnsi"/>
          <w:color w:val="000000" w:themeColor="text1"/>
          <w:rtl/>
        </w:rPr>
      </w:pPr>
      <w:r w:rsidRPr="00F30EF3">
        <w:rPr>
          <w:rFonts w:cstheme="minorHAnsi"/>
          <w:color w:val="000000" w:themeColor="text1"/>
          <w:rtl/>
        </w:rPr>
        <w:t xml:space="preserve">ستوفر السياسات التي توفر حوافز لأعضاء هيئة التدريس المبتدئين من </w:t>
      </w:r>
      <w:r w:rsidRPr="00F30EF3">
        <w:rPr>
          <w:rFonts w:cstheme="minorHAnsi"/>
          <w:b/>
          <w:bCs/>
          <w:color w:val="000000" w:themeColor="text1"/>
          <w:rtl/>
        </w:rPr>
        <w:t xml:space="preserve">البراءات والتراخيص </w:t>
      </w:r>
      <w:r w:rsidRPr="00F30EF3">
        <w:rPr>
          <w:rFonts w:cstheme="minorHAnsi"/>
          <w:color w:val="000000" w:themeColor="text1"/>
          <w:rtl/>
        </w:rPr>
        <w:t>الخاصة بالمؤسسة.</w:t>
      </w:r>
      <w:r w:rsidRPr="00F30EF3">
        <w:rPr>
          <w:rStyle w:val="FootnoteReference"/>
          <w:rFonts w:cstheme="minorHAnsi"/>
          <w:color w:val="000000" w:themeColor="text1"/>
          <w:rtl/>
          <w:lang w:val="en-US"/>
        </w:rPr>
        <w:footnoteReference w:id="184"/>
      </w:r>
    </w:p>
    <w:p w14:paraId="75F2D443" w14:textId="77777777" w:rsidR="00CA48D2" w:rsidRPr="00F30EF3" w:rsidRDefault="00CA48D2" w:rsidP="009D4A54">
      <w:pPr>
        <w:pStyle w:val="ListParagraph"/>
        <w:numPr>
          <w:ilvl w:val="0"/>
          <w:numId w:val="105"/>
        </w:numPr>
        <w:spacing w:after="0" w:line="240" w:lineRule="auto"/>
        <w:ind w:left="851" w:hanging="425"/>
        <w:jc w:val="both"/>
        <w:rPr>
          <w:rFonts w:cstheme="minorHAnsi"/>
          <w:color w:val="000000" w:themeColor="text1"/>
          <w:rtl/>
        </w:rPr>
      </w:pPr>
      <w:r w:rsidRPr="00F30EF3">
        <w:rPr>
          <w:rFonts w:cstheme="minorHAnsi"/>
          <w:color w:val="000000" w:themeColor="text1"/>
          <w:rtl/>
        </w:rPr>
        <w:t xml:space="preserve">من خلال تخصيص حصة أعلى من الإتاوات للمبدعين، ستقوم المؤسسات عموماً </w:t>
      </w:r>
      <w:r w:rsidRPr="00F30EF3">
        <w:rPr>
          <w:rFonts w:cstheme="minorHAnsi"/>
          <w:b/>
          <w:bCs/>
          <w:color w:val="000000" w:themeColor="text1"/>
          <w:rtl/>
        </w:rPr>
        <w:t>بترخيص</w:t>
      </w:r>
      <w:r w:rsidRPr="00F30EF3">
        <w:rPr>
          <w:rFonts w:cstheme="minorHAnsi"/>
          <w:color w:val="000000" w:themeColor="text1"/>
          <w:rtl/>
        </w:rPr>
        <w:t xml:space="preserve"> المزيد من الاختراعات للشركات القائمة</w:t>
      </w:r>
      <w:r w:rsidR="00721457" w:rsidRPr="00F30EF3">
        <w:rPr>
          <w:rStyle w:val="FootnoteReference"/>
          <w:rFonts w:cstheme="minorHAnsi"/>
          <w:color w:val="000000" w:themeColor="text1"/>
          <w:rtl/>
          <w:lang w:val="en-US"/>
        </w:rPr>
        <w:footnoteReference w:id="185"/>
      </w:r>
      <w:r w:rsidRPr="00F30EF3">
        <w:rPr>
          <w:rFonts w:cstheme="minorHAnsi"/>
          <w:color w:val="000000" w:themeColor="text1"/>
          <w:rtl/>
        </w:rPr>
        <w:t>؛</w:t>
      </w:r>
    </w:p>
    <w:p w14:paraId="7FC5FBCE" w14:textId="77777777" w:rsidR="00CA48D2" w:rsidRPr="00F30EF3" w:rsidRDefault="00CA48D2" w:rsidP="009D4A54">
      <w:pPr>
        <w:pStyle w:val="ListParagraph"/>
        <w:numPr>
          <w:ilvl w:val="0"/>
          <w:numId w:val="105"/>
        </w:numPr>
        <w:spacing w:after="0" w:line="240" w:lineRule="auto"/>
        <w:ind w:left="851" w:hanging="425"/>
        <w:jc w:val="both"/>
        <w:rPr>
          <w:rFonts w:cstheme="minorHAnsi"/>
          <w:color w:val="000000" w:themeColor="text1"/>
          <w:rtl/>
        </w:rPr>
      </w:pPr>
      <w:r w:rsidRPr="00F30EF3">
        <w:rPr>
          <w:rFonts w:cstheme="minorHAnsi"/>
          <w:color w:val="000000" w:themeColor="text1"/>
          <w:rtl/>
        </w:rPr>
        <w:t xml:space="preserve">سيؤدي تخصيص حصة أقل للمبدعين إلى تقليل عدد التراخيص وتعزيز إنشاء </w:t>
      </w:r>
      <w:r w:rsidRPr="00F30EF3">
        <w:rPr>
          <w:rFonts w:cstheme="minorHAnsi"/>
          <w:b/>
          <w:bCs/>
          <w:color w:val="000000" w:themeColor="text1"/>
          <w:rtl/>
        </w:rPr>
        <w:t>الشركات المنبثقة</w:t>
      </w:r>
      <w:r w:rsidR="00721457" w:rsidRPr="00F30EF3">
        <w:rPr>
          <w:rStyle w:val="FootnoteReference"/>
          <w:rFonts w:cstheme="minorHAnsi"/>
          <w:b/>
          <w:bCs/>
          <w:color w:val="000000" w:themeColor="text1"/>
          <w:rtl/>
          <w:lang w:val="en-US"/>
        </w:rPr>
        <w:footnoteReference w:id="186"/>
      </w:r>
      <w:r w:rsidRPr="00F30EF3">
        <w:rPr>
          <w:rFonts w:cstheme="minorHAnsi"/>
          <w:color w:val="000000" w:themeColor="text1"/>
          <w:rtl/>
        </w:rPr>
        <w:t xml:space="preserve">.  انظر أيضاً المبادئ التوجيهية </w:t>
      </w:r>
      <w:hyperlink w:anchor="Article9point4" w:history="1">
        <w:r w:rsidRPr="00F30EF3">
          <w:rPr>
            <w:rStyle w:val="Hyperlink"/>
            <w:rFonts w:cstheme="minorHAnsi"/>
            <w:rtl/>
          </w:rPr>
          <w:t>المادة 4.9</w:t>
        </w:r>
      </w:hyperlink>
      <w:r w:rsidRPr="00F30EF3">
        <w:rPr>
          <w:rFonts w:cstheme="minorHAnsi"/>
          <w:color w:val="000000" w:themeColor="text1"/>
          <w:rtl/>
        </w:rPr>
        <w:t>.</w:t>
      </w:r>
    </w:p>
    <w:p w14:paraId="695A1C92" w14:textId="1DDF07EA" w:rsidR="00633C30" w:rsidRPr="00F30EF3" w:rsidRDefault="00633C30">
      <w:pPr>
        <w:bidi w:val="0"/>
        <w:rPr>
          <w:rFonts w:cstheme="minorHAnsi"/>
          <w:color w:val="000000" w:themeColor="text1"/>
          <w:rtl/>
          <w:lang w:val="en-US"/>
        </w:rPr>
      </w:pPr>
      <w:r w:rsidRPr="00F30EF3">
        <w:rPr>
          <w:rFonts w:cstheme="minorHAnsi"/>
          <w:color w:val="000000" w:themeColor="text1"/>
          <w:rtl/>
          <w:lang w:val="en-US"/>
        </w:rPr>
        <w:br w:type="page"/>
      </w:r>
    </w:p>
    <w:p w14:paraId="103F563B" w14:textId="77777777" w:rsidR="00597609" w:rsidRPr="00F30EF3" w:rsidRDefault="00597609" w:rsidP="00B7519E">
      <w:pPr>
        <w:spacing w:after="0" w:line="240" w:lineRule="auto"/>
        <w:jc w:val="both"/>
        <w:rPr>
          <w:rFonts w:cstheme="minorHAnsi"/>
          <w:color w:val="000000" w:themeColor="text1"/>
          <w:lang w:val="en-US"/>
        </w:rPr>
      </w:pPr>
    </w:p>
    <w:p w14:paraId="41070E4A" w14:textId="4E57EAFF" w:rsidR="00597609" w:rsidRPr="00F30EF3" w:rsidRDefault="00597609" w:rsidP="00CF3B0A">
      <w:pPr>
        <w:pBdr>
          <w:top w:val="single" w:sz="4" w:space="1" w:color="auto"/>
          <w:left w:val="single" w:sz="4" w:space="0" w:color="auto"/>
          <w:bottom w:val="single" w:sz="4" w:space="1" w:color="auto"/>
          <w:right w:val="single" w:sz="4" w:space="4" w:color="auto"/>
        </w:pBdr>
        <w:shd w:val="clear" w:color="auto" w:fill="D9D9D9" w:themeFill="background1" w:themeFillShade="D9"/>
        <w:spacing w:after="0" w:line="240" w:lineRule="auto"/>
        <w:ind w:left="426"/>
        <w:jc w:val="both"/>
        <w:rPr>
          <w:rFonts w:cstheme="minorHAnsi"/>
          <w:b/>
          <w:bCs/>
          <w:rtl/>
        </w:rPr>
      </w:pPr>
      <w:r w:rsidRPr="00F30EF3">
        <w:rPr>
          <w:rFonts w:cstheme="minorHAnsi"/>
          <w:b/>
          <w:bCs/>
          <w:rtl/>
        </w:rPr>
        <w:t xml:space="preserve">إطار </w:t>
      </w:r>
      <w:r w:rsidR="00633C30" w:rsidRPr="00F30EF3">
        <w:rPr>
          <w:rFonts w:cstheme="minorHAnsi"/>
          <w:b/>
          <w:bCs/>
        </w:rPr>
        <w:t>75</w:t>
      </w:r>
      <w:r w:rsidR="00CF3B0A" w:rsidRPr="00F30EF3">
        <w:rPr>
          <w:rFonts w:cstheme="minorHAnsi" w:hint="cs"/>
          <w:b/>
          <w:bCs/>
          <w:rtl/>
        </w:rPr>
        <w:t>.</w:t>
      </w:r>
      <w:r w:rsidRPr="00F30EF3">
        <w:rPr>
          <w:rFonts w:cstheme="minorHAnsi"/>
          <w:b/>
          <w:bCs/>
          <w:rtl/>
        </w:rPr>
        <w:t xml:space="preserve"> مقارنة تقاسم المنافع بين جامعتين</w:t>
      </w:r>
    </w:p>
    <w:p w14:paraId="46BC1362" w14:textId="77777777" w:rsidR="00597609" w:rsidRPr="00F30EF3" w:rsidRDefault="00597609" w:rsidP="00CF3B0A">
      <w:pPr>
        <w:pBdr>
          <w:top w:val="single" w:sz="4" w:space="1" w:color="auto"/>
          <w:left w:val="single" w:sz="4" w:space="0" w:color="auto"/>
          <w:bottom w:val="single" w:sz="4" w:space="1" w:color="auto"/>
          <w:right w:val="single" w:sz="4" w:space="4" w:color="auto"/>
        </w:pBdr>
        <w:shd w:val="clear" w:color="auto" w:fill="D9D9D9" w:themeFill="background1" w:themeFillShade="D9"/>
        <w:spacing w:after="0" w:line="240" w:lineRule="auto"/>
        <w:ind w:left="426"/>
        <w:jc w:val="both"/>
        <w:rPr>
          <w:rFonts w:cstheme="minorHAnsi"/>
          <w:b/>
          <w:bCs/>
          <w:lang w:val="en-US"/>
        </w:rPr>
      </w:pPr>
    </w:p>
    <w:p w14:paraId="38408306" w14:textId="77777777" w:rsidR="00B8209E" w:rsidRPr="00F30EF3" w:rsidRDefault="00B8209E" w:rsidP="00CF3B0A">
      <w:pPr>
        <w:pStyle w:val="ListParagraph"/>
        <w:pBdr>
          <w:top w:val="single" w:sz="4" w:space="1" w:color="auto"/>
          <w:left w:val="single" w:sz="4" w:space="0"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cstheme="minorHAnsi"/>
          <w:color w:val="000000" w:themeColor="text1"/>
          <w:rtl/>
        </w:rPr>
      </w:pPr>
      <w:r w:rsidRPr="00F30EF3">
        <w:rPr>
          <w:rFonts w:cstheme="minorHAnsi"/>
          <w:color w:val="000000" w:themeColor="text1"/>
          <w:rtl/>
        </w:rPr>
        <w:t>تقدم</w:t>
      </w:r>
      <w:r w:rsidRPr="00F30EF3">
        <w:rPr>
          <w:rFonts w:cstheme="minorHAnsi"/>
          <w:b/>
          <w:bCs/>
          <w:color w:val="000000" w:themeColor="text1"/>
          <w:rtl/>
        </w:rPr>
        <w:t xml:space="preserve"> </w:t>
      </w:r>
      <w:r w:rsidRPr="00F30EF3">
        <w:rPr>
          <w:rFonts w:cstheme="minorHAnsi"/>
          <w:b/>
          <w:bCs/>
          <w:color w:val="0070C0"/>
          <w:rtl/>
        </w:rPr>
        <w:t>جامعة كامبريدج</w:t>
      </w:r>
      <w:r w:rsidR="009336DF" w:rsidRPr="00F30EF3">
        <w:rPr>
          <w:rStyle w:val="FootnoteReference"/>
          <w:rFonts w:cstheme="minorHAnsi"/>
          <w:b/>
          <w:bCs/>
          <w:color w:val="000000" w:themeColor="text1"/>
          <w:rtl/>
          <w:lang w:val="en-US"/>
        </w:rPr>
        <w:footnoteReference w:id="187"/>
      </w:r>
      <w:r w:rsidRPr="00F30EF3">
        <w:rPr>
          <w:rFonts w:cstheme="minorHAnsi"/>
          <w:color w:val="000000" w:themeColor="text1"/>
          <w:rtl/>
        </w:rPr>
        <w:t xml:space="preserve"> نسبة عالية من الإتاوات للمخترعين، مما يعزز تراخيص الشركات المنبثقة.</w:t>
      </w:r>
      <w:r w:rsidRPr="00F30EF3">
        <w:rPr>
          <w:rFonts w:cstheme="minorHAnsi"/>
          <w:rtl/>
        </w:rPr>
        <w:t xml:space="preserve"> </w:t>
      </w:r>
    </w:p>
    <w:p w14:paraId="1DEF50A7" w14:textId="77777777" w:rsidR="00F70E42" w:rsidRPr="00F30EF3" w:rsidRDefault="00F70E42" w:rsidP="00CF3B0A">
      <w:pPr>
        <w:pStyle w:val="ListParagraph"/>
        <w:pBdr>
          <w:top w:val="single" w:sz="4" w:space="1" w:color="auto"/>
          <w:left w:val="single" w:sz="4" w:space="0"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cstheme="minorHAnsi"/>
          <w:color w:val="000000" w:themeColor="text1"/>
          <w:lang w:val="en-US"/>
        </w:rPr>
      </w:pPr>
    </w:p>
    <w:tbl>
      <w:tblPr>
        <w:bidiVisual/>
        <w:tblW w:w="0" w:type="auto"/>
        <w:tblInd w:w="426" w:type="dxa"/>
        <w:tblLook w:val="04A0" w:firstRow="1" w:lastRow="0" w:firstColumn="1" w:lastColumn="0" w:noHBand="0" w:noVBand="1"/>
      </w:tblPr>
      <w:tblGrid>
        <w:gridCol w:w="2141"/>
        <w:gridCol w:w="2176"/>
        <w:gridCol w:w="2120"/>
        <w:gridCol w:w="2163"/>
      </w:tblGrid>
      <w:tr w:rsidR="00F70E42" w:rsidRPr="00F30EF3" w14:paraId="3A06858B" w14:textId="77777777" w:rsidTr="00B7519E">
        <w:tc>
          <w:tcPr>
            <w:tcW w:w="2310" w:type="dxa"/>
            <w:shd w:val="clear" w:color="auto" w:fill="A6A6A6" w:themeFill="background1" w:themeFillShade="A6"/>
          </w:tcPr>
          <w:p w14:paraId="00F5D77C" w14:textId="77777777" w:rsidR="00F70E42" w:rsidRPr="00F30EF3" w:rsidRDefault="00F70E42" w:rsidP="00B30378">
            <w:pPr>
              <w:pStyle w:val="ListParagraph"/>
              <w:tabs>
                <w:tab w:val="left" w:pos="1843"/>
              </w:tabs>
              <w:ind w:left="-93"/>
              <w:jc w:val="both"/>
              <w:rPr>
                <w:rFonts w:cstheme="minorHAnsi"/>
                <w:color w:val="000000" w:themeColor="text1"/>
                <w:rtl/>
              </w:rPr>
            </w:pPr>
            <w:r w:rsidRPr="00F30EF3">
              <w:rPr>
                <w:rFonts w:cstheme="minorHAnsi"/>
                <w:color w:val="000000" w:themeColor="text1"/>
                <w:rtl/>
              </w:rPr>
              <w:t>صافي الدخل</w:t>
            </w:r>
          </w:p>
        </w:tc>
        <w:tc>
          <w:tcPr>
            <w:tcW w:w="2310" w:type="dxa"/>
            <w:shd w:val="clear" w:color="auto" w:fill="A6A6A6" w:themeFill="background1" w:themeFillShade="A6"/>
          </w:tcPr>
          <w:p w14:paraId="72586817" w14:textId="77777777" w:rsidR="00F70E42" w:rsidRPr="00F30EF3" w:rsidRDefault="00F70E42" w:rsidP="00B7519E">
            <w:pPr>
              <w:pStyle w:val="ListParagraph"/>
              <w:tabs>
                <w:tab w:val="left" w:pos="1843"/>
              </w:tabs>
              <w:ind w:left="0"/>
              <w:jc w:val="center"/>
              <w:rPr>
                <w:rFonts w:cstheme="minorHAnsi"/>
                <w:color w:val="000000" w:themeColor="text1"/>
                <w:rtl/>
              </w:rPr>
            </w:pPr>
            <w:r w:rsidRPr="00F30EF3">
              <w:rPr>
                <w:rFonts w:cstheme="minorHAnsi"/>
                <w:color w:val="000000" w:themeColor="text1"/>
                <w:rtl/>
              </w:rPr>
              <w:t>المخترعون (المتشاركون)</w:t>
            </w:r>
          </w:p>
        </w:tc>
        <w:tc>
          <w:tcPr>
            <w:tcW w:w="2311" w:type="dxa"/>
            <w:shd w:val="clear" w:color="auto" w:fill="A6A6A6" w:themeFill="background1" w:themeFillShade="A6"/>
          </w:tcPr>
          <w:p w14:paraId="449E3577" w14:textId="77777777" w:rsidR="00F70E42" w:rsidRPr="00F30EF3" w:rsidRDefault="00F70E42" w:rsidP="00B7519E">
            <w:pPr>
              <w:pStyle w:val="ListParagraph"/>
              <w:tabs>
                <w:tab w:val="left" w:pos="1843"/>
              </w:tabs>
              <w:ind w:left="0"/>
              <w:jc w:val="center"/>
              <w:rPr>
                <w:rFonts w:cstheme="minorHAnsi"/>
                <w:color w:val="000000" w:themeColor="text1"/>
                <w:rtl/>
              </w:rPr>
            </w:pPr>
            <w:r w:rsidRPr="00F30EF3">
              <w:rPr>
                <w:rFonts w:cstheme="minorHAnsi"/>
                <w:color w:val="000000" w:themeColor="text1"/>
                <w:rtl/>
              </w:rPr>
              <w:t>القسم</w:t>
            </w:r>
          </w:p>
        </w:tc>
        <w:tc>
          <w:tcPr>
            <w:tcW w:w="2311" w:type="dxa"/>
            <w:shd w:val="clear" w:color="auto" w:fill="A6A6A6" w:themeFill="background1" w:themeFillShade="A6"/>
          </w:tcPr>
          <w:p w14:paraId="0475E608" w14:textId="77777777" w:rsidR="00F70E42" w:rsidRPr="00F30EF3" w:rsidRDefault="00F70E42" w:rsidP="00B7519E">
            <w:pPr>
              <w:pStyle w:val="ListParagraph"/>
              <w:tabs>
                <w:tab w:val="left" w:pos="1843"/>
              </w:tabs>
              <w:ind w:left="0"/>
              <w:jc w:val="center"/>
              <w:rPr>
                <w:rFonts w:cstheme="minorHAnsi"/>
                <w:color w:val="000000" w:themeColor="text1"/>
                <w:rtl/>
              </w:rPr>
            </w:pPr>
            <w:r w:rsidRPr="00F30EF3">
              <w:rPr>
                <w:rFonts w:cstheme="minorHAnsi"/>
                <w:color w:val="000000" w:themeColor="text1"/>
                <w:rtl/>
              </w:rPr>
              <w:t>مؤسسة كامبريدج</w:t>
            </w:r>
            <w:r w:rsidRPr="00F30EF3">
              <w:rPr>
                <w:rStyle w:val="FootnoteReference"/>
                <w:rFonts w:cstheme="minorHAnsi"/>
                <w:color w:val="000000" w:themeColor="text1"/>
                <w:rtl/>
                <w:lang w:val="en-US"/>
              </w:rPr>
              <w:footnoteReference w:id="188"/>
            </w:r>
          </w:p>
        </w:tc>
      </w:tr>
      <w:tr w:rsidR="00F70E42" w:rsidRPr="00F30EF3" w14:paraId="12E3854F" w14:textId="77777777" w:rsidTr="00B7519E">
        <w:tc>
          <w:tcPr>
            <w:tcW w:w="2310" w:type="dxa"/>
            <w:shd w:val="clear" w:color="auto" w:fill="D9D9D9" w:themeFill="background1" w:themeFillShade="D9"/>
          </w:tcPr>
          <w:p w14:paraId="273DE7A9" w14:textId="77777777" w:rsidR="00F70E42" w:rsidRPr="00F30EF3" w:rsidRDefault="00F70E42" w:rsidP="00B30378">
            <w:pPr>
              <w:pStyle w:val="ListParagraph"/>
              <w:tabs>
                <w:tab w:val="left" w:pos="1843"/>
              </w:tabs>
              <w:ind w:left="-93"/>
              <w:jc w:val="both"/>
              <w:rPr>
                <w:rFonts w:cstheme="minorHAnsi"/>
                <w:color w:val="000000" w:themeColor="text1"/>
                <w:rtl/>
              </w:rPr>
            </w:pPr>
            <w:r w:rsidRPr="00F30EF3">
              <w:rPr>
                <w:rFonts w:cstheme="minorHAnsi"/>
                <w:color w:val="000000" w:themeColor="text1"/>
                <w:rtl/>
              </w:rPr>
              <w:t>أول 100,000 جنيه إسترليني</w:t>
            </w:r>
          </w:p>
        </w:tc>
        <w:tc>
          <w:tcPr>
            <w:tcW w:w="2310" w:type="dxa"/>
            <w:shd w:val="clear" w:color="auto" w:fill="D9D9D9" w:themeFill="background1" w:themeFillShade="D9"/>
          </w:tcPr>
          <w:p w14:paraId="0CED00C9" w14:textId="77777777" w:rsidR="00F70E42" w:rsidRPr="00F30EF3" w:rsidRDefault="00F70E42" w:rsidP="00B7519E">
            <w:pPr>
              <w:pStyle w:val="ListParagraph"/>
              <w:tabs>
                <w:tab w:val="left" w:pos="1843"/>
              </w:tabs>
              <w:ind w:left="0"/>
              <w:jc w:val="center"/>
              <w:rPr>
                <w:rFonts w:cstheme="minorHAnsi"/>
                <w:color w:val="000000" w:themeColor="text1"/>
                <w:rtl/>
              </w:rPr>
            </w:pPr>
            <w:r w:rsidRPr="00F30EF3">
              <w:rPr>
                <w:rFonts w:cstheme="minorHAnsi"/>
                <w:color w:val="000000" w:themeColor="text1"/>
                <w:rtl/>
              </w:rPr>
              <w:t>90%</w:t>
            </w:r>
          </w:p>
        </w:tc>
        <w:tc>
          <w:tcPr>
            <w:tcW w:w="2311" w:type="dxa"/>
            <w:shd w:val="clear" w:color="auto" w:fill="D9D9D9" w:themeFill="background1" w:themeFillShade="D9"/>
          </w:tcPr>
          <w:p w14:paraId="7B43CFF2" w14:textId="77777777" w:rsidR="00F70E42" w:rsidRPr="00F30EF3" w:rsidRDefault="00F70E42" w:rsidP="00B7519E">
            <w:pPr>
              <w:pStyle w:val="ListParagraph"/>
              <w:tabs>
                <w:tab w:val="left" w:pos="1843"/>
              </w:tabs>
              <w:ind w:left="0"/>
              <w:jc w:val="center"/>
              <w:rPr>
                <w:rFonts w:cstheme="minorHAnsi"/>
                <w:color w:val="000000" w:themeColor="text1"/>
                <w:rtl/>
              </w:rPr>
            </w:pPr>
            <w:r w:rsidRPr="00F30EF3">
              <w:rPr>
                <w:rFonts w:cstheme="minorHAnsi"/>
                <w:color w:val="000000" w:themeColor="text1"/>
                <w:rtl/>
              </w:rPr>
              <w:t>5%</w:t>
            </w:r>
          </w:p>
        </w:tc>
        <w:tc>
          <w:tcPr>
            <w:tcW w:w="2311" w:type="dxa"/>
            <w:shd w:val="clear" w:color="auto" w:fill="D9D9D9" w:themeFill="background1" w:themeFillShade="D9"/>
          </w:tcPr>
          <w:p w14:paraId="738D6834" w14:textId="77777777" w:rsidR="00F70E42" w:rsidRPr="00F30EF3" w:rsidRDefault="00F70E42" w:rsidP="00B7519E">
            <w:pPr>
              <w:pStyle w:val="ListParagraph"/>
              <w:tabs>
                <w:tab w:val="left" w:pos="1843"/>
              </w:tabs>
              <w:ind w:left="0"/>
              <w:jc w:val="center"/>
              <w:rPr>
                <w:rFonts w:cstheme="minorHAnsi"/>
                <w:color w:val="000000" w:themeColor="text1"/>
                <w:rtl/>
              </w:rPr>
            </w:pPr>
            <w:r w:rsidRPr="00F30EF3">
              <w:rPr>
                <w:rFonts w:cstheme="minorHAnsi"/>
                <w:color w:val="000000" w:themeColor="text1"/>
                <w:rtl/>
              </w:rPr>
              <w:t>5%</w:t>
            </w:r>
          </w:p>
        </w:tc>
      </w:tr>
      <w:tr w:rsidR="00F70E42" w:rsidRPr="00F30EF3" w14:paraId="098182D0" w14:textId="77777777" w:rsidTr="00B7519E">
        <w:tc>
          <w:tcPr>
            <w:tcW w:w="2310" w:type="dxa"/>
            <w:shd w:val="clear" w:color="auto" w:fill="D9D9D9" w:themeFill="background1" w:themeFillShade="D9"/>
          </w:tcPr>
          <w:p w14:paraId="3D7DE943" w14:textId="77777777" w:rsidR="00F70E42" w:rsidRPr="00F30EF3" w:rsidRDefault="00F70E42" w:rsidP="00B30378">
            <w:pPr>
              <w:pStyle w:val="ListParagraph"/>
              <w:tabs>
                <w:tab w:val="left" w:pos="1843"/>
              </w:tabs>
              <w:ind w:left="-93"/>
              <w:jc w:val="both"/>
              <w:rPr>
                <w:rFonts w:cstheme="minorHAnsi"/>
                <w:color w:val="000000" w:themeColor="text1"/>
                <w:rtl/>
              </w:rPr>
            </w:pPr>
            <w:r w:rsidRPr="00F30EF3">
              <w:rPr>
                <w:rFonts w:cstheme="minorHAnsi"/>
                <w:color w:val="000000" w:themeColor="text1"/>
                <w:rtl/>
              </w:rPr>
              <w:t>تالي 100,000 جنيه إسترليني</w:t>
            </w:r>
          </w:p>
        </w:tc>
        <w:tc>
          <w:tcPr>
            <w:tcW w:w="2310" w:type="dxa"/>
            <w:shd w:val="clear" w:color="auto" w:fill="D9D9D9" w:themeFill="background1" w:themeFillShade="D9"/>
          </w:tcPr>
          <w:p w14:paraId="226A86B5" w14:textId="77777777" w:rsidR="00F70E42" w:rsidRPr="00F30EF3" w:rsidRDefault="00F70E42" w:rsidP="00B7519E">
            <w:pPr>
              <w:pStyle w:val="ListParagraph"/>
              <w:tabs>
                <w:tab w:val="left" w:pos="1843"/>
              </w:tabs>
              <w:ind w:left="0"/>
              <w:jc w:val="center"/>
              <w:rPr>
                <w:rFonts w:cstheme="minorHAnsi"/>
                <w:color w:val="000000" w:themeColor="text1"/>
                <w:rtl/>
              </w:rPr>
            </w:pPr>
            <w:r w:rsidRPr="00F30EF3">
              <w:rPr>
                <w:rFonts w:cstheme="minorHAnsi"/>
                <w:color w:val="000000" w:themeColor="text1"/>
                <w:rtl/>
              </w:rPr>
              <w:t>60%</w:t>
            </w:r>
          </w:p>
        </w:tc>
        <w:tc>
          <w:tcPr>
            <w:tcW w:w="2311" w:type="dxa"/>
            <w:shd w:val="clear" w:color="auto" w:fill="D9D9D9" w:themeFill="background1" w:themeFillShade="D9"/>
          </w:tcPr>
          <w:p w14:paraId="6BBE9FA6" w14:textId="77777777" w:rsidR="00F70E42" w:rsidRPr="00F30EF3" w:rsidRDefault="00F70E42" w:rsidP="00B7519E">
            <w:pPr>
              <w:pStyle w:val="ListParagraph"/>
              <w:tabs>
                <w:tab w:val="left" w:pos="1843"/>
              </w:tabs>
              <w:ind w:left="0"/>
              <w:jc w:val="center"/>
              <w:rPr>
                <w:rFonts w:cstheme="minorHAnsi"/>
                <w:color w:val="000000" w:themeColor="text1"/>
                <w:rtl/>
              </w:rPr>
            </w:pPr>
            <w:r w:rsidRPr="00F30EF3">
              <w:rPr>
                <w:rFonts w:cstheme="minorHAnsi"/>
                <w:color w:val="000000" w:themeColor="text1"/>
                <w:rtl/>
              </w:rPr>
              <w:t>20%</w:t>
            </w:r>
          </w:p>
        </w:tc>
        <w:tc>
          <w:tcPr>
            <w:tcW w:w="2311" w:type="dxa"/>
            <w:shd w:val="clear" w:color="auto" w:fill="D9D9D9" w:themeFill="background1" w:themeFillShade="D9"/>
          </w:tcPr>
          <w:p w14:paraId="0AFF919A" w14:textId="77777777" w:rsidR="00F70E42" w:rsidRPr="00F30EF3" w:rsidRDefault="00F70E42" w:rsidP="00B7519E">
            <w:pPr>
              <w:pStyle w:val="ListParagraph"/>
              <w:tabs>
                <w:tab w:val="left" w:pos="1843"/>
              </w:tabs>
              <w:ind w:left="0"/>
              <w:jc w:val="center"/>
              <w:rPr>
                <w:rFonts w:cstheme="minorHAnsi"/>
                <w:color w:val="000000" w:themeColor="text1"/>
                <w:rtl/>
              </w:rPr>
            </w:pPr>
            <w:r w:rsidRPr="00F30EF3">
              <w:rPr>
                <w:rFonts w:cstheme="minorHAnsi"/>
                <w:color w:val="000000" w:themeColor="text1"/>
                <w:rtl/>
              </w:rPr>
              <w:t>20%</w:t>
            </w:r>
          </w:p>
        </w:tc>
      </w:tr>
      <w:tr w:rsidR="00F70E42" w:rsidRPr="00F30EF3" w14:paraId="15CE3B07" w14:textId="77777777" w:rsidTr="00B7519E">
        <w:tc>
          <w:tcPr>
            <w:tcW w:w="2310" w:type="dxa"/>
            <w:shd w:val="clear" w:color="auto" w:fill="D9D9D9" w:themeFill="background1" w:themeFillShade="D9"/>
          </w:tcPr>
          <w:p w14:paraId="48840C13" w14:textId="77777777" w:rsidR="00F70E42" w:rsidRPr="00F30EF3" w:rsidRDefault="00F70E42" w:rsidP="00B30378">
            <w:pPr>
              <w:pStyle w:val="ListParagraph"/>
              <w:tabs>
                <w:tab w:val="left" w:pos="1843"/>
              </w:tabs>
              <w:ind w:left="-93"/>
              <w:jc w:val="both"/>
              <w:rPr>
                <w:rFonts w:cstheme="minorHAnsi"/>
                <w:color w:val="000000" w:themeColor="text1"/>
                <w:rtl/>
              </w:rPr>
            </w:pPr>
            <w:r w:rsidRPr="00F30EF3">
              <w:rPr>
                <w:rFonts w:cstheme="minorHAnsi"/>
                <w:color w:val="000000" w:themeColor="text1"/>
                <w:rtl/>
              </w:rPr>
              <w:t>أكثر من 200,000 جنيه إسترليني</w:t>
            </w:r>
          </w:p>
        </w:tc>
        <w:tc>
          <w:tcPr>
            <w:tcW w:w="2310" w:type="dxa"/>
            <w:shd w:val="clear" w:color="auto" w:fill="D9D9D9" w:themeFill="background1" w:themeFillShade="D9"/>
          </w:tcPr>
          <w:p w14:paraId="0CD01CAE" w14:textId="77777777" w:rsidR="00F70E42" w:rsidRPr="00F30EF3" w:rsidRDefault="00F70E42" w:rsidP="00B7519E">
            <w:pPr>
              <w:pStyle w:val="ListParagraph"/>
              <w:tabs>
                <w:tab w:val="left" w:pos="1843"/>
              </w:tabs>
              <w:ind w:left="0"/>
              <w:jc w:val="center"/>
              <w:rPr>
                <w:rFonts w:cstheme="minorHAnsi"/>
                <w:color w:val="000000" w:themeColor="text1"/>
                <w:rtl/>
              </w:rPr>
            </w:pPr>
            <w:r w:rsidRPr="00F30EF3">
              <w:rPr>
                <w:rFonts w:cstheme="minorHAnsi"/>
                <w:color w:val="000000" w:themeColor="text1"/>
                <w:rtl/>
              </w:rPr>
              <w:t>34%</w:t>
            </w:r>
          </w:p>
        </w:tc>
        <w:tc>
          <w:tcPr>
            <w:tcW w:w="2311" w:type="dxa"/>
            <w:shd w:val="clear" w:color="auto" w:fill="D9D9D9" w:themeFill="background1" w:themeFillShade="D9"/>
          </w:tcPr>
          <w:p w14:paraId="26E908A4" w14:textId="77777777" w:rsidR="00F70E42" w:rsidRPr="00F30EF3" w:rsidRDefault="00F70E42" w:rsidP="00B7519E">
            <w:pPr>
              <w:pStyle w:val="ListParagraph"/>
              <w:tabs>
                <w:tab w:val="left" w:pos="1843"/>
              </w:tabs>
              <w:ind w:left="0"/>
              <w:jc w:val="center"/>
              <w:rPr>
                <w:rFonts w:cstheme="minorHAnsi"/>
                <w:color w:val="000000" w:themeColor="text1"/>
                <w:rtl/>
              </w:rPr>
            </w:pPr>
            <w:r w:rsidRPr="00F30EF3">
              <w:rPr>
                <w:rFonts w:cstheme="minorHAnsi"/>
                <w:color w:val="000000" w:themeColor="text1"/>
                <w:rtl/>
              </w:rPr>
              <w:t>33%</w:t>
            </w:r>
          </w:p>
        </w:tc>
        <w:tc>
          <w:tcPr>
            <w:tcW w:w="2311" w:type="dxa"/>
            <w:shd w:val="clear" w:color="auto" w:fill="D9D9D9" w:themeFill="background1" w:themeFillShade="D9"/>
          </w:tcPr>
          <w:p w14:paraId="54FD55B7" w14:textId="77777777" w:rsidR="00F70E42" w:rsidRPr="00F30EF3" w:rsidRDefault="00F70E42" w:rsidP="00B7519E">
            <w:pPr>
              <w:pStyle w:val="ListParagraph"/>
              <w:tabs>
                <w:tab w:val="left" w:pos="1843"/>
              </w:tabs>
              <w:ind w:left="0"/>
              <w:jc w:val="center"/>
              <w:rPr>
                <w:rFonts w:cstheme="minorHAnsi"/>
                <w:color w:val="000000" w:themeColor="text1"/>
                <w:rtl/>
              </w:rPr>
            </w:pPr>
            <w:r w:rsidRPr="00F30EF3">
              <w:rPr>
                <w:rFonts w:cstheme="minorHAnsi"/>
                <w:color w:val="000000" w:themeColor="text1"/>
                <w:rtl/>
              </w:rPr>
              <w:t>33%</w:t>
            </w:r>
          </w:p>
        </w:tc>
      </w:tr>
    </w:tbl>
    <w:p w14:paraId="23BB4473" w14:textId="77777777" w:rsidR="00F70E42" w:rsidRPr="00F30EF3" w:rsidRDefault="00F70E42"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cstheme="minorHAnsi"/>
          <w:color w:val="000000" w:themeColor="text1"/>
          <w:lang w:val="en-US"/>
        </w:rPr>
      </w:pPr>
    </w:p>
    <w:p w14:paraId="623DBF80" w14:textId="77777777" w:rsidR="009336DF" w:rsidRPr="00F30EF3" w:rsidRDefault="009336DF"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cstheme="minorHAnsi"/>
          <w:color w:val="000000" w:themeColor="text1"/>
          <w:lang w:val="en-US"/>
        </w:rPr>
      </w:pPr>
    </w:p>
    <w:p w14:paraId="75E87587" w14:textId="77777777" w:rsidR="00B8209E" w:rsidRPr="00F30EF3" w:rsidRDefault="00B8209E"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cstheme="minorHAnsi"/>
          <w:color w:val="000000" w:themeColor="text1"/>
          <w:rtl/>
        </w:rPr>
      </w:pPr>
      <w:r w:rsidRPr="00F30EF3">
        <w:rPr>
          <w:rFonts w:cstheme="minorHAnsi"/>
          <w:color w:val="000000" w:themeColor="text1"/>
          <w:rtl/>
        </w:rPr>
        <w:t xml:space="preserve">تحسب الإتاوات في </w:t>
      </w:r>
      <w:r w:rsidRPr="00F30EF3">
        <w:rPr>
          <w:rFonts w:cstheme="minorHAnsi"/>
          <w:b/>
          <w:bCs/>
          <w:color w:val="0070C0"/>
          <w:rtl/>
        </w:rPr>
        <w:t>جامعة يال</w:t>
      </w:r>
      <w:r w:rsidRPr="00F30EF3">
        <w:rPr>
          <w:rStyle w:val="FootnoteReference"/>
          <w:rFonts w:cstheme="minorHAnsi"/>
          <w:color w:val="000000" w:themeColor="text1"/>
          <w:rtl/>
          <w:lang w:val="en-US"/>
        </w:rPr>
        <w:footnoteReference w:id="189"/>
      </w:r>
      <w:r w:rsidRPr="00F30EF3">
        <w:rPr>
          <w:rFonts w:cstheme="minorHAnsi"/>
          <w:color w:val="000000" w:themeColor="text1"/>
          <w:rtl/>
        </w:rPr>
        <w:t xml:space="preserve"> أيضاً على مقياس متدرج، ولكنها أقل مقارنة بجامعة كامبريدج:</w:t>
      </w:r>
      <w:r w:rsidRPr="00F30EF3">
        <w:rPr>
          <w:rFonts w:cstheme="minorHAnsi"/>
          <w:rtl/>
        </w:rPr>
        <w:t xml:space="preserve"> </w:t>
      </w:r>
    </w:p>
    <w:p w14:paraId="71F1A8B0" w14:textId="77777777" w:rsidR="00B8209E" w:rsidRPr="00F30EF3" w:rsidRDefault="00B8209E"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cstheme="minorHAnsi"/>
          <w:color w:val="000000" w:themeColor="text1"/>
          <w:lang w:val="en-US"/>
        </w:rPr>
      </w:pPr>
    </w:p>
    <w:tbl>
      <w:tblPr>
        <w:bidiVisual/>
        <w:tblW w:w="8896" w:type="dxa"/>
        <w:tblInd w:w="132" w:type="dxa"/>
        <w:tblLook w:val="04A0" w:firstRow="1" w:lastRow="0" w:firstColumn="1" w:lastColumn="0" w:noHBand="0" w:noVBand="1"/>
      </w:tblPr>
      <w:tblGrid>
        <w:gridCol w:w="2517"/>
        <w:gridCol w:w="1985"/>
        <w:gridCol w:w="4394"/>
      </w:tblGrid>
      <w:tr w:rsidR="00F70E42" w:rsidRPr="00F30EF3" w14:paraId="2BAFCE1F" w14:textId="77777777" w:rsidTr="00CF3B0A">
        <w:tc>
          <w:tcPr>
            <w:tcW w:w="2517" w:type="dxa"/>
            <w:shd w:val="clear" w:color="auto" w:fill="A6A6A6" w:themeFill="background1" w:themeFillShade="A6"/>
          </w:tcPr>
          <w:p w14:paraId="5EE15076" w14:textId="77777777" w:rsidR="00F70E42" w:rsidRPr="00F30EF3" w:rsidRDefault="00F70E42" w:rsidP="00F70E42">
            <w:pPr>
              <w:pStyle w:val="ListParagraph"/>
              <w:tabs>
                <w:tab w:val="left" w:pos="1843"/>
              </w:tabs>
              <w:ind w:left="0"/>
              <w:jc w:val="both"/>
              <w:rPr>
                <w:rFonts w:cstheme="minorHAnsi"/>
                <w:color w:val="000000" w:themeColor="text1"/>
                <w:rtl/>
              </w:rPr>
            </w:pPr>
            <w:r w:rsidRPr="00F30EF3">
              <w:rPr>
                <w:rFonts w:cstheme="minorHAnsi"/>
                <w:color w:val="000000" w:themeColor="text1"/>
                <w:rtl/>
              </w:rPr>
              <w:t>صافي الإتاوات</w:t>
            </w:r>
          </w:p>
        </w:tc>
        <w:tc>
          <w:tcPr>
            <w:tcW w:w="1985" w:type="dxa"/>
            <w:shd w:val="clear" w:color="auto" w:fill="A6A6A6" w:themeFill="background1" w:themeFillShade="A6"/>
          </w:tcPr>
          <w:p w14:paraId="04D8A7B2" w14:textId="77777777" w:rsidR="00F70E42" w:rsidRPr="00F30EF3" w:rsidRDefault="00F70E42" w:rsidP="00F70E42">
            <w:pPr>
              <w:pStyle w:val="ListParagraph"/>
              <w:tabs>
                <w:tab w:val="left" w:pos="1843"/>
              </w:tabs>
              <w:ind w:left="0"/>
              <w:jc w:val="center"/>
              <w:rPr>
                <w:rFonts w:cstheme="minorHAnsi"/>
                <w:color w:val="000000" w:themeColor="text1"/>
                <w:rtl/>
              </w:rPr>
            </w:pPr>
            <w:r w:rsidRPr="00F30EF3">
              <w:rPr>
                <w:rFonts w:cstheme="minorHAnsi"/>
                <w:color w:val="000000" w:themeColor="text1"/>
                <w:rtl/>
              </w:rPr>
              <w:t>المخترع (المخترعون)</w:t>
            </w:r>
            <w:r w:rsidRPr="00F30EF3">
              <w:rPr>
                <w:rFonts w:cstheme="minorHAnsi"/>
                <w:rtl/>
              </w:rPr>
              <w:t xml:space="preserve"> </w:t>
            </w:r>
          </w:p>
        </w:tc>
        <w:tc>
          <w:tcPr>
            <w:tcW w:w="4394" w:type="dxa"/>
            <w:shd w:val="clear" w:color="auto" w:fill="A6A6A6" w:themeFill="background1" w:themeFillShade="A6"/>
          </w:tcPr>
          <w:p w14:paraId="06A60F90" w14:textId="44F4AA93" w:rsidR="00F70E42" w:rsidRPr="00F30EF3" w:rsidRDefault="00F70E42" w:rsidP="00FE508B">
            <w:pPr>
              <w:pStyle w:val="ListParagraph"/>
              <w:tabs>
                <w:tab w:val="left" w:pos="1843"/>
              </w:tabs>
              <w:ind w:left="0"/>
              <w:jc w:val="center"/>
              <w:rPr>
                <w:rFonts w:cstheme="minorHAnsi"/>
                <w:color w:val="000000" w:themeColor="text1"/>
                <w:rtl/>
              </w:rPr>
            </w:pPr>
            <w:r w:rsidRPr="00F30EF3">
              <w:rPr>
                <w:rFonts w:cstheme="minorHAnsi"/>
                <w:i/>
                <w:iCs/>
                <w:rtl/>
              </w:rPr>
              <w:t>الجامعة (المخصص للدعم العام لأبحاث الجامعة</w:t>
            </w:r>
            <w:r w:rsidR="00CF3B0A" w:rsidRPr="00F30EF3">
              <w:rPr>
                <w:rFonts w:cstheme="minorHAnsi" w:hint="cs"/>
                <w:i/>
                <w:iCs/>
                <w:rtl/>
              </w:rPr>
              <w:t>)</w:t>
            </w:r>
          </w:p>
        </w:tc>
      </w:tr>
      <w:tr w:rsidR="00F70E42" w:rsidRPr="00F30EF3" w14:paraId="5B4C20D0" w14:textId="77777777" w:rsidTr="00CF3B0A">
        <w:tc>
          <w:tcPr>
            <w:tcW w:w="2517" w:type="dxa"/>
            <w:shd w:val="clear" w:color="auto" w:fill="D9D9D9" w:themeFill="background1" w:themeFillShade="D9"/>
          </w:tcPr>
          <w:p w14:paraId="128347B1" w14:textId="77777777" w:rsidR="00F70E42" w:rsidRPr="00F30EF3" w:rsidRDefault="00F70E42" w:rsidP="00FE508B">
            <w:pPr>
              <w:pStyle w:val="ListParagraph"/>
              <w:tabs>
                <w:tab w:val="left" w:pos="1843"/>
              </w:tabs>
              <w:ind w:left="0"/>
              <w:jc w:val="both"/>
              <w:rPr>
                <w:rFonts w:cstheme="minorHAnsi"/>
                <w:color w:val="000000" w:themeColor="text1"/>
                <w:rtl/>
              </w:rPr>
            </w:pPr>
            <w:r w:rsidRPr="00F30EF3">
              <w:rPr>
                <w:rFonts w:cstheme="minorHAnsi"/>
                <w:color w:val="000000" w:themeColor="text1"/>
                <w:rtl/>
              </w:rPr>
              <w:t xml:space="preserve">أول </w:t>
            </w:r>
            <w:r w:rsidRPr="00F30EF3">
              <w:rPr>
                <w:rFonts w:cstheme="minorHAnsi"/>
                <w:i/>
                <w:iCs/>
                <w:rtl/>
              </w:rPr>
              <w:t>100,000 دولار</w:t>
            </w:r>
          </w:p>
        </w:tc>
        <w:tc>
          <w:tcPr>
            <w:tcW w:w="1985" w:type="dxa"/>
            <w:shd w:val="clear" w:color="auto" w:fill="D9D9D9" w:themeFill="background1" w:themeFillShade="D9"/>
          </w:tcPr>
          <w:p w14:paraId="51620F44" w14:textId="77777777" w:rsidR="00F70E42" w:rsidRPr="00F30EF3" w:rsidRDefault="00F70E42" w:rsidP="00FE508B">
            <w:pPr>
              <w:pStyle w:val="ListParagraph"/>
              <w:tabs>
                <w:tab w:val="left" w:pos="1843"/>
              </w:tabs>
              <w:ind w:left="0"/>
              <w:jc w:val="center"/>
              <w:rPr>
                <w:rFonts w:cstheme="minorHAnsi"/>
                <w:color w:val="000000" w:themeColor="text1"/>
                <w:rtl/>
              </w:rPr>
            </w:pPr>
            <w:r w:rsidRPr="00F30EF3">
              <w:rPr>
                <w:rFonts w:cstheme="minorHAnsi"/>
                <w:color w:val="000000" w:themeColor="text1"/>
                <w:rtl/>
              </w:rPr>
              <w:t>50%</w:t>
            </w:r>
          </w:p>
        </w:tc>
        <w:tc>
          <w:tcPr>
            <w:tcW w:w="4394" w:type="dxa"/>
            <w:shd w:val="clear" w:color="auto" w:fill="D9D9D9" w:themeFill="background1" w:themeFillShade="D9"/>
          </w:tcPr>
          <w:p w14:paraId="39F085DC" w14:textId="77777777" w:rsidR="00F70E42" w:rsidRPr="00F30EF3" w:rsidRDefault="00F70E42" w:rsidP="00FE508B">
            <w:pPr>
              <w:pStyle w:val="ListParagraph"/>
              <w:tabs>
                <w:tab w:val="left" w:pos="1843"/>
              </w:tabs>
              <w:ind w:left="0"/>
              <w:jc w:val="center"/>
              <w:rPr>
                <w:rFonts w:cstheme="minorHAnsi"/>
                <w:color w:val="000000" w:themeColor="text1"/>
                <w:rtl/>
              </w:rPr>
            </w:pPr>
            <w:r w:rsidRPr="00F30EF3">
              <w:rPr>
                <w:rFonts w:cstheme="minorHAnsi"/>
                <w:color w:val="000000" w:themeColor="text1"/>
                <w:rtl/>
              </w:rPr>
              <w:t>50%</w:t>
            </w:r>
          </w:p>
        </w:tc>
      </w:tr>
      <w:tr w:rsidR="00F70E42" w:rsidRPr="00F30EF3" w14:paraId="2103454E" w14:textId="77777777" w:rsidTr="00CF3B0A">
        <w:tc>
          <w:tcPr>
            <w:tcW w:w="2517" w:type="dxa"/>
            <w:shd w:val="clear" w:color="auto" w:fill="D9D9D9" w:themeFill="background1" w:themeFillShade="D9"/>
          </w:tcPr>
          <w:p w14:paraId="1293A7E1" w14:textId="77777777" w:rsidR="00F70E42" w:rsidRPr="00F30EF3" w:rsidRDefault="00F70E42" w:rsidP="00FE508B">
            <w:pPr>
              <w:pStyle w:val="ListParagraph"/>
              <w:tabs>
                <w:tab w:val="left" w:pos="1843"/>
              </w:tabs>
              <w:ind w:left="0"/>
              <w:jc w:val="both"/>
              <w:rPr>
                <w:rFonts w:cstheme="minorHAnsi"/>
                <w:color w:val="000000" w:themeColor="text1"/>
                <w:rtl/>
              </w:rPr>
            </w:pPr>
            <w:r w:rsidRPr="00F30EF3">
              <w:rPr>
                <w:rFonts w:cstheme="minorHAnsi"/>
                <w:i/>
                <w:iCs/>
                <w:rtl/>
              </w:rPr>
              <w:t>بين 100,000 دولار و200,000 دولار</w:t>
            </w:r>
          </w:p>
        </w:tc>
        <w:tc>
          <w:tcPr>
            <w:tcW w:w="1985" w:type="dxa"/>
            <w:shd w:val="clear" w:color="auto" w:fill="D9D9D9" w:themeFill="background1" w:themeFillShade="D9"/>
          </w:tcPr>
          <w:p w14:paraId="459C0DD2" w14:textId="77777777" w:rsidR="00F70E42" w:rsidRPr="00F30EF3" w:rsidRDefault="00F70E42" w:rsidP="00FE508B">
            <w:pPr>
              <w:pStyle w:val="ListParagraph"/>
              <w:tabs>
                <w:tab w:val="left" w:pos="1843"/>
              </w:tabs>
              <w:ind w:left="0"/>
              <w:jc w:val="center"/>
              <w:rPr>
                <w:rFonts w:cstheme="minorHAnsi"/>
                <w:color w:val="000000" w:themeColor="text1"/>
                <w:rtl/>
              </w:rPr>
            </w:pPr>
            <w:r w:rsidRPr="00F30EF3">
              <w:rPr>
                <w:rFonts w:cstheme="minorHAnsi"/>
                <w:color w:val="000000" w:themeColor="text1"/>
                <w:rtl/>
              </w:rPr>
              <w:t>40%</w:t>
            </w:r>
          </w:p>
        </w:tc>
        <w:tc>
          <w:tcPr>
            <w:tcW w:w="4394" w:type="dxa"/>
            <w:shd w:val="clear" w:color="auto" w:fill="D9D9D9" w:themeFill="background1" w:themeFillShade="D9"/>
          </w:tcPr>
          <w:p w14:paraId="0ECB1C24" w14:textId="77777777" w:rsidR="00F70E42" w:rsidRPr="00F30EF3" w:rsidRDefault="00F70E42" w:rsidP="00FE508B">
            <w:pPr>
              <w:pStyle w:val="ListParagraph"/>
              <w:tabs>
                <w:tab w:val="left" w:pos="1843"/>
              </w:tabs>
              <w:ind w:left="0"/>
              <w:jc w:val="center"/>
              <w:rPr>
                <w:rFonts w:cstheme="minorHAnsi"/>
                <w:color w:val="000000" w:themeColor="text1"/>
                <w:rtl/>
              </w:rPr>
            </w:pPr>
            <w:r w:rsidRPr="00F30EF3">
              <w:rPr>
                <w:rFonts w:cstheme="minorHAnsi"/>
                <w:color w:val="000000" w:themeColor="text1"/>
                <w:rtl/>
              </w:rPr>
              <w:t>60%</w:t>
            </w:r>
          </w:p>
        </w:tc>
      </w:tr>
      <w:tr w:rsidR="00F70E42" w:rsidRPr="00F30EF3" w14:paraId="4F9CD251" w14:textId="77777777" w:rsidTr="00CF3B0A">
        <w:tc>
          <w:tcPr>
            <w:tcW w:w="2517" w:type="dxa"/>
            <w:shd w:val="clear" w:color="auto" w:fill="D9D9D9" w:themeFill="background1" w:themeFillShade="D9"/>
          </w:tcPr>
          <w:p w14:paraId="15868BF8" w14:textId="77777777" w:rsidR="00F70E42" w:rsidRPr="00F30EF3" w:rsidRDefault="00F70E42" w:rsidP="00FE508B">
            <w:pPr>
              <w:pStyle w:val="ListParagraph"/>
              <w:tabs>
                <w:tab w:val="left" w:pos="1843"/>
              </w:tabs>
              <w:ind w:left="0"/>
              <w:jc w:val="both"/>
              <w:rPr>
                <w:rFonts w:cstheme="minorHAnsi"/>
                <w:color w:val="000000" w:themeColor="text1"/>
                <w:rtl/>
              </w:rPr>
            </w:pPr>
            <w:r w:rsidRPr="00F30EF3">
              <w:rPr>
                <w:rFonts w:cstheme="minorHAnsi"/>
                <w:i/>
                <w:iCs/>
                <w:rtl/>
              </w:rPr>
              <w:t>تتجاوز 200,000 دولار أمريكي</w:t>
            </w:r>
          </w:p>
        </w:tc>
        <w:tc>
          <w:tcPr>
            <w:tcW w:w="1985" w:type="dxa"/>
            <w:shd w:val="clear" w:color="auto" w:fill="D9D9D9" w:themeFill="background1" w:themeFillShade="D9"/>
          </w:tcPr>
          <w:p w14:paraId="65B45945" w14:textId="77777777" w:rsidR="00F70E42" w:rsidRPr="00F30EF3" w:rsidRDefault="00F70E42" w:rsidP="00F70E42">
            <w:pPr>
              <w:pStyle w:val="ListParagraph"/>
              <w:tabs>
                <w:tab w:val="left" w:pos="1843"/>
              </w:tabs>
              <w:ind w:left="0"/>
              <w:jc w:val="center"/>
              <w:rPr>
                <w:rFonts w:cstheme="minorHAnsi"/>
                <w:color w:val="000000" w:themeColor="text1"/>
                <w:rtl/>
              </w:rPr>
            </w:pPr>
            <w:r w:rsidRPr="00F30EF3">
              <w:rPr>
                <w:rFonts w:cstheme="minorHAnsi"/>
                <w:color w:val="000000" w:themeColor="text1"/>
                <w:rtl/>
              </w:rPr>
              <w:t>30%</w:t>
            </w:r>
          </w:p>
        </w:tc>
        <w:tc>
          <w:tcPr>
            <w:tcW w:w="4394" w:type="dxa"/>
            <w:shd w:val="clear" w:color="auto" w:fill="D9D9D9" w:themeFill="background1" w:themeFillShade="D9"/>
          </w:tcPr>
          <w:p w14:paraId="52D1A467" w14:textId="77777777" w:rsidR="00F70E42" w:rsidRPr="00F30EF3" w:rsidRDefault="00F70E42" w:rsidP="00FE508B">
            <w:pPr>
              <w:pStyle w:val="ListParagraph"/>
              <w:tabs>
                <w:tab w:val="left" w:pos="1843"/>
              </w:tabs>
              <w:ind w:left="0"/>
              <w:jc w:val="center"/>
              <w:rPr>
                <w:rFonts w:cstheme="minorHAnsi"/>
                <w:color w:val="000000" w:themeColor="text1"/>
                <w:rtl/>
              </w:rPr>
            </w:pPr>
            <w:r w:rsidRPr="00F30EF3">
              <w:rPr>
                <w:rFonts w:cstheme="minorHAnsi"/>
                <w:color w:val="000000" w:themeColor="text1"/>
                <w:rtl/>
              </w:rPr>
              <w:t>70%</w:t>
            </w:r>
          </w:p>
        </w:tc>
      </w:tr>
    </w:tbl>
    <w:p w14:paraId="4E3D5188" w14:textId="77777777" w:rsidR="00597609" w:rsidRPr="00F30EF3" w:rsidRDefault="009336DF"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cstheme="minorHAnsi"/>
          <w:color w:val="000000" w:themeColor="text1"/>
          <w:rtl/>
        </w:rPr>
      </w:pPr>
      <w:r w:rsidRPr="00F30EF3">
        <w:rPr>
          <w:rFonts w:cstheme="minorHAnsi"/>
          <w:color w:val="000000" w:themeColor="text1"/>
          <w:rtl/>
        </w:rPr>
        <w:t>من خلال تخصيص جزء أصغر من الإتاوات للمبدعين، يتم تشجيع الباحثين في جامعة يال على إنشاء شركات منبثقة بدلاً من ترخيص التكنولوجيا.</w:t>
      </w:r>
    </w:p>
    <w:p w14:paraId="216D9BA9" w14:textId="77777777" w:rsidR="00E8794D" w:rsidRPr="00F30EF3" w:rsidRDefault="00E8794D" w:rsidP="00B7519E">
      <w:pPr>
        <w:spacing w:after="0" w:line="240" w:lineRule="auto"/>
        <w:jc w:val="both"/>
        <w:rPr>
          <w:rFonts w:cstheme="minorHAnsi"/>
          <w:lang w:val="en-US"/>
        </w:rPr>
      </w:pPr>
    </w:p>
    <w:p w14:paraId="04F9604A" w14:textId="77777777" w:rsidR="00E8794D" w:rsidRPr="00F30EF3" w:rsidRDefault="00E8794D" w:rsidP="00CF3B0A">
      <w:pPr>
        <w:pStyle w:val="ListParagraph"/>
        <w:numPr>
          <w:ilvl w:val="0"/>
          <w:numId w:val="101"/>
        </w:numPr>
        <w:spacing w:after="120" w:line="240" w:lineRule="auto"/>
        <w:ind w:left="432" w:hanging="426"/>
        <w:contextualSpacing w:val="0"/>
        <w:jc w:val="both"/>
        <w:rPr>
          <w:rFonts w:cstheme="minorHAnsi"/>
          <w:rtl/>
        </w:rPr>
      </w:pPr>
      <w:r w:rsidRPr="00F30EF3">
        <w:rPr>
          <w:rFonts w:cstheme="minorHAnsi"/>
          <w:b/>
          <w:bCs/>
          <w:color w:val="000000" w:themeColor="text1"/>
          <w:rtl/>
        </w:rPr>
        <w:t xml:space="preserve">المادة 6.3.2.10، </w:t>
      </w:r>
      <w:r w:rsidRPr="00F30EF3">
        <w:rPr>
          <w:rFonts w:cstheme="minorHAnsi"/>
          <w:b/>
          <w:bCs/>
          <w:i/>
          <w:iCs/>
          <w:color w:val="000000" w:themeColor="text1"/>
          <w:rtl/>
        </w:rPr>
        <w:t>الاستحقاق</w:t>
      </w:r>
      <w:r w:rsidRPr="00F30EF3">
        <w:rPr>
          <w:rFonts w:cstheme="minorHAnsi"/>
          <w:b/>
          <w:bCs/>
          <w:color w:val="000000" w:themeColor="text1"/>
          <w:rtl/>
        </w:rPr>
        <w:t>:</w:t>
      </w:r>
      <w:r w:rsidRPr="00F30EF3">
        <w:rPr>
          <w:rFonts w:cstheme="minorHAnsi"/>
          <w:color w:val="000000" w:themeColor="text1"/>
          <w:rtl/>
        </w:rPr>
        <w:t xml:space="preserve"> يتمثل الأساس المنطقي وراء الأهلية في أن المبدعين/المُمكّنين يظلون مبدعين/مُمكّنين بمجرد إنشاء الملكية الفكرية، وبالتالي ينبغي أن يستمروا في الحصول على منافع من مخرجاتهم الفكرية أو دورهم التمكيني طالما استمرت المؤسسة في تلقي الإيرادات.  </w:t>
      </w:r>
    </w:p>
    <w:p w14:paraId="1E9B1AC5" w14:textId="77777777" w:rsidR="00E8794D" w:rsidRPr="00F30EF3" w:rsidRDefault="00E8794D" w:rsidP="00CF3B0A">
      <w:pPr>
        <w:pStyle w:val="ListParagraph"/>
        <w:spacing w:after="120" w:line="240" w:lineRule="auto"/>
        <w:ind w:left="432"/>
        <w:contextualSpacing w:val="0"/>
        <w:jc w:val="both"/>
        <w:rPr>
          <w:rFonts w:cstheme="minorHAnsi"/>
          <w:rtl/>
        </w:rPr>
      </w:pPr>
      <w:r w:rsidRPr="00F30EF3">
        <w:rPr>
          <w:rFonts w:cstheme="minorHAnsi"/>
          <w:color w:val="000000" w:themeColor="text1"/>
          <w:rtl/>
        </w:rPr>
        <w:t>وتنطبق هذه الأهلية أيضاً في حالة تقاعد المبدع/المُمكّن.</w:t>
      </w:r>
    </w:p>
    <w:p w14:paraId="2E25130C" w14:textId="32951596" w:rsidR="00E8794D" w:rsidRPr="00F30EF3" w:rsidRDefault="00E8794D" w:rsidP="00CF3B0A">
      <w:pPr>
        <w:pStyle w:val="ListParagraph"/>
        <w:spacing w:after="120" w:line="240" w:lineRule="auto"/>
        <w:ind w:left="432"/>
        <w:contextualSpacing w:val="0"/>
        <w:jc w:val="both"/>
        <w:rPr>
          <w:rFonts w:cstheme="minorHAnsi"/>
          <w:rtl/>
        </w:rPr>
      </w:pPr>
      <w:r w:rsidRPr="00F30EF3">
        <w:rPr>
          <w:rFonts w:cstheme="minorHAnsi"/>
          <w:color w:val="000000" w:themeColor="text1"/>
          <w:rtl/>
        </w:rPr>
        <w:t>وفي حالة وفاة المبدع/المُمكّن، من أفضل الممارسات القياسية أن جميع الإيرادات التي كانت ستُستحق لهؤلاء الأفراد يجب أن تُمنح الآن لورثتهم. ويتولى أمين الوصية/الأمين على الوصية للميراث عادة مسؤولية الكشف عن الورثة إلى مكتب إدارة الملكية الفكرية و/أو تحصيل الإيرادات للتوزيع المستمر، خاصةً في حالة كون الورثة قُصّر [يبلغون من العمر أقل من 18 أو 21 سنة عادة]. ولا يقع العبء على عاتق مكتب إدارة الملكية الفكرية لضمان الحصول على تفاصيل الاتصال الصحيحة للوريث (الورثة) أو التفاصيل المصرفية الصحيحة (وفقاً للمادة 7.3.2.10 من النموذج).</w:t>
      </w:r>
      <w:r w:rsidRPr="00F30EF3">
        <w:rPr>
          <w:rFonts w:cstheme="minorHAnsi"/>
          <w:rtl/>
        </w:rPr>
        <w:t xml:space="preserve"> </w:t>
      </w:r>
    </w:p>
    <w:p w14:paraId="6310F07E" w14:textId="1C69E42D" w:rsidR="00E8794D" w:rsidRPr="00F30EF3" w:rsidRDefault="00020809" w:rsidP="00CF3B0A">
      <w:pPr>
        <w:pStyle w:val="ListParagraph"/>
        <w:numPr>
          <w:ilvl w:val="0"/>
          <w:numId w:val="100"/>
        </w:numPr>
        <w:spacing w:after="120" w:line="240" w:lineRule="auto"/>
        <w:ind w:left="426" w:hanging="426"/>
        <w:contextualSpacing w:val="0"/>
        <w:jc w:val="both"/>
        <w:rPr>
          <w:rFonts w:cstheme="minorHAnsi"/>
          <w:color w:val="000000" w:themeColor="text1"/>
          <w:rtl/>
        </w:rPr>
      </w:pPr>
      <w:r w:rsidRPr="00F30EF3">
        <w:rPr>
          <w:rFonts w:cstheme="minorHAnsi"/>
          <w:b/>
          <w:bCs/>
          <w:color w:val="000000" w:themeColor="text1"/>
          <w:rtl/>
        </w:rPr>
        <w:t xml:space="preserve">تظل المادة 6.3.2.10 </w:t>
      </w:r>
      <w:r w:rsidRPr="00F30EF3">
        <w:rPr>
          <w:rFonts w:cstheme="minorHAnsi"/>
          <w:b/>
          <w:bCs/>
          <w:i/>
          <w:iCs/>
          <w:color w:val="000000" w:themeColor="text1"/>
          <w:rtl/>
        </w:rPr>
        <w:t>سارية بعد الاستقالة/إنهاء الخدمة</w:t>
      </w:r>
      <w:r w:rsidRPr="00F30EF3">
        <w:rPr>
          <w:rFonts w:cstheme="minorHAnsi"/>
          <w:b/>
          <w:bCs/>
          <w:color w:val="000000" w:themeColor="text1"/>
          <w:rtl/>
        </w:rPr>
        <w:t>:</w:t>
      </w:r>
      <w:r w:rsidRPr="00F30EF3">
        <w:rPr>
          <w:rFonts w:cstheme="minorHAnsi"/>
          <w:color w:val="000000" w:themeColor="text1"/>
          <w:rtl/>
        </w:rPr>
        <w:t xml:space="preserve"> وتنقسم أفضل الممارسات فيما يتعلق بما إذا كان ينبغي أن يستمر المبدع/المُمكّن في الحصول على إيرادات من الملكية الفكرية التي تعود إلى المؤسسة في حالة استقالة المبدع/المُمكّن لتولي وظيفة أخرى أو إنهاء عمله مع المؤسسة. وتُمنح مرة أخرى السلطة التقديرية في هذا الصدد للمؤسسة وقد تتأثر بالشروط والأحكام التي يستقيل بموجبها الفرد أو تنتهي خدمته.</w:t>
      </w:r>
    </w:p>
    <w:p w14:paraId="1BE6EE03" w14:textId="77777777" w:rsidR="00A37C96" w:rsidRPr="00F30EF3" w:rsidRDefault="00A37C96" w:rsidP="00A37C96">
      <w:pPr>
        <w:pStyle w:val="Heading3"/>
        <w:spacing w:after="240"/>
        <w:jc w:val="both"/>
        <w:rPr>
          <w:rFonts w:asciiTheme="minorHAnsi" w:hAnsiTheme="minorHAnsi" w:cstheme="minorHAnsi"/>
          <w:sz w:val="24"/>
          <w:szCs w:val="24"/>
          <w:rtl/>
        </w:rPr>
      </w:pPr>
      <w:bookmarkStart w:id="335" w:name="_Toc516160097"/>
      <w:bookmarkStart w:id="336" w:name="_Toc516219433"/>
      <w:bookmarkStart w:id="337" w:name="_Toc516496077"/>
      <w:bookmarkStart w:id="338" w:name="_Toc516829449"/>
      <w:r w:rsidRPr="00F30EF3">
        <w:rPr>
          <w:rFonts w:asciiTheme="minorHAnsi" w:hAnsiTheme="minorHAnsi" w:cstheme="minorHAnsi"/>
          <w:sz w:val="24"/>
          <w:szCs w:val="24"/>
          <w:rtl/>
        </w:rPr>
        <w:lastRenderedPageBreak/>
        <w:t>تقاسم الإيرادات - المؤسسة</w:t>
      </w:r>
      <w:bookmarkEnd w:id="335"/>
      <w:bookmarkEnd w:id="336"/>
      <w:bookmarkEnd w:id="337"/>
      <w:bookmarkEnd w:id="338"/>
    </w:p>
    <w:p w14:paraId="0545B393" w14:textId="53CA24AB" w:rsidR="00E8794D" w:rsidRPr="00F30EF3" w:rsidRDefault="00E8794D" w:rsidP="009D4A54">
      <w:pPr>
        <w:pStyle w:val="ListParagraph"/>
        <w:numPr>
          <w:ilvl w:val="0"/>
          <w:numId w:val="101"/>
        </w:numPr>
        <w:tabs>
          <w:tab w:val="left" w:pos="851"/>
        </w:tabs>
        <w:spacing w:after="0" w:line="240" w:lineRule="auto"/>
        <w:ind w:left="426" w:hanging="426"/>
        <w:jc w:val="both"/>
        <w:rPr>
          <w:rFonts w:cstheme="minorHAnsi"/>
          <w:color w:val="000000" w:themeColor="text1"/>
          <w:rtl/>
        </w:rPr>
      </w:pPr>
      <w:r w:rsidRPr="00F30EF3">
        <w:rPr>
          <w:rFonts w:cstheme="minorHAnsi"/>
          <w:b/>
          <w:bCs/>
          <w:color w:val="000000" w:themeColor="text1"/>
          <w:rtl/>
        </w:rPr>
        <w:t xml:space="preserve">المادة 2.2.10، </w:t>
      </w:r>
      <w:r w:rsidRPr="00F30EF3">
        <w:rPr>
          <w:rFonts w:cstheme="minorHAnsi"/>
          <w:b/>
          <w:bCs/>
          <w:i/>
          <w:iCs/>
          <w:color w:val="000000" w:themeColor="text1"/>
          <w:rtl/>
        </w:rPr>
        <w:t>تقاسم الإيرادات - المؤسسة</w:t>
      </w:r>
      <w:r w:rsidRPr="00F30EF3">
        <w:rPr>
          <w:rFonts w:cstheme="minorHAnsi"/>
          <w:b/>
          <w:bCs/>
          <w:color w:val="000000" w:themeColor="text1"/>
          <w:rtl/>
        </w:rPr>
        <w:t xml:space="preserve">. </w:t>
      </w:r>
      <w:r w:rsidRPr="00F30EF3">
        <w:rPr>
          <w:rFonts w:cstheme="minorHAnsi"/>
          <w:color w:val="000000" w:themeColor="text1"/>
          <w:rtl/>
        </w:rPr>
        <w:t>كما هو مثبت، يُمنح المبدعين/المُمكّنين الأولوية الأولى لإجمالي إيرادات الملكية الفكرية و/أو صافي إيرادات الملكية الفكرية. وتخصص المؤسسة بعد ذلك رصيد الإيرادات المستلم في أي عدد من النواحي، بما في ذلك عادةً نفقات تشغيل مكتب إدارة الملكية الفكرية ذاته (والتي يمكن أن تُستخدم، على سبيل المثال، لإجراء تحليلات الجدوى التقنية والاقتصادية لأحد التكنولوجيات أو أكثر). وتخضع أي فئات أخرى من النفقات لتقدير المؤسسة، وكذلك النسبة المئوية المخصصة لهذه الفئات. وعلاوةً على ذلك، من الممكن أن يتم توفير نطاق من النسب المئوية لكل فئة وهو مؤشر على نسبة مئوية دنيا أو قصوى ويوفر درجة من المرونة يمكن ممارستها اعتماداً على التكنولوجيا.</w:t>
      </w:r>
    </w:p>
    <w:p w14:paraId="6F96BB72" w14:textId="4EAAF988" w:rsidR="00E8794D" w:rsidRPr="00F30EF3" w:rsidRDefault="00E8794D" w:rsidP="005678AF">
      <w:pPr>
        <w:bidi w:val="0"/>
        <w:rPr>
          <w:rFonts w:cstheme="minorHAnsi"/>
          <w:color w:val="000000" w:themeColor="text1"/>
          <w:lang w:val="en-US" w:eastAsia="en-US"/>
        </w:rPr>
      </w:pPr>
    </w:p>
    <w:p w14:paraId="41B38428" w14:textId="6B776DD3" w:rsidR="00020809" w:rsidRPr="00F30EF3"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cstheme="minorHAnsi"/>
          <w:b/>
          <w:bCs/>
          <w:color w:val="000000"/>
          <w:rtl/>
        </w:rPr>
      </w:pPr>
      <w:r w:rsidRPr="00F30EF3">
        <w:rPr>
          <w:rFonts w:cstheme="minorHAnsi"/>
          <w:b/>
          <w:bCs/>
          <w:rtl/>
        </w:rPr>
        <w:t xml:space="preserve">الإطار </w:t>
      </w:r>
      <w:r w:rsidR="005678AF" w:rsidRPr="00F30EF3">
        <w:rPr>
          <w:rFonts w:cstheme="minorHAnsi"/>
          <w:b/>
          <w:bCs/>
        </w:rPr>
        <w:t>76</w:t>
      </w:r>
      <w:r w:rsidR="00E624BD" w:rsidRPr="00F30EF3">
        <w:rPr>
          <w:rFonts w:cstheme="minorHAnsi" w:hint="cs"/>
          <w:b/>
          <w:bCs/>
          <w:rtl/>
        </w:rPr>
        <w:t>.</w:t>
      </w:r>
      <w:r w:rsidRPr="00F30EF3">
        <w:rPr>
          <w:rFonts w:cstheme="minorHAnsi"/>
          <w:b/>
          <w:bCs/>
          <w:rtl/>
        </w:rPr>
        <w:t xml:space="preserve"> </w:t>
      </w:r>
      <w:r w:rsidRPr="00F30EF3">
        <w:rPr>
          <w:rFonts w:cstheme="minorHAnsi"/>
          <w:b/>
          <w:bCs/>
          <w:color w:val="000000"/>
          <w:rtl/>
        </w:rPr>
        <w:t>مثال على تقاسم الإيرادات - جامعة جورنيل</w:t>
      </w:r>
    </w:p>
    <w:p w14:paraId="6BF89F85" w14:textId="77777777" w:rsidR="00020809" w:rsidRPr="00F30EF3"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cstheme="minorHAnsi"/>
          <w:color w:val="000000"/>
          <w:rtl/>
        </w:rPr>
      </w:pPr>
      <w:r w:rsidRPr="00F30EF3">
        <w:rPr>
          <w:rFonts w:cstheme="minorHAnsi"/>
          <w:noProof/>
          <w:color w:val="000000"/>
          <w:rtl/>
        </w:rPr>
        <w:drawing>
          <wp:inline distT="0" distB="0" distL="0" distR="0" wp14:anchorId="167837E2" wp14:editId="1D048649">
            <wp:extent cx="3650620" cy="250166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670568" cy="2515330"/>
                    </a:xfrm>
                    <a:prstGeom prst="rect">
                      <a:avLst/>
                    </a:prstGeom>
                    <a:noFill/>
                  </pic:spPr>
                </pic:pic>
              </a:graphicData>
            </a:graphic>
          </wp:inline>
        </w:drawing>
      </w:r>
    </w:p>
    <w:p w14:paraId="3C0C91D3" w14:textId="77777777" w:rsidR="00020809" w:rsidRPr="00F30EF3"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cstheme="minorHAnsi"/>
          <w:color w:val="000000"/>
          <w:lang w:val="en-US"/>
        </w:rPr>
      </w:pPr>
    </w:p>
    <w:p w14:paraId="494323B1" w14:textId="77777777" w:rsidR="00020809" w:rsidRPr="00F30EF3"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cstheme="minorHAnsi"/>
          <w:color w:val="000000"/>
          <w:lang w:val="en-US"/>
        </w:rPr>
      </w:pPr>
    </w:p>
    <w:p w14:paraId="2FBD278D" w14:textId="77777777" w:rsidR="00B02FB0" w:rsidRPr="00F30EF3" w:rsidRDefault="00B02FB0" w:rsidP="00B7519E">
      <w:pPr>
        <w:pStyle w:val="ListParagraph"/>
        <w:tabs>
          <w:tab w:val="left" w:pos="1701"/>
        </w:tabs>
        <w:spacing w:after="0"/>
        <w:ind w:left="426" w:hanging="426"/>
        <w:jc w:val="both"/>
        <w:rPr>
          <w:rFonts w:cstheme="minorHAnsi"/>
          <w:b/>
          <w:bCs/>
          <w:lang w:val="en-US"/>
        </w:rPr>
      </w:pPr>
    </w:p>
    <w:p w14:paraId="06A3156E" w14:textId="77777777" w:rsidR="00817C4F" w:rsidRPr="00F30EF3" w:rsidRDefault="00817C4F" w:rsidP="00817C4F">
      <w:pPr>
        <w:pStyle w:val="Heading3"/>
        <w:rPr>
          <w:rFonts w:asciiTheme="minorHAnsi" w:hAnsiTheme="minorHAnsi" w:cstheme="minorHAnsi"/>
          <w:sz w:val="24"/>
          <w:szCs w:val="24"/>
          <w:rtl/>
        </w:rPr>
      </w:pPr>
      <w:bookmarkStart w:id="339" w:name="Article10p3"/>
      <w:bookmarkStart w:id="340" w:name="_Toc516160098"/>
      <w:bookmarkStart w:id="341" w:name="_Toc516219434"/>
      <w:bookmarkStart w:id="342" w:name="_Toc516496078"/>
      <w:bookmarkStart w:id="343" w:name="_Toc516829450"/>
      <w:r w:rsidRPr="00F30EF3">
        <w:rPr>
          <w:rFonts w:asciiTheme="minorHAnsi" w:hAnsiTheme="minorHAnsi" w:cstheme="minorHAnsi"/>
          <w:sz w:val="24"/>
          <w:szCs w:val="24"/>
          <w:rtl/>
        </w:rPr>
        <w:t xml:space="preserve">المادة 3.10 </w:t>
      </w:r>
      <w:bookmarkEnd w:id="339"/>
      <w:r w:rsidRPr="00F30EF3">
        <w:rPr>
          <w:rFonts w:asciiTheme="minorHAnsi" w:hAnsiTheme="minorHAnsi" w:cstheme="minorHAnsi"/>
          <w:sz w:val="24"/>
          <w:szCs w:val="24"/>
          <w:rtl/>
        </w:rPr>
        <w:t>– حوافز أخرى (حوافز أخرى غير المرتبطة بتقاسم عائدات التسويق)</w:t>
      </w:r>
      <w:bookmarkEnd w:id="340"/>
      <w:bookmarkEnd w:id="341"/>
      <w:bookmarkEnd w:id="342"/>
      <w:bookmarkEnd w:id="343"/>
    </w:p>
    <w:p w14:paraId="3979E232" w14:textId="77777777" w:rsidR="00267571" w:rsidRPr="00F30EF3" w:rsidRDefault="00267571" w:rsidP="00267571">
      <w:pPr>
        <w:pStyle w:val="Heading3"/>
        <w:spacing w:after="240"/>
        <w:jc w:val="both"/>
        <w:rPr>
          <w:rFonts w:asciiTheme="minorHAnsi" w:hAnsiTheme="minorHAnsi" w:cstheme="minorHAnsi"/>
          <w:sz w:val="24"/>
          <w:szCs w:val="24"/>
          <w:rtl/>
        </w:rPr>
      </w:pPr>
      <w:bookmarkStart w:id="344" w:name="_Toc516160099"/>
      <w:bookmarkStart w:id="345" w:name="_Toc516219435"/>
      <w:bookmarkStart w:id="346" w:name="_Toc516496079"/>
      <w:bookmarkStart w:id="347" w:name="_Toc516829451"/>
      <w:r w:rsidRPr="00F30EF3">
        <w:rPr>
          <w:rFonts w:asciiTheme="minorHAnsi" w:hAnsiTheme="minorHAnsi" w:cstheme="minorHAnsi"/>
          <w:sz w:val="24"/>
          <w:szCs w:val="24"/>
          <w:rtl/>
        </w:rPr>
        <w:t>عام</w:t>
      </w:r>
      <w:bookmarkEnd w:id="344"/>
      <w:bookmarkEnd w:id="345"/>
      <w:bookmarkEnd w:id="346"/>
      <w:bookmarkEnd w:id="347"/>
    </w:p>
    <w:p w14:paraId="13E76BB6" w14:textId="04A1F6E9" w:rsidR="00B02FB0" w:rsidRPr="00F30EF3" w:rsidRDefault="00B02FB0" w:rsidP="00E624BD">
      <w:pPr>
        <w:pStyle w:val="ListParagraph"/>
        <w:numPr>
          <w:ilvl w:val="0"/>
          <w:numId w:val="101"/>
        </w:numPr>
        <w:tabs>
          <w:tab w:val="left" w:pos="1701"/>
        </w:tabs>
        <w:spacing w:after="120" w:line="240" w:lineRule="auto"/>
        <w:ind w:left="426" w:hanging="426"/>
        <w:contextualSpacing w:val="0"/>
        <w:jc w:val="both"/>
        <w:rPr>
          <w:rFonts w:cstheme="minorHAnsi"/>
          <w:rtl/>
        </w:rPr>
      </w:pPr>
      <w:r w:rsidRPr="00F30EF3">
        <w:rPr>
          <w:rFonts w:cstheme="minorHAnsi"/>
          <w:b/>
          <w:bCs/>
          <w:rtl/>
        </w:rPr>
        <w:t xml:space="preserve">المادة 1.3.10، </w:t>
      </w:r>
      <w:r w:rsidRPr="00F30EF3">
        <w:rPr>
          <w:rFonts w:cstheme="minorHAnsi"/>
          <w:b/>
          <w:bCs/>
          <w:i/>
          <w:iCs/>
          <w:rtl/>
        </w:rPr>
        <w:t>سيمتنع عن قبول المنافع غير النقدية أو تقديم حوافز غير تقاسم الإيرادات</w:t>
      </w:r>
      <w:r w:rsidRPr="00F30EF3">
        <w:rPr>
          <w:rFonts w:cstheme="minorHAnsi"/>
          <w:b/>
          <w:bCs/>
          <w:rtl/>
        </w:rPr>
        <w:t>:</w:t>
      </w:r>
      <w:r w:rsidRPr="00F30EF3">
        <w:rPr>
          <w:rFonts w:cstheme="minorHAnsi"/>
          <w:rtl/>
        </w:rPr>
        <w:t xml:space="preserve"> ومن ثم، يجب أن يكون تقاسم الإيرادات الوضع الافتراضي لتحفيز المبدعين/المُمكّنين.</w:t>
      </w:r>
    </w:p>
    <w:p w14:paraId="3A5C0DD8" w14:textId="77777777" w:rsidR="00B02FB0" w:rsidRPr="00F30EF3" w:rsidRDefault="0012362C" w:rsidP="00E624BD">
      <w:pPr>
        <w:pStyle w:val="ListParagraph"/>
        <w:numPr>
          <w:ilvl w:val="0"/>
          <w:numId w:val="100"/>
        </w:numPr>
        <w:tabs>
          <w:tab w:val="left" w:pos="1701"/>
        </w:tabs>
        <w:spacing w:after="120" w:line="240" w:lineRule="auto"/>
        <w:ind w:left="426" w:hanging="426"/>
        <w:contextualSpacing w:val="0"/>
        <w:jc w:val="both"/>
        <w:rPr>
          <w:rFonts w:cstheme="minorHAnsi"/>
          <w:rtl/>
        </w:rPr>
      </w:pPr>
      <w:r w:rsidRPr="00F30EF3">
        <w:rPr>
          <w:rFonts w:cstheme="minorHAnsi"/>
          <w:b/>
          <w:bCs/>
          <w:rtl/>
        </w:rPr>
        <w:t xml:space="preserve">المادة 1.3.10، </w:t>
      </w:r>
      <w:r w:rsidRPr="00F30EF3">
        <w:rPr>
          <w:rFonts w:cstheme="minorHAnsi"/>
          <w:b/>
          <w:bCs/>
          <w:i/>
          <w:iCs/>
          <w:rtl/>
        </w:rPr>
        <w:t>حيث يختار المبدع/المُمكّن منافع أخرى</w:t>
      </w:r>
      <w:r w:rsidRPr="00F30EF3">
        <w:rPr>
          <w:rFonts w:cstheme="minorHAnsi"/>
          <w:b/>
          <w:bCs/>
          <w:rtl/>
        </w:rPr>
        <w:t>:</w:t>
      </w:r>
      <w:r w:rsidRPr="00F30EF3">
        <w:rPr>
          <w:rFonts w:cstheme="minorHAnsi"/>
          <w:rtl/>
        </w:rPr>
        <w:t xml:space="preserve"> من المستحسن بالأحرى منح المبدع/المُمكّن خيار قبول منافع أخرى </w:t>
      </w:r>
      <w:r w:rsidRPr="00F30EF3">
        <w:rPr>
          <w:rFonts w:cstheme="minorHAnsi"/>
          <w:i/>
          <w:iCs/>
          <w:rtl/>
        </w:rPr>
        <w:t>بدلاً من</w:t>
      </w:r>
      <w:r w:rsidRPr="00F30EF3">
        <w:rPr>
          <w:rFonts w:cstheme="minorHAnsi"/>
          <w:rtl/>
        </w:rPr>
        <w:t xml:space="preserve"> تقاسم الإيرادات إذا كانت المنافع النقدية لن تتحقق إلا بعد سنوات قليلة في المستقبل، مع إمكانية تحقيق المزايا الأخرى.</w:t>
      </w:r>
    </w:p>
    <w:p w14:paraId="2B001D85" w14:textId="77777777" w:rsidR="008E7CD2" w:rsidRPr="00F30EF3" w:rsidRDefault="008E7CD2" w:rsidP="00E624BD">
      <w:pPr>
        <w:pStyle w:val="Heading3"/>
        <w:spacing w:after="120"/>
        <w:jc w:val="both"/>
        <w:rPr>
          <w:rFonts w:asciiTheme="minorHAnsi" w:hAnsiTheme="minorHAnsi" w:cstheme="minorHAnsi"/>
          <w:sz w:val="24"/>
          <w:szCs w:val="24"/>
          <w:rtl/>
        </w:rPr>
      </w:pPr>
      <w:bookmarkStart w:id="348" w:name="_Toc516160100"/>
      <w:bookmarkStart w:id="349" w:name="_Toc516219436"/>
      <w:bookmarkStart w:id="350" w:name="_Toc516496080"/>
      <w:bookmarkStart w:id="351" w:name="_Toc516829452"/>
      <w:r w:rsidRPr="00F30EF3">
        <w:rPr>
          <w:rFonts w:asciiTheme="minorHAnsi" w:hAnsiTheme="minorHAnsi" w:cstheme="minorHAnsi"/>
          <w:sz w:val="24"/>
          <w:szCs w:val="24"/>
          <w:rtl/>
        </w:rPr>
        <w:t>معايير التطوير الوظيفي</w:t>
      </w:r>
      <w:bookmarkEnd w:id="348"/>
      <w:bookmarkEnd w:id="349"/>
      <w:bookmarkEnd w:id="350"/>
      <w:bookmarkEnd w:id="351"/>
    </w:p>
    <w:p w14:paraId="3E7947DD" w14:textId="77777777" w:rsidR="008E7CD2" w:rsidRPr="00F30EF3" w:rsidRDefault="008E7CD2" w:rsidP="009D4A54">
      <w:pPr>
        <w:pStyle w:val="Heading3"/>
        <w:numPr>
          <w:ilvl w:val="0"/>
          <w:numId w:val="100"/>
        </w:numPr>
        <w:spacing w:after="240"/>
        <w:ind w:left="426" w:hanging="426"/>
        <w:jc w:val="both"/>
        <w:rPr>
          <w:rFonts w:asciiTheme="minorHAnsi" w:eastAsiaTheme="minorEastAsia" w:hAnsiTheme="minorHAnsi" w:cstheme="minorHAnsi"/>
          <w:b w:val="0"/>
          <w:bCs w:val="0"/>
          <w:color w:val="auto"/>
          <w:sz w:val="22"/>
          <w:szCs w:val="22"/>
          <w:rtl/>
        </w:rPr>
      </w:pPr>
      <w:bookmarkStart w:id="352" w:name="_Toc516160101"/>
      <w:bookmarkStart w:id="353" w:name="_Toc516219437"/>
      <w:bookmarkStart w:id="354" w:name="_Toc516496081"/>
      <w:bookmarkStart w:id="355" w:name="_Toc516829453"/>
      <w:r w:rsidRPr="00F30EF3">
        <w:rPr>
          <w:rFonts w:asciiTheme="minorHAnsi" w:hAnsiTheme="minorHAnsi" w:cstheme="minorHAnsi"/>
          <w:color w:val="auto"/>
          <w:sz w:val="22"/>
          <w:szCs w:val="22"/>
          <w:rtl/>
        </w:rPr>
        <w:t xml:space="preserve">المادة 2.3.10، </w:t>
      </w:r>
      <w:r w:rsidRPr="00F30EF3">
        <w:rPr>
          <w:rFonts w:asciiTheme="minorHAnsi" w:hAnsiTheme="minorHAnsi" w:cstheme="minorHAnsi"/>
          <w:i/>
          <w:iCs/>
          <w:color w:val="auto"/>
          <w:sz w:val="22"/>
          <w:szCs w:val="22"/>
          <w:rtl/>
        </w:rPr>
        <w:t xml:space="preserve">الاعتراف بتوليد الملكية الفكرية وأداء التسويق في إجراءات التقييم: </w:t>
      </w:r>
      <w:r w:rsidRPr="00F30EF3">
        <w:rPr>
          <w:rFonts w:asciiTheme="minorHAnsi" w:hAnsiTheme="minorHAnsi" w:cstheme="minorHAnsi"/>
          <w:b w:val="0"/>
          <w:bCs w:val="0"/>
          <w:color w:val="auto"/>
          <w:sz w:val="22"/>
          <w:szCs w:val="22"/>
          <w:rtl/>
        </w:rPr>
        <w:t>منذ فترة طويلة، يُقاس أداء الباحثين ويقدّر نظير عدد مقالات المجلات التي نشروها ومكان نشرها. ويجب على المؤسسات التي تدعم أنشطة التسويق أيضاً أن تأخذ بعين الاعتبار أداء نقل التكنولوجيا في تقييم الجدارة للترقية والمنح.</w:t>
      </w:r>
      <w:bookmarkEnd w:id="352"/>
      <w:bookmarkEnd w:id="353"/>
      <w:bookmarkEnd w:id="354"/>
      <w:bookmarkEnd w:id="355"/>
    </w:p>
    <w:p w14:paraId="4DC6CD3D" w14:textId="77777777" w:rsidR="00816D72" w:rsidRPr="00F30EF3" w:rsidRDefault="00816D72" w:rsidP="00B7519E">
      <w:pPr>
        <w:spacing w:line="240" w:lineRule="auto"/>
        <w:ind w:left="426"/>
        <w:jc w:val="both"/>
        <w:rPr>
          <w:rFonts w:cstheme="minorHAnsi"/>
          <w:rtl/>
        </w:rPr>
      </w:pPr>
      <w:r w:rsidRPr="00F30EF3">
        <w:rPr>
          <w:rFonts w:cstheme="minorHAnsi"/>
          <w:rtl/>
        </w:rPr>
        <w:t>ويكمن الأساس المنطقي لذلك في أنه ما لم تتم مكافأة الباحثين بشكل احترافي على تسجيل البراءات وتسويق نتائج أبحاثهم، فمن غير المرجح أن يسلكوا هذا الطريق، مفضلين النشر السريع لنتائج البحث بدلاً من ذلك الذي قد يضر بإمكانية تسجيل البراءات ونقل التكنولوجيا بعد ذلك. وقد اعتمدت مؤسسات مختلفة أنظمة متنوعة لتقييم البراءات والتراخيص لأغراض الارتقاء الوظيفي، مع الأخذ في الاعتبار أنه قد يكون من المهم أيضاً تجنب خلق حوافز للإيداع العشوائي لطلبات البراءات.</w:t>
      </w:r>
    </w:p>
    <w:p w14:paraId="5EBC82D6" w14:textId="77777777" w:rsidR="000C4C36" w:rsidRPr="00F30EF3" w:rsidRDefault="000C4C36" w:rsidP="00B7519E">
      <w:pPr>
        <w:spacing w:after="0" w:line="240" w:lineRule="auto"/>
        <w:ind w:left="426"/>
        <w:jc w:val="both"/>
        <w:rPr>
          <w:rFonts w:cstheme="minorHAnsi"/>
          <w:rtl/>
        </w:rPr>
      </w:pPr>
      <w:r w:rsidRPr="00F30EF3">
        <w:rPr>
          <w:rFonts w:cstheme="minorHAnsi"/>
          <w:rtl/>
        </w:rPr>
        <w:lastRenderedPageBreak/>
        <w:t>وعلى سبيل المثال، أنشأت جامعة جنوب ويلز مساراً للتقدم الوظيفي لا يعتمد بشكل منفرد على المنشورات الأكاديمية، كما هو الحال في جامعة ساوث ويلز من خلال منصب أستاذية القراءة أو الأستاذية في الابتكار والمشاركة:</w:t>
      </w:r>
    </w:p>
    <w:p w14:paraId="3315D850" w14:textId="77777777" w:rsidR="000C4C36" w:rsidRPr="00F30EF3" w:rsidRDefault="000C4C36" w:rsidP="000C4C36">
      <w:pPr>
        <w:pStyle w:val="ListParagraph"/>
        <w:spacing w:after="0" w:line="240" w:lineRule="auto"/>
        <w:ind w:left="426"/>
        <w:jc w:val="both"/>
        <w:rPr>
          <w:rFonts w:cstheme="minorHAnsi"/>
          <w:lang w:val="en-US"/>
        </w:rPr>
      </w:pPr>
    </w:p>
    <w:p w14:paraId="341E569A" w14:textId="64C48EC2" w:rsidR="000C4C36" w:rsidRPr="00F30EF3" w:rsidRDefault="000C4C36" w:rsidP="00F841B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cstheme="minorHAnsi"/>
          <w:color w:val="000000"/>
          <w:rtl/>
        </w:rPr>
      </w:pPr>
      <w:r w:rsidRPr="00F30EF3">
        <w:rPr>
          <w:rFonts w:cstheme="minorHAnsi"/>
          <w:b/>
          <w:bCs/>
          <w:rtl/>
        </w:rPr>
        <w:t xml:space="preserve">الإطار </w:t>
      </w:r>
      <w:r w:rsidR="00E223A9" w:rsidRPr="00F30EF3">
        <w:rPr>
          <w:rFonts w:cstheme="minorHAnsi"/>
          <w:b/>
          <w:bCs/>
        </w:rPr>
        <w:t>77</w:t>
      </w:r>
      <w:r w:rsidR="00E624BD" w:rsidRPr="00F30EF3">
        <w:rPr>
          <w:rFonts w:cstheme="minorHAnsi" w:hint="cs"/>
          <w:b/>
          <w:bCs/>
          <w:rtl/>
        </w:rPr>
        <w:t>.</w:t>
      </w:r>
      <w:r w:rsidRPr="00F30EF3">
        <w:rPr>
          <w:rFonts w:cstheme="minorHAnsi"/>
          <w:b/>
          <w:bCs/>
          <w:rtl/>
        </w:rPr>
        <w:t xml:space="preserve"> مثال على مسار التقدم الوظيفي الذي لا يعتمد بشكل منفرد على المنشورات الأكاديمية - مسار الابتكار والمشاركة في جامعة جنوب ويلز (المملكة المتحدة)</w:t>
      </w:r>
      <w:r w:rsidRPr="00F30EF3">
        <w:rPr>
          <w:rStyle w:val="FootnoteReference"/>
          <w:rFonts w:cstheme="minorHAnsi"/>
          <w:b/>
          <w:bCs/>
          <w:rtl/>
          <w:lang w:val="en-US"/>
        </w:rPr>
        <w:footnoteReference w:id="190"/>
      </w:r>
    </w:p>
    <w:p w14:paraId="0AED0EA4" w14:textId="77777777" w:rsidR="000C4C36" w:rsidRPr="00F30EF3" w:rsidRDefault="000C4C36" w:rsidP="00F841B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cstheme="minorHAnsi"/>
          <w:b/>
          <w:bCs/>
          <w:color w:val="000000"/>
          <w:u w:val="single"/>
          <w:rtl/>
        </w:rPr>
      </w:pPr>
      <w:r w:rsidRPr="00F30EF3">
        <w:rPr>
          <w:rFonts w:cstheme="minorHAnsi"/>
          <w:b/>
          <w:bCs/>
          <w:color w:val="000000"/>
          <w:u w:val="single"/>
          <w:rtl/>
        </w:rPr>
        <w:t>القُرَّاء</w:t>
      </w:r>
    </w:p>
    <w:p w14:paraId="43576D80" w14:textId="77777777" w:rsidR="000C4C36" w:rsidRPr="00F30EF3" w:rsidRDefault="000C4C36" w:rsidP="00F841B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cstheme="minorHAnsi"/>
          <w:color w:val="000000"/>
          <w:rtl/>
        </w:rPr>
      </w:pPr>
      <w:r w:rsidRPr="00F30EF3">
        <w:rPr>
          <w:rFonts w:cstheme="minorHAnsi"/>
          <w:color w:val="000000"/>
          <w:rtl/>
        </w:rPr>
        <w:t>يُعد لقب قارئ في الابتكار والمشاركة لقباً مرموقاً، وهو لقب رفيع تعينه الجامعة تقديراً للتميّز في الأنشطة المتعلقة بالمؤسسة. ويجب أن يُظهر القارئ في مجال الابتكار والمشاركة تميّزاً في أنشطة الابتكار والمشاركة والبحوث التطبيقية ويُتوقع منه أن يوفر القيادة (على سبيل المثال من خلال الأنشطة في مراكز البحوث ومن خلال إظهار التعلّم من رؤى المجتمعات المختلفة وخبراتها التي يتفاعل معها). ويجب أن يستمر القارئ في مجال الابتكار والمشاركة لإثبات كفاءته كمعلم.</w:t>
      </w:r>
    </w:p>
    <w:p w14:paraId="0C10A760" w14:textId="77777777" w:rsidR="000C4C36" w:rsidRPr="00F30EF3" w:rsidRDefault="000C4C36" w:rsidP="00F841B0">
      <w:pPr>
        <w:pStyle w:val="NormalWeb"/>
        <w:pBdr>
          <w:top w:val="single" w:sz="4" w:space="1" w:color="auto"/>
          <w:left w:val="single" w:sz="4" w:space="1" w:color="auto"/>
          <w:bottom w:val="single" w:sz="4" w:space="1" w:color="auto"/>
          <w:right w:val="single" w:sz="4" w:space="4" w:color="auto"/>
        </w:pBdr>
        <w:shd w:val="clear" w:color="auto" w:fill="FDE9D9" w:themeFill="accent6" w:themeFillTint="33"/>
        <w:spacing w:before="0" w:beforeAutospacing="0" w:after="165" w:afterAutospacing="0"/>
        <w:ind w:left="284"/>
        <w:jc w:val="both"/>
        <w:rPr>
          <w:rFonts w:asciiTheme="minorHAnsi" w:hAnsiTheme="minorHAnsi" w:cstheme="minorHAnsi"/>
          <w:color w:val="000000"/>
          <w:sz w:val="22"/>
          <w:szCs w:val="22"/>
          <w:rtl/>
        </w:rPr>
      </w:pPr>
      <w:r w:rsidRPr="00F30EF3">
        <w:rPr>
          <w:rFonts w:asciiTheme="minorHAnsi" w:hAnsiTheme="minorHAnsi" w:cstheme="minorHAnsi"/>
          <w:color w:val="000000"/>
          <w:sz w:val="22"/>
          <w:szCs w:val="22"/>
          <w:rtl/>
        </w:rPr>
        <w:t>وفي حالة توقع تولّي مودع الطلب الناجح مسؤوليات جديدة، فيجب تقديم طلب لإعادة التصنيف وفقاً لإجراءات الجامعة لتحديد أي تغيير ذي صلة في الدرجة والراتب. </w:t>
      </w:r>
    </w:p>
    <w:p w14:paraId="75F1BDD3" w14:textId="77777777" w:rsidR="00CC0CF0" w:rsidRPr="00F30EF3" w:rsidRDefault="00CC0CF0" w:rsidP="00CC0CF0">
      <w:pPr>
        <w:pStyle w:val="Heading3"/>
        <w:spacing w:before="0" w:after="0"/>
        <w:jc w:val="both"/>
        <w:rPr>
          <w:rFonts w:asciiTheme="minorHAnsi" w:hAnsiTheme="minorHAnsi" w:cstheme="minorHAnsi"/>
          <w:sz w:val="22"/>
          <w:szCs w:val="22"/>
          <w:rtl/>
        </w:rPr>
      </w:pPr>
      <w:bookmarkStart w:id="356" w:name="_Toc516160105"/>
      <w:bookmarkStart w:id="357" w:name="_Toc516219441"/>
      <w:bookmarkStart w:id="358" w:name="_Toc516496085"/>
      <w:bookmarkStart w:id="359" w:name="_Toc516829457"/>
    </w:p>
    <w:p w14:paraId="319D5DC1" w14:textId="77777777" w:rsidR="00CC0CF0" w:rsidRPr="00F30EF3" w:rsidRDefault="00CC0CF0" w:rsidP="00CC0CF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cstheme="minorHAnsi"/>
          <w:b/>
          <w:bCs/>
          <w:u w:val="single"/>
          <w:rtl/>
        </w:rPr>
      </w:pPr>
      <w:r w:rsidRPr="00F30EF3">
        <w:rPr>
          <w:rFonts w:cstheme="minorHAnsi"/>
          <w:b/>
          <w:bCs/>
          <w:u w:val="single"/>
          <w:rtl/>
        </w:rPr>
        <w:t>الأستاذية</w:t>
      </w:r>
    </w:p>
    <w:p w14:paraId="7D2278B2" w14:textId="77777777" w:rsidR="00CC0CF0" w:rsidRPr="00F30EF3" w:rsidRDefault="00CC0CF0" w:rsidP="00CC0CF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cstheme="minorHAnsi"/>
          <w:color w:val="000000"/>
          <w:rtl/>
        </w:rPr>
      </w:pPr>
      <w:r w:rsidRPr="00F30EF3">
        <w:rPr>
          <w:rFonts w:cstheme="minorHAnsi"/>
          <w:color w:val="000000"/>
          <w:rtl/>
        </w:rPr>
        <w:t>يُعد لقب الأستاذية في الابتكار والمشاركة لقباً مرموقاً وهو أرفع لقب تعينه الجامعة تقديراً للتميّز في الأنشطة المتعلقة بالمؤسسة. ويجب أن يُظهر الأستاذ في مجال الابتكار والمشاركة تميّزاً بارزاً في أنشطة الابتكار والمشاركة والبحوث التطبيقية ويُتوقع منه أن يوفر القيادة (على سبيل المثال من خلال الأنشطة في مراكز البحوث ومن خلال إظهار التعلم من رؤى المجتمعات المختلفة وخبراتها التي يتفاعل معها). ويجب أن يستمر الأستاذ في مجال الابتكار والمشاركة لإثبات كفاءته كمعلم.</w:t>
      </w:r>
    </w:p>
    <w:p w14:paraId="2E7D3EB9" w14:textId="77777777" w:rsidR="00CC0CF0" w:rsidRPr="00F30EF3" w:rsidRDefault="00CC0CF0" w:rsidP="00CC0CF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cstheme="minorHAnsi"/>
          <w:color w:val="000000"/>
          <w:rtl/>
        </w:rPr>
      </w:pPr>
      <w:r w:rsidRPr="00F30EF3">
        <w:rPr>
          <w:rFonts w:cstheme="minorHAnsi"/>
          <w:color w:val="000000"/>
          <w:rtl/>
        </w:rPr>
        <w:t>وفي حالة توقع تولّي مودع الطلب الناجح مسؤوليات جديدة، فيجب تقديم طلب لإعادة التصنيف وفقاً لإجراءات الجامعة لتحديد أي تغيير ذي صلة في الدرجة والراتب. وسيُراجع لقب الأستاذ كل خمس سنوات ولا يسري إلا في أثناء العمل في جامعة جنوب ويلز.</w:t>
      </w:r>
    </w:p>
    <w:p w14:paraId="15DC1501" w14:textId="77777777" w:rsidR="000C4C36" w:rsidRPr="00F30EF3" w:rsidRDefault="000C4C36" w:rsidP="00F841B0">
      <w:pPr>
        <w:pStyle w:val="Heading3"/>
        <w:spacing w:before="360"/>
        <w:jc w:val="both"/>
        <w:rPr>
          <w:rFonts w:asciiTheme="minorHAnsi" w:hAnsiTheme="minorHAnsi" w:cstheme="minorHAnsi"/>
          <w:sz w:val="24"/>
          <w:szCs w:val="24"/>
          <w:rtl/>
        </w:rPr>
      </w:pPr>
      <w:r w:rsidRPr="00F30EF3">
        <w:rPr>
          <w:rFonts w:asciiTheme="minorHAnsi" w:hAnsiTheme="minorHAnsi" w:cstheme="minorHAnsi"/>
          <w:sz w:val="24"/>
          <w:szCs w:val="24"/>
          <w:rtl/>
        </w:rPr>
        <w:t>دعم ريادة الأعمال</w:t>
      </w:r>
      <w:bookmarkEnd w:id="356"/>
      <w:bookmarkEnd w:id="357"/>
      <w:bookmarkEnd w:id="358"/>
      <w:bookmarkEnd w:id="359"/>
    </w:p>
    <w:p w14:paraId="371E7A04" w14:textId="4AF52A7A" w:rsidR="00F76347" w:rsidRPr="00F30EF3" w:rsidRDefault="00B02FB0" w:rsidP="009D4A54">
      <w:pPr>
        <w:pStyle w:val="ListParagraph"/>
        <w:numPr>
          <w:ilvl w:val="0"/>
          <w:numId w:val="101"/>
        </w:numPr>
        <w:spacing w:after="0" w:line="240" w:lineRule="auto"/>
        <w:ind w:left="426" w:hanging="426"/>
        <w:jc w:val="both"/>
        <w:rPr>
          <w:rFonts w:cstheme="minorHAnsi"/>
          <w:rtl/>
        </w:rPr>
      </w:pPr>
      <w:r w:rsidRPr="00F30EF3">
        <w:rPr>
          <w:rFonts w:cstheme="minorHAnsi"/>
          <w:b/>
          <w:bCs/>
          <w:rtl/>
        </w:rPr>
        <w:t xml:space="preserve">المادة 2.3.10، </w:t>
      </w:r>
      <w:r w:rsidRPr="00F30EF3">
        <w:rPr>
          <w:rFonts w:cstheme="minorHAnsi"/>
          <w:b/>
          <w:bCs/>
          <w:i/>
          <w:iCs/>
          <w:rtl/>
        </w:rPr>
        <w:t>فرص تطوير</w:t>
      </w:r>
      <w:r w:rsidRPr="00F30EF3">
        <w:rPr>
          <w:rFonts w:cstheme="minorHAnsi"/>
          <w:b/>
          <w:bCs/>
          <w:rtl/>
        </w:rPr>
        <w:t xml:space="preserve"> </w:t>
      </w:r>
      <w:r w:rsidRPr="00F30EF3">
        <w:rPr>
          <w:rFonts w:cstheme="minorHAnsi"/>
          <w:b/>
          <w:bCs/>
          <w:i/>
          <w:iCs/>
          <w:rtl/>
        </w:rPr>
        <w:t>المؤسسة أو تطوير القدرات:</w:t>
      </w:r>
      <w:r w:rsidRPr="00F30EF3">
        <w:rPr>
          <w:rFonts w:cstheme="minorHAnsi"/>
          <w:b/>
          <w:bCs/>
          <w:rtl/>
        </w:rPr>
        <w:t xml:space="preserve"> </w:t>
      </w:r>
      <w:r w:rsidRPr="00F30EF3">
        <w:rPr>
          <w:rFonts w:cstheme="minorHAnsi"/>
          <w:rtl/>
        </w:rPr>
        <w:t>يكون مستوى الدعم التجاري المتاح للباحثين الأكاديميين وجودته الكافيين الحافز الأهم على الأرجح. ويُقدم ذلك من خلال:</w:t>
      </w:r>
    </w:p>
    <w:p w14:paraId="273BBD34" w14:textId="77777777" w:rsidR="00F76347" w:rsidRPr="00F30EF3" w:rsidRDefault="00F76347" w:rsidP="009D4A54">
      <w:pPr>
        <w:pStyle w:val="ListParagraph"/>
        <w:numPr>
          <w:ilvl w:val="0"/>
          <w:numId w:val="139"/>
        </w:numPr>
        <w:spacing w:after="0" w:line="240" w:lineRule="auto"/>
        <w:ind w:left="851" w:hanging="425"/>
        <w:jc w:val="both"/>
        <w:rPr>
          <w:rFonts w:cstheme="minorHAnsi"/>
          <w:rtl/>
        </w:rPr>
      </w:pPr>
      <w:r w:rsidRPr="00F30EF3">
        <w:rPr>
          <w:rFonts w:cstheme="minorHAnsi"/>
          <w:rtl/>
        </w:rPr>
        <w:t>سهولة النفاذ إلى موظفي تطوير الأعمال والحصول على دعمهم؛</w:t>
      </w:r>
    </w:p>
    <w:p w14:paraId="39D62DE3" w14:textId="77777777" w:rsidR="00F76347" w:rsidRPr="00F30EF3" w:rsidRDefault="00F76347" w:rsidP="009D4A54">
      <w:pPr>
        <w:pStyle w:val="ListParagraph"/>
        <w:numPr>
          <w:ilvl w:val="0"/>
          <w:numId w:val="139"/>
        </w:numPr>
        <w:spacing w:after="0" w:line="240" w:lineRule="auto"/>
        <w:ind w:left="851" w:hanging="425"/>
        <w:jc w:val="both"/>
        <w:rPr>
          <w:rFonts w:cstheme="minorHAnsi"/>
          <w:rtl/>
        </w:rPr>
      </w:pPr>
      <w:r w:rsidRPr="00F30EF3">
        <w:rPr>
          <w:rFonts w:cstheme="minorHAnsi"/>
          <w:rtl/>
        </w:rPr>
        <w:t>وإتاحة المزيد من الوقت للتسويق، على سبيل المثال من خلال تقديم مقابل لوقت التدريس أو إعفاء الباحثين من مسؤولياتهم الإدارية؛</w:t>
      </w:r>
    </w:p>
    <w:p w14:paraId="68AB2791" w14:textId="77777777" w:rsidR="00F76347" w:rsidRPr="00F30EF3" w:rsidRDefault="00F76347" w:rsidP="009D4A54">
      <w:pPr>
        <w:pStyle w:val="ListParagraph"/>
        <w:numPr>
          <w:ilvl w:val="0"/>
          <w:numId w:val="139"/>
        </w:numPr>
        <w:spacing w:after="0" w:line="240" w:lineRule="auto"/>
        <w:ind w:left="851" w:hanging="425"/>
        <w:jc w:val="both"/>
        <w:rPr>
          <w:rFonts w:cstheme="minorHAnsi"/>
          <w:rtl/>
        </w:rPr>
      </w:pPr>
      <w:r w:rsidRPr="00F30EF3">
        <w:rPr>
          <w:rFonts w:cstheme="minorHAnsi"/>
          <w:rtl/>
        </w:rPr>
        <w:t>والدعم والتوجيه الداخلي للتسويق (من خلال مكتب إدارة الملكية الفكرية)؛</w:t>
      </w:r>
    </w:p>
    <w:p w14:paraId="0919D82B" w14:textId="77777777" w:rsidR="00F76347" w:rsidRPr="00F30EF3" w:rsidRDefault="00F76347" w:rsidP="009D4A54">
      <w:pPr>
        <w:pStyle w:val="ListParagraph"/>
        <w:numPr>
          <w:ilvl w:val="0"/>
          <w:numId w:val="139"/>
        </w:numPr>
        <w:spacing w:after="0" w:line="240" w:lineRule="auto"/>
        <w:ind w:left="851" w:hanging="425"/>
        <w:jc w:val="both"/>
        <w:rPr>
          <w:rFonts w:cstheme="minorHAnsi"/>
          <w:rtl/>
        </w:rPr>
      </w:pPr>
      <w:r w:rsidRPr="00F30EF3">
        <w:rPr>
          <w:rFonts w:cstheme="minorHAnsi"/>
          <w:rtl/>
        </w:rPr>
        <w:t>وظروف عمل مرنة للسماح بالإعارات؛</w:t>
      </w:r>
    </w:p>
    <w:p w14:paraId="3F86B214" w14:textId="77777777" w:rsidR="00F76347" w:rsidRPr="00F30EF3" w:rsidRDefault="00F76347" w:rsidP="009D4A54">
      <w:pPr>
        <w:pStyle w:val="ListParagraph"/>
        <w:numPr>
          <w:ilvl w:val="0"/>
          <w:numId w:val="139"/>
        </w:numPr>
        <w:spacing w:after="0" w:line="240" w:lineRule="auto"/>
        <w:ind w:left="851" w:hanging="425"/>
        <w:jc w:val="both"/>
        <w:rPr>
          <w:rFonts w:cstheme="minorHAnsi"/>
          <w:rtl/>
        </w:rPr>
      </w:pPr>
      <w:r w:rsidRPr="00F30EF3">
        <w:rPr>
          <w:rFonts w:cstheme="minorHAnsi"/>
          <w:rtl/>
        </w:rPr>
        <w:t xml:space="preserve">والتدريب على إدارة الملكية الفكرية وريادة الأعمال (انظر </w:t>
      </w:r>
      <w:hyperlink w:anchor="Box5" w:history="1">
        <w:r w:rsidRPr="00F30EF3">
          <w:rPr>
            <w:rStyle w:val="Hyperlink"/>
            <w:rFonts w:cstheme="minorHAnsi"/>
            <w:rtl/>
          </w:rPr>
          <w:t>الإطار 5</w:t>
        </w:r>
      </w:hyperlink>
      <w:r w:rsidRPr="00F30EF3">
        <w:rPr>
          <w:rFonts w:cstheme="minorHAnsi"/>
          <w:rtl/>
        </w:rPr>
        <w:t>).</w:t>
      </w:r>
    </w:p>
    <w:p w14:paraId="2D6A758B" w14:textId="77777777" w:rsidR="00267571" w:rsidRPr="00F30EF3" w:rsidRDefault="00816D72" w:rsidP="00F841B0">
      <w:pPr>
        <w:pStyle w:val="Heading3"/>
        <w:spacing w:before="360"/>
        <w:jc w:val="both"/>
        <w:rPr>
          <w:rFonts w:asciiTheme="minorHAnsi" w:hAnsiTheme="minorHAnsi" w:cstheme="minorHAnsi"/>
          <w:sz w:val="24"/>
          <w:szCs w:val="24"/>
          <w:rtl/>
        </w:rPr>
      </w:pPr>
      <w:bookmarkStart w:id="360" w:name="_Toc516160106"/>
      <w:bookmarkStart w:id="361" w:name="_Toc516219442"/>
      <w:bookmarkStart w:id="362" w:name="_Toc516496086"/>
      <w:bookmarkStart w:id="363" w:name="_Toc516829458"/>
      <w:r w:rsidRPr="00F30EF3">
        <w:rPr>
          <w:rFonts w:asciiTheme="minorHAnsi" w:hAnsiTheme="minorHAnsi" w:cstheme="minorHAnsi"/>
          <w:sz w:val="24"/>
          <w:szCs w:val="24"/>
          <w:rtl/>
        </w:rPr>
        <w:t>المكانة المعنوية والتقدير</w:t>
      </w:r>
      <w:bookmarkEnd w:id="360"/>
      <w:bookmarkEnd w:id="361"/>
      <w:bookmarkEnd w:id="362"/>
      <w:bookmarkEnd w:id="363"/>
    </w:p>
    <w:p w14:paraId="682C2BE3" w14:textId="3A6B67FB" w:rsidR="00B02FB0" w:rsidRPr="00F30EF3" w:rsidRDefault="00876157" w:rsidP="009D4A54">
      <w:pPr>
        <w:pStyle w:val="ListParagraph"/>
        <w:numPr>
          <w:ilvl w:val="0"/>
          <w:numId w:val="100"/>
        </w:numPr>
        <w:spacing w:after="0" w:line="240" w:lineRule="auto"/>
        <w:ind w:left="426" w:hanging="426"/>
        <w:jc w:val="both"/>
        <w:rPr>
          <w:rFonts w:cstheme="minorHAnsi"/>
          <w:rtl/>
        </w:rPr>
      </w:pPr>
      <w:r w:rsidRPr="00F30EF3">
        <w:rPr>
          <w:rFonts w:cstheme="minorHAnsi"/>
          <w:b/>
          <w:bCs/>
          <w:rtl/>
        </w:rPr>
        <w:t xml:space="preserve">المادة 1.3.10، </w:t>
      </w:r>
      <w:r w:rsidRPr="00F30EF3">
        <w:rPr>
          <w:rFonts w:cstheme="minorHAnsi"/>
          <w:b/>
          <w:bCs/>
          <w:i/>
          <w:iCs/>
          <w:rtl/>
        </w:rPr>
        <w:t>العرفان والتقدير:</w:t>
      </w:r>
      <w:r w:rsidRPr="00F30EF3">
        <w:rPr>
          <w:rFonts w:cstheme="minorHAnsi"/>
          <w:b/>
          <w:bCs/>
          <w:rtl/>
        </w:rPr>
        <w:t xml:space="preserve"> </w:t>
      </w:r>
      <w:r w:rsidRPr="00F30EF3">
        <w:rPr>
          <w:rFonts w:cstheme="minorHAnsi"/>
          <w:rtl/>
        </w:rPr>
        <w:t xml:space="preserve">يمكن منح العرفان والتقدير في شكل </w:t>
      </w:r>
      <w:r w:rsidRPr="00F30EF3">
        <w:rPr>
          <w:rFonts w:cstheme="minorHAnsi"/>
          <w:b/>
          <w:bCs/>
          <w:rtl/>
        </w:rPr>
        <w:t>جوائز</w:t>
      </w:r>
      <w:r w:rsidRPr="00F30EF3">
        <w:rPr>
          <w:rFonts w:cstheme="minorHAnsi"/>
          <w:rtl/>
        </w:rPr>
        <w:t xml:space="preserve"> مثل تلك التي تقدمها الويبو، وغرفة التجارة الأمريكية، وجائزة المخترع الأوروبي، وميدالية ديزل في ألمانيا، وجائزة تكنولوجيا الألفية المقدمة من ابتكار التكنولوجيا في فنلندا. وتمنح بعض المؤسسات المخترعين نسخاً ذات إطارات من براءاتهم أو لوحة تحمل معلومات حول البراءة. ويمكن للمؤسسات إقامة فعاليات سنوية لتكريم المخترعين مثل حفل عشاء جوائز المخترعين. وتضيف هذه البرامج عنصراً شخصياً إلى خطط التعويضات. </w:t>
      </w:r>
    </w:p>
    <w:p w14:paraId="019C8DDE" w14:textId="77777777" w:rsidR="000B27B9" w:rsidRPr="00F30EF3" w:rsidRDefault="000B27B9" w:rsidP="000B27B9">
      <w:pPr>
        <w:spacing w:after="0" w:line="240" w:lineRule="auto"/>
        <w:jc w:val="both"/>
        <w:rPr>
          <w:rFonts w:cstheme="minorHAnsi"/>
          <w:lang w:val="en-US"/>
        </w:rPr>
      </w:pPr>
    </w:p>
    <w:p w14:paraId="6DFB2E6D" w14:textId="77777777" w:rsidR="00B02FB0" w:rsidRPr="00F30EF3" w:rsidRDefault="00FE508B" w:rsidP="00B7519E">
      <w:pPr>
        <w:spacing w:after="0" w:line="240" w:lineRule="auto"/>
        <w:jc w:val="both"/>
        <w:rPr>
          <w:rFonts w:cstheme="minorHAnsi"/>
          <w:rtl/>
        </w:rPr>
      </w:pPr>
      <w:r w:rsidRPr="00F30EF3">
        <w:rPr>
          <w:rFonts w:cstheme="minorHAnsi"/>
          <w:noProof/>
          <w:rtl/>
        </w:rPr>
        <w:lastRenderedPageBreak/>
        <w:drawing>
          <wp:anchor distT="0" distB="0" distL="114300" distR="114300" simplePos="0" relativeHeight="251658240" behindDoc="1" locked="0" layoutInCell="1" allowOverlap="1" wp14:anchorId="51A0664D" wp14:editId="11817244">
            <wp:simplePos x="0" y="0"/>
            <wp:positionH relativeFrom="column">
              <wp:posOffset>284480</wp:posOffset>
            </wp:positionH>
            <wp:positionV relativeFrom="paragraph">
              <wp:posOffset>40005</wp:posOffset>
            </wp:positionV>
            <wp:extent cx="1535430" cy="1675765"/>
            <wp:effectExtent l="19050" t="19050" r="26670" b="19685"/>
            <wp:wrapThrough wrapText="bothSides">
              <wp:wrapPolygon edited="0">
                <wp:start x="-268" y="-246"/>
                <wp:lineTo x="-268" y="21608"/>
                <wp:lineTo x="21707" y="21608"/>
                <wp:lineTo x="21707" y="-246"/>
                <wp:lineTo x="-268" y="-246"/>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4-08 at 12.08.29 PM.png"/>
                    <pic:cNvPicPr/>
                  </pic:nvPicPr>
                  <pic:blipFill>
                    <a:blip r:embed="rId163">
                      <a:extLst>
                        <a:ext uri="{28A0092B-C50C-407E-A947-70E740481C1C}">
                          <a14:useLocalDpi xmlns:a14="http://schemas.microsoft.com/office/drawing/2010/main" val="0"/>
                        </a:ext>
                      </a:extLst>
                    </a:blip>
                    <a:stretch>
                      <a:fillRect/>
                    </a:stretch>
                  </pic:blipFill>
                  <pic:spPr>
                    <a:xfrm>
                      <a:off x="0" y="0"/>
                      <a:ext cx="1535430" cy="16757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830EEF4" w14:textId="77777777" w:rsidR="00B02FB0" w:rsidRPr="00F30EF3" w:rsidRDefault="00B02FB0" w:rsidP="00B7519E">
      <w:pPr>
        <w:spacing w:after="0" w:line="240" w:lineRule="auto"/>
        <w:jc w:val="both"/>
        <w:rPr>
          <w:rFonts w:cstheme="minorHAnsi"/>
          <w:lang w:val="en-US"/>
        </w:rPr>
      </w:pPr>
    </w:p>
    <w:p w14:paraId="684BE679" w14:textId="77777777" w:rsidR="00B02FB0" w:rsidRPr="00F30EF3" w:rsidRDefault="00B02FB0" w:rsidP="00B7519E">
      <w:pPr>
        <w:spacing w:after="0" w:line="240" w:lineRule="auto"/>
        <w:jc w:val="both"/>
        <w:rPr>
          <w:rFonts w:cstheme="minorHAnsi"/>
          <w:lang w:val="en-US"/>
        </w:rPr>
      </w:pPr>
    </w:p>
    <w:p w14:paraId="42D59602" w14:textId="77777777" w:rsidR="00267571" w:rsidRPr="00F30EF3" w:rsidRDefault="00267571" w:rsidP="00B7519E">
      <w:pPr>
        <w:spacing w:after="0" w:line="240" w:lineRule="auto"/>
        <w:ind w:left="426"/>
        <w:jc w:val="both"/>
        <w:rPr>
          <w:rFonts w:cstheme="minorHAnsi"/>
          <w:lang w:val="en-US"/>
        </w:rPr>
      </w:pPr>
    </w:p>
    <w:p w14:paraId="16E8B3B4" w14:textId="77777777" w:rsidR="00267571" w:rsidRPr="00F30EF3" w:rsidRDefault="00267571" w:rsidP="00B7519E">
      <w:pPr>
        <w:spacing w:after="0" w:line="240" w:lineRule="auto"/>
        <w:ind w:left="426"/>
        <w:jc w:val="both"/>
        <w:rPr>
          <w:rFonts w:cstheme="minorHAnsi"/>
          <w:lang w:val="en-US"/>
        </w:rPr>
      </w:pPr>
    </w:p>
    <w:p w14:paraId="7842C638" w14:textId="77777777" w:rsidR="00267571" w:rsidRPr="00F30EF3" w:rsidRDefault="00267571" w:rsidP="00B7519E">
      <w:pPr>
        <w:spacing w:after="0" w:line="240" w:lineRule="auto"/>
        <w:ind w:left="426"/>
        <w:jc w:val="both"/>
        <w:rPr>
          <w:rFonts w:cstheme="minorHAnsi"/>
          <w:lang w:val="en-US"/>
        </w:rPr>
      </w:pPr>
    </w:p>
    <w:p w14:paraId="34BB5DA3" w14:textId="77777777" w:rsidR="00267571" w:rsidRPr="00F30EF3" w:rsidRDefault="00267571" w:rsidP="00B7519E">
      <w:pPr>
        <w:spacing w:after="0" w:line="240" w:lineRule="auto"/>
        <w:ind w:left="426"/>
        <w:jc w:val="both"/>
        <w:rPr>
          <w:rFonts w:cstheme="minorHAnsi"/>
          <w:lang w:val="en-US"/>
        </w:rPr>
      </w:pPr>
    </w:p>
    <w:p w14:paraId="13040378" w14:textId="77777777" w:rsidR="00267571" w:rsidRPr="00F30EF3" w:rsidRDefault="00267571" w:rsidP="00B7519E">
      <w:pPr>
        <w:spacing w:after="0" w:line="240" w:lineRule="auto"/>
        <w:ind w:left="426"/>
        <w:jc w:val="both"/>
        <w:rPr>
          <w:rFonts w:cstheme="minorHAnsi"/>
          <w:lang w:val="en-US"/>
        </w:rPr>
      </w:pPr>
    </w:p>
    <w:p w14:paraId="1C05D07D" w14:textId="77777777" w:rsidR="00267571" w:rsidRPr="00F30EF3" w:rsidRDefault="00267571" w:rsidP="00B7519E">
      <w:pPr>
        <w:spacing w:after="0" w:line="240" w:lineRule="auto"/>
        <w:ind w:left="426"/>
        <w:jc w:val="both"/>
        <w:rPr>
          <w:rFonts w:cstheme="minorHAnsi"/>
          <w:lang w:val="en-US"/>
        </w:rPr>
      </w:pPr>
    </w:p>
    <w:p w14:paraId="261C003D" w14:textId="77777777" w:rsidR="00267571" w:rsidRPr="00F30EF3" w:rsidRDefault="00267571" w:rsidP="00B7519E">
      <w:pPr>
        <w:spacing w:after="0" w:line="240" w:lineRule="auto"/>
        <w:ind w:left="426"/>
        <w:jc w:val="both"/>
        <w:rPr>
          <w:rFonts w:cstheme="minorHAnsi"/>
          <w:lang w:val="en-US"/>
        </w:rPr>
      </w:pPr>
    </w:p>
    <w:p w14:paraId="1B41D9D0" w14:textId="77777777" w:rsidR="00267571" w:rsidRPr="00F30EF3" w:rsidRDefault="00267571" w:rsidP="00B7519E">
      <w:pPr>
        <w:spacing w:after="0" w:line="240" w:lineRule="auto"/>
        <w:ind w:left="426"/>
        <w:jc w:val="both"/>
        <w:rPr>
          <w:rFonts w:cstheme="minorHAnsi"/>
          <w:lang w:val="en-US"/>
        </w:rPr>
      </w:pPr>
    </w:p>
    <w:p w14:paraId="484DB623" w14:textId="77777777" w:rsidR="00FE508B" w:rsidRPr="00F30EF3" w:rsidRDefault="00FE508B" w:rsidP="00B7519E">
      <w:pPr>
        <w:spacing w:after="0" w:line="240" w:lineRule="auto"/>
        <w:ind w:left="426"/>
        <w:jc w:val="both"/>
        <w:rPr>
          <w:rFonts w:cstheme="minorHAnsi"/>
          <w:lang w:val="en-US"/>
        </w:rPr>
      </w:pPr>
    </w:p>
    <w:p w14:paraId="685131AE" w14:textId="7CB68E7C" w:rsidR="00B02FB0" w:rsidRPr="00F30EF3" w:rsidRDefault="00B02FB0" w:rsidP="009D4A54">
      <w:pPr>
        <w:pStyle w:val="ListParagraph"/>
        <w:numPr>
          <w:ilvl w:val="0"/>
          <w:numId w:val="100"/>
        </w:numPr>
        <w:spacing w:after="0" w:line="240" w:lineRule="auto"/>
        <w:ind w:left="426" w:hanging="426"/>
        <w:jc w:val="both"/>
        <w:rPr>
          <w:rFonts w:cstheme="minorHAnsi"/>
          <w:rtl/>
        </w:rPr>
      </w:pPr>
      <w:r w:rsidRPr="00F30EF3">
        <w:rPr>
          <w:rFonts w:cstheme="minorHAnsi"/>
          <w:rtl/>
        </w:rPr>
        <w:t xml:space="preserve">وبدلاً من ذلك، قد يتأثر </w:t>
      </w:r>
      <w:r w:rsidRPr="00F30EF3">
        <w:rPr>
          <w:rFonts w:cstheme="minorHAnsi"/>
          <w:b/>
          <w:bCs/>
          <w:rtl/>
        </w:rPr>
        <w:t>تصنيف</w:t>
      </w:r>
      <w:r w:rsidRPr="00F30EF3">
        <w:rPr>
          <w:rFonts w:cstheme="minorHAnsi"/>
          <w:rtl/>
        </w:rPr>
        <w:t xml:space="preserve"> الباحث من قبل وكالة التمويل بمساهمته في الملك الع</w:t>
      </w:r>
      <w:r w:rsidR="00677F1F" w:rsidRPr="00F30EF3">
        <w:rPr>
          <w:rFonts w:cstheme="minorHAnsi" w:hint="cs"/>
          <w:rtl/>
        </w:rPr>
        <w:t>ا</w:t>
      </w:r>
      <w:r w:rsidRPr="00F30EF3">
        <w:rPr>
          <w:rFonts w:cstheme="minorHAnsi"/>
          <w:rtl/>
        </w:rPr>
        <w:t>م من خلال المقالات العلمية أو من خلال مساهمته كمبتكر. وقد يؤثر هذا التصنيف على تخصيص وكالة التمويل مزيد من الأموال للبحث، أو إنشاء مركز للتميز أو الحصول على منصب بحثي على سبيل المثال.</w:t>
      </w:r>
    </w:p>
    <w:p w14:paraId="0DEBDFAB" w14:textId="77777777" w:rsidR="00B02FB0" w:rsidRPr="00F30EF3" w:rsidRDefault="00B02FB0" w:rsidP="00B7519E">
      <w:pPr>
        <w:spacing w:after="0" w:line="240" w:lineRule="auto"/>
        <w:ind w:left="426"/>
        <w:jc w:val="both"/>
        <w:rPr>
          <w:rFonts w:cstheme="minorHAnsi"/>
          <w:lang w:val="en-US"/>
        </w:rPr>
      </w:pPr>
    </w:p>
    <w:p w14:paraId="2CF05579" w14:textId="77777777" w:rsidR="00B02FB0" w:rsidRPr="00F30EF3" w:rsidRDefault="00B02FB0" w:rsidP="00B7519E">
      <w:pPr>
        <w:spacing w:after="0" w:line="240" w:lineRule="auto"/>
        <w:ind w:left="426"/>
        <w:jc w:val="both"/>
        <w:rPr>
          <w:rFonts w:cstheme="minorHAnsi"/>
          <w:rtl/>
        </w:rPr>
      </w:pPr>
      <w:r w:rsidRPr="00F30EF3">
        <w:rPr>
          <w:rFonts w:cstheme="minorHAnsi"/>
          <w:rtl/>
        </w:rPr>
        <w:t>ولنأخذ مثال المؤسسة الوطنية للبحوث في جنوب أفريقيا (</w:t>
      </w:r>
      <w:r w:rsidRPr="00F30EF3">
        <w:rPr>
          <w:rFonts w:cstheme="minorHAnsi"/>
        </w:rPr>
        <w:t>NRF</w:t>
      </w:r>
      <w:r w:rsidRPr="00F30EF3">
        <w:rPr>
          <w:rFonts w:cstheme="minorHAnsi"/>
          <w:rtl/>
        </w:rPr>
        <w:t>)</w:t>
      </w:r>
      <w:r w:rsidR="00876157" w:rsidRPr="00F30EF3">
        <w:rPr>
          <w:rStyle w:val="FootnoteReference"/>
          <w:rFonts w:cstheme="minorHAnsi"/>
          <w:rtl/>
          <w:lang w:val="en-US"/>
        </w:rPr>
        <w:footnoteReference w:id="191"/>
      </w:r>
      <w:r w:rsidRPr="00F30EF3">
        <w:rPr>
          <w:rFonts w:cstheme="minorHAnsi"/>
          <w:rtl/>
        </w:rPr>
        <w:t xml:space="preserve"> حيث يحتوي نظام التصنيف على مخرجات بحث أولية وثانوية تشمل كلاً من المنشورات ومخرجات الملكية الفكرية والنماذج الأولية وغيرها:</w:t>
      </w:r>
    </w:p>
    <w:p w14:paraId="1B0BDF32" w14:textId="77777777" w:rsidR="00B02FB0" w:rsidRPr="00F30EF3" w:rsidRDefault="00B02FB0" w:rsidP="00B7519E">
      <w:pPr>
        <w:spacing w:after="0" w:line="240" w:lineRule="auto"/>
        <w:jc w:val="both"/>
        <w:rPr>
          <w:rFonts w:cstheme="minorHAnsi"/>
          <w:lang w:val="en-US"/>
        </w:rPr>
      </w:pPr>
    </w:p>
    <w:p w14:paraId="317E4BA5" w14:textId="5286D3FE" w:rsidR="00876157" w:rsidRPr="00F30EF3" w:rsidRDefault="00876157" w:rsidP="00462997">
      <w:pPr>
        <w:pBdr>
          <w:top w:val="single" w:sz="4" w:space="1" w:color="auto"/>
          <w:left w:val="single" w:sz="4" w:space="4" w:color="auto"/>
          <w:bottom w:val="single" w:sz="4" w:space="1" w:color="auto"/>
          <w:right w:val="single" w:sz="4" w:space="7" w:color="auto"/>
        </w:pBdr>
        <w:shd w:val="clear" w:color="auto" w:fill="FDE9D9" w:themeFill="accent6" w:themeFillTint="33"/>
        <w:spacing w:after="0" w:line="240" w:lineRule="auto"/>
        <w:ind w:left="426"/>
        <w:jc w:val="both"/>
        <w:rPr>
          <w:rFonts w:eastAsia="Times New Roman" w:cstheme="minorHAnsi"/>
          <w:b/>
          <w:bCs/>
          <w:rtl/>
        </w:rPr>
      </w:pPr>
      <w:r w:rsidRPr="00F30EF3">
        <w:rPr>
          <w:rFonts w:cstheme="minorHAnsi"/>
          <w:b/>
          <w:bCs/>
          <w:rtl/>
        </w:rPr>
        <w:t>الإطار</w:t>
      </w:r>
      <w:r w:rsidR="00677F1F" w:rsidRPr="00F30EF3">
        <w:rPr>
          <w:rFonts w:cstheme="minorHAnsi" w:hint="cs"/>
          <w:b/>
          <w:bCs/>
          <w:rtl/>
        </w:rPr>
        <w:t xml:space="preserve"> </w:t>
      </w:r>
      <w:r w:rsidR="000E1B2E" w:rsidRPr="00F30EF3">
        <w:rPr>
          <w:rFonts w:cstheme="minorHAnsi"/>
          <w:b/>
          <w:bCs/>
        </w:rPr>
        <w:t>78</w:t>
      </w:r>
      <w:r w:rsidR="00677F1F" w:rsidRPr="00F30EF3">
        <w:rPr>
          <w:rFonts w:cstheme="minorHAnsi" w:hint="cs"/>
          <w:b/>
          <w:bCs/>
          <w:rtl/>
        </w:rPr>
        <w:t>.</w:t>
      </w:r>
      <w:r w:rsidRPr="00F30EF3">
        <w:rPr>
          <w:rFonts w:cstheme="minorHAnsi"/>
          <w:b/>
          <w:bCs/>
          <w:rtl/>
        </w:rPr>
        <w:t xml:space="preserve"> - مثال لنظام التقييم في المؤسسة الوطنية للبحوث في جنوب أفريقيا</w:t>
      </w:r>
    </w:p>
    <w:p w14:paraId="5528C18C" w14:textId="77777777" w:rsidR="00876157" w:rsidRPr="00F30EF3" w:rsidRDefault="00876157" w:rsidP="00462997">
      <w:pPr>
        <w:pStyle w:val="ListParagraph"/>
        <w:pBdr>
          <w:top w:val="single" w:sz="4" w:space="1" w:color="auto"/>
          <w:left w:val="single" w:sz="4" w:space="4" w:color="auto"/>
          <w:bottom w:val="single" w:sz="4" w:space="1" w:color="auto"/>
          <w:right w:val="single" w:sz="4" w:space="7" w:color="auto"/>
        </w:pBdr>
        <w:shd w:val="clear" w:color="auto" w:fill="FDE9D9" w:themeFill="accent6" w:themeFillTint="33"/>
        <w:spacing w:after="0" w:line="240" w:lineRule="auto"/>
        <w:ind w:left="426"/>
        <w:jc w:val="both"/>
        <w:rPr>
          <w:rFonts w:eastAsia="Times New Roman" w:cstheme="minorHAnsi"/>
          <w:lang w:val="en-US" w:eastAsia="en-US"/>
        </w:rPr>
      </w:pPr>
    </w:p>
    <w:p w14:paraId="1795F213" w14:textId="77777777" w:rsidR="00B02FB0" w:rsidRPr="00F30EF3" w:rsidRDefault="00B02FB0" w:rsidP="00462997">
      <w:pPr>
        <w:pStyle w:val="ListParagraph"/>
        <w:numPr>
          <w:ilvl w:val="0"/>
          <w:numId w:val="106"/>
        </w:numPr>
        <w:pBdr>
          <w:top w:val="single" w:sz="4" w:space="1" w:color="auto"/>
          <w:left w:val="single" w:sz="4" w:space="4" w:color="auto"/>
          <w:bottom w:val="single" w:sz="4" w:space="1" w:color="auto"/>
          <w:right w:val="single" w:sz="4" w:space="7" w:color="auto"/>
        </w:pBdr>
        <w:shd w:val="clear" w:color="auto" w:fill="FDE9D9" w:themeFill="accent6" w:themeFillTint="33"/>
        <w:spacing w:after="0" w:line="240" w:lineRule="auto"/>
        <w:ind w:left="567" w:hanging="141"/>
        <w:jc w:val="both"/>
        <w:rPr>
          <w:rFonts w:eastAsia="Times New Roman" w:cstheme="minorHAnsi"/>
          <w:rtl/>
        </w:rPr>
      </w:pPr>
      <w:r w:rsidRPr="00F30EF3">
        <w:rPr>
          <w:rFonts w:cstheme="minorHAnsi"/>
          <w:b/>
          <w:bCs/>
          <w:rtl/>
        </w:rPr>
        <w:t>النواتج الرئيسية:</w:t>
      </w:r>
      <w:r w:rsidRPr="00F30EF3">
        <w:rPr>
          <w:rFonts w:cstheme="minorHAnsi"/>
          <w:rtl/>
        </w:rPr>
        <w:t xml:space="preserve"> تُدرج النواتج التالية كنواتج أساسية: </w:t>
      </w:r>
    </w:p>
    <w:p w14:paraId="6E74910D" w14:textId="5106DAD1" w:rsidR="00B02FB0" w:rsidRPr="00F30EF3" w:rsidRDefault="00B02FB0" w:rsidP="00462997">
      <w:pPr>
        <w:pStyle w:val="ListParagraph"/>
        <w:numPr>
          <w:ilvl w:val="0"/>
          <w:numId w:val="174"/>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eastAsia="Times New Roman" w:cstheme="minorHAnsi"/>
          <w:rtl/>
        </w:rPr>
      </w:pPr>
      <w:r w:rsidRPr="00F30EF3">
        <w:rPr>
          <w:rFonts w:cstheme="minorHAnsi"/>
          <w:rtl/>
        </w:rPr>
        <w:t>الكتب؛</w:t>
      </w:r>
      <w:r w:rsidR="00677F1F" w:rsidRPr="00F30EF3">
        <w:rPr>
          <w:rFonts w:cstheme="minorHAnsi" w:hint="cs"/>
          <w:rtl/>
        </w:rPr>
        <w:t xml:space="preserve"> </w:t>
      </w:r>
      <w:r w:rsidRPr="00F30EF3">
        <w:rPr>
          <w:rFonts w:cstheme="minorHAnsi"/>
          <w:rtl/>
        </w:rPr>
        <w:t>والفصول في كتب؛ ووقائع المؤتمرات المحكّمة/المراجعة من قبل الأقران؛ والمقالات في المجلات المحكّمة/المراجعة من قبل الأقران؛</w:t>
      </w:r>
    </w:p>
    <w:p w14:paraId="08ED8AE0" w14:textId="5C5834F6" w:rsidR="00B02FB0" w:rsidRPr="00F30EF3" w:rsidRDefault="00B02FB0" w:rsidP="00462997">
      <w:pPr>
        <w:pStyle w:val="ListParagraph"/>
        <w:numPr>
          <w:ilvl w:val="0"/>
          <w:numId w:val="174"/>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eastAsia="Times New Roman" w:cstheme="minorHAnsi"/>
          <w:rtl/>
        </w:rPr>
      </w:pPr>
      <w:r w:rsidRPr="00F30EF3">
        <w:rPr>
          <w:rFonts w:cstheme="minorHAnsi"/>
          <w:rtl/>
        </w:rPr>
        <w:t xml:space="preserve"> والبراءات. يجب تقديم المعلومات التالية لكل براءة: • يُرجى تقديم معلومات عن جميع البراءات السابقة والحالية باسمك أو نتيجة جهد تعاوني. وأدرج أيضاً ما إذا كانت البراءة براءة منفعة أو تصميم أو نبات في قسم الوصف. وستظهر البراءات الممنوحة فقط في طلب التصنيف.</w:t>
      </w:r>
    </w:p>
    <w:p w14:paraId="1BF55D43" w14:textId="77777777" w:rsidR="00B02FB0" w:rsidRPr="00F30EF3" w:rsidRDefault="00B02FB0" w:rsidP="00462997">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eastAsia="Times New Roman" w:cstheme="minorHAnsi"/>
          <w:lang w:val="en-US" w:eastAsia="en-US"/>
        </w:rPr>
      </w:pPr>
    </w:p>
    <w:p w14:paraId="2F079B6C" w14:textId="77777777" w:rsidR="00B02FB0" w:rsidRPr="00F30EF3" w:rsidRDefault="00B02FB0" w:rsidP="009D4A54">
      <w:pPr>
        <w:pStyle w:val="ListParagraph"/>
        <w:numPr>
          <w:ilvl w:val="0"/>
          <w:numId w:val="106"/>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eastAsia="Times New Roman" w:cstheme="minorHAnsi"/>
          <w:rtl/>
        </w:rPr>
      </w:pPr>
      <w:r w:rsidRPr="00F30EF3">
        <w:rPr>
          <w:rFonts w:cstheme="minorHAnsi"/>
          <w:b/>
          <w:bCs/>
          <w:rtl/>
        </w:rPr>
        <w:t>النواتج الثانوية:</w:t>
      </w:r>
      <w:r w:rsidRPr="00F30EF3">
        <w:rPr>
          <w:rFonts w:cstheme="minorHAnsi"/>
          <w:rtl/>
        </w:rPr>
        <w:t xml:space="preserve"> تُدرج النواتج التالية كنواتج ثانوية: </w:t>
      </w:r>
    </w:p>
    <w:p w14:paraId="51E24E08" w14:textId="77777777" w:rsidR="00B02FB0" w:rsidRPr="00F30EF3"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eastAsia="Times New Roman" w:cstheme="minorHAnsi"/>
          <w:rtl/>
        </w:rPr>
      </w:pPr>
      <w:r w:rsidRPr="00F30EF3">
        <w:rPr>
          <w:rFonts w:cstheme="minorHAnsi"/>
          <w:rtl/>
        </w:rPr>
        <w:t>الكلمة الرئيسية/الجلسة العامة؛</w:t>
      </w:r>
    </w:p>
    <w:p w14:paraId="71D873E7" w14:textId="77777777" w:rsidR="00B02FB0" w:rsidRPr="00F30EF3"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eastAsia="Times New Roman" w:cstheme="minorHAnsi"/>
          <w:rtl/>
        </w:rPr>
      </w:pPr>
      <w:r w:rsidRPr="00F30EF3">
        <w:rPr>
          <w:rFonts w:cstheme="minorHAnsi"/>
          <w:rtl/>
        </w:rPr>
        <w:t>ومقالات في مجلات غير محكّمة/غير خاضعة لمراجعة الأقران؛</w:t>
      </w:r>
    </w:p>
    <w:p w14:paraId="17E34D72" w14:textId="77777777" w:rsidR="00B02FB0" w:rsidRPr="00F30EF3"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eastAsia="Times New Roman" w:cstheme="minorHAnsi"/>
          <w:rtl/>
        </w:rPr>
      </w:pPr>
      <w:r w:rsidRPr="00F30EF3">
        <w:rPr>
          <w:rFonts w:cstheme="minorHAnsi"/>
          <w:rtl/>
        </w:rPr>
        <w:t>ونواتج المؤتمر الهامة الأخرى؛</w:t>
      </w:r>
    </w:p>
    <w:p w14:paraId="061ED0E1" w14:textId="77777777" w:rsidR="00B02FB0" w:rsidRPr="00F30EF3"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eastAsia="Times New Roman" w:cstheme="minorHAnsi"/>
          <w:rtl/>
        </w:rPr>
      </w:pPr>
      <w:r w:rsidRPr="00F30EF3">
        <w:rPr>
          <w:rFonts w:cstheme="minorHAnsi"/>
          <w:rtl/>
        </w:rPr>
        <w:t>والتقارير التقنية/السياسية؛</w:t>
      </w:r>
    </w:p>
    <w:p w14:paraId="673FFFA2" w14:textId="77777777" w:rsidR="00B02FB0" w:rsidRPr="00F30EF3"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720" w:hanging="294"/>
        <w:jc w:val="both"/>
        <w:rPr>
          <w:rFonts w:eastAsia="Times New Roman" w:cstheme="minorHAnsi"/>
          <w:rtl/>
        </w:rPr>
      </w:pPr>
      <w:r w:rsidRPr="00F30EF3">
        <w:rPr>
          <w:rFonts w:cstheme="minorHAnsi"/>
          <w:rtl/>
        </w:rPr>
        <w:t>والمنتجات - يمكن تعريف المنتج بأنه شيء يتم إنتاجه؛ مثل سلعة أو مسرحية أو إبداع أو اختراع؛</w:t>
      </w:r>
    </w:p>
    <w:p w14:paraId="1D3ED706" w14:textId="77777777" w:rsidR="00B02FB0" w:rsidRPr="00F30EF3"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720" w:hanging="294"/>
        <w:jc w:val="both"/>
        <w:rPr>
          <w:rFonts w:eastAsia="Times New Roman" w:cstheme="minorHAnsi"/>
          <w:rtl/>
        </w:rPr>
      </w:pPr>
      <w:r w:rsidRPr="00F30EF3">
        <w:rPr>
          <w:rFonts w:cstheme="minorHAnsi"/>
          <w:rtl/>
        </w:rPr>
        <w:t>والأدوات الحرفية - يمكن تعريف الأداة الحرفية على أنها شيء تم صنعه أو إنتاجه عمداً لغرض معين، مثل فيديو تم بثه، أو فيلم، أو فيلم وثائقي، أو غرض، أو عنصر؛</w:t>
      </w:r>
    </w:p>
    <w:p w14:paraId="0ECBCD9C" w14:textId="77777777" w:rsidR="00B02FB0" w:rsidRPr="00F30EF3"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720" w:hanging="294"/>
        <w:jc w:val="both"/>
        <w:rPr>
          <w:rFonts w:eastAsia="Times New Roman" w:cstheme="minorHAnsi"/>
          <w:rtl/>
        </w:rPr>
      </w:pPr>
      <w:r w:rsidRPr="00F30EF3">
        <w:rPr>
          <w:rFonts w:cstheme="minorHAnsi"/>
          <w:rtl/>
        </w:rPr>
        <w:t xml:space="preserve">والنماذج الأولية - يمكن تعريف النموذج الأولي على أنه نموذج أصلي يتم تصميم شيء ما على غراره، مثل نموذج أو نموذج تجريبي أو دمى أو أنماط. </w:t>
      </w:r>
    </w:p>
    <w:p w14:paraId="3B9B97A3" w14:textId="77777777" w:rsidR="00FE508B" w:rsidRPr="00F30EF3" w:rsidRDefault="00FE508B" w:rsidP="000B27B9">
      <w:pPr>
        <w:pStyle w:val="Heading3"/>
        <w:spacing w:before="360"/>
        <w:jc w:val="both"/>
        <w:rPr>
          <w:rFonts w:asciiTheme="minorHAnsi" w:hAnsiTheme="minorHAnsi" w:cstheme="minorHAnsi"/>
          <w:sz w:val="24"/>
          <w:szCs w:val="24"/>
          <w:rtl/>
        </w:rPr>
      </w:pPr>
      <w:bookmarkStart w:id="364" w:name="_Toc516160107"/>
      <w:bookmarkStart w:id="365" w:name="_Toc516219443"/>
      <w:bookmarkStart w:id="366" w:name="_Toc516496087"/>
      <w:bookmarkStart w:id="367" w:name="_Toc516829459"/>
      <w:r w:rsidRPr="00F30EF3">
        <w:rPr>
          <w:rFonts w:asciiTheme="minorHAnsi" w:hAnsiTheme="minorHAnsi" w:cstheme="minorHAnsi"/>
          <w:sz w:val="24"/>
          <w:szCs w:val="24"/>
          <w:rtl/>
        </w:rPr>
        <w:t>مصادر البحث الإضافية</w:t>
      </w:r>
      <w:bookmarkEnd w:id="364"/>
      <w:bookmarkEnd w:id="365"/>
      <w:bookmarkEnd w:id="366"/>
      <w:bookmarkEnd w:id="367"/>
    </w:p>
    <w:p w14:paraId="5B152A5F" w14:textId="77777777" w:rsidR="00A23549" w:rsidRPr="00F30EF3" w:rsidRDefault="00A23549" w:rsidP="009D4A54">
      <w:pPr>
        <w:pStyle w:val="ListParagraph"/>
        <w:numPr>
          <w:ilvl w:val="0"/>
          <w:numId w:val="100"/>
        </w:numPr>
        <w:spacing w:after="0" w:line="240" w:lineRule="auto"/>
        <w:ind w:left="426" w:hanging="426"/>
        <w:jc w:val="both"/>
        <w:rPr>
          <w:rFonts w:cstheme="minorHAnsi"/>
          <w:rtl/>
        </w:rPr>
      </w:pPr>
      <w:r w:rsidRPr="00F30EF3">
        <w:rPr>
          <w:rFonts w:cstheme="minorHAnsi"/>
          <w:b/>
          <w:bCs/>
          <w:rtl/>
        </w:rPr>
        <w:t xml:space="preserve">المادة 3.3.10، </w:t>
      </w:r>
      <w:r w:rsidRPr="00F30EF3">
        <w:rPr>
          <w:rFonts w:cstheme="minorHAnsi"/>
          <w:b/>
          <w:bCs/>
          <w:i/>
          <w:iCs/>
          <w:rtl/>
        </w:rPr>
        <w:t>صناديق الأبحاث</w:t>
      </w:r>
      <w:r w:rsidRPr="00F30EF3">
        <w:rPr>
          <w:rFonts w:cstheme="minorHAnsi"/>
          <w:rtl/>
        </w:rPr>
        <w:t>.  تتطلب المهنة الأكاديمية أموالاً للأبحاث والمنح الدراسية والأنشطة الإبداعية. وقد تصبح العلاقات التعاونية مع القطاع الخاص مصدراً لهذه الأموال، من خلال اتفاقات البحث والتطوير، أو الاستشارات، أو تخصيص حصة من عائدات تسويق الملكية الفكرية. ويجوز للمؤسسة في الأساس، على سبيل المثال، تخصيص جزء أكبر من حصتها من الإيرادات لقسم الأبحاث الخاصة بالمبدعين، والتي يستفيد المبدعون منها لتمويل أنشطة بحثية أخرى.</w:t>
      </w:r>
    </w:p>
    <w:p w14:paraId="56075667" w14:textId="77777777" w:rsidR="00FE508B" w:rsidRPr="00F30EF3" w:rsidRDefault="00D63989" w:rsidP="000B27B9">
      <w:pPr>
        <w:pStyle w:val="Heading3"/>
        <w:spacing w:before="360"/>
        <w:jc w:val="both"/>
        <w:rPr>
          <w:rFonts w:asciiTheme="minorHAnsi" w:hAnsiTheme="minorHAnsi" w:cstheme="minorHAnsi"/>
          <w:sz w:val="24"/>
          <w:szCs w:val="24"/>
          <w:rtl/>
        </w:rPr>
      </w:pPr>
      <w:bookmarkStart w:id="368" w:name="_Toc516160108"/>
      <w:bookmarkStart w:id="369" w:name="_Toc516219444"/>
      <w:bookmarkStart w:id="370" w:name="_Toc516496088"/>
      <w:bookmarkStart w:id="371" w:name="_Toc516829460"/>
      <w:r w:rsidRPr="00F30EF3">
        <w:rPr>
          <w:rFonts w:asciiTheme="minorHAnsi" w:hAnsiTheme="minorHAnsi" w:cstheme="minorHAnsi"/>
          <w:sz w:val="24"/>
          <w:szCs w:val="24"/>
          <w:rtl/>
        </w:rPr>
        <w:lastRenderedPageBreak/>
        <w:t>النفاذ إلى الأسهم في الشركات المنبثقة</w:t>
      </w:r>
      <w:bookmarkEnd w:id="368"/>
      <w:bookmarkEnd w:id="369"/>
      <w:bookmarkEnd w:id="370"/>
      <w:bookmarkEnd w:id="371"/>
    </w:p>
    <w:p w14:paraId="728A89BA" w14:textId="2B58818E" w:rsidR="002B426B" w:rsidRPr="00F30EF3" w:rsidRDefault="00B02FB0" w:rsidP="00677F1F">
      <w:pPr>
        <w:pStyle w:val="ListParagraph"/>
        <w:numPr>
          <w:ilvl w:val="0"/>
          <w:numId w:val="100"/>
        </w:numPr>
        <w:spacing w:after="120" w:line="240" w:lineRule="auto"/>
        <w:ind w:left="432" w:hanging="426"/>
        <w:contextualSpacing w:val="0"/>
        <w:jc w:val="both"/>
        <w:rPr>
          <w:rFonts w:cstheme="minorHAnsi"/>
          <w:rtl/>
        </w:rPr>
      </w:pPr>
      <w:r w:rsidRPr="00F30EF3">
        <w:rPr>
          <w:rFonts w:cstheme="minorHAnsi"/>
          <w:b/>
          <w:bCs/>
          <w:rtl/>
        </w:rPr>
        <w:t xml:space="preserve">المادة 4.3.10، </w:t>
      </w:r>
      <w:r w:rsidRPr="00F30EF3">
        <w:rPr>
          <w:rFonts w:cstheme="minorHAnsi"/>
          <w:b/>
          <w:bCs/>
          <w:i/>
          <w:iCs/>
          <w:rtl/>
        </w:rPr>
        <w:t>حصص في كيان تسويق</w:t>
      </w:r>
      <w:r w:rsidRPr="00F30EF3">
        <w:rPr>
          <w:rFonts w:cstheme="minorHAnsi"/>
          <w:rtl/>
        </w:rPr>
        <w:t>. تتعرض جميع الشركات الناشئة تقريباً لقيود نقدية شديدة. وبالتالي، لا تمتلك الموارد لدفع الرسوم المسبقة المعتادة في ترخيص للصناعة. ولاستيعاب هذه الحقيقة، تأخذ بعض المؤسسات أسهماً بدلاً من القيمة النقدية عندما ترخص تقنياتها للشركات الناشئة. والأسهم أيضاً وسيلة للجامعة لمشاركة بعض المخاطر المرتبطة بالشركات الناشئة.</w:t>
      </w:r>
      <w:r w:rsidR="002B426B" w:rsidRPr="00F30EF3">
        <w:rPr>
          <w:rStyle w:val="FootnoteReference"/>
          <w:rFonts w:cstheme="minorHAnsi"/>
          <w:rtl/>
          <w:lang w:val="en-US"/>
        </w:rPr>
        <w:footnoteReference w:id="192"/>
      </w:r>
      <w:r w:rsidRPr="00F30EF3">
        <w:rPr>
          <w:rFonts w:cstheme="minorHAnsi"/>
          <w:rtl/>
        </w:rPr>
        <w:t xml:space="preserve"> </w:t>
      </w:r>
    </w:p>
    <w:p w14:paraId="75C62028" w14:textId="42F2574C" w:rsidR="00B02FB0" w:rsidRPr="00F30EF3" w:rsidRDefault="00334F1B" w:rsidP="00677F1F">
      <w:pPr>
        <w:pStyle w:val="ListParagraph"/>
        <w:numPr>
          <w:ilvl w:val="0"/>
          <w:numId w:val="100"/>
        </w:numPr>
        <w:spacing w:after="120" w:line="240" w:lineRule="auto"/>
        <w:ind w:left="432" w:hanging="426"/>
        <w:contextualSpacing w:val="0"/>
        <w:jc w:val="both"/>
        <w:rPr>
          <w:rFonts w:cstheme="minorHAnsi"/>
          <w:color w:val="000000" w:themeColor="text1"/>
          <w:rtl/>
        </w:rPr>
      </w:pPr>
      <w:r w:rsidRPr="00F30EF3">
        <w:rPr>
          <w:rFonts w:cstheme="minorHAnsi"/>
          <w:b/>
          <w:bCs/>
          <w:color w:val="000000" w:themeColor="text1"/>
          <w:rtl/>
        </w:rPr>
        <w:t>النسبة المئوية لحصص المخترع مقابل المؤسسة</w:t>
      </w:r>
      <w:r w:rsidRPr="00F30EF3">
        <w:rPr>
          <w:rFonts w:cstheme="minorHAnsi"/>
          <w:color w:val="000000" w:themeColor="text1"/>
          <w:rtl/>
        </w:rPr>
        <w:t>. يوفر "دليل دعم الشركات المتفرعة" الصادر عن جامعة إدنبره دعماً مفصلاً حول كيفية تخصيص الحصص مع مبتكري الملكية الفكرية والنسبة المئوية للحصص التي يجب أن تأخذها المؤسسة. ويرد أدناه مقتطف من هذا الدليل يقدم تفاصيل عن الخيار الذي يتعين فيه التنازل عن تقاسم منافع الملكية الفكرية للمخترع من عائدات الترخيص في ضوء تخصيص الحصص [الخيار 2 في المادتين 1.4.3.10 و2.4.3.10]:</w:t>
      </w:r>
    </w:p>
    <w:p w14:paraId="4CCCA673" w14:textId="77777777" w:rsidR="00B02FB0" w:rsidRPr="00F30EF3" w:rsidRDefault="00B02FB0" w:rsidP="00B7519E">
      <w:pPr>
        <w:spacing w:after="0" w:line="240" w:lineRule="auto"/>
        <w:jc w:val="both"/>
        <w:rPr>
          <w:rFonts w:cstheme="minorHAnsi"/>
          <w:color w:val="000000" w:themeColor="text1"/>
          <w:lang w:val="en-US"/>
        </w:rPr>
      </w:pPr>
    </w:p>
    <w:p w14:paraId="621A76CC" w14:textId="623841E5" w:rsidR="00C97054" w:rsidRPr="00F30EF3" w:rsidRDefault="00C97054"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cstheme="minorHAnsi"/>
          <w:b/>
          <w:bCs/>
          <w:rtl/>
        </w:rPr>
      </w:pPr>
      <w:r w:rsidRPr="00F30EF3">
        <w:rPr>
          <w:rFonts w:cstheme="minorHAnsi"/>
          <w:b/>
          <w:bCs/>
          <w:rtl/>
        </w:rPr>
        <w:t xml:space="preserve">الإطار </w:t>
      </w:r>
      <w:r w:rsidR="00F47A85" w:rsidRPr="00F30EF3">
        <w:rPr>
          <w:rFonts w:cstheme="minorHAnsi"/>
          <w:b/>
          <w:bCs/>
        </w:rPr>
        <w:t>79</w:t>
      </w:r>
      <w:r w:rsidR="00677F1F" w:rsidRPr="00F30EF3">
        <w:rPr>
          <w:rFonts w:cstheme="minorHAnsi" w:hint="cs"/>
          <w:b/>
          <w:bCs/>
          <w:rtl/>
        </w:rPr>
        <w:t>.</w:t>
      </w:r>
      <w:r w:rsidRPr="00F30EF3">
        <w:rPr>
          <w:rFonts w:cstheme="minorHAnsi"/>
          <w:b/>
          <w:bCs/>
          <w:rtl/>
        </w:rPr>
        <w:t xml:space="preserve"> مثال لتخصيص الحصص في الشركات الناشئة - جامعة إدنبره (المملكة المتحدة)</w:t>
      </w:r>
    </w:p>
    <w:p w14:paraId="2C4C54F7" w14:textId="77777777" w:rsidR="00C97054" w:rsidRPr="00F30EF3" w:rsidRDefault="00C97054"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cstheme="minorHAnsi"/>
          <w:b/>
          <w:bCs/>
          <w:lang w:val="en-US"/>
        </w:rPr>
      </w:pPr>
    </w:p>
    <w:p w14:paraId="07644DF1" w14:textId="77777777" w:rsidR="00B02FB0" w:rsidRPr="00F30EF3" w:rsidRDefault="00C97054"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eastAsia="Times New Roman" w:cstheme="minorHAnsi"/>
          <w:i/>
          <w:iCs/>
          <w:rtl/>
        </w:rPr>
      </w:pPr>
      <w:r w:rsidRPr="00F30EF3">
        <w:rPr>
          <w:rFonts w:cstheme="minorHAnsi"/>
          <w:i/>
          <w:iCs/>
          <w:rtl/>
        </w:rPr>
        <w:t xml:space="preserve">"تتوقع الجامعة أن تكون مساهماً مهماً في الشركة المتفرعة بسبب الموارد والإذن الذي توفره للشركة المتفرعة. وعادةً ما تكون حصة الجامعة مساوية لحصة المؤسسين الأكاديميين. ويعتمد حجم الحصة المتفق عليه للجامعة على عدد من العوامل: على سبيل المثال، أدوار الباحثين الأفراد في الشركة؛ والملكية الفكرية؛ والاستثمار الخاص بالمشروع قبل تأسيس الشركة؛ ومشاركة الجامعة في الوصول إلى المرحلة التي يمكن فيها إنشاء شركة متفرعة. ويجب أن يتم تقاسم أسهم الشركات المتفرعة بين جميع المشاركين في الشركة مثل فريق الإدارة والموظفين (المستقبليين). وهذه مسألة رئيسية يجب التعامل معها في وقت مبكر من العملية، ويمكن معالجتها جزئياً من خلال مخطط خيار الحصص للمكافأة على الإسهامات المستقبلية. وسيكون من المهم للمستثمرين في المستقبل أن يُراعي تقسيم أسهم الشركة (كل من الخيارات المتداولة وأي خيارات حصص) بشكل مناسب تقدير ومكافأة الأشخاص الذين يمثلون عناصر أساسية في التوجيه الاستراتيجي للشركة ونموها. ويمكن لمخترعي الملكية الفكرية المملوكة للجامعة والمطلوبة من قبل الشركة، النشطين في عملية تأسيس الشركة، أن يختاروا عادةً الحصول على أسهم تأسيسية في الشركة أو تقاسم الإيرادات التي تتلقاها الجامعة فيما يتعلق باتفاقية ترخيص التكنولوجيا. وإذا حصل المؤسسون أيضاً على دخل من اتفاقية ترخيص التكنولوجيا، وفقاً لسياسة تقاسم إيرادات الموظفين في الجامعة، فستتم مكافأتهم مرتين عن النشاط ذاته (المعروف باسم "التقاسم المزدوج"). وبالتالي، </w:t>
      </w:r>
      <w:r w:rsidRPr="00F30EF3">
        <w:rPr>
          <w:rFonts w:cstheme="minorHAnsi"/>
          <w:b/>
          <w:bCs/>
          <w:i/>
          <w:iCs/>
          <w:rtl/>
        </w:rPr>
        <w:t>يُطلب من الباحثين المؤسسين التنازل عن حقهم في الحصول على الدخل الذي قد يتدفق في المستقبل بموجب اتفاقية ترخيص التكنولوجيا</w:t>
      </w:r>
      <w:r w:rsidRPr="00F30EF3">
        <w:rPr>
          <w:rFonts w:cstheme="minorHAnsi"/>
          <w:i/>
          <w:iCs/>
          <w:rtl/>
        </w:rPr>
        <w:t>. ويمكن للمؤسسين شراء الحصص في معاملة حرة إلى جانب مستثمرين آخرين من دون التأثير على حقهم في تقاسم دخل الجامعة المستقبلي. ومن المعتاد أن يحصل المخترعون المشهود لهم بالنشاط في الشركة على أسهم تأسيسية في الشركة المتفرعة، في حين يشارك المخترعون الذين لا يشاركون بنشاط عادة في إيرادات الجامعة. ويتسق تخصيص الأسهم التأسيسية بهذه الطريقة مع توقعات المستثمرين الذين يرغبون في رؤية مكافأة الذي يمثلون أهمية بالغة للشركة من خلال نجاح الشركة (عبر زيادة سعر الحصة)".</w:t>
      </w:r>
      <w:r w:rsidRPr="00F30EF3">
        <w:rPr>
          <w:rFonts w:cstheme="minorHAnsi"/>
          <w:rtl/>
        </w:rPr>
        <w:t xml:space="preserve"> </w:t>
      </w:r>
    </w:p>
    <w:p w14:paraId="2E0ED198" w14:textId="77777777" w:rsidR="008E2F0B" w:rsidRPr="00F30EF3" w:rsidRDefault="008E2F0B" w:rsidP="000B27B9">
      <w:pPr>
        <w:pStyle w:val="Heading3"/>
        <w:spacing w:before="360"/>
        <w:jc w:val="both"/>
        <w:rPr>
          <w:rFonts w:asciiTheme="minorHAnsi" w:hAnsiTheme="minorHAnsi" w:cstheme="minorHAnsi"/>
          <w:sz w:val="24"/>
          <w:szCs w:val="24"/>
          <w:rtl/>
        </w:rPr>
      </w:pPr>
      <w:bookmarkStart w:id="372" w:name="_Toc516160109"/>
      <w:bookmarkStart w:id="373" w:name="_Toc516219445"/>
      <w:bookmarkStart w:id="374" w:name="_Toc516496089"/>
      <w:bookmarkStart w:id="375" w:name="_Toc516829461"/>
      <w:r w:rsidRPr="00F30EF3">
        <w:rPr>
          <w:rFonts w:asciiTheme="minorHAnsi" w:hAnsiTheme="minorHAnsi" w:cstheme="minorHAnsi"/>
          <w:sz w:val="24"/>
          <w:szCs w:val="24"/>
          <w:rtl/>
        </w:rPr>
        <w:t>أمثلة أخرى للحوافز</w:t>
      </w:r>
      <w:bookmarkEnd w:id="372"/>
      <w:bookmarkEnd w:id="373"/>
      <w:bookmarkEnd w:id="374"/>
      <w:bookmarkEnd w:id="375"/>
    </w:p>
    <w:p w14:paraId="098B9328" w14:textId="4D9A87DA" w:rsidR="00F76347" w:rsidRPr="00F30EF3" w:rsidRDefault="008E2F0B" w:rsidP="009D4A54">
      <w:pPr>
        <w:pStyle w:val="ListParagraph"/>
        <w:numPr>
          <w:ilvl w:val="0"/>
          <w:numId w:val="111"/>
        </w:numPr>
        <w:spacing w:line="240" w:lineRule="auto"/>
        <w:ind w:left="426" w:hanging="426"/>
        <w:jc w:val="both"/>
        <w:rPr>
          <w:rFonts w:cstheme="minorHAnsi"/>
          <w:rtl/>
        </w:rPr>
      </w:pPr>
      <w:r w:rsidRPr="00F30EF3">
        <w:rPr>
          <w:rFonts w:cstheme="minorHAnsi"/>
          <w:b/>
          <w:bCs/>
          <w:rtl/>
        </w:rPr>
        <w:t xml:space="preserve">المادة 1.3.10، </w:t>
      </w:r>
      <w:r w:rsidRPr="00F30EF3">
        <w:rPr>
          <w:rFonts w:cstheme="minorHAnsi"/>
          <w:b/>
          <w:bCs/>
          <w:i/>
          <w:iCs/>
          <w:rtl/>
        </w:rPr>
        <w:t xml:space="preserve">تشمل الحوافز الأخرى، على سبيل المثال لا الحصر، الحوافز الموضحة في المادة 2.3.10. – 4.3.10:  </w:t>
      </w:r>
      <w:r w:rsidRPr="00F30EF3">
        <w:rPr>
          <w:rFonts w:cstheme="minorHAnsi"/>
          <w:rtl/>
        </w:rPr>
        <w:t xml:space="preserve">يترك النموذج المجال مفتوحاً للمؤسسة للنظر في الحوافز الأخرى. وترد مجموعة من الحوافز المالية وغير المالية ملخصة في </w:t>
      </w:r>
      <w:hyperlink w:anchor="Box80" w:history="1">
        <w:r w:rsidRPr="00F30EF3">
          <w:rPr>
            <w:rStyle w:val="Hyperlink"/>
            <w:rFonts w:cstheme="minorHAnsi"/>
            <w:rtl/>
          </w:rPr>
          <w:t>الإطار 80</w:t>
        </w:r>
      </w:hyperlink>
      <w:r w:rsidRPr="00F30EF3">
        <w:rPr>
          <w:rFonts w:cstheme="minorHAnsi"/>
          <w:rtl/>
        </w:rPr>
        <w:t xml:space="preserve">.  </w:t>
      </w:r>
    </w:p>
    <w:tbl>
      <w:tblPr>
        <w:bidiVisual/>
        <w:tblW w:w="0" w:type="auto"/>
        <w:tblInd w:w="426" w:type="dxa"/>
        <w:tblLook w:val="04A0" w:firstRow="1" w:lastRow="0" w:firstColumn="1" w:lastColumn="0" w:noHBand="0" w:noVBand="1"/>
      </w:tblPr>
      <w:tblGrid>
        <w:gridCol w:w="4286"/>
        <w:gridCol w:w="4314"/>
      </w:tblGrid>
      <w:tr w:rsidR="00334F1B" w:rsidRPr="00F30EF3" w14:paraId="6F2D4A37" w14:textId="77777777" w:rsidTr="00B7519E">
        <w:tc>
          <w:tcPr>
            <w:tcW w:w="8816" w:type="dxa"/>
            <w:gridSpan w:val="2"/>
            <w:shd w:val="clear" w:color="auto" w:fill="D9D9D9" w:themeFill="background1" w:themeFillShade="D9"/>
          </w:tcPr>
          <w:p w14:paraId="4A991E54" w14:textId="31D9F073" w:rsidR="00334F1B" w:rsidRPr="00F30EF3" w:rsidRDefault="00334F1B" w:rsidP="00B7519E">
            <w:pPr>
              <w:rPr>
                <w:rFonts w:cstheme="minorHAnsi"/>
                <w:rtl/>
              </w:rPr>
            </w:pPr>
            <w:r w:rsidRPr="00F30EF3">
              <w:rPr>
                <w:rFonts w:cstheme="minorHAnsi"/>
                <w:b/>
                <w:bCs/>
                <w:rtl/>
              </w:rPr>
              <w:t xml:space="preserve">الإطار </w:t>
            </w:r>
            <w:r w:rsidR="00F47A85" w:rsidRPr="00F30EF3">
              <w:rPr>
                <w:rFonts w:cstheme="minorHAnsi"/>
                <w:b/>
                <w:bCs/>
              </w:rPr>
              <w:t>80</w:t>
            </w:r>
            <w:r w:rsidR="007A527D" w:rsidRPr="00F30EF3">
              <w:rPr>
                <w:rFonts w:cstheme="minorHAnsi" w:hint="cs"/>
                <w:b/>
                <w:bCs/>
                <w:rtl/>
              </w:rPr>
              <w:t>.</w:t>
            </w:r>
            <w:r w:rsidRPr="00F30EF3">
              <w:rPr>
                <w:rFonts w:cstheme="minorHAnsi"/>
                <w:b/>
                <w:bCs/>
                <w:rtl/>
              </w:rPr>
              <w:t xml:space="preserve"> نظرة عامة على الحوافز الممكنة</w:t>
            </w:r>
          </w:p>
        </w:tc>
      </w:tr>
      <w:tr w:rsidR="00A23549" w:rsidRPr="00F30EF3" w14:paraId="483D4287" w14:textId="77777777" w:rsidTr="00B7519E">
        <w:tc>
          <w:tcPr>
            <w:tcW w:w="4392" w:type="dxa"/>
            <w:shd w:val="clear" w:color="auto" w:fill="002060"/>
          </w:tcPr>
          <w:p w14:paraId="378507AF" w14:textId="77777777" w:rsidR="00A23549" w:rsidRPr="00F30EF3" w:rsidRDefault="00334F1B" w:rsidP="00B7519E">
            <w:pPr>
              <w:jc w:val="center"/>
              <w:rPr>
                <w:rFonts w:cstheme="minorHAnsi"/>
                <w:rtl/>
              </w:rPr>
            </w:pPr>
            <w:r w:rsidRPr="00F30EF3">
              <w:rPr>
                <w:rFonts w:cstheme="minorHAnsi"/>
                <w:rtl/>
              </w:rPr>
              <w:t>الحوافز المالية</w:t>
            </w:r>
          </w:p>
        </w:tc>
        <w:tc>
          <w:tcPr>
            <w:tcW w:w="4424" w:type="dxa"/>
            <w:shd w:val="clear" w:color="auto" w:fill="002060"/>
          </w:tcPr>
          <w:p w14:paraId="0584870A" w14:textId="77777777" w:rsidR="00A23549" w:rsidRPr="00F30EF3" w:rsidRDefault="00A23549" w:rsidP="00B7519E">
            <w:pPr>
              <w:jc w:val="center"/>
              <w:rPr>
                <w:rFonts w:cstheme="minorHAnsi"/>
                <w:rtl/>
              </w:rPr>
            </w:pPr>
            <w:r w:rsidRPr="00F30EF3">
              <w:rPr>
                <w:rFonts w:cstheme="minorHAnsi"/>
                <w:rtl/>
              </w:rPr>
              <w:t>الحوافز غير المالية</w:t>
            </w:r>
          </w:p>
        </w:tc>
      </w:tr>
      <w:tr w:rsidR="00A23549" w:rsidRPr="00F30EF3" w14:paraId="5B8FCE1C" w14:textId="77777777" w:rsidTr="00B7519E">
        <w:tc>
          <w:tcPr>
            <w:tcW w:w="4392" w:type="dxa"/>
            <w:shd w:val="clear" w:color="auto" w:fill="F2F2F2" w:themeFill="background1" w:themeFillShade="F2"/>
          </w:tcPr>
          <w:p w14:paraId="712E2236" w14:textId="77777777" w:rsidR="00A23549" w:rsidRPr="00F30EF3" w:rsidRDefault="00A23549" w:rsidP="009D4A54">
            <w:pPr>
              <w:pStyle w:val="ListParagraph"/>
              <w:numPr>
                <w:ilvl w:val="0"/>
                <w:numId w:val="109"/>
              </w:numPr>
              <w:ind w:left="283" w:hanging="283"/>
              <w:jc w:val="both"/>
              <w:rPr>
                <w:rFonts w:cstheme="minorHAnsi"/>
                <w:rtl/>
              </w:rPr>
            </w:pPr>
            <w:r w:rsidRPr="00F30EF3">
              <w:rPr>
                <w:rFonts w:cstheme="minorHAnsi"/>
                <w:rtl/>
              </w:rPr>
              <w:t>المكافأة العادلة وترتيبات تقاسم المنافع (المادة 2.10)</w:t>
            </w:r>
          </w:p>
        </w:tc>
        <w:tc>
          <w:tcPr>
            <w:tcW w:w="4424" w:type="dxa"/>
            <w:shd w:val="clear" w:color="auto" w:fill="F2F2F2" w:themeFill="background1" w:themeFillShade="F2"/>
          </w:tcPr>
          <w:p w14:paraId="11E36469" w14:textId="77777777" w:rsidR="00A23549" w:rsidRPr="00F30EF3" w:rsidRDefault="00334F1B" w:rsidP="009D4A54">
            <w:pPr>
              <w:pStyle w:val="ListParagraph"/>
              <w:numPr>
                <w:ilvl w:val="0"/>
                <w:numId w:val="110"/>
              </w:numPr>
              <w:ind w:left="290" w:hanging="268"/>
              <w:jc w:val="both"/>
              <w:rPr>
                <w:rFonts w:cstheme="minorHAnsi"/>
                <w:rtl/>
              </w:rPr>
            </w:pPr>
            <w:r w:rsidRPr="00F30EF3">
              <w:rPr>
                <w:rFonts w:cstheme="minorHAnsi"/>
                <w:rtl/>
              </w:rPr>
              <w:t>ملكية نتائج الملكية الفكرية.</w:t>
            </w:r>
          </w:p>
        </w:tc>
      </w:tr>
      <w:tr w:rsidR="00A23549" w:rsidRPr="00F30EF3" w14:paraId="6E992217" w14:textId="77777777" w:rsidTr="00B7519E">
        <w:tc>
          <w:tcPr>
            <w:tcW w:w="4392" w:type="dxa"/>
            <w:shd w:val="clear" w:color="auto" w:fill="F2F2F2" w:themeFill="background1" w:themeFillShade="F2"/>
          </w:tcPr>
          <w:p w14:paraId="36E2EA54" w14:textId="77777777" w:rsidR="00A23549" w:rsidRPr="00F30EF3" w:rsidRDefault="00334F1B" w:rsidP="009D4A54">
            <w:pPr>
              <w:pStyle w:val="ListParagraph"/>
              <w:numPr>
                <w:ilvl w:val="0"/>
                <w:numId w:val="109"/>
              </w:numPr>
              <w:ind w:left="283" w:hanging="283"/>
              <w:jc w:val="both"/>
              <w:rPr>
                <w:rFonts w:cstheme="minorHAnsi"/>
                <w:rtl/>
              </w:rPr>
            </w:pPr>
            <w:r w:rsidRPr="00F30EF3">
              <w:rPr>
                <w:rFonts w:cstheme="minorHAnsi"/>
                <w:rtl/>
              </w:rPr>
              <w:t>النفاذ إلى الموارد اللازمة لإجراء المزيد من الأنشطة البحثية (المادة 3.3.10)</w:t>
            </w:r>
          </w:p>
        </w:tc>
        <w:tc>
          <w:tcPr>
            <w:tcW w:w="4424" w:type="dxa"/>
            <w:shd w:val="clear" w:color="auto" w:fill="F2F2F2" w:themeFill="background1" w:themeFillShade="F2"/>
          </w:tcPr>
          <w:p w14:paraId="3A447068" w14:textId="77777777" w:rsidR="00A23549" w:rsidRPr="00F30EF3" w:rsidRDefault="00334F1B" w:rsidP="009D4A54">
            <w:pPr>
              <w:pStyle w:val="ListParagraph"/>
              <w:numPr>
                <w:ilvl w:val="0"/>
                <w:numId w:val="110"/>
              </w:numPr>
              <w:ind w:left="290" w:hanging="268"/>
              <w:jc w:val="both"/>
              <w:rPr>
                <w:rFonts w:cstheme="minorHAnsi"/>
                <w:rtl/>
              </w:rPr>
            </w:pPr>
            <w:r w:rsidRPr="00F30EF3">
              <w:rPr>
                <w:rFonts w:cstheme="minorHAnsi"/>
                <w:rtl/>
              </w:rPr>
              <w:t>التدريب وتطوير الأعمال ودعم التسويق التجاري</w:t>
            </w:r>
          </w:p>
        </w:tc>
      </w:tr>
      <w:tr w:rsidR="00A23549" w:rsidRPr="00F30EF3" w14:paraId="10C54845" w14:textId="77777777" w:rsidTr="00B7519E">
        <w:tc>
          <w:tcPr>
            <w:tcW w:w="4392" w:type="dxa"/>
            <w:shd w:val="clear" w:color="auto" w:fill="F2F2F2" w:themeFill="background1" w:themeFillShade="F2"/>
          </w:tcPr>
          <w:p w14:paraId="03BDC42B" w14:textId="77777777" w:rsidR="00A23549" w:rsidRPr="00F30EF3" w:rsidRDefault="00334F1B" w:rsidP="009D4A54">
            <w:pPr>
              <w:pStyle w:val="ListParagraph"/>
              <w:numPr>
                <w:ilvl w:val="0"/>
                <w:numId w:val="109"/>
              </w:numPr>
              <w:ind w:left="283" w:hanging="283"/>
              <w:jc w:val="both"/>
              <w:rPr>
                <w:rFonts w:cstheme="minorHAnsi"/>
                <w:rtl/>
              </w:rPr>
            </w:pPr>
            <w:r w:rsidRPr="00F30EF3">
              <w:rPr>
                <w:rFonts w:cstheme="minorHAnsi"/>
                <w:rtl/>
              </w:rPr>
              <w:lastRenderedPageBreak/>
              <w:t>زيادة الرواتب</w:t>
            </w:r>
          </w:p>
        </w:tc>
        <w:tc>
          <w:tcPr>
            <w:tcW w:w="4424" w:type="dxa"/>
            <w:shd w:val="clear" w:color="auto" w:fill="F2F2F2" w:themeFill="background1" w:themeFillShade="F2"/>
          </w:tcPr>
          <w:p w14:paraId="221B6A2F" w14:textId="77777777" w:rsidR="00A23549" w:rsidRPr="00F30EF3" w:rsidRDefault="00334F1B" w:rsidP="009D4A54">
            <w:pPr>
              <w:pStyle w:val="ListParagraph"/>
              <w:numPr>
                <w:ilvl w:val="0"/>
                <w:numId w:val="110"/>
              </w:numPr>
              <w:ind w:left="290" w:hanging="268"/>
              <w:rPr>
                <w:rFonts w:cstheme="minorHAnsi"/>
                <w:rtl/>
              </w:rPr>
            </w:pPr>
            <w:r w:rsidRPr="00F30EF3">
              <w:rPr>
                <w:rFonts w:cstheme="minorHAnsi"/>
                <w:rtl/>
              </w:rPr>
              <w:t>معايير التطوير الوظيفي</w:t>
            </w:r>
          </w:p>
        </w:tc>
      </w:tr>
      <w:tr w:rsidR="00A23549" w:rsidRPr="00F30EF3" w14:paraId="6860EB3D" w14:textId="77777777" w:rsidTr="00B7519E">
        <w:tc>
          <w:tcPr>
            <w:tcW w:w="4392" w:type="dxa"/>
            <w:shd w:val="clear" w:color="auto" w:fill="F2F2F2" w:themeFill="background1" w:themeFillShade="F2"/>
          </w:tcPr>
          <w:p w14:paraId="7B724592" w14:textId="77777777" w:rsidR="00A23549" w:rsidRPr="00F30EF3" w:rsidRDefault="00D63989" w:rsidP="009D4A54">
            <w:pPr>
              <w:pStyle w:val="ListParagraph"/>
              <w:numPr>
                <w:ilvl w:val="0"/>
                <w:numId w:val="109"/>
              </w:numPr>
              <w:ind w:left="283" w:hanging="283"/>
              <w:jc w:val="both"/>
              <w:rPr>
                <w:rFonts w:cstheme="minorHAnsi"/>
                <w:rtl/>
              </w:rPr>
            </w:pPr>
            <w:r w:rsidRPr="00F30EF3">
              <w:rPr>
                <w:rFonts w:cstheme="minorHAnsi"/>
                <w:rtl/>
              </w:rPr>
              <w:t>المكافآت المالية المباشرة المقدمة للمبدعين الذين شاركوا في طلبات البراءات الناجحة</w:t>
            </w:r>
            <w:r w:rsidR="0061291A" w:rsidRPr="00F30EF3">
              <w:rPr>
                <w:rStyle w:val="FootnoteReference"/>
                <w:rFonts w:cstheme="minorHAnsi"/>
                <w:rtl/>
                <w:lang w:val="en-US"/>
              </w:rPr>
              <w:footnoteReference w:id="193"/>
            </w:r>
          </w:p>
        </w:tc>
        <w:tc>
          <w:tcPr>
            <w:tcW w:w="4424" w:type="dxa"/>
            <w:shd w:val="clear" w:color="auto" w:fill="F2F2F2" w:themeFill="background1" w:themeFillShade="F2"/>
          </w:tcPr>
          <w:p w14:paraId="69E3EF51" w14:textId="77777777" w:rsidR="00A23549" w:rsidRPr="00F30EF3" w:rsidRDefault="00334F1B" w:rsidP="009D4A54">
            <w:pPr>
              <w:pStyle w:val="ListParagraph"/>
              <w:numPr>
                <w:ilvl w:val="0"/>
                <w:numId w:val="110"/>
              </w:numPr>
              <w:ind w:left="290" w:hanging="268"/>
              <w:jc w:val="both"/>
              <w:rPr>
                <w:rFonts w:cstheme="minorHAnsi"/>
                <w:rtl/>
              </w:rPr>
            </w:pPr>
            <w:r w:rsidRPr="00F30EF3">
              <w:rPr>
                <w:rFonts w:cstheme="minorHAnsi"/>
                <w:rtl/>
              </w:rPr>
              <w:t>معدات المختبر</w:t>
            </w:r>
          </w:p>
        </w:tc>
      </w:tr>
      <w:tr w:rsidR="00A23549" w:rsidRPr="00F30EF3" w14:paraId="7E2335EC" w14:textId="77777777" w:rsidTr="00B7519E">
        <w:tc>
          <w:tcPr>
            <w:tcW w:w="4392" w:type="dxa"/>
            <w:shd w:val="clear" w:color="auto" w:fill="F2F2F2" w:themeFill="background1" w:themeFillShade="F2"/>
          </w:tcPr>
          <w:p w14:paraId="692D63D1" w14:textId="77777777" w:rsidR="00A23549" w:rsidRPr="00F30EF3" w:rsidRDefault="00334F1B" w:rsidP="009D4A54">
            <w:pPr>
              <w:pStyle w:val="ListParagraph"/>
              <w:numPr>
                <w:ilvl w:val="0"/>
                <w:numId w:val="109"/>
              </w:numPr>
              <w:ind w:left="283" w:hanging="283"/>
              <w:jc w:val="both"/>
              <w:rPr>
                <w:rFonts w:cstheme="minorHAnsi"/>
                <w:rtl/>
              </w:rPr>
            </w:pPr>
            <w:r w:rsidRPr="00F30EF3">
              <w:rPr>
                <w:rFonts w:cstheme="minorHAnsi"/>
                <w:rtl/>
              </w:rPr>
              <w:t>النفاذ إلى الأسهم في الشركات المنبثقة</w:t>
            </w:r>
          </w:p>
        </w:tc>
        <w:tc>
          <w:tcPr>
            <w:tcW w:w="4424" w:type="dxa"/>
            <w:shd w:val="clear" w:color="auto" w:fill="F2F2F2" w:themeFill="background1" w:themeFillShade="F2"/>
          </w:tcPr>
          <w:p w14:paraId="0D5B2EE8" w14:textId="77777777" w:rsidR="00A23549" w:rsidRPr="00F30EF3" w:rsidRDefault="00334F1B" w:rsidP="009D4A54">
            <w:pPr>
              <w:pStyle w:val="ListParagraph"/>
              <w:numPr>
                <w:ilvl w:val="0"/>
                <w:numId w:val="110"/>
              </w:numPr>
              <w:ind w:left="290" w:hanging="268"/>
              <w:jc w:val="both"/>
              <w:rPr>
                <w:rFonts w:cstheme="minorHAnsi"/>
                <w:rtl/>
              </w:rPr>
            </w:pPr>
            <w:r w:rsidRPr="00F30EF3">
              <w:rPr>
                <w:rFonts w:cstheme="minorHAnsi"/>
                <w:rtl/>
              </w:rPr>
              <w:t>الإجازات؛ التنقل</w:t>
            </w:r>
            <w:r w:rsidR="00072C7B" w:rsidRPr="00F30EF3">
              <w:rPr>
                <w:rStyle w:val="FootnoteReference"/>
                <w:rFonts w:cstheme="minorHAnsi"/>
                <w:rtl/>
                <w:lang w:val="en-US"/>
              </w:rPr>
              <w:footnoteReference w:id="194"/>
            </w:r>
            <w:r w:rsidRPr="00F30EF3">
              <w:rPr>
                <w:rFonts w:cstheme="minorHAnsi"/>
                <w:rtl/>
              </w:rPr>
              <w:t>.</w:t>
            </w:r>
          </w:p>
        </w:tc>
      </w:tr>
      <w:tr w:rsidR="00A23549" w:rsidRPr="00F30EF3" w14:paraId="7F03B65C" w14:textId="77777777" w:rsidTr="00B7519E">
        <w:tc>
          <w:tcPr>
            <w:tcW w:w="4392" w:type="dxa"/>
            <w:shd w:val="clear" w:color="auto" w:fill="F2F2F2" w:themeFill="background1" w:themeFillShade="F2"/>
          </w:tcPr>
          <w:p w14:paraId="27D88F0E" w14:textId="77777777" w:rsidR="00A23549" w:rsidRPr="00F30EF3" w:rsidRDefault="00334F1B" w:rsidP="009D4A54">
            <w:pPr>
              <w:pStyle w:val="ListParagraph"/>
              <w:numPr>
                <w:ilvl w:val="0"/>
                <w:numId w:val="109"/>
              </w:numPr>
              <w:ind w:left="283" w:hanging="283"/>
              <w:jc w:val="both"/>
              <w:rPr>
                <w:rFonts w:cstheme="minorHAnsi"/>
                <w:rtl/>
              </w:rPr>
            </w:pPr>
            <w:r w:rsidRPr="00F30EF3">
              <w:rPr>
                <w:rFonts w:cstheme="minorHAnsi"/>
                <w:rtl/>
              </w:rPr>
              <w:t>المسائل الضريبية</w:t>
            </w:r>
          </w:p>
        </w:tc>
        <w:tc>
          <w:tcPr>
            <w:tcW w:w="4424" w:type="dxa"/>
            <w:shd w:val="clear" w:color="auto" w:fill="F2F2F2" w:themeFill="background1" w:themeFillShade="F2"/>
          </w:tcPr>
          <w:p w14:paraId="39F4CA5A" w14:textId="77777777" w:rsidR="00A23549" w:rsidRPr="00F30EF3" w:rsidRDefault="00334F1B" w:rsidP="009D4A54">
            <w:pPr>
              <w:pStyle w:val="ListParagraph"/>
              <w:numPr>
                <w:ilvl w:val="0"/>
                <w:numId w:val="110"/>
              </w:numPr>
              <w:ind w:left="290" w:hanging="268"/>
              <w:jc w:val="both"/>
              <w:rPr>
                <w:rFonts w:cstheme="minorHAnsi"/>
                <w:rtl/>
              </w:rPr>
            </w:pPr>
            <w:r w:rsidRPr="00F30EF3">
              <w:rPr>
                <w:rFonts w:cstheme="minorHAnsi"/>
                <w:rtl/>
              </w:rPr>
              <w:t>المكانة</w:t>
            </w:r>
          </w:p>
        </w:tc>
      </w:tr>
    </w:tbl>
    <w:p w14:paraId="4C77D531" w14:textId="77777777" w:rsidR="00B02FB0" w:rsidRPr="00F30EF3" w:rsidRDefault="00B02FB0" w:rsidP="00B7519E">
      <w:pPr>
        <w:spacing w:line="240" w:lineRule="auto"/>
        <w:rPr>
          <w:rFonts w:cstheme="minorHAnsi"/>
          <w:lang w:val="en-US" w:bidi="he-IL"/>
        </w:rPr>
      </w:pPr>
    </w:p>
    <w:p w14:paraId="2C3A96B0" w14:textId="77777777" w:rsidR="00817C4F" w:rsidRPr="00F30EF3" w:rsidRDefault="00FA7A7B" w:rsidP="00817C4F">
      <w:pPr>
        <w:pStyle w:val="Heading3"/>
        <w:rPr>
          <w:rFonts w:asciiTheme="minorHAnsi" w:hAnsiTheme="minorHAnsi" w:cstheme="minorHAnsi"/>
          <w:sz w:val="24"/>
          <w:szCs w:val="24"/>
          <w:rtl/>
        </w:rPr>
      </w:pPr>
      <w:bookmarkStart w:id="376" w:name="_Useful_Resources_Related"/>
      <w:bookmarkStart w:id="377" w:name="_Toc516160110"/>
      <w:bookmarkStart w:id="378" w:name="_Toc516219446"/>
      <w:bookmarkStart w:id="379" w:name="_Toc516496090"/>
      <w:bookmarkStart w:id="380" w:name="_Toc516829462"/>
      <w:bookmarkEnd w:id="376"/>
      <w:r w:rsidRPr="00F30EF3">
        <w:rPr>
          <w:rFonts w:asciiTheme="minorHAnsi" w:hAnsiTheme="minorHAnsi" w:cstheme="minorHAnsi"/>
          <w:sz w:val="24"/>
          <w:szCs w:val="24"/>
          <w:rtl/>
        </w:rPr>
        <w:t>الموارد المفيدة المتعلقة بالمادة 10</w:t>
      </w:r>
      <w:bookmarkEnd w:id="377"/>
      <w:bookmarkEnd w:id="378"/>
      <w:bookmarkEnd w:id="379"/>
      <w:bookmarkEnd w:id="380"/>
    </w:p>
    <w:p w14:paraId="5EB3A844" w14:textId="77777777" w:rsidR="00FA7A7B" w:rsidRPr="00F30EF3" w:rsidRDefault="00FA7A7B" w:rsidP="009D4A54">
      <w:pPr>
        <w:pStyle w:val="ListParagraph"/>
        <w:numPr>
          <w:ilvl w:val="0"/>
          <w:numId w:val="111"/>
        </w:numPr>
        <w:spacing w:after="0" w:line="240" w:lineRule="auto"/>
        <w:ind w:left="426" w:hanging="426"/>
        <w:jc w:val="both"/>
        <w:rPr>
          <w:rFonts w:eastAsia="Times New Roman" w:cstheme="minorHAnsi"/>
          <w:b/>
          <w:bCs/>
          <w:color w:val="000000" w:themeColor="text1"/>
          <w:rtl/>
        </w:rPr>
      </w:pPr>
      <w:r w:rsidRPr="00F30EF3">
        <w:rPr>
          <w:rFonts w:cstheme="minorHAnsi"/>
          <w:b/>
          <w:bCs/>
          <w:color w:val="000000" w:themeColor="text1"/>
          <w:rtl/>
        </w:rPr>
        <w:t>المنشورات العامة التي تشير إلى حوافز تسويق البحوث الأكاديمية:</w:t>
      </w:r>
    </w:p>
    <w:p w14:paraId="2D4B19BD" w14:textId="238CAC74" w:rsidR="009C0F1C" w:rsidRPr="00F30EF3" w:rsidRDefault="003E7703" w:rsidP="009D4A54">
      <w:pPr>
        <w:pStyle w:val="FootnoteText"/>
        <w:numPr>
          <w:ilvl w:val="1"/>
          <w:numId w:val="140"/>
        </w:numPr>
        <w:ind w:left="851" w:hanging="425"/>
        <w:jc w:val="both"/>
        <w:rPr>
          <w:rStyle w:val="Hyperlink"/>
          <w:rFonts w:cstheme="minorHAnsi"/>
          <w:color w:val="auto"/>
          <w:sz w:val="22"/>
          <w:u w:val="none"/>
          <w:rtl/>
        </w:rPr>
      </w:pPr>
      <w:r w:rsidRPr="00F30EF3">
        <w:rPr>
          <w:rFonts w:cstheme="minorHAnsi"/>
          <w:sz w:val="22"/>
          <w:rtl/>
        </w:rPr>
        <w:t>بي زونيغا، وبي كوريا</w:t>
      </w:r>
      <w:r w:rsidR="00E44D0D" w:rsidRPr="00F30EF3">
        <w:rPr>
          <w:rFonts w:cstheme="minorHAnsi"/>
          <w:sz w:val="22"/>
          <w:rtl/>
        </w:rPr>
        <w:t xml:space="preserve"> </w:t>
      </w:r>
      <w:hyperlink r:id="rId164" w:history="1">
        <w:r w:rsidRPr="00F30EF3">
          <w:rPr>
            <w:rStyle w:val="Hyperlink"/>
            <w:rFonts w:cstheme="minorHAnsi"/>
            <w:sz w:val="22"/>
            <w:rtl/>
          </w:rPr>
          <w:t>نقل التكنولوجيا من منظمات البحوث العامة</w:t>
        </w:r>
      </w:hyperlink>
      <w:r w:rsidRPr="00F30EF3">
        <w:rPr>
          <w:rStyle w:val="Hyperlink"/>
          <w:rFonts w:cstheme="minorHAnsi"/>
          <w:color w:val="auto"/>
          <w:sz w:val="22"/>
          <w:u w:val="none"/>
          <w:rtl/>
        </w:rPr>
        <w:t>، البنك الدولي</w:t>
      </w:r>
      <w:r w:rsidR="009C0F1C" w:rsidRPr="00F30EF3">
        <w:rPr>
          <w:rStyle w:val="FootnoteReference"/>
          <w:rFonts w:cstheme="minorHAnsi"/>
          <w:sz w:val="22"/>
          <w:rtl/>
          <w:lang w:val="en-US"/>
        </w:rPr>
        <w:footnoteReference w:id="195"/>
      </w:r>
    </w:p>
    <w:p w14:paraId="352723C1" w14:textId="1394E702" w:rsidR="00FA7A7B" w:rsidRPr="00F30EF3" w:rsidRDefault="003E7703" w:rsidP="009D4A54">
      <w:pPr>
        <w:pStyle w:val="FootnoteText"/>
        <w:numPr>
          <w:ilvl w:val="1"/>
          <w:numId w:val="140"/>
        </w:numPr>
        <w:ind w:left="851" w:hanging="425"/>
        <w:jc w:val="both"/>
        <w:rPr>
          <w:rFonts w:cstheme="minorHAnsi"/>
          <w:sz w:val="22"/>
          <w:rtl/>
        </w:rPr>
      </w:pPr>
      <w:r w:rsidRPr="00F30EF3">
        <w:rPr>
          <w:rFonts w:cstheme="minorHAnsi"/>
          <w:sz w:val="22"/>
          <w:rtl/>
        </w:rPr>
        <w:t>رابطة البحوث الجامعية والروابط الصناعية</w:t>
      </w:r>
      <w:r w:rsidR="007A527D" w:rsidRPr="00F30EF3">
        <w:rPr>
          <w:rFonts w:cstheme="minorHAnsi" w:hint="cs"/>
          <w:sz w:val="22"/>
          <w:rtl/>
        </w:rPr>
        <w:t xml:space="preserve"> </w:t>
      </w:r>
      <w:r w:rsidRPr="00F30EF3">
        <w:rPr>
          <w:rFonts w:cstheme="minorHAnsi"/>
          <w:sz w:val="22"/>
          <w:rtl/>
        </w:rPr>
        <w:t>(</w:t>
      </w:r>
      <w:r w:rsidRPr="00F30EF3">
        <w:rPr>
          <w:rFonts w:cstheme="minorHAnsi"/>
          <w:sz w:val="22"/>
        </w:rPr>
        <w:t>AURIL</w:t>
      </w:r>
      <w:r w:rsidRPr="00F30EF3">
        <w:rPr>
          <w:rFonts w:cstheme="minorHAnsi"/>
          <w:sz w:val="22"/>
          <w:rtl/>
        </w:rPr>
        <w:t xml:space="preserve">)، جامعات المملكة المتحدة (2002)، </w:t>
      </w:r>
      <w:r w:rsidRPr="00F30EF3">
        <w:rPr>
          <w:rFonts w:cstheme="minorHAnsi"/>
          <w:i/>
          <w:iCs/>
          <w:sz w:val="22"/>
          <w:rtl/>
        </w:rPr>
        <w:t xml:space="preserve">دليل إدارة الملكية الفكرية. اتخاذ القرارات الاستراتيجية في الجامعات، </w:t>
      </w:r>
      <w:hyperlink r:id="rId165" w:history="1">
        <w:r w:rsidRPr="00F30EF3">
          <w:rPr>
            <w:rStyle w:val="Hyperlink"/>
            <w:rFonts w:cstheme="minorHAnsi"/>
            <w:sz w:val="22"/>
            <w:rtl/>
          </w:rPr>
          <w:t>الفصل 4:</w:t>
        </w:r>
      </w:hyperlink>
      <w:hyperlink r:id="rId166" w:history="1">
        <w:r w:rsidRPr="00F30EF3">
          <w:rPr>
            <w:rStyle w:val="Hyperlink"/>
            <w:rFonts w:cstheme="minorHAnsi"/>
            <w:sz w:val="22"/>
            <w:rtl/>
          </w:rPr>
          <w:t xml:space="preserve"> الحوافز</w:t>
        </w:r>
      </w:hyperlink>
      <w:r w:rsidRPr="00F30EF3">
        <w:rPr>
          <w:rFonts w:cstheme="minorHAnsi"/>
          <w:sz w:val="22"/>
          <w:rtl/>
        </w:rPr>
        <w:t>، الصفحات من 60 إلى 69</w:t>
      </w:r>
    </w:p>
    <w:p w14:paraId="39937084" w14:textId="77777777" w:rsidR="0095446F" w:rsidRPr="00F30EF3" w:rsidRDefault="00FA7A7B" w:rsidP="009D4A54">
      <w:pPr>
        <w:pStyle w:val="FootnoteText"/>
        <w:numPr>
          <w:ilvl w:val="1"/>
          <w:numId w:val="140"/>
        </w:numPr>
        <w:ind w:left="851" w:hanging="425"/>
        <w:jc w:val="both"/>
        <w:rPr>
          <w:rFonts w:cstheme="minorHAnsi"/>
          <w:sz w:val="22"/>
          <w:rtl/>
        </w:rPr>
      </w:pPr>
      <w:r w:rsidRPr="00F30EF3">
        <w:rPr>
          <w:rFonts w:cstheme="minorHAnsi"/>
          <w:sz w:val="22"/>
          <w:rtl/>
        </w:rPr>
        <w:t xml:space="preserve">شيبسيل شاينبيرغ؛ وأيه نورجرين؛ وجيه كال‏ (2009)، </w:t>
      </w:r>
      <w:hyperlink r:id="rId167" w:history="1">
        <w:r w:rsidRPr="00F30EF3">
          <w:rPr>
            <w:rStyle w:val="Hyperlink"/>
            <w:rFonts w:cstheme="minorHAnsi"/>
            <w:i/>
            <w:iCs/>
            <w:sz w:val="22"/>
          </w:rPr>
          <w:t>A Comparative Analysis of Institutional Innovation and IP Policies, Strategies and Practices.</w:t>
        </w:r>
      </w:hyperlink>
      <w:hyperlink r:id="rId168" w:history="1">
        <w:r w:rsidRPr="00F30EF3">
          <w:rPr>
            <w:rStyle w:val="Hyperlink"/>
            <w:rFonts w:cstheme="minorHAnsi"/>
            <w:i/>
            <w:iCs/>
            <w:sz w:val="22"/>
          </w:rPr>
          <w:t xml:space="preserve"> Results of the Micro-Level Analysis of the IP Unilink project</w:t>
        </w:r>
      </w:hyperlink>
      <w:r w:rsidRPr="00F30EF3">
        <w:rPr>
          <w:rFonts w:cstheme="minorHAnsi"/>
          <w:sz w:val="22"/>
        </w:rPr>
        <w:t>, IP Unilink Consortium</w:t>
      </w:r>
      <w:r w:rsidRPr="00F30EF3">
        <w:rPr>
          <w:rFonts w:cstheme="minorHAnsi"/>
          <w:sz w:val="22"/>
          <w:rtl/>
        </w:rPr>
        <w:t xml:space="preserve">  </w:t>
      </w:r>
    </w:p>
    <w:p w14:paraId="685043C7" w14:textId="77777777" w:rsidR="003E7703" w:rsidRPr="00F30EF3" w:rsidRDefault="0095446F" w:rsidP="009D4A54">
      <w:pPr>
        <w:pStyle w:val="FootnoteText"/>
        <w:numPr>
          <w:ilvl w:val="1"/>
          <w:numId w:val="140"/>
        </w:numPr>
        <w:ind w:left="851" w:hanging="425"/>
        <w:jc w:val="both"/>
        <w:rPr>
          <w:rFonts w:cstheme="minorHAnsi"/>
          <w:sz w:val="22"/>
          <w:rtl/>
        </w:rPr>
      </w:pPr>
      <w:r w:rsidRPr="00F30EF3">
        <w:rPr>
          <w:rFonts w:cstheme="minorHAnsi"/>
          <w:sz w:val="22"/>
          <w:rtl/>
        </w:rPr>
        <w:t>جيه ينكن وإل رالستون (2005)، تقييم حوافز تسويق البحوث في الجامعات الأسترالية: دراسة استقصائية لجامعات أسترالية مختارة</w:t>
      </w:r>
      <w:r w:rsidRPr="00F30EF3">
        <w:rPr>
          <w:rStyle w:val="FootnoteReference"/>
          <w:rFonts w:cstheme="minorHAnsi"/>
          <w:sz w:val="22"/>
          <w:rtl/>
          <w:lang w:val="en-US"/>
        </w:rPr>
        <w:footnoteReference w:id="196"/>
      </w:r>
      <w:r w:rsidRPr="00F30EF3">
        <w:rPr>
          <w:rFonts w:cstheme="minorHAnsi"/>
          <w:sz w:val="22"/>
          <w:rtl/>
        </w:rPr>
        <w:t xml:space="preserve">  </w:t>
      </w:r>
    </w:p>
    <w:p w14:paraId="6A45229A" w14:textId="77777777" w:rsidR="003E7703" w:rsidRPr="00F30EF3" w:rsidRDefault="003E7703" w:rsidP="00B7519E">
      <w:pPr>
        <w:pStyle w:val="FootnoteText"/>
        <w:jc w:val="both"/>
        <w:rPr>
          <w:rFonts w:cstheme="minorHAnsi"/>
          <w:sz w:val="22"/>
          <w:lang w:val="en-US"/>
        </w:rPr>
      </w:pPr>
    </w:p>
    <w:p w14:paraId="794D4AB4" w14:textId="77777777" w:rsidR="003E7703" w:rsidRPr="00F30EF3" w:rsidRDefault="003E7703" w:rsidP="009D4A54">
      <w:pPr>
        <w:pStyle w:val="ListParagraph"/>
        <w:numPr>
          <w:ilvl w:val="0"/>
          <w:numId w:val="111"/>
        </w:numPr>
        <w:spacing w:after="0" w:line="240" w:lineRule="auto"/>
        <w:ind w:left="426" w:hanging="426"/>
        <w:jc w:val="both"/>
        <w:rPr>
          <w:rFonts w:eastAsia="Times New Roman" w:cstheme="minorHAnsi"/>
          <w:b/>
          <w:bCs/>
          <w:color w:val="000000" w:themeColor="text1"/>
          <w:rtl/>
        </w:rPr>
      </w:pPr>
      <w:r w:rsidRPr="00F30EF3">
        <w:rPr>
          <w:rFonts w:cstheme="minorHAnsi"/>
          <w:b/>
          <w:bCs/>
          <w:color w:val="000000" w:themeColor="text1"/>
          <w:rtl/>
        </w:rPr>
        <w:t>التشريعات الوطنية بشأن الحوافز:</w:t>
      </w:r>
    </w:p>
    <w:p w14:paraId="2537D6A6" w14:textId="77777777" w:rsidR="00464282" w:rsidRPr="00F30EF3" w:rsidRDefault="00464282" w:rsidP="009D4A54">
      <w:pPr>
        <w:pStyle w:val="ListParagraph"/>
        <w:numPr>
          <w:ilvl w:val="1"/>
          <w:numId w:val="111"/>
        </w:numPr>
        <w:spacing w:after="0" w:line="240" w:lineRule="auto"/>
        <w:ind w:left="850" w:hanging="425"/>
        <w:jc w:val="both"/>
        <w:rPr>
          <w:rFonts w:eastAsiaTheme="minorHAnsi" w:cstheme="minorHAnsi"/>
          <w:rtl/>
        </w:rPr>
      </w:pPr>
      <w:r w:rsidRPr="00F30EF3">
        <w:rPr>
          <w:rFonts w:cstheme="minorHAnsi"/>
          <w:rtl/>
        </w:rPr>
        <w:t xml:space="preserve">ترد لمحة عامة عن التشريعات المتعلقة بتعويضات المخترعين في اقتصادات مختارة منخفضة ومتوسطة الدخل في </w:t>
      </w:r>
      <w:hyperlink r:id="rId169" w:history="1">
        <w:r w:rsidRPr="00F30EF3">
          <w:rPr>
            <w:rStyle w:val="Hyperlink"/>
            <w:rFonts w:cstheme="minorHAnsi"/>
            <w:rtl/>
          </w:rPr>
          <w:t>تسخير البحوث العامة من أجل الابتكار - دور الملكية الفكرية</w:t>
        </w:r>
      </w:hyperlink>
      <w:r w:rsidRPr="00F30EF3">
        <w:rPr>
          <w:rFonts w:cstheme="minorHAnsi"/>
          <w:rtl/>
        </w:rPr>
        <w:t>، جدول المرفق أ.1.4.</w:t>
      </w:r>
    </w:p>
    <w:p w14:paraId="6A327080" w14:textId="77777777" w:rsidR="003E7703" w:rsidRPr="00F30EF3" w:rsidRDefault="003E7703" w:rsidP="009D4A54">
      <w:pPr>
        <w:pStyle w:val="FootnoteText"/>
        <w:numPr>
          <w:ilvl w:val="1"/>
          <w:numId w:val="141"/>
        </w:numPr>
        <w:ind w:left="851" w:hanging="425"/>
        <w:jc w:val="both"/>
        <w:rPr>
          <w:rFonts w:cstheme="minorHAnsi"/>
          <w:sz w:val="22"/>
          <w:rtl/>
        </w:rPr>
      </w:pPr>
      <w:r w:rsidRPr="00F30EF3">
        <w:rPr>
          <w:rFonts w:cstheme="minorHAnsi"/>
          <w:color w:val="000000" w:themeColor="text1"/>
          <w:sz w:val="22"/>
          <w:rtl/>
        </w:rPr>
        <w:t xml:space="preserve">إيه باراسكيفوبولو (2013)، </w:t>
      </w:r>
      <w:hyperlink r:id="rId170" w:history="1">
        <w:r w:rsidRPr="00F30EF3">
          <w:rPr>
            <w:rStyle w:val="Hyperlink"/>
            <w:rFonts w:cstheme="minorHAnsi"/>
            <w:i/>
            <w:iCs/>
            <w:sz w:val="22"/>
          </w:rPr>
          <w:t>The adoption of Bayh-Dole type policies in developing countries</w:t>
        </w:r>
      </w:hyperlink>
      <w:r w:rsidRPr="00F30EF3">
        <w:rPr>
          <w:rFonts w:cstheme="minorHAnsi"/>
          <w:color w:val="000000" w:themeColor="text1"/>
          <w:sz w:val="22"/>
          <w:rtl/>
        </w:rPr>
        <w:t>، البنك الدولي</w:t>
      </w:r>
      <w:r w:rsidRPr="00F30EF3">
        <w:rPr>
          <w:rFonts w:cstheme="minorHAnsi"/>
          <w:sz w:val="22"/>
          <w:rtl/>
        </w:rPr>
        <w:t xml:space="preserve"> </w:t>
      </w:r>
    </w:p>
    <w:p w14:paraId="2C12C24E" w14:textId="77777777" w:rsidR="003E7703" w:rsidRPr="00F30EF3" w:rsidRDefault="003E7703" w:rsidP="009D4A54">
      <w:pPr>
        <w:pStyle w:val="ListParagraph"/>
        <w:numPr>
          <w:ilvl w:val="1"/>
          <w:numId w:val="141"/>
        </w:numPr>
        <w:spacing w:after="0" w:line="240" w:lineRule="auto"/>
        <w:ind w:left="851" w:hanging="425"/>
        <w:jc w:val="both"/>
        <w:rPr>
          <w:rFonts w:eastAsia="Times New Roman" w:cstheme="minorHAnsi"/>
          <w:color w:val="000000" w:themeColor="text1"/>
          <w:rtl/>
        </w:rPr>
      </w:pPr>
      <w:r w:rsidRPr="00F30EF3">
        <w:rPr>
          <w:rFonts w:cstheme="minorHAnsi"/>
          <w:rtl/>
        </w:rPr>
        <w:t xml:space="preserve">مقالة تتعلق بتشريعات كومنولث فيرجينيا بشأن الحوافز: </w:t>
      </w:r>
      <w:r w:rsidRPr="00F30EF3">
        <w:rPr>
          <w:rFonts w:cstheme="minorHAnsi"/>
          <w:i/>
          <w:iCs/>
        </w:rPr>
        <w:t>Incentives for Bioscience Research, Commercialization and Investment in the Commonwealth</w:t>
      </w:r>
      <w:r w:rsidRPr="00F30EF3">
        <w:rPr>
          <w:rFonts w:cstheme="minorHAnsi"/>
        </w:rPr>
        <w:t xml:space="preserve">, </w:t>
      </w:r>
      <w:hyperlink r:id="rId171" w:history="1">
        <w:r w:rsidRPr="00F30EF3">
          <w:rPr>
            <w:rStyle w:val="Hyperlink"/>
            <w:rFonts w:cstheme="minorHAnsi"/>
          </w:rPr>
          <w:t>VirginiaBio website</w:t>
        </w:r>
      </w:hyperlink>
    </w:p>
    <w:p w14:paraId="66B50213" w14:textId="77777777" w:rsidR="00FA7A7B" w:rsidRPr="00F30EF3" w:rsidRDefault="00FA7A7B" w:rsidP="00B7519E">
      <w:pPr>
        <w:pStyle w:val="FootnoteText"/>
        <w:ind w:left="851"/>
        <w:rPr>
          <w:rStyle w:val="Hyperlink"/>
          <w:rFonts w:cstheme="minorHAnsi"/>
          <w:color w:val="auto"/>
          <w:sz w:val="22"/>
          <w:u w:val="none"/>
          <w:lang w:val="en-US"/>
        </w:rPr>
      </w:pPr>
    </w:p>
    <w:p w14:paraId="491D87A4" w14:textId="77777777" w:rsidR="003E7703" w:rsidRPr="00F30EF3" w:rsidRDefault="003E7703" w:rsidP="009D4A54">
      <w:pPr>
        <w:pStyle w:val="ListParagraph"/>
        <w:numPr>
          <w:ilvl w:val="0"/>
          <w:numId w:val="111"/>
        </w:numPr>
        <w:spacing w:after="0"/>
        <w:ind w:left="426" w:hanging="426"/>
        <w:jc w:val="both"/>
        <w:rPr>
          <w:rFonts w:eastAsia="Times New Roman" w:cstheme="minorHAnsi"/>
          <w:b/>
          <w:bCs/>
          <w:color w:val="000000" w:themeColor="text1"/>
          <w:rtl/>
        </w:rPr>
      </w:pPr>
      <w:r w:rsidRPr="00F30EF3">
        <w:rPr>
          <w:rFonts w:cstheme="minorHAnsi"/>
          <w:b/>
          <w:bCs/>
          <w:color w:val="000000" w:themeColor="text1"/>
          <w:rtl/>
        </w:rPr>
        <w:t>المبادئ التوجيهية للجامعات والمؤسسات البحثية</w:t>
      </w:r>
    </w:p>
    <w:p w14:paraId="0CE97845" w14:textId="77777777" w:rsidR="003E7703" w:rsidRPr="00F30EF3" w:rsidRDefault="00D3795B" w:rsidP="009D4A54">
      <w:pPr>
        <w:pStyle w:val="ListParagraph"/>
        <w:numPr>
          <w:ilvl w:val="1"/>
          <w:numId w:val="142"/>
        </w:numPr>
        <w:spacing w:after="0"/>
        <w:ind w:left="851" w:hanging="425"/>
        <w:jc w:val="both"/>
        <w:rPr>
          <w:rFonts w:eastAsia="Times New Roman" w:cstheme="minorHAnsi"/>
          <w:color w:val="000000" w:themeColor="text1"/>
          <w:rtl/>
        </w:rPr>
      </w:pPr>
      <w:hyperlink r:id="rId172" w:history="1">
        <w:r w:rsidR="00372C70" w:rsidRPr="00F30EF3">
          <w:rPr>
            <w:rStyle w:val="Hyperlink"/>
            <w:rFonts w:cstheme="minorHAnsi"/>
            <w:rtl/>
          </w:rPr>
          <w:t>المبدأ التوجيهي رقم 6 لعام 2018</w:t>
        </w:r>
      </w:hyperlink>
      <w:r w:rsidR="00372C70" w:rsidRPr="00F30EF3">
        <w:rPr>
          <w:rFonts w:cstheme="minorHAnsi"/>
          <w:color w:val="000000" w:themeColor="text1"/>
          <w:rtl/>
        </w:rPr>
        <w:t xml:space="preserve">، </w:t>
      </w:r>
      <w:r w:rsidR="00372C70" w:rsidRPr="00F30EF3">
        <w:rPr>
          <w:rFonts w:cstheme="minorHAnsi"/>
          <w:color w:val="333333"/>
          <w:rtl/>
        </w:rPr>
        <w:t>المكتب الوطني لإدارة الملكية الفكرية (</w:t>
      </w:r>
      <w:r w:rsidR="00372C70" w:rsidRPr="00F30EF3">
        <w:rPr>
          <w:rFonts w:cstheme="minorHAnsi"/>
          <w:color w:val="333333"/>
        </w:rPr>
        <w:t>NIPMO</w:t>
      </w:r>
      <w:r w:rsidR="00372C70" w:rsidRPr="00F30EF3">
        <w:rPr>
          <w:rFonts w:cstheme="minorHAnsi"/>
          <w:color w:val="333333"/>
          <w:rtl/>
        </w:rPr>
        <w:t>)</w:t>
      </w:r>
      <w:r w:rsidR="00372C70" w:rsidRPr="00F30EF3">
        <w:rPr>
          <w:rFonts w:cstheme="minorHAnsi"/>
          <w:rtl/>
        </w:rPr>
        <w:t xml:space="preserve"> </w:t>
      </w:r>
    </w:p>
    <w:p w14:paraId="73B7B2CC" w14:textId="77777777" w:rsidR="00FA7A7B" w:rsidRPr="00F30EF3" w:rsidRDefault="003E7703" w:rsidP="009D4A54">
      <w:pPr>
        <w:pStyle w:val="ListParagraph"/>
        <w:numPr>
          <w:ilvl w:val="1"/>
          <w:numId w:val="142"/>
        </w:numPr>
        <w:spacing w:after="0"/>
        <w:ind w:left="851" w:hanging="425"/>
        <w:jc w:val="both"/>
        <w:rPr>
          <w:rFonts w:eastAsia="Times New Roman" w:cstheme="minorHAnsi"/>
          <w:color w:val="000000" w:themeColor="text1"/>
          <w:rtl/>
        </w:rPr>
      </w:pPr>
      <w:r w:rsidRPr="00F30EF3">
        <w:rPr>
          <w:rFonts w:cstheme="minorHAnsi"/>
          <w:color w:val="000000" w:themeColor="text1"/>
          <w:rtl/>
        </w:rPr>
        <w:t>على المؤسسين/الباحثين في الجامعة: جامعة إدنبره</w:t>
      </w:r>
      <w:r w:rsidRPr="00F30EF3">
        <w:rPr>
          <w:rFonts w:cstheme="minorHAnsi"/>
          <w:rtl/>
        </w:rPr>
        <w:t xml:space="preserve"> "</w:t>
      </w:r>
      <w:hyperlink r:id="rId173" w:history="1">
        <w:r w:rsidRPr="00F30EF3">
          <w:rPr>
            <w:rStyle w:val="Hyperlink"/>
            <w:rFonts w:cstheme="minorHAnsi"/>
            <w:rtl/>
          </w:rPr>
          <w:t>دليل دعم الشركات المتفرعة</w:t>
        </w:r>
      </w:hyperlink>
      <w:r w:rsidRPr="00F30EF3">
        <w:rPr>
          <w:rFonts w:cstheme="minorHAnsi"/>
          <w:rtl/>
        </w:rPr>
        <w:t>".</w:t>
      </w:r>
    </w:p>
    <w:p w14:paraId="6953441A" w14:textId="77777777" w:rsidR="004B3FAF" w:rsidRPr="00F30EF3" w:rsidRDefault="004B3FAF" w:rsidP="004B3FAF">
      <w:pPr>
        <w:pStyle w:val="ListParagraph"/>
        <w:spacing w:after="0"/>
        <w:ind w:left="851"/>
        <w:jc w:val="both"/>
        <w:rPr>
          <w:rFonts w:eastAsia="Times New Roman" w:cstheme="minorHAnsi"/>
          <w:color w:val="000000" w:themeColor="text1"/>
          <w:lang w:val="en-US" w:eastAsia="en-US"/>
        </w:rPr>
      </w:pPr>
    </w:p>
    <w:p w14:paraId="3A688D5C" w14:textId="77777777" w:rsidR="003E7703" w:rsidRPr="00F30EF3" w:rsidRDefault="003E7703" w:rsidP="009D4A54">
      <w:pPr>
        <w:pStyle w:val="ListParagraph"/>
        <w:numPr>
          <w:ilvl w:val="0"/>
          <w:numId w:val="111"/>
        </w:numPr>
        <w:spacing w:after="0"/>
        <w:ind w:left="426" w:hanging="426"/>
        <w:jc w:val="both"/>
        <w:rPr>
          <w:rFonts w:eastAsia="Times New Roman" w:cstheme="minorHAnsi"/>
          <w:b/>
          <w:bCs/>
          <w:color w:val="000000" w:themeColor="text1"/>
          <w:rtl/>
        </w:rPr>
      </w:pPr>
      <w:r w:rsidRPr="00F30EF3">
        <w:rPr>
          <w:rFonts w:cstheme="minorHAnsi"/>
          <w:b/>
          <w:bCs/>
          <w:color w:val="000000" w:themeColor="text1"/>
          <w:rtl/>
        </w:rPr>
        <w:t>أمثلة على برامج الحوافز</w:t>
      </w:r>
    </w:p>
    <w:p w14:paraId="5803DC2F" w14:textId="77777777" w:rsidR="003E7703" w:rsidRPr="00F30EF3" w:rsidRDefault="00D3795B" w:rsidP="009D4A54">
      <w:pPr>
        <w:pStyle w:val="ListParagraph"/>
        <w:numPr>
          <w:ilvl w:val="1"/>
          <w:numId w:val="143"/>
        </w:numPr>
        <w:spacing w:after="0"/>
        <w:ind w:left="851" w:hanging="425"/>
        <w:jc w:val="both"/>
        <w:rPr>
          <w:rFonts w:eastAsia="Times New Roman" w:cstheme="minorHAnsi"/>
          <w:color w:val="000000" w:themeColor="text1"/>
          <w:rtl/>
        </w:rPr>
      </w:pPr>
      <w:hyperlink r:id="rId174" w:anchor="tab=panel-2" w:history="1">
        <w:r w:rsidR="00372C70" w:rsidRPr="00F30EF3">
          <w:rPr>
            <w:rStyle w:val="Hyperlink"/>
            <w:rFonts w:cstheme="minorHAnsi"/>
            <w:rtl/>
          </w:rPr>
          <w:t>معهد واترفورد للتكنولوجيا</w:t>
        </w:r>
      </w:hyperlink>
      <w:r w:rsidR="00372C70" w:rsidRPr="00F30EF3">
        <w:rPr>
          <w:rFonts w:cstheme="minorHAnsi"/>
          <w:rtl/>
        </w:rPr>
        <w:t xml:space="preserve">، </w:t>
      </w:r>
      <w:r w:rsidR="00372C70" w:rsidRPr="00F30EF3">
        <w:rPr>
          <w:rFonts w:cstheme="minorHAnsi"/>
        </w:rPr>
        <w:t>Ireland (WIT) Intellectual property Policy (excerpt)</w:t>
      </w:r>
      <w:r w:rsidR="00372C70" w:rsidRPr="00F30EF3">
        <w:rPr>
          <w:rFonts w:cstheme="minorHAnsi"/>
          <w:rtl/>
        </w:rPr>
        <w:t xml:space="preserve"> الصفحات من 17 إلى 19</w:t>
      </w:r>
    </w:p>
    <w:p w14:paraId="2722E825" w14:textId="77777777" w:rsidR="003E7703" w:rsidRPr="00F30EF3" w:rsidRDefault="00D3795B" w:rsidP="009D4A54">
      <w:pPr>
        <w:pStyle w:val="ListParagraph"/>
        <w:numPr>
          <w:ilvl w:val="1"/>
          <w:numId w:val="143"/>
        </w:numPr>
        <w:spacing w:after="0"/>
        <w:ind w:left="851" w:hanging="425"/>
        <w:jc w:val="both"/>
        <w:rPr>
          <w:rFonts w:eastAsia="Times New Roman" w:cstheme="minorHAnsi"/>
          <w:color w:val="000000" w:themeColor="text1"/>
          <w:rtl/>
        </w:rPr>
      </w:pPr>
      <w:hyperlink r:id="rId175" w:history="1">
        <w:r w:rsidR="00372C70" w:rsidRPr="00F30EF3">
          <w:rPr>
            <w:rStyle w:val="Hyperlink"/>
            <w:rFonts w:cstheme="minorHAnsi"/>
            <w:rtl/>
          </w:rPr>
          <w:t>صندوق حوافز البراءات التابع لصندوق الابتكار لمؤسسات البحوث</w:t>
        </w:r>
      </w:hyperlink>
      <w:r w:rsidR="00372C70" w:rsidRPr="00F30EF3">
        <w:rPr>
          <w:rFonts w:cstheme="minorHAnsi"/>
          <w:rtl/>
        </w:rPr>
        <w:t>. السياسة والمبادئ التوجيهية للتطبيق (جنوب أفريقيا)</w:t>
      </w:r>
    </w:p>
    <w:p w14:paraId="01308A98" w14:textId="77777777" w:rsidR="003E7703" w:rsidRPr="00F30EF3" w:rsidRDefault="00D3795B" w:rsidP="009D4A54">
      <w:pPr>
        <w:pStyle w:val="ListParagraph"/>
        <w:numPr>
          <w:ilvl w:val="1"/>
          <w:numId w:val="143"/>
        </w:numPr>
        <w:spacing w:after="0"/>
        <w:ind w:left="851" w:hanging="425"/>
        <w:jc w:val="both"/>
        <w:rPr>
          <w:rFonts w:eastAsia="Times New Roman" w:cstheme="minorHAnsi"/>
          <w:color w:val="000000" w:themeColor="text1"/>
          <w:rtl/>
        </w:rPr>
      </w:pPr>
      <w:hyperlink r:id="rId176" w:history="1">
        <w:r w:rsidR="00372C70" w:rsidRPr="00F30EF3">
          <w:rPr>
            <w:rStyle w:val="Hyperlink"/>
            <w:rFonts w:cstheme="minorHAnsi"/>
            <w:rtl/>
          </w:rPr>
          <w:t>برامج حوافز جامعة ولاية أوريغون</w:t>
        </w:r>
      </w:hyperlink>
      <w:r w:rsidR="00372C70" w:rsidRPr="00F30EF3">
        <w:rPr>
          <w:rFonts w:cstheme="minorHAnsi"/>
          <w:rtl/>
        </w:rPr>
        <w:t xml:space="preserve"> المقدمة من مكتب أبحاث الجامعة</w:t>
      </w:r>
    </w:p>
    <w:p w14:paraId="3E4190B5" w14:textId="77777777" w:rsidR="003E7703" w:rsidRPr="00F30EF3" w:rsidRDefault="00D3795B" w:rsidP="009D4A54">
      <w:pPr>
        <w:pStyle w:val="ListParagraph"/>
        <w:numPr>
          <w:ilvl w:val="0"/>
          <w:numId w:val="111"/>
        </w:numPr>
        <w:tabs>
          <w:tab w:val="left" w:pos="1418"/>
        </w:tabs>
        <w:spacing w:after="0"/>
        <w:ind w:left="1418" w:hanging="425"/>
        <w:jc w:val="both"/>
        <w:rPr>
          <w:rFonts w:cstheme="minorHAnsi"/>
          <w:rtl/>
        </w:rPr>
      </w:pPr>
      <w:hyperlink r:id="rId177" w:history="1">
        <w:r w:rsidR="00372C70" w:rsidRPr="00F30EF3">
          <w:rPr>
            <w:rStyle w:val="Hyperlink"/>
            <w:rFonts w:cstheme="minorHAnsi"/>
            <w:rtl/>
          </w:rPr>
          <w:t>صندوق الأبحاث العامة</w:t>
        </w:r>
      </w:hyperlink>
    </w:p>
    <w:p w14:paraId="74593F07" w14:textId="77777777" w:rsidR="003E7703" w:rsidRPr="00F30EF3" w:rsidRDefault="00D3795B" w:rsidP="009D4A54">
      <w:pPr>
        <w:pStyle w:val="ListParagraph"/>
        <w:numPr>
          <w:ilvl w:val="0"/>
          <w:numId w:val="111"/>
        </w:numPr>
        <w:tabs>
          <w:tab w:val="left" w:pos="1418"/>
        </w:tabs>
        <w:spacing w:after="0"/>
        <w:ind w:left="1418" w:hanging="425"/>
        <w:jc w:val="both"/>
        <w:rPr>
          <w:rFonts w:cstheme="minorHAnsi"/>
          <w:rtl/>
        </w:rPr>
      </w:pPr>
      <w:hyperlink r:id="rId178" w:history="1">
        <w:r w:rsidR="00372C70" w:rsidRPr="00F30EF3">
          <w:rPr>
            <w:rStyle w:val="Hyperlink"/>
            <w:rFonts w:cstheme="minorHAnsi"/>
            <w:rtl/>
          </w:rPr>
          <w:t>وقت الفراغ المخصص لأعضاء هيئة التدريس</w:t>
        </w:r>
      </w:hyperlink>
    </w:p>
    <w:p w14:paraId="1ED3DB98" w14:textId="77777777" w:rsidR="003E7703" w:rsidRPr="00F30EF3" w:rsidRDefault="00D3795B" w:rsidP="009D4A54">
      <w:pPr>
        <w:pStyle w:val="ListParagraph"/>
        <w:numPr>
          <w:ilvl w:val="0"/>
          <w:numId w:val="111"/>
        </w:numPr>
        <w:tabs>
          <w:tab w:val="left" w:pos="1418"/>
        </w:tabs>
        <w:spacing w:after="0"/>
        <w:ind w:left="1418" w:hanging="425"/>
        <w:jc w:val="both"/>
        <w:rPr>
          <w:rFonts w:cstheme="minorHAnsi"/>
          <w:rtl/>
        </w:rPr>
      </w:pPr>
      <w:hyperlink r:id="rId179" w:history="1">
        <w:r w:rsidR="00372C70" w:rsidRPr="00F30EF3">
          <w:rPr>
            <w:rStyle w:val="Hyperlink"/>
            <w:rFonts w:cstheme="minorHAnsi"/>
            <w:rtl/>
          </w:rPr>
          <w:t>الصندوق الاحتياطي لمعدات الأبحاث</w:t>
        </w:r>
      </w:hyperlink>
    </w:p>
    <w:p w14:paraId="409C06FF" w14:textId="77777777" w:rsidR="003E7703" w:rsidRPr="00F30EF3" w:rsidRDefault="00D3795B" w:rsidP="009D4A54">
      <w:pPr>
        <w:pStyle w:val="ListParagraph"/>
        <w:numPr>
          <w:ilvl w:val="0"/>
          <w:numId w:val="111"/>
        </w:numPr>
        <w:tabs>
          <w:tab w:val="left" w:pos="1418"/>
        </w:tabs>
        <w:spacing w:after="0"/>
        <w:ind w:left="1418" w:hanging="425"/>
        <w:jc w:val="both"/>
        <w:rPr>
          <w:rFonts w:cstheme="minorHAnsi"/>
          <w:rtl/>
        </w:rPr>
      </w:pPr>
      <w:hyperlink r:id="rId180" w:history="1">
        <w:r w:rsidR="00372C70" w:rsidRPr="00F30EF3">
          <w:rPr>
            <w:rStyle w:val="Hyperlink"/>
            <w:rFonts w:cstheme="minorHAnsi"/>
            <w:rtl/>
          </w:rPr>
          <w:t>البحث والابتكار والمنح الدراسية والإبداع للطلبة الجامعيين</w:t>
        </w:r>
      </w:hyperlink>
      <w:r w:rsidR="00372C70" w:rsidRPr="00F30EF3">
        <w:rPr>
          <w:rFonts w:cstheme="minorHAnsi"/>
          <w:rtl/>
        </w:rPr>
        <w:t xml:space="preserve"> (</w:t>
      </w:r>
      <w:r w:rsidR="00372C70" w:rsidRPr="00F30EF3">
        <w:rPr>
          <w:rFonts w:cstheme="minorHAnsi"/>
        </w:rPr>
        <w:t>URISC</w:t>
      </w:r>
      <w:r w:rsidR="00372C70" w:rsidRPr="00F30EF3">
        <w:rPr>
          <w:rFonts w:cstheme="minorHAnsi"/>
          <w:rtl/>
        </w:rPr>
        <w:t>)</w:t>
      </w:r>
    </w:p>
    <w:p w14:paraId="2DE69FE2" w14:textId="77777777" w:rsidR="00165A63" w:rsidRPr="00F30EF3" w:rsidRDefault="00165A63" w:rsidP="00E73746">
      <w:pPr>
        <w:pStyle w:val="ListParagraph"/>
        <w:spacing w:after="0" w:line="240" w:lineRule="auto"/>
        <w:ind w:left="405"/>
        <w:jc w:val="both"/>
        <w:rPr>
          <w:rFonts w:cstheme="minorHAnsi"/>
          <w:color w:val="000000" w:themeColor="text1"/>
          <w:lang w:val="en-US"/>
        </w:rPr>
      </w:pPr>
    </w:p>
    <w:p w14:paraId="0390655E" w14:textId="77777777" w:rsidR="00ED5924" w:rsidRPr="00F30EF3" w:rsidRDefault="00ED5924" w:rsidP="002F3C51">
      <w:pPr>
        <w:pStyle w:val="Heading2"/>
        <w:rPr>
          <w:rFonts w:asciiTheme="minorHAnsi" w:hAnsiTheme="minorHAnsi" w:cstheme="minorHAnsi"/>
          <w:sz w:val="22"/>
          <w:szCs w:val="22"/>
          <w:rtl/>
        </w:rPr>
      </w:pPr>
      <w:bookmarkStart w:id="381" w:name="_Toc490821214"/>
      <w:bookmarkStart w:id="382" w:name="_Toc490468526"/>
      <w:bookmarkStart w:id="383" w:name="_Toc486176931"/>
    </w:p>
    <w:p w14:paraId="558D6678" w14:textId="77777777" w:rsidR="00E22076" w:rsidRPr="00F30EF3" w:rsidRDefault="004454DD" w:rsidP="002F3C51">
      <w:pPr>
        <w:pStyle w:val="Heading2"/>
        <w:rPr>
          <w:rFonts w:asciiTheme="minorHAnsi" w:hAnsiTheme="minorHAnsi" w:cstheme="minorHAnsi"/>
          <w:rtl/>
        </w:rPr>
      </w:pPr>
      <w:bookmarkStart w:id="384" w:name="_Toc516160111"/>
      <w:bookmarkStart w:id="385" w:name="_Toc516219447"/>
      <w:bookmarkStart w:id="386" w:name="_Toc516496091"/>
      <w:bookmarkStart w:id="387" w:name="_Toc516829463"/>
      <w:bookmarkStart w:id="388" w:name="_Toc178260769"/>
      <w:r w:rsidRPr="00F30EF3">
        <w:rPr>
          <w:rFonts w:asciiTheme="minorHAnsi" w:hAnsiTheme="minorHAnsi" w:cstheme="minorHAnsi"/>
          <w:rtl/>
        </w:rPr>
        <w:t xml:space="preserve">المادة 11 - </w:t>
      </w:r>
      <w:bookmarkEnd w:id="381"/>
      <w:bookmarkEnd w:id="382"/>
      <w:r w:rsidRPr="00F30EF3">
        <w:rPr>
          <w:rFonts w:asciiTheme="minorHAnsi" w:hAnsiTheme="minorHAnsi" w:cstheme="minorHAnsi"/>
          <w:rtl/>
        </w:rPr>
        <w:t xml:space="preserve"> الاحتفاظ بمحفظة الملكية الفكرية</w:t>
      </w:r>
      <w:bookmarkEnd w:id="384"/>
      <w:bookmarkEnd w:id="385"/>
      <w:bookmarkEnd w:id="386"/>
      <w:bookmarkEnd w:id="387"/>
      <w:bookmarkEnd w:id="388"/>
    </w:p>
    <w:p w14:paraId="2CA0E096" w14:textId="77777777" w:rsidR="00ED5924" w:rsidRPr="00F30EF3" w:rsidRDefault="00ED5924" w:rsidP="002F3C51">
      <w:pPr>
        <w:pStyle w:val="Heading2"/>
        <w:rPr>
          <w:rFonts w:asciiTheme="minorHAnsi" w:hAnsiTheme="minorHAnsi" w:cstheme="minorHAnsi"/>
          <w:sz w:val="22"/>
          <w:szCs w:val="22"/>
          <w:lang w:val="en-US"/>
        </w:rPr>
      </w:pPr>
    </w:p>
    <w:bookmarkEnd w:id="383"/>
    <w:p w14:paraId="32D4AFE9" w14:textId="77777777" w:rsidR="00F522D8" w:rsidRPr="00F30EF3" w:rsidRDefault="00F522D8" w:rsidP="00E73746">
      <w:pPr>
        <w:tabs>
          <w:tab w:val="left" w:pos="567"/>
        </w:tabs>
        <w:spacing w:after="0" w:line="240" w:lineRule="auto"/>
        <w:jc w:val="both"/>
        <w:rPr>
          <w:rFonts w:cstheme="minorHAnsi"/>
          <w:color w:val="000000" w:themeColor="text1"/>
          <w:lang w:val="en-US"/>
        </w:rPr>
      </w:pPr>
    </w:p>
    <w:p w14:paraId="246D5A2F" w14:textId="77777777" w:rsidR="00BE57E1" w:rsidRPr="00F30EF3" w:rsidRDefault="003B01CB" w:rsidP="00B7519E">
      <w:pPr>
        <w:tabs>
          <w:tab w:val="left" w:pos="567"/>
        </w:tabs>
        <w:spacing w:after="0" w:line="240" w:lineRule="auto"/>
        <w:jc w:val="both"/>
        <w:rPr>
          <w:rFonts w:eastAsia="Times New Roman" w:cstheme="minorHAnsi"/>
          <w:b/>
          <w:bCs/>
          <w:color w:val="0070C0"/>
          <w:sz w:val="24"/>
          <w:szCs w:val="24"/>
          <w:rtl/>
        </w:rPr>
      </w:pPr>
      <w:bookmarkStart w:id="389" w:name="_Toc486176932"/>
      <w:r w:rsidRPr="00F30EF3">
        <w:rPr>
          <w:rFonts w:cstheme="minorHAnsi"/>
          <w:b/>
          <w:bCs/>
          <w:color w:val="0070C0"/>
          <w:sz w:val="24"/>
          <w:szCs w:val="24"/>
          <w:rtl/>
        </w:rPr>
        <w:t>التسجيل والمراقبة والمحاسبة</w:t>
      </w:r>
      <w:r w:rsidRPr="00F30EF3">
        <w:rPr>
          <w:rFonts w:cstheme="minorHAnsi"/>
          <w:sz w:val="24"/>
          <w:szCs w:val="24"/>
          <w:rtl/>
        </w:rPr>
        <w:t xml:space="preserve"> </w:t>
      </w:r>
    </w:p>
    <w:p w14:paraId="12297D11" w14:textId="77777777" w:rsidR="00BE57E1" w:rsidRPr="00F30EF3" w:rsidRDefault="00BE57E1" w:rsidP="00B7519E">
      <w:pPr>
        <w:tabs>
          <w:tab w:val="left" w:pos="567"/>
        </w:tabs>
        <w:spacing w:after="0" w:line="240" w:lineRule="auto"/>
        <w:jc w:val="both"/>
        <w:rPr>
          <w:rFonts w:eastAsia="Times New Roman" w:cstheme="minorHAnsi"/>
          <w:b/>
          <w:bCs/>
          <w:color w:val="0070C0"/>
          <w:lang w:val="en-US"/>
        </w:rPr>
      </w:pPr>
    </w:p>
    <w:p w14:paraId="5CAFAD4C" w14:textId="77777777" w:rsidR="00A4021B" w:rsidRPr="00F30EF3" w:rsidRDefault="00F20AED" w:rsidP="009D4A54">
      <w:pPr>
        <w:pStyle w:val="ListParagraph"/>
        <w:numPr>
          <w:ilvl w:val="0"/>
          <w:numId w:val="153"/>
        </w:numPr>
        <w:autoSpaceDE w:val="0"/>
        <w:autoSpaceDN w:val="0"/>
        <w:adjustRightInd w:val="0"/>
        <w:spacing w:after="0" w:line="240" w:lineRule="auto"/>
        <w:ind w:left="426" w:hanging="426"/>
        <w:jc w:val="both"/>
        <w:rPr>
          <w:rFonts w:cstheme="minorHAnsi"/>
          <w:rtl/>
        </w:rPr>
      </w:pPr>
      <w:r w:rsidRPr="00F30EF3">
        <w:rPr>
          <w:rFonts w:cstheme="minorHAnsi"/>
          <w:b/>
          <w:bCs/>
          <w:rtl/>
        </w:rPr>
        <w:t xml:space="preserve">المادة 1.11، </w:t>
      </w:r>
      <w:r w:rsidRPr="00F30EF3">
        <w:rPr>
          <w:rFonts w:cstheme="minorHAnsi"/>
          <w:b/>
          <w:bCs/>
          <w:i/>
          <w:iCs/>
          <w:rtl/>
        </w:rPr>
        <w:t>يحتفظ مكتب إدارة الملكية الفكرية بسجلات للملكية الفكرية للمؤسسة</w:t>
      </w:r>
      <w:r w:rsidRPr="00F30EF3">
        <w:rPr>
          <w:rFonts w:cstheme="minorHAnsi"/>
          <w:rtl/>
        </w:rPr>
        <w:t xml:space="preserve">: من المهم مراجعة محفظة الملكية الفكرية للمؤسسة بشكل متكرر لتحديد ما إذا كانت الملكية الفكرية الفردية لا تزال تخدم مصالح المؤسسة واستراتيجياتها، إذا لم يتم ترخيصها. وعندما يبدو أن طلبات الملكية الفكرية تتعثر في الملاحقة القضائية المطولة، أو عندما تصبح رسوم الاحتفاظ مستحقة السداد، ينبغي أن تؤدي هذه الموضوعات إلى اتخاذ قرار من قبل مكتب إدارة الملكية الفكرية - وربما لجنة الملكية الفكرية - للنظر في إسقاط الملكية الفكرية أو الإبقاء عليها. </w:t>
      </w:r>
    </w:p>
    <w:p w14:paraId="17E9E838" w14:textId="77777777" w:rsidR="00A4021B" w:rsidRPr="00F30EF3" w:rsidRDefault="00A4021B" w:rsidP="00A4021B">
      <w:pPr>
        <w:pStyle w:val="ListParagraph"/>
        <w:autoSpaceDE w:val="0"/>
        <w:autoSpaceDN w:val="0"/>
        <w:adjustRightInd w:val="0"/>
        <w:spacing w:after="0" w:line="240" w:lineRule="auto"/>
        <w:ind w:left="426"/>
        <w:rPr>
          <w:rFonts w:cstheme="minorHAnsi"/>
          <w:lang w:val="en-US"/>
        </w:rPr>
      </w:pPr>
    </w:p>
    <w:p w14:paraId="037E6B70" w14:textId="21C7894B" w:rsidR="00A4021B" w:rsidRPr="00F30EF3" w:rsidRDefault="00A4021B" w:rsidP="00A4021B">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284"/>
        <w:rPr>
          <w:rFonts w:cstheme="minorHAnsi"/>
          <w:b/>
          <w:bCs/>
          <w:rtl/>
        </w:rPr>
      </w:pPr>
      <w:r w:rsidRPr="00F30EF3">
        <w:rPr>
          <w:rFonts w:cstheme="minorHAnsi"/>
          <w:b/>
          <w:bCs/>
          <w:rtl/>
        </w:rPr>
        <w:t xml:space="preserve">الإطار </w:t>
      </w:r>
      <w:r w:rsidR="00F47A85" w:rsidRPr="00F30EF3">
        <w:rPr>
          <w:rFonts w:cstheme="minorHAnsi"/>
          <w:b/>
          <w:bCs/>
        </w:rPr>
        <w:t>81</w:t>
      </w:r>
      <w:r w:rsidR="005D3E26" w:rsidRPr="00F30EF3">
        <w:rPr>
          <w:rFonts w:cstheme="minorHAnsi" w:hint="cs"/>
          <w:b/>
          <w:bCs/>
          <w:rtl/>
        </w:rPr>
        <w:t>.</w:t>
      </w:r>
      <w:r w:rsidRPr="00F30EF3">
        <w:rPr>
          <w:rFonts w:cstheme="minorHAnsi"/>
          <w:b/>
          <w:bCs/>
          <w:rtl/>
        </w:rPr>
        <w:t xml:space="preserve"> نصائح التسجيل والرصد والتقييم</w:t>
      </w:r>
    </w:p>
    <w:p w14:paraId="23EC58EB" w14:textId="77777777" w:rsidR="00A4021B" w:rsidRPr="00F30EF3" w:rsidRDefault="00A4021B" w:rsidP="00A4021B">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284"/>
        <w:rPr>
          <w:rFonts w:cstheme="minorHAnsi"/>
          <w:lang w:val="en-US"/>
        </w:rPr>
      </w:pPr>
    </w:p>
    <w:p w14:paraId="3D1BEFCF" w14:textId="77777777" w:rsidR="00A4021B" w:rsidRPr="00F30EF3" w:rsidRDefault="00A4021B" w:rsidP="009D4A54">
      <w:pPr>
        <w:pStyle w:val="ListParagraph"/>
        <w:numPr>
          <w:ilvl w:val="0"/>
          <w:numId w:val="11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hanging="436"/>
        <w:rPr>
          <w:rFonts w:cstheme="minorHAnsi"/>
          <w:rtl/>
        </w:rPr>
      </w:pPr>
      <w:r w:rsidRPr="00F30EF3">
        <w:rPr>
          <w:rFonts w:cstheme="minorHAnsi"/>
          <w:rtl/>
        </w:rPr>
        <w:t xml:space="preserve">وضع وتنفيذ أنظمة واضحة للرصد والتقييم لأنها يمكن أن تعزز فعالية إدارة الملكية الفكرية ونقل المعرفة. </w:t>
      </w:r>
    </w:p>
    <w:p w14:paraId="73CBBA21" w14:textId="77777777" w:rsidR="00A4021B" w:rsidRPr="00F30EF3" w:rsidRDefault="00A4021B" w:rsidP="009D4A54">
      <w:pPr>
        <w:pStyle w:val="ListParagraph"/>
        <w:numPr>
          <w:ilvl w:val="0"/>
          <w:numId w:val="11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284" w:firstLine="0"/>
        <w:rPr>
          <w:rFonts w:cstheme="minorHAnsi"/>
          <w:rtl/>
        </w:rPr>
      </w:pPr>
      <w:r w:rsidRPr="00F30EF3">
        <w:rPr>
          <w:rFonts w:cstheme="minorHAnsi"/>
          <w:rtl/>
        </w:rPr>
        <w:t>إجراء السجلات الروتينية لمؤشرات قياس إدارة الملكية الفكرية من أجل:</w:t>
      </w:r>
    </w:p>
    <w:p w14:paraId="69B06D56" w14:textId="77777777" w:rsidR="00A4021B" w:rsidRPr="00F30EF3" w:rsidRDefault="00A4021B" w:rsidP="009D4A54">
      <w:pPr>
        <w:pStyle w:val="ListParagraph"/>
        <w:numPr>
          <w:ilvl w:val="1"/>
          <w:numId w:val="110"/>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1134"/>
        </w:tabs>
        <w:autoSpaceDE w:val="0"/>
        <w:autoSpaceDN w:val="0"/>
        <w:adjustRightInd w:val="0"/>
        <w:spacing w:after="0" w:line="240" w:lineRule="auto"/>
        <w:ind w:left="284" w:firstLine="0"/>
        <w:rPr>
          <w:rFonts w:cstheme="minorHAnsi"/>
          <w:rtl/>
        </w:rPr>
      </w:pPr>
      <w:r w:rsidRPr="00F30EF3">
        <w:rPr>
          <w:rFonts w:cstheme="minorHAnsi"/>
          <w:rtl/>
        </w:rPr>
        <w:t>التوضيح للشركاء الخارجيين أن المؤسسة تدير الملكية الفكرية بفعالية؛</w:t>
      </w:r>
    </w:p>
    <w:p w14:paraId="305F6511" w14:textId="77777777" w:rsidR="00A4021B" w:rsidRPr="00F30EF3" w:rsidRDefault="00A4021B" w:rsidP="009D4A54">
      <w:pPr>
        <w:pStyle w:val="ListParagraph"/>
        <w:numPr>
          <w:ilvl w:val="1"/>
          <w:numId w:val="110"/>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1134"/>
        </w:tabs>
        <w:autoSpaceDE w:val="0"/>
        <w:autoSpaceDN w:val="0"/>
        <w:adjustRightInd w:val="0"/>
        <w:spacing w:after="0" w:line="240" w:lineRule="auto"/>
        <w:ind w:left="1134" w:hanging="850"/>
        <w:rPr>
          <w:rFonts w:cstheme="minorHAnsi"/>
          <w:rtl/>
        </w:rPr>
      </w:pPr>
      <w:r w:rsidRPr="00F30EF3">
        <w:rPr>
          <w:rFonts w:cstheme="minorHAnsi"/>
          <w:rtl/>
        </w:rPr>
        <w:t>تحديد المشكلات والفرص المتعلقة بإدارة الملكية الفكرية وتغيير الميزانيات والاستراتيجيات لتعكس هذه التغييرات؛</w:t>
      </w:r>
    </w:p>
    <w:p w14:paraId="56B51B6F" w14:textId="77777777" w:rsidR="00A4021B" w:rsidRPr="00F30EF3" w:rsidRDefault="00A4021B" w:rsidP="009D4A54">
      <w:pPr>
        <w:pStyle w:val="ListParagraph"/>
        <w:numPr>
          <w:ilvl w:val="1"/>
          <w:numId w:val="110"/>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1134"/>
        </w:tabs>
        <w:autoSpaceDE w:val="0"/>
        <w:autoSpaceDN w:val="0"/>
        <w:adjustRightInd w:val="0"/>
        <w:spacing w:after="0" w:line="240" w:lineRule="auto"/>
        <w:ind w:left="1134" w:hanging="850"/>
        <w:rPr>
          <w:rFonts w:cstheme="minorHAnsi"/>
          <w:rtl/>
        </w:rPr>
      </w:pPr>
      <w:r w:rsidRPr="00F30EF3">
        <w:rPr>
          <w:rFonts w:cstheme="minorHAnsi"/>
          <w:rtl/>
        </w:rPr>
        <w:t>الفاعلية في التتبع والتسجيل الذي يمكن أن يكون عاملاً في الاحتفاظ بأعضاء هيئة التدريس وتوظيفهم.</w:t>
      </w:r>
    </w:p>
    <w:p w14:paraId="7CEA5E7E" w14:textId="77777777" w:rsidR="00A4021B" w:rsidRPr="00F30EF3" w:rsidRDefault="00A4021B" w:rsidP="009D4A54">
      <w:pPr>
        <w:pStyle w:val="ListParagraph"/>
        <w:numPr>
          <w:ilvl w:val="0"/>
          <w:numId w:val="154"/>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284" w:firstLine="0"/>
        <w:rPr>
          <w:rFonts w:cstheme="minorHAnsi"/>
          <w:rtl/>
        </w:rPr>
      </w:pPr>
      <w:r w:rsidRPr="00F30EF3">
        <w:rPr>
          <w:rFonts w:cstheme="minorHAnsi"/>
          <w:rtl/>
        </w:rPr>
        <w:t>تصميم وجمع المؤشرات المناسبة على أساس سنوي.</w:t>
      </w:r>
    </w:p>
    <w:p w14:paraId="4637FA90" w14:textId="77777777" w:rsidR="008651B7" w:rsidRPr="00F30EF3" w:rsidRDefault="00A4021B" w:rsidP="009D4A54">
      <w:pPr>
        <w:pStyle w:val="ListParagraph"/>
        <w:numPr>
          <w:ilvl w:val="0"/>
          <w:numId w:val="154"/>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hanging="436"/>
        <w:rPr>
          <w:rFonts w:cstheme="minorHAnsi"/>
          <w:rtl/>
        </w:rPr>
      </w:pPr>
      <w:r w:rsidRPr="00F30EF3">
        <w:rPr>
          <w:rFonts w:cstheme="minorHAnsi"/>
          <w:rtl/>
        </w:rPr>
        <w:t>اعتماد إجراءات قد تتضمن برامج متخصصة تدعم هذا النشاط. يمكن لمثل هذه البرامج إصدار تنبيهات بشأن المواعيد النهائية، مما يحول دون حدوث خسائر محتملة في الأصول.</w:t>
      </w:r>
    </w:p>
    <w:p w14:paraId="6C944AA4" w14:textId="77777777" w:rsidR="00A4021B" w:rsidRPr="00F30EF3" w:rsidRDefault="00A4021B" w:rsidP="00A4021B">
      <w:pPr>
        <w:tabs>
          <w:tab w:val="left" w:pos="426"/>
        </w:tabs>
        <w:autoSpaceDE w:val="0"/>
        <w:autoSpaceDN w:val="0"/>
        <w:adjustRightInd w:val="0"/>
        <w:spacing w:after="0" w:line="240" w:lineRule="auto"/>
        <w:jc w:val="both"/>
        <w:rPr>
          <w:rFonts w:cstheme="minorHAnsi"/>
          <w:lang w:val="en-US"/>
        </w:rPr>
      </w:pPr>
    </w:p>
    <w:p w14:paraId="100057BD" w14:textId="77777777" w:rsidR="00F20AED" w:rsidRPr="00F30EF3" w:rsidRDefault="00F20AED" w:rsidP="009D4A54">
      <w:pPr>
        <w:pStyle w:val="ListParagraph"/>
        <w:numPr>
          <w:ilvl w:val="0"/>
          <w:numId w:val="53"/>
        </w:numPr>
        <w:tabs>
          <w:tab w:val="left" w:pos="426"/>
          <w:tab w:val="left" w:pos="851"/>
        </w:tabs>
        <w:autoSpaceDE w:val="0"/>
        <w:autoSpaceDN w:val="0"/>
        <w:adjustRightInd w:val="0"/>
        <w:spacing w:after="0" w:line="240" w:lineRule="auto"/>
        <w:ind w:left="426" w:hanging="426"/>
        <w:jc w:val="both"/>
        <w:rPr>
          <w:rFonts w:cstheme="minorHAnsi"/>
          <w:rtl/>
        </w:rPr>
      </w:pPr>
      <w:r w:rsidRPr="00F30EF3">
        <w:rPr>
          <w:rFonts w:cstheme="minorHAnsi"/>
          <w:b/>
          <w:bCs/>
          <w:rtl/>
        </w:rPr>
        <w:t xml:space="preserve">المادة 1.11، </w:t>
      </w:r>
      <w:r w:rsidRPr="00F30EF3">
        <w:rPr>
          <w:rFonts w:cstheme="minorHAnsi"/>
          <w:b/>
          <w:bCs/>
          <w:i/>
          <w:iCs/>
          <w:rtl/>
        </w:rPr>
        <w:t>مكتب إدارة الملكية الفكرية [أو الكيان الخارجي]</w:t>
      </w:r>
      <w:r w:rsidRPr="00F30EF3">
        <w:rPr>
          <w:rFonts w:cstheme="minorHAnsi"/>
          <w:rtl/>
        </w:rPr>
        <w:t>: يكمن أحد الخيارات في الاستعانة بمصادر خارجية مع شريك تجاري للمساعدة في تسجيل الملكية الفكرية والاحتفاظ بها. وعند الاقتضاء، قد تسمح المؤسسة لذلك الشريك التجاري بموجب اتفاقية محددة بالتحكم في الاستراتيجية المتعلقة بإجراءات أي تطبيق لبراءة ذي صلة بمحفظة الملكية الفكرية وفقاً لمصالحه وخطته الاستراتيجية.</w:t>
      </w:r>
    </w:p>
    <w:p w14:paraId="78329F56" w14:textId="77777777" w:rsidR="00BE57E1" w:rsidRPr="00F30EF3" w:rsidRDefault="0043054C" w:rsidP="000B27B9">
      <w:pPr>
        <w:tabs>
          <w:tab w:val="left" w:pos="567"/>
        </w:tabs>
        <w:spacing w:before="360" w:after="360" w:line="240" w:lineRule="auto"/>
        <w:jc w:val="both"/>
        <w:rPr>
          <w:rFonts w:eastAsia="Times New Roman" w:cstheme="minorHAnsi"/>
          <w:b/>
          <w:bCs/>
          <w:color w:val="0070C0"/>
          <w:sz w:val="24"/>
          <w:szCs w:val="24"/>
          <w:rtl/>
        </w:rPr>
      </w:pPr>
      <w:r w:rsidRPr="00F30EF3">
        <w:rPr>
          <w:rFonts w:cstheme="minorHAnsi"/>
          <w:b/>
          <w:bCs/>
          <w:color w:val="0070C0"/>
          <w:sz w:val="24"/>
          <w:szCs w:val="24"/>
          <w:rtl/>
        </w:rPr>
        <w:t>اختيار مؤشرات الأداء المناسبة</w:t>
      </w:r>
    </w:p>
    <w:p w14:paraId="4917907E" w14:textId="77777777" w:rsidR="0043054C" w:rsidRPr="00F30EF3" w:rsidRDefault="0043054C" w:rsidP="005D3E26">
      <w:pPr>
        <w:pStyle w:val="ListParagraph"/>
        <w:numPr>
          <w:ilvl w:val="0"/>
          <w:numId w:val="53"/>
        </w:numPr>
        <w:tabs>
          <w:tab w:val="left" w:pos="426"/>
        </w:tabs>
        <w:autoSpaceDE w:val="0"/>
        <w:autoSpaceDN w:val="0"/>
        <w:adjustRightInd w:val="0"/>
        <w:spacing w:after="120" w:line="240" w:lineRule="auto"/>
        <w:ind w:left="432" w:hanging="432"/>
        <w:contextualSpacing w:val="0"/>
        <w:jc w:val="both"/>
        <w:rPr>
          <w:rFonts w:cstheme="minorHAnsi"/>
          <w:rtl/>
        </w:rPr>
      </w:pPr>
      <w:r w:rsidRPr="00F30EF3">
        <w:rPr>
          <w:rFonts w:cstheme="minorHAnsi"/>
          <w:rtl/>
        </w:rPr>
        <w:t>يمكن أن تؤدي مؤشرات الأداء غرضين رئيسيين. أولاً، يمكن استخدامها لتثبت للأطراف الخارجية أن المؤسسة قادرة على إدارة الملكية الفكرية بفاعلية. ثانياً، ذات فائدة في مساعدة مكتب إدارة الملكية الفكرية على تحديد المشكلات والفرص وتعديل الميزانيات والاستراتيجيات وفقاً لذلك.</w:t>
      </w:r>
    </w:p>
    <w:p w14:paraId="280EFB21" w14:textId="3680C50F" w:rsidR="00BE57E1" w:rsidRPr="00F30EF3" w:rsidRDefault="00BE57E1" w:rsidP="009D4A54">
      <w:pPr>
        <w:pStyle w:val="ListParagraph"/>
        <w:numPr>
          <w:ilvl w:val="0"/>
          <w:numId w:val="53"/>
        </w:numPr>
        <w:tabs>
          <w:tab w:val="left" w:pos="426"/>
        </w:tabs>
        <w:autoSpaceDE w:val="0"/>
        <w:autoSpaceDN w:val="0"/>
        <w:adjustRightInd w:val="0"/>
        <w:spacing w:after="0" w:line="240" w:lineRule="auto"/>
        <w:ind w:left="426" w:hanging="426"/>
        <w:jc w:val="both"/>
        <w:rPr>
          <w:rFonts w:cstheme="minorHAnsi"/>
          <w:rtl/>
        </w:rPr>
      </w:pPr>
      <w:r w:rsidRPr="00F30EF3">
        <w:rPr>
          <w:rFonts w:cstheme="minorHAnsi"/>
          <w:rtl/>
        </w:rPr>
        <w:t>لا تحقق معظم مكاتب إدارة الملكية الفكرية عادةً عائدات مالية كبيرة من أنشطة نقل المعرفة (هناك عوامل متنوعة مثل حماية القدرات البحثية للمؤسسة والمساهمة في التنمية الاجتماعية والاقتصادية). ولذلك ينبغي تفسير الإحصاءات التي يتم جمعها بعناية وتصميمها حول رسالة مكتب إدارة الملكية الفكرية المتعلقة بنقل المعرفة. وينبغي أن يضع مكتب إدارة الملكية الفكرية مقاييس مناسبة تتعلق بإدارة الملكية الفكرية ونقل المعرفة. والأمثلة المقترحة للمؤشرات المحتملة هي:</w:t>
      </w:r>
    </w:p>
    <w:p w14:paraId="61C4F428" w14:textId="77777777" w:rsidR="00AC72FB" w:rsidRPr="00F30EF3" w:rsidRDefault="00AC72FB" w:rsidP="009D4A54">
      <w:pPr>
        <w:pStyle w:val="ListParagraph"/>
        <w:numPr>
          <w:ilvl w:val="1"/>
          <w:numId w:val="53"/>
        </w:numPr>
        <w:tabs>
          <w:tab w:val="left" w:pos="426"/>
        </w:tabs>
        <w:autoSpaceDE w:val="0"/>
        <w:autoSpaceDN w:val="0"/>
        <w:adjustRightInd w:val="0"/>
        <w:spacing w:after="0" w:line="240" w:lineRule="auto"/>
        <w:jc w:val="both"/>
        <w:rPr>
          <w:rFonts w:cstheme="minorHAnsi"/>
          <w:rtl/>
        </w:rPr>
      </w:pPr>
      <w:r w:rsidRPr="00F30EF3">
        <w:rPr>
          <w:rFonts w:cstheme="minorHAnsi"/>
          <w:rtl/>
        </w:rPr>
        <w:t>عدد استمارات الكشف عن الاختراعات</w:t>
      </w:r>
    </w:p>
    <w:p w14:paraId="5BD79432" w14:textId="77777777" w:rsidR="00AC72FB" w:rsidRPr="00F30EF3" w:rsidRDefault="00AC72FB" w:rsidP="009D4A54">
      <w:pPr>
        <w:pStyle w:val="ListParagraph"/>
        <w:numPr>
          <w:ilvl w:val="1"/>
          <w:numId w:val="53"/>
        </w:numPr>
        <w:tabs>
          <w:tab w:val="left" w:pos="426"/>
        </w:tabs>
        <w:autoSpaceDE w:val="0"/>
        <w:autoSpaceDN w:val="0"/>
        <w:adjustRightInd w:val="0"/>
        <w:spacing w:after="0" w:line="240" w:lineRule="auto"/>
        <w:jc w:val="both"/>
        <w:rPr>
          <w:rFonts w:cstheme="minorHAnsi"/>
          <w:rtl/>
        </w:rPr>
      </w:pPr>
      <w:r w:rsidRPr="00F30EF3">
        <w:rPr>
          <w:rFonts w:cstheme="minorHAnsi"/>
          <w:rtl/>
        </w:rPr>
        <w:t>عدد البراءات المودعة</w:t>
      </w:r>
    </w:p>
    <w:p w14:paraId="785D310E" w14:textId="77777777" w:rsidR="00AC72FB" w:rsidRPr="00F30EF3" w:rsidRDefault="00AC72FB" w:rsidP="009D4A54">
      <w:pPr>
        <w:pStyle w:val="ListParagraph"/>
        <w:numPr>
          <w:ilvl w:val="1"/>
          <w:numId w:val="53"/>
        </w:numPr>
        <w:tabs>
          <w:tab w:val="left" w:pos="426"/>
        </w:tabs>
        <w:autoSpaceDE w:val="0"/>
        <w:autoSpaceDN w:val="0"/>
        <w:adjustRightInd w:val="0"/>
        <w:spacing w:after="0" w:line="240" w:lineRule="auto"/>
        <w:jc w:val="both"/>
        <w:rPr>
          <w:rFonts w:cstheme="minorHAnsi"/>
          <w:rtl/>
        </w:rPr>
      </w:pPr>
      <w:r w:rsidRPr="00F30EF3">
        <w:rPr>
          <w:rFonts w:cstheme="minorHAnsi"/>
          <w:rtl/>
        </w:rPr>
        <w:t>عدد التراخيص أو عمليات نقل التكنولوجيا التي تشمل البراءات والملكية الفكرية؛</w:t>
      </w:r>
    </w:p>
    <w:p w14:paraId="2A2FDFB2" w14:textId="77777777" w:rsidR="00AC72FB" w:rsidRPr="00F30EF3" w:rsidRDefault="00AC72FB" w:rsidP="009D4A54">
      <w:pPr>
        <w:pStyle w:val="ListParagraph"/>
        <w:numPr>
          <w:ilvl w:val="1"/>
          <w:numId w:val="53"/>
        </w:numPr>
        <w:tabs>
          <w:tab w:val="left" w:pos="426"/>
        </w:tabs>
        <w:autoSpaceDE w:val="0"/>
        <w:autoSpaceDN w:val="0"/>
        <w:adjustRightInd w:val="0"/>
        <w:spacing w:after="0" w:line="240" w:lineRule="auto"/>
        <w:jc w:val="both"/>
        <w:rPr>
          <w:rFonts w:cstheme="minorHAnsi"/>
          <w:rtl/>
        </w:rPr>
      </w:pPr>
      <w:r w:rsidRPr="00F30EF3">
        <w:rPr>
          <w:rFonts w:cstheme="minorHAnsi"/>
          <w:rtl/>
        </w:rPr>
        <w:t>نوع الشركة المرخص لها - شركة قائمة، (بما في ذلك ما إذا كانت شركة محلية) أو شركة جديدة أو شركة متفرعة؛</w:t>
      </w:r>
    </w:p>
    <w:p w14:paraId="09A58204" w14:textId="77777777" w:rsidR="00AC72FB" w:rsidRPr="00F30EF3" w:rsidRDefault="00AC72FB" w:rsidP="009D4A54">
      <w:pPr>
        <w:pStyle w:val="ListParagraph"/>
        <w:numPr>
          <w:ilvl w:val="1"/>
          <w:numId w:val="53"/>
        </w:numPr>
        <w:tabs>
          <w:tab w:val="left" w:pos="426"/>
        </w:tabs>
        <w:autoSpaceDE w:val="0"/>
        <w:autoSpaceDN w:val="0"/>
        <w:adjustRightInd w:val="0"/>
        <w:spacing w:after="0" w:line="240" w:lineRule="auto"/>
        <w:jc w:val="both"/>
        <w:rPr>
          <w:rFonts w:cstheme="minorHAnsi"/>
          <w:rtl/>
        </w:rPr>
      </w:pPr>
      <w:r w:rsidRPr="00F30EF3">
        <w:rPr>
          <w:rFonts w:cstheme="minorHAnsi"/>
          <w:rtl/>
        </w:rPr>
        <w:t>عدد الاتصالات التي تم إجراؤها والفرص المقدمة للشركات.</w:t>
      </w:r>
      <w:r w:rsidRPr="00F30EF3">
        <w:rPr>
          <w:rStyle w:val="FootnoteReference"/>
          <w:rFonts w:cstheme="minorHAnsi"/>
          <w:rtl/>
          <w:lang w:val="en-US"/>
        </w:rPr>
        <w:footnoteReference w:id="197"/>
      </w:r>
    </w:p>
    <w:p w14:paraId="2D797878" w14:textId="77777777" w:rsidR="00F20AED" w:rsidRPr="00F30EF3" w:rsidRDefault="009B0D4D" w:rsidP="00D0311B">
      <w:pPr>
        <w:pStyle w:val="Heading3"/>
        <w:spacing w:before="360"/>
        <w:rPr>
          <w:rFonts w:asciiTheme="minorHAnsi" w:hAnsiTheme="minorHAnsi" w:cstheme="minorHAnsi"/>
          <w:sz w:val="24"/>
          <w:szCs w:val="24"/>
          <w:rtl/>
        </w:rPr>
      </w:pPr>
      <w:bookmarkStart w:id="390" w:name="_Toc516160112"/>
      <w:bookmarkStart w:id="391" w:name="_Toc516219448"/>
      <w:bookmarkStart w:id="392" w:name="_Toc516496092"/>
      <w:bookmarkStart w:id="393" w:name="_Toc516829464"/>
      <w:r w:rsidRPr="00F30EF3">
        <w:rPr>
          <w:rFonts w:asciiTheme="minorHAnsi" w:hAnsiTheme="minorHAnsi" w:cstheme="minorHAnsi"/>
          <w:sz w:val="24"/>
          <w:szCs w:val="24"/>
          <w:rtl/>
        </w:rPr>
        <w:lastRenderedPageBreak/>
        <w:t>الموارد المفيدة المتعلقة بالمادة 11</w:t>
      </w:r>
      <w:bookmarkEnd w:id="390"/>
      <w:bookmarkEnd w:id="391"/>
      <w:bookmarkEnd w:id="392"/>
      <w:bookmarkEnd w:id="393"/>
    </w:p>
    <w:p w14:paraId="280F6318" w14:textId="77777777" w:rsidR="00F20AED" w:rsidRPr="00F30EF3" w:rsidRDefault="00046743" w:rsidP="009D4A54">
      <w:pPr>
        <w:pStyle w:val="ListParagraph"/>
        <w:numPr>
          <w:ilvl w:val="0"/>
          <w:numId w:val="54"/>
        </w:numPr>
        <w:shd w:val="clear" w:color="auto" w:fill="FFFFFF" w:themeFill="background1"/>
        <w:autoSpaceDE w:val="0"/>
        <w:autoSpaceDN w:val="0"/>
        <w:adjustRightInd w:val="0"/>
        <w:spacing w:after="0" w:line="240" w:lineRule="auto"/>
        <w:ind w:left="426" w:hanging="426"/>
        <w:jc w:val="both"/>
        <w:rPr>
          <w:rFonts w:eastAsia="Times New Roman" w:cstheme="minorHAnsi"/>
          <w:b/>
          <w:bCs/>
          <w:rtl/>
        </w:rPr>
      </w:pPr>
      <w:r w:rsidRPr="00F30EF3">
        <w:rPr>
          <w:rFonts w:cstheme="minorHAnsi"/>
          <w:b/>
          <w:bCs/>
          <w:rtl/>
        </w:rPr>
        <w:t>الدراسات السابقة وأمثلة على المبادئ التوجيهية/السياسات المتعلقة بالإدارة الجيدة للبيانات البحثية.</w:t>
      </w:r>
    </w:p>
    <w:p w14:paraId="71595ED7" w14:textId="77777777" w:rsidR="00F20AED" w:rsidRPr="00F30EF3" w:rsidRDefault="00F20AED" w:rsidP="009D4A54">
      <w:pPr>
        <w:pStyle w:val="ListParagraph"/>
        <w:numPr>
          <w:ilvl w:val="1"/>
          <w:numId w:val="144"/>
        </w:numPr>
        <w:shd w:val="clear" w:color="auto" w:fill="FFFFFF" w:themeFill="background1"/>
        <w:autoSpaceDE w:val="0"/>
        <w:autoSpaceDN w:val="0"/>
        <w:adjustRightInd w:val="0"/>
        <w:spacing w:after="0" w:line="240" w:lineRule="auto"/>
        <w:ind w:left="851" w:hanging="425"/>
        <w:jc w:val="both"/>
        <w:rPr>
          <w:rFonts w:eastAsia="Times New Roman" w:cstheme="minorHAnsi"/>
          <w:rtl/>
        </w:rPr>
      </w:pPr>
      <w:r w:rsidRPr="00F30EF3">
        <w:rPr>
          <w:rFonts w:cstheme="minorHAnsi"/>
          <w:rtl/>
        </w:rPr>
        <w:t xml:space="preserve">جامعة غلاسكو:  </w:t>
      </w:r>
      <w:hyperlink r:id="rId181" w:history="1">
        <w:r w:rsidRPr="00F30EF3">
          <w:rPr>
            <w:rStyle w:val="Hyperlink"/>
            <w:rFonts w:cstheme="minorHAnsi"/>
            <w:rtl/>
          </w:rPr>
          <w:t>الإدارة الجيدة لسياسة البيانات البحثية</w:t>
        </w:r>
      </w:hyperlink>
    </w:p>
    <w:p w14:paraId="0C98571E" w14:textId="77777777" w:rsidR="00F20AED" w:rsidRPr="00F30EF3" w:rsidRDefault="00F20AED" w:rsidP="009D4A54">
      <w:pPr>
        <w:pStyle w:val="ListParagraph"/>
        <w:numPr>
          <w:ilvl w:val="1"/>
          <w:numId w:val="144"/>
        </w:numPr>
        <w:shd w:val="clear" w:color="auto" w:fill="FFFFFF" w:themeFill="background1"/>
        <w:autoSpaceDE w:val="0"/>
        <w:autoSpaceDN w:val="0"/>
        <w:adjustRightInd w:val="0"/>
        <w:spacing w:after="0" w:line="240" w:lineRule="auto"/>
        <w:ind w:left="851" w:hanging="425"/>
        <w:jc w:val="both"/>
        <w:rPr>
          <w:rFonts w:eastAsia="Times New Roman" w:cstheme="minorHAnsi"/>
          <w:rtl/>
        </w:rPr>
      </w:pPr>
      <w:r w:rsidRPr="00F30EF3">
        <w:rPr>
          <w:rFonts w:cstheme="minorHAnsi"/>
          <w:rtl/>
        </w:rPr>
        <w:t xml:space="preserve">جامعة هيوستن:  </w:t>
      </w:r>
      <w:hyperlink r:id="rId182" w:history="1">
        <w:r w:rsidRPr="00F30EF3">
          <w:rPr>
            <w:rStyle w:val="Hyperlink"/>
            <w:rFonts w:cstheme="minorHAnsi"/>
            <w:rtl/>
          </w:rPr>
          <w:t>سياسة البيانات</w:t>
        </w:r>
      </w:hyperlink>
    </w:p>
    <w:p w14:paraId="4B52DADC" w14:textId="77777777" w:rsidR="0062144B" w:rsidRPr="00F30EF3" w:rsidRDefault="0062144B" w:rsidP="009D4A54">
      <w:pPr>
        <w:pStyle w:val="ListParagraph"/>
        <w:numPr>
          <w:ilvl w:val="1"/>
          <w:numId w:val="144"/>
        </w:numPr>
        <w:shd w:val="clear" w:color="auto" w:fill="FFFFFF" w:themeFill="background1"/>
        <w:autoSpaceDE w:val="0"/>
        <w:autoSpaceDN w:val="0"/>
        <w:adjustRightInd w:val="0"/>
        <w:spacing w:after="0" w:line="240" w:lineRule="auto"/>
        <w:ind w:left="851" w:hanging="425"/>
        <w:jc w:val="both"/>
        <w:rPr>
          <w:rFonts w:cstheme="minorHAnsi"/>
          <w:rtl/>
        </w:rPr>
      </w:pPr>
      <w:r w:rsidRPr="00F30EF3">
        <w:rPr>
          <w:rFonts w:cstheme="minorHAnsi"/>
          <w:rtl/>
        </w:rPr>
        <w:t>أ.أ. شراير، وكيه ويلسون، وديه ريسنيك، (2006)"</w:t>
      </w:r>
      <w:hyperlink r:id="rId183" w:history="1">
        <w:r w:rsidRPr="00F30EF3">
          <w:rPr>
            <w:rStyle w:val="Hyperlink"/>
            <w:rFonts w:cstheme="minorHAnsi"/>
          </w:rPr>
          <w:t>Academic Research Record-Keeping:</w:t>
        </w:r>
      </w:hyperlink>
      <w:hyperlink r:id="rId184" w:history="1">
        <w:r w:rsidRPr="00F30EF3">
          <w:rPr>
            <w:rStyle w:val="Hyperlink"/>
            <w:rFonts w:cstheme="minorHAnsi"/>
          </w:rPr>
          <w:t xml:space="preserve"> Best Practices for Individuals, Group Leaders, and Institutions</w:t>
        </w:r>
      </w:hyperlink>
      <w:r w:rsidRPr="00F30EF3">
        <w:rPr>
          <w:rFonts w:cstheme="minorHAnsi"/>
          <w:rtl/>
        </w:rPr>
        <w:t xml:space="preserve">” </w:t>
      </w:r>
    </w:p>
    <w:p w14:paraId="44A31645" w14:textId="77777777" w:rsidR="006E2A28" w:rsidRPr="00F30EF3" w:rsidRDefault="006E2A28" w:rsidP="006E2A28">
      <w:pPr>
        <w:shd w:val="clear" w:color="auto" w:fill="FFFFFF" w:themeFill="background1"/>
        <w:autoSpaceDE w:val="0"/>
        <w:autoSpaceDN w:val="0"/>
        <w:adjustRightInd w:val="0"/>
        <w:spacing w:after="0" w:line="240" w:lineRule="auto"/>
        <w:ind w:left="426"/>
        <w:jc w:val="both"/>
        <w:rPr>
          <w:rFonts w:cstheme="minorHAnsi"/>
          <w:lang w:val="en-US"/>
        </w:rPr>
      </w:pPr>
    </w:p>
    <w:p w14:paraId="3F9A2192" w14:textId="77777777" w:rsidR="006E2A28" w:rsidRPr="00F30EF3" w:rsidRDefault="006E2A28" w:rsidP="009D4A54">
      <w:pPr>
        <w:pStyle w:val="ListParagraph"/>
        <w:numPr>
          <w:ilvl w:val="0"/>
          <w:numId w:val="54"/>
        </w:numPr>
        <w:shd w:val="clear" w:color="auto" w:fill="FFFFFF" w:themeFill="background1"/>
        <w:autoSpaceDE w:val="0"/>
        <w:autoSpaceDN w:val="0"/>
        <w:adjustRightInd w:val="0"/>
        <w:spacing w:after="0" w:line="240" w:lineRule="auto"/>
        <w:ind w:left="426" w:hanging="426"/>
        <w:jc w:val="both"/>
        <w:rPr>
          <w:rFonts w:eastAsia="Times New Roman" w:cstheme="minorHAnsi"/>
          <w:b/>
          <w:bCs/>
          <w:rtl/>
        </w:rPr>
      </w:pPr>
      <w:r w:rsidRPr="00F30EF3">
        <w:rPr>
          <w:rFonts w:cstheme="minorHAnsi"/>
          <w:b/>
          <w:bCs/>
          <w:rtl/>
        </w:rPr>
        <w:t>الرصد والتقييم</w:t>
      </w:r>
    </w:p>
    <w:p w14:paraId="1706A2FA" w14:textId="77777777" w:rsidR="00AC72FB" w:rsidRPr="00F30EF3" w:rsidRDefault="006E2A28" w:rsidP="009D4A54">
      <w:pPr>
        <w:pStyle w:val="ListParagraph"/>
        <w:numPr>
          <w:ilvl w:val="1"/>
          <w:numId w:val="144"/>
        </w:numPr>
        <w:shd w:val="clear" w:color="auto" w:fill="FFFFFF" w:themeFill="background1"/>
        <w:autoSpaceDE w:val="0"/>
        <w:autoSpaceDN w:val="0"/>
        <w:adjustRightInd w:val="0"/>
        <w:spacing w:after="0" w:line="240" w:lineRule="auto"/>
        <w:ind w:left="851" w:hanging="425"/>
        <w:jc w:val="both"/>
        <w:rPr>
          <w:rFonts w:cstheme="minorHAnsi"/>
          <w:rtl/>
        </w:rPr>
      </w:pPr>
      <w:r w:rsidRPr="00F30EF3">
        <w:rPr>
          <w:rFonts w:cstheme="minorHAnsi"/>
          <w:rtl/>
        </w:rPr>
        <w:t>دليل رابطة البحوث الجامعية والروابط الصناعية</w:t>
      </w:r>
      <w:r w:rsidR="00AC72FB" w:rsidRPr="00F30EF3">
        <w:rPr>
          <w:rStyle w:val="FootnoteReference"/>
          <w:rFonts w:cstheme="minorHAnsi"/>
          <w:rtl/>
          <w:lang w:val="en-US"/>
        </w:rPr>
        <w:footnoteReference w:id="198"/>
      </w:r>
      <w:hyperlink r:id="rId185" w:history="1">
        <w:r w:rsidRPr="00F30EF3">
          <w:rPr>
            <w:rFonts w:cstheme="minorHAnsi"/>
            <w:rtl/>
          </w:rPr>
          <w:t xml:space="preserve"> </w:t>
        </w:r>
        <w:r w:rsidRPr="00F30EF3">
          <w:rPr>
            <w:rStyle w:val="Hyperlink"/>
            <w:rFonts w:cstheme="minorHAnsi"/>
            <w:rtl/>
          </w:rPr>
          <w:t>لإدارة الملكية الفكرية، واتخاذ القرارات الاستراتيجية في الجامعات</w:t>
        </w:r>
      </w:hyperlink>
      <w:r w:rsidRPr="00F30EF3">
        <w:rPr>
          <w:rFonts w:cstheme="minorHAnsi"/>
          <w:rtl/>
        </w:rPr>
        <w:t xml:space="preserve"> </w:t>
      </w:r>
    </w:p>
    <w:p w14:paraId="74A7087D" w14:textId="77777777" w:rsidR="004D0F74" w:rsidRPr="00F30EF3" w:rsidRDefault="004D0F74" w:rsidP="004D0F74">
      <w:pPr>
        <w:pStyle w:val="ListParagraph"/>
        <w:shd w:val="clear" w:color="auto" w:fill="FFFFFF" w:themeFill="background1"/>
        <w:autoSpaceDE w:val="0"/>
        <w:autoSpaceDN w:val="0"/>
        <w:adjustRightInd w:val="0"/>
        <w:spacing w:after="0" w:line="240" w:lineRule="auto"/>
        <w:ind w:left="709"/>
        <w:jc w:val="both"/>
        <w:rPr>
          <w:rFonts w:cstheme="minorHAnsi"/>
          <w:lang w:val="en-US"/>
        </w:rPr>
      </w:pPr>
    </w:p>
    <w:p w14:paraId="46FDA20A" w14:textId="77777777" w:rsidR="00BE57E1" w:rsidRPr="00F30EF3" w:rsidRDefault="00BE57E1" w:rsidP="009D4A54">
      <w:pPr>
        <w:pStyle w:val="ListParagraph"/>
        <w:numPr>
          <w:ilvl w:val="0"/>
          <w:numId w:val="54"/>
        </w:numPr>
        <w:shd w:val="clear" w:color="auto" w:fill="FFFFFF" w:themeFill="background1"/>
        <w:autoSpaceDE w:val="0"/>
        <w:autoSpaceDN w:val="0"/>
        <w:adjustRightInd w:val="0"/>
        <w:spacing w:after="0" w:line="240" w:lineRule="auto"/>
        <w:ind w:left="426" w:hanging="426"/>
        <w:jc w:val="both"/>
        <w:rPr>
          <w:rFonts w:eastAsia="Times New Roman" w:cstheme="minorHAnsi"/>
          <w:b/>
          <w:bCs/>
          <w:rtl/>
        </w:rPr>
      </w:pPr>
      <w:r w:rsidRPr="00F30EF3">
        <w:rPr>
          <w:rFonts w:cstheme="minorHAnsi"/>
          <w:b/>
          <w:bCs/>
          <w:rtl/>
        </w:rPr>
        <w:t>مقاييس إدارة الملكية الفكرية.</w:t>
      </w:r>
    </w:p>
    <w:p w14:paraId="0B3E3294" w14:textId="77777777" w:rsidR="00ED52C7" w:rsidRPr="00F30EF3" w:rsidRDefault="00ED52C7" w:rsidP="00B7519E">
      <w:pPr>
        <w:pStyle w:val="ListParagraph"/>
        <w:shd w:val="clear" w:color="auto" w:fill="FFFFFF" w:themeFill="background1"/>
        <w:autoSpaceDE w:val="0"/>
        <w:autoSpaceDN w:val="0"/>
        <w:adjustRightInd w:val="0"/>
        <w:spacing w:after="0" w:line="240" w:lineRule="auto"/>
        <w:ind w:left="426"/>
        <w:jc w:val="both"/>
        <w:rPr>
          <w:rFonts w:eastAsia="Times New Roman" w:cstheme="minorHAnsi"/>
          <w:b/>
          <w:bCs/>
          <w:rtl/>
        </w:rPr>
      </w:pPr>
      <w:r w:rsidRPr="00F30EF3">
        <w:rPr>
          <w:rFonts w:cstheme="minorHAnsi"/>
          <w:rtl/>
        </w:rPr>
        <w:t>تقدم المنشورات التالية أمثلة على المؤشرات الممكنة لإدارة الملكية الفكرية ونقل المعرفة.</w:t>
      </w:r>
    </w:p>
    <w:p w14:paraId="6C26FC2E" w14:textId="77777777" w:rsidR="00ED52C7" w:rsidRPr="00F30EF3" w:rsidRDefault="00D0311B" w:rsidP="009D4A54">
      <w:pPr>
        <w:pStyle w:val="ListParagraph"/>
        <w:numPr>
          <w:ilvl w:val="1"/>
          <w:numId w:val="145"/>
        </w:numPr>
        <w:shd w:val="clear" w:color="auto" w:fill="FFFFFF" w:themeFill="background1"/>
        <w:autoSpaceDE w:val="0"/>
        <w:autoSpaceDN w:val="0"/>
        <w:adjustRightInd w:val="0"/>
        <w:spacing w:after="0" w:line="240" w:lineRule="auto"/>
        <w:ind w:left="851" w:hanging="425"/>
        <w:jc w:val="both"/>
        <w:rPr>
          <w:rFonts w:cstheme="minorHAnsi"/>
          <w:rtl/>
        </w:rPr>
      </w:pPr>
      <w:r w:rsidRPr="00F30EF3">
        <w:rPr>
          <w:rFonts w:cstheme="minorHAnsi"/>
          <w:rtl/>
        </w:rPr>
        <w:t>ورقة عمل الويبو للبحوث الاقتصادية رقم 10</w:t>
      </w:r>
      <w:r w:rsidRPr="00F30EF3">
        <w:rPr>
          <w:rFonts w:cstheme="minorHAnsi"/>
          <w:color w:val="3B3B3B"/>
          <w:rtl/>
        </w:rPr>
        <w:t xml:space="preserve">، </w:t>
      </w:r>
      <w:hyperlink r:id="rId186" w:history="1">
        <w:r w:rsidRPr="00F30EF3">
          <w:rPr>
            <w:rStyle w:val="Hyperlink"/>
            <w:rFonts w:cstheme="minorHAnsi"/>
          </w:rPr>
          <w:t>The Informal Economy, Innovation and Intellectual Property:</w:t>
        </w:r>
      </w:hyperlink>
      <w:hyperlink r:id="rId187" w:history="1">
        <w:r w:rsidRPr="00F30EF3">
          <w:rPr>
            <w:rStyle w:val="Hyperlink"/>
            <w:rFonts w:cstheme="minorHAnsi"/>
          </w:rPr>
          <w:t xml:space="preserve"> Concepts, Metrics and Policy Considerations</w:t>
        </w:r>
      </w:hyperlink>
      <w:r w:rsidRPr="00F30EF3">
        <w:rPr>
          <w:rFonts w:cstheme="minorHAnsi"/>
        </w:rPr>
        <w:t xml:space="preserve">The </w:t>
      </w:r>
      <w:hyperlink r:id="rId188" w:history="1">
        <w:r w:rsidRPr="00F30EF3">
          <w:rPr>
            <w:rStyle w:val="Hyperlink"/>
            <w:rFonts w:cstheme="minorHAnsi"/>
          </w:rPr>
          <w:t>National Code of Practice for Managing Intellectual Property from Publicly Funded Research</w:t>
        </w:r>
      </w:hyperlink>
      <w:r w:rsidRPr="00F30EF3">
        <w:rPr>
          <w:rFonts w:cstheme="minorHAnsi"/>
          <w:rtl/>
        </w:rPr>
        <w:t xml:space="preserve">، المجلس الأيرلندي للعلوم والتكنولوجيا والابتكار </w:t>
      </w:r>
      <w:r w:rsidRPr="00F30EF3">
        <w:rPr>
          <w:rFonts w:cstheme="minorHAnsi"/>
        </w:rPr>
        <w:t>(ICSTI)</w:t>
      </w:r>
      <w:r w:rsidRPr="00F30EF3">
        <w:rPr>
          <w:rFonts w:cstheme="minorHAnsi"/>
          <w:rtl/>
        </w:rPr>
        <w:t xml:space="preserve"> (2004)، ص32؛</w:t>
      </w:r>
    </w:p>
    <w:p w14:paraId="2EA55531" w14:textId="77777777" w:rsidR="006E2A28" w:rsidRPr="00F30EF3" w:rsidRDefault="00ED52C7" w:rsidP="009D4A54">
      <w:pPr>
        <w:pStyle w:val="ListParagraph"/>
        <w:numPr>
          <w:ilvl w:val="1"/>
          <w:numId w:val="145"/>
        </w:numPr>
        <w:shd w:val="clear" w:color="auto" w:fill="FFFFFF" w:themeFill="background1"/>
        <w:autoSpaceDE w:val="0"/>
        <w:autoSpaceDN w:val="0"/>
        <w:adjustRightInd w:val="0"/>
        <w:spacing w:after="0" w:line="240" w:lineRule="auto"/>
        <w:ind w:left="851" w:hanging="425"/>
        <w:jc w:val="both"/>
        <w:rPr>
          <w:rFonts w:cstheme="minorHAnsi"/>
          <w:rtl/>
        </w:rPr>
      </w:pPr>
      <w:r w:rsidRPr="00F30EF3">
        <w:rPr>
          <w:rFonts w:cstheme="minorHAnsi"/>
          <w:rtl/>
        </w:rPr>
        <w:t xml:space="preserve">الجمعية الأمريكية لمديري التكنولوجيا في الجامعات </w:t>
      </w:r>
      <w:r w:rsidRPr="00F30EF3">
        <w:rPr>
          <w:rFonts w:cstheme="minorHAnsi"/>
        </w:rPr>
        <w:t xml:space="preserve">(AUTM) </w:t>
      </w:r>
      <w:hyperlink r:id="rId189" w:history="1">
        <w:r w:rsidRPr="00F30EF3">
          <w:rPr>
            <w:rStyle w:val="Hyperlink"/>
            <w:rFonts w:cstheme="minorHAnsi"/>
            <w:rtl/>
          </w:rPr>
          <w:t>استبيانات التراخيص</w:t>
        </w:r>
      </w:hyperlink>
      <w:r w:rsidRPr="00F30EF3">
        <w:rPr>
          <w:rFonts w:cstheme="minorHAnsi"/>
          <w:rtl/>
        </w:rPr>
        <w:t xml:space="preserve"> </w:t>
      </w:r>
    </w:p>
    <w:p w14:paraId="17C2029C" w14:textId="77777777" w:rsidR="006E2A28" w:rsidRPr="00F30EF3" w:rsidRDefault="006E2A28" w:rsidP="009D4A54">
      <w:pPr>
        <w:pStyle w:val="ListParagraph"/>
        <w:numPr>
          <w:ilvl w:val="1"/>
          <w:numId w:val="145"/>
        </w:numPr>
        <w:shd w:val="clear" w:color="auto" w:fill="FFFFFF" w:themeFill="background1"/>
        <w:autoSpaceDE w:val="0"/>
        <w:autoSpaceDN w:val="0"/>
        <w:adjustRightInd w:val="0"/>
        <w:spacing w:after="0" w:line="240" w:lineRule="auto"/>
        <w:ind w:left="851" w:hanging="425"/>
        <w:jc w:val="both"/>
        <w:rPr>
          <w:rFonts w:cstheme="minorHAnsi"/>
          <w:rtl/>
        </w:rPr>
      </w:pPr>
      <w:r w:rsidRPr="00F30EF3">
        <w:rPr>
          <w:rFonts w:cstheme="minorHAnsi"/>
          <w:rtl/>
        </w:rPr>
        <w:t xml:space="preserve">مقاييس تقرير يونيكو </w:t>
      </w:r>
      <w:hyperlink r:id="rId190" w:history="1">
        <w:r w:rsidRPr="00F30EF3">
          <w:rPr>
            <w:rStyle w:val="Hyperlink"/>
            <w:rFonts w:cstheme="minorHAnsi"/>
            <w:rtl/>
          </w:rPr>
          <w:t>لتقييم أنشطة نقل المعرفة في الجامعات</w:t>
        </w:r>
      </w:hyperlink>
    </w:p>
    <w:p w14:paraId="3277BF0A" w14:textId="77777777" w:rsidR="00BE57E1" w:rsidRPr="00F30EF3" w:rsidRDefault="00BE57E1" w:rsidP="004D0F74">
      <w:pPr>
        <w:pStyle w:val="ListParagraph"/>
        <w:shd w:val="clear" w:color="auto" w:fill="FFFFFF" w:themeFill="background1"/>
        <w:autoSpaceDE w:val="0"/>
        <w:autoSpaceDN w:val="0"/>
        <w:adjustRightInd w:val="0"/>
        <w:spacing w:after="0" w:line="240" w:lineRule="auto"/>
        <w:ind w:left="709"/>
        <w:jc w:val="both"/>
        <w:rPr>
          <w:rFonts w:cstheme="minorHAnsi"/>
          <w:lang w:val="en-US"/>
        </w:rPr>
      </w:pPr>
    </w:p>
    <w:p w14:paraId="36E8AD6A" w14:textId="77777777" w:rsidR="00E22076" w:rsidRPr="00F30EF3" w:rsidRDefault="00E22076" w:rsidP="002F3C51">
      <w:pPr>
        <w:pStyle w:val="Heading2"/>
        <w:rPr>
          <w:rFonts w:asciiTheme="minorHAnsi" w:hAnsiTheme="minorHAnsi" w:cstheme="minorHAnsi"/>
          <w:sz w:val="22"/>
          <w:szCs w:val="22"/>
          <w:rtl/>
        </w:rPr>
      </w:pPr>
      <w:bookmarkStart w:id="394" w:name="_Toc490468527"/>
      <w:bookmarkStart w:id="395" w:name="_Toc490821215"/>
    </w:p>
    <w:p w14:paraId="175179A0" w14:textId="77777777" w:rsidR="004454DD" w:rsidRPr="00F30EF3" w:rsidRDefault="004454DD" w:rsidP="002F3C51">
      <w:pPr>
        <w:pStyle w:val="Heading2"/>
        <w:rPr>
          <w:rFonts w:asciiTheme="minorHAnsi" w:hAnsiTheme="minorHAnsi" w:cstheme="minorHAnsi"/>
          <w:rtl/>
        </w:rPr>
      </w:pPr>
      <w:bookmarkStart w:id="396" w:name="_Toc516160113"/>
      <w:bookmarkStart w:id="397" w:name="_Toc516219449"/>
      <w:bookmarkStart w:id="398" w:name="_Toc516496093"/>
      <w:bookmarkStart w:id="399" w:name="_Toc516829465"/>
      <w:bookmarkStart w:id="400" w:name="_Toc178260770"/>
      <w:r w:rsidRPr="00F30EF3">
        <w:rPr>
          <w:rFonts w:asciiTheme="minorHAnsi" w:hAnsiTheme="minorHAnsi" w:cstheme="minorHAnsi"/>
          <w:rtl/>
        </w:rPr>
        <w:t xml:space="preserve">المادة 12 – المعارف التقليدية </w:t>
      </w:r>
      <w:bookmarkEnd w:id="394"/>
      <w:bookmarkEnd w:id="395"/>
      <w:r w:rsidRPr="00F30EF3">
        <w:rPr>
          <w:rFonts w:asciiTheme="minorHAnsi" w:hAnsiTheme="minorHAnsi" w:cstheme="minorHAnsi"/>
          <w:rtl/>
        </w:rPr>
        <w:t>والموارد الوراثية</w:t>
      </w:r>
      <w:bookmarkEnd w:id="396"/>
      <w:bookmarkEnd w:id="397"/>
      <w:bookmarkEnd w:id="398"/>
      <w:bookmarkEnd w:id="399"/>
      <w:bookmarkEnd w:id="400"/>
    </w:p>
    <w:p w14:paraId="2BB3B8DB" w14:textId="77777777" w:rsidR="00E22076" w:rsidRPr="00F30EF3" w:rsidRDefault="00E22076" w:rsidP="002F3C51">
      <w:pPr>
        <w:pStyle w:val="Heading2"/>
        <w:rPr>
          <w:rFonts w:asciiTheme="minorHAnsi" w:hAnsiTheme="minorHAnsi" w:cstheme="minorHAnsi"/>
          <w:sz w:val="22"/>
          <w:szCs w:val="22"/>
          <w:lang w:val="en-US"/>
        </w:rPr>
      </w:pPr>
    </w:p>
    <w:p w14:paraId="28C77936" w14:textId="77777777" w:rsidR="00B73CE8" w:rsidRPr="00F30EF3" w:rsidRDefault="00B73CE8" w:rsidP="00E73746">
      <w:pPr>
        <w:spacing w:line="240" w:lineRule="auto"/>
        <w:jc w:val="both"/>
        <w:rPr>
          <w:rFonts w:eastAsiaTheme="majorEastAsia" w:cstheme="minorHAnsi"/>
          <w:b/>
          <w:bCs/>
          <w:color w:val="000000" w:themeColor="text1"/>
          <w:lang w:val="en-US"/>
        </w:rPr>
      </w:pPr>
    </w:p>
    <w:p w14:paraId="0781C352" w14:textId="77777777" w:rsidR="00267CCE" w:rsidRPr="00F30EF3" w:rsidRDefault="00267CCE" w:rsidP="005D3E26">
      <w:pPr>
        <w:spacing w:after="120" w:line="240" w:lineRule="auto"/>
        <w:jc w:val="both"/>
        <w:rPr>
          <w:rFonts w:eastAsia="Times New Roman" w:cstheme="minorHAnsi"/>
          <w:rtl/>
        </w:rPr>
      </w:pPr>
      <w:bookmarkStart w:id="401" w:name="_Toc490468528"/>
      <w:bookmarkStart w:id="402" w:name="_Toc490821216"/>
      <w:bookmarkStart w:id="403" w:name="_Toc486176933"/>
      <w:bookmarkEnd w:id="389"/>
      <w:r w:rsidRPr="00F30EF3">
        <w:rPr>
          <w:rFonts w:cstheme="minorHAnsi"/>
          <w:rtl/>
        </w:rPr>
        <w:t>تسعى المفاوضات الجارية حالياً على مستوى لجنة الويبو الحكومية الدولية المعنية بالملكية الفكرية والموارد الوراثية والمعارف التقليدية والفولكلور</w:t>
      </w:r>
      <w:r w:rsidRPr="00F30EF3">
        <w:rPr>
          <w:rFonts w:eastAsia="Times New Roman" w:cstheme="minorHAnsi"/>
          <w:vertAlign w:val="superscript"/>
          <w:rtl/>
          <w:lang w:val="en-US" w:eastAsia="en-US"/>
        </w:rPr>
        <w:footnoteReference w:id="199"/>
      </w:r>
      <w:r w:rsidRPr="00F30EF3">
        <w:rPr>
          <w:rFonts w:cstheme="minorHAnsi"/>
          <w:rtl/>
        </w:rPr>
        <w:t xml:space="preserve"> إلى وضع صك قانوني دولي من شأنه توفير الحماية الفعّالة لأشكال التعبير الثقافي التقليدي والمعارف التقليدية، ومعالجة جوانب الملكية الفكرية المرتبطة بالنفاذ إلى الموارد الوراثية وتقاسم منافعها. وقد يكون لهذه المفاوضات في نهاية المطاف تأثير على كيفية جمع الجامعات لحقوق الملكية الفكرية واستخدامها وإجراء البحوث بشأنها وإدارتها فيما يتعلق بالموارد الوراثية/المعارف التقليدية. </w:t>
      </w:r>
    </w:p>
    <w:p w14:paraId="5541E104" w14:textId="686A1A7E" w:rsidR="00267CCE" w:rsidRPr="00F30EF3" w:rsidRDefault="00C278C2" w:rsidP="005D3E26">
      <w:pPr>
        <w:spacing w:after="120" w:line="240" w:lineRule="auto"/>
        <w:jc w:val="both"/>
        <w:rPr>
          <w:rFonts w:eastAsia="Times New Roman" w:cstheme="minorHAnsi"/>
          <w:rtl/>
        </w:rPr>
      </w:pPr>
      <w:r w:rsidRPr="00F30EF3">
        <w:rPr>
          <w:rFonts w:cstheme="minorHAnsi"/>
          <w:rtl/>
        </w:rPr>
        <w:t>تواجه المؤسسات غالباً مشكلات تتعلق بإجراء البحوث التي تنطوي على الموارد الوراثية/المعارف التقليدية. قبل أن تجري المؤسسة بحوثاً تتعلق بالموارد الوراثية/المعارف التقليدية، ينبغي للمؤسسة تقييم قوانين الملكية الفكرية المعمول بها والأنظمة القانونية الأخرى المتعلقة بهذه القضايا على المستويين الوطني</w:t>
      </w:r>
      <w:r w:rsidR="00267CCE" w:rsidRPr="00F30EF3">
        <w:rPr>
          <w:rFonts w:eastAsia="Times New Roman" w:cstheme="minorHAnsi"/>
          <w:vertAlign w:val="superscript"/>
          <w:rtl/>
          <w:lang w:val="en-US" w:eastAsia="en-US"/>
        </w:rPr>
        <w:footnoteReference w:id="200"/>
      </w:r>
      <w:r w:rsidRPr="00F30EF3">
        <w:rPr>
          <w:rFonts w:cstheme="minorHAnsi"/>
          <w:rtl/>
        </w:rPr>
        <w:t xml:space="preserve"> والدولي. ويؤدي تنوع القوانين الوطنية واختلاف المصالح العملية للمورّدين والمتلقين إلى طائفة عريضة من الخيارات. </w:t>
      </w:r>
    </w:p>
    <w:p w14:paraId="618FF728" w14:textId="77777777" w:rsidR="00267CCE" w:rsidRPr="00F30EF3" w:rsidRDefault="00267CCE" w:rsidP="005D3E26">
      <w:pPr>
        <w:spacing w:after="120" w:line="240" w:lineRule="auto"/>
        <w:jc w:val="both"/>
        <w:rPr>
          <w:rFonts w:eastAsia="Times New Roman" w:cstheme="minorHAnsi"/>
          <w:rtl/>
        </w:rPr>
      </w:pPr>
      <w:r w:rsidRPr="00F30EF3">
        <w:rPr>
          <w:rFonts w:cstheme="minorHAnsi"/>
          <w:rtl/>
        </w:rPr>
        <w:t>إذا لم يوجد قانون محدد للنفاذ وتقاسم المنافع في بلدك، يمكن أن تؤدي العقود دوراً هاماً. وبغض النظر عن القوانين الوطنية، يمكن أن تتضمن العقود الموافقة المسبقة والمستنيرة بالإضافة إلى بنود تقاسم المنافع. وكما يمكن للعقود أو الاتفاقات أن تستقر على التعريفات الخاصة بها للمصطلحات الرئيسية، مع الإشارة مثلاً إلى القوانين العرفية للشعوب الأصلية والجماعات المحلية.</w:t>
      </w:r>
      <w:r w:rsidRPr="00F30EF3">
        <w:rPr>
          <w:rStyle w:val="FootnoteReference"/>
          <w:rFonts w:eastAsia="Times New Roman" w:cstheme="minorHAnsi"/>
          <w:rtl/>
          <w:lang w:val="en-US" w:eastAsia="en-US"/>
        </w:rPr>
        <w:footnoteReference w:id="201"/>
      </w:r>
      <w:r w:rsidRPr="00F30EF3">
        <w:rPr>
          <w:rFonts w:cstheme="minorHAnsi"/>
          <w:rtl/>
        </w:rPr>
        <w:t xml:space="preserve"> وبعبارة أخرى، يجوز للمؤسسة منح حقوق أكثر من تلك التي تمنحها التشريعات الوطنية من خلال العقود. </w:t>
      </w:r>
      <w:r w:rsidRPr="00F30EF3">
        <w:rPr>
          <w:rStyle w:val="FootnoteReference"/>
          <w:rFonts w:eastAsia="Times New Roman" w:cstheme="minorHAnsi"/>
          <w:rtl/>
          <w:lang w:val="en-US" w:eastAsia="en-US"/>
        </w:rPr>
        <w:footnoteReference w:id="202"/>
      </w:r>
    </w:p>
    <w:p w14:paraId="6C86913B" w14:textId="77777777" w:rsidR="00267CCE" w:rsidRPr="00F30EF3" w:rsidRDefault="00267CCE" w:rsidP="00FB4172">
      <w:pPr>
        <w:spacing w:after="0" w:line="240" w:lineRule="auto"/>
        <w:jc w:val="both"/>
        <w:rPr>
          <w:rFonts w:eastAsia="Times New Roman" w:cstheme="minorHAnsi"/>
          <w:rtl/>
        </w:rPr>
      </w:pPr>
      <w:r w:rsidRPr="00F30EF3">
        <w:rPr>
          <w:rFonts w:cstheme="minorHAnsi"/>
          <w:rtl/>
        </w:rPr>
        <w:t xml:space="preserve">في إطار اتفاقات النفاذ وتقاسم المنافع، يمكن أن تؤثر الترتيبات الخاصة بإدارة الملكية الفكرية في مجمل نتائج النفاذ إلى الموارد الوراثية. وتكون الإدارة الدقيقة لقضايا الملكية الفكرية، في أثناء التفاوض على اتفاق للنفاذ وتقاسم المنافع ووضعه وصياغته، مهمة لضمان أن يحقق الاتفاق منافع، وأن يتم تقاسم المنافع بشكل منصف، مع احترام مصالح مقدمي الموارد وشواغلهم (مثل أهلية السعي للحصول على حقوق الملكية الفكرية في الاختراعات وغيرها من نتائج البحوث التي تستخدم الموارد، وملكية وترخيص أي من </w:t>
      </w:r>
      <w:r w:rsidRPr="00F30EF3">
        <w:rPr>
          <w:rFonts w:cstheme="minorHAnsi"/>
          <w:rtl/>
        </w:rPr>
        <w:lastRenderedPageBreak/>
        <w:t>هذه الملكية الفكرية المشتقة، والمسؤولية عن الحفاظ على حقوق الملكية الفكرية وممارستها، وترتيبات توزيع أي منافع مالية أو غيرها من المنافع الناتجة عن هذه الملكية الفكرية المشتقة، واشتراط قيام متلقي المورد بالإبلاغ عن أي ملكية فكرية يتم تطبيقها).</w:t>
      </w:r>
      <w:r w:rsidRPr="00F30EF3">
        <w:rPr>
          <w:rFonts w:eastAsia="Times New Roman" w:cstheme="minorHAnsi"/>
          <w:vertAlign w:val="superscript"/>
          <w:rtl/>
          <w:lang w:val="en-US" w:eastAsia="en-US"/>
        </w:rPr>
        <w:footnoteReference w:id="203"/>
      </w:r>
      <w:r w:rsidRPr="00F30EF3">
        <w:rPr>
          <w:rFonts w:cstheme="minorHAnsi"/>
          <w:rtl/>
        </w:rPr>
        <w:t xml:space="preserve"> </w:t>
      </w:r>
    </w:p>
    <w:p w14:paraId="017E6312" w14:textId="77777777" w:rsidR="00267CCE" w:rsidRPr="00F30EF3" w:rsidRDefault="00267CCE" w:rsidP="002009C9">
      <w:pPr>
        <w:spacing w:after="0" w:line="240" w:lineRule="auto"/>
        <w:jc w:val="both"/>
        <w:rPr>
          <w:rFonts w:eastAsia="Times New Roman" w:cstheme="minorHAnsi"/>
          <w:lang w:val="en-US" w:eastAsia="en-US"/>
        </w:rPr>
      </w:pPr>
    </w:p>
    <w:p w14:paraId="68AB6CE6" w14:textId="77777777" w:rsidR="00267CCE" w:rsidRPr="00F30EF3" w:rsidRDefault="00267CCE" w:rsidP="002009C9">
      <w:pPr>
        <w:spacing w:after="0" w:line="240" w:lineRule="auto"/>
        <w:jc w:val="both"/>
        <w:rPr>
          <w:rFonts w:eastAsia="Times New Roman" w:cstheme="minorHAnsi"/>
          <w:rtl/>
        </w:rPr>
      </w:pPr>
      <w:r w:rsidRPr="00F30EF3">
        <w:rPr>
          <w:rFonts w:cstheme="minorHAnsi"/>
          <w:rtl/>
        </w:rPr>
        <w:t xml:space="preserve">توجد أمثلة لمشاريع بحثية تعاونية ناجحة، مثل التعاون بين مؤسسة تشولانغون للسكان الأصليين وجامعة جنوب أستراليا. </w:t>
      </w:r>
    </w:p>
    <w:p w14:paraId="137D98B6" w14:textId="77777777" w:rsidR="00267CCE" w:rsidRPr="00F30EF3" w:rsidRDefault="00267CCE" w:rsidP="002009C9">
      <w:pPr>
        <w:spacing w:after="0" w:line="240" w:lineRule="auto"/>
        <w:jc w:val="both"/>
        <w:rPr>
          <w:rFonts w:eastAsia="Times New Roman" w:cstheme="minorHAnsi"/>
          <w:lang w:val="en-US" w:eastAsia="en-US"/>
        </w:rPr>
      </w:pPr>
    </w:p>
    <w:p w14:paraId="5458454C" w14:textId="6FBC7DCA" w:rsidR="00267CCE" w:rsidRPr="00F30EF3" w:rsidRDefault="007E506B"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eastAsia="Times New Roman" w:cstheme="minorHAnsi"/>
          <w:b/>
          <w:bCs/>
          <w:rtl/>
        </w:rPr>
      </w:pPr>
      <w:r w:rsidRPr="00F30EF3">
        <w:rPr>
          <w:rFonts w:cstheme="minorHAnsi"/>
          <w:b/>
          <w:bCs/>
          <w:rtl/>
        </w:rPr>
        <w:t xml:space="preserve">الإطار </w:t>
      </w:r>
      <w:r w:rsidR="00995577" w:rsidRPr="00F30EF3">
        <w:rPr>
          <w:rFonts w:cstheme="minorHAnsi"/>
          <w:b/>
          <w:bCs/>
        </w:rPr>
        <w:t>82</w:t>
      </w:r>
      <w:r w:rsidR="005B1CE5" w:rsidRPr="00F30EF3">
        <w:rPr>
          <w:rFonts w:cstheme="minorHAnsi" w:hint="cs"/>
          <w:b/>
          <w:bCs/>
          <w:rtl/>
        </w:rPr>
        <w:t>.</w:t>
      </w:r>
      <w:r w:rsidRPr="00F30EF3">
        <w:rPr>
          <w:rFonts w:cstheme="minorHAnsi"/>
          <w:b/>
          <w:bCs/>
          <w:rtl/>
        </w:rPr>
        <w:t xml:space="preserve"> دراسة حالة: مشروع بحث تعاوني يؤدي إلى براءة</w:t>
      </w:r>
      <w:r w:rsidRPr="00F30EF3">
        <w:rPr>
          <w:rFonts w:cstheme="minorHAnsi"/>
          <w:rtl/>
        </w:rPr>
        <w:t xml:space="preserve"> </w:t>
      </w:r>
    </w:p>
    <w:p w14:paraId="596763E0" w14:textId="77777777" w:rsidR="00267CCE" w:rsidRPr="00F30EF3" w:rsidRDefault="00267CCE"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eastAsia="Times New Roman" w:cstheme="minorHAnsi"/>
          <w:lang w:val="en-US" w:eastAsia="en-US"/>
        </w:rPr>
      </w:pPr>
    </w:p>
    <w:p w14:paraId="6E6F7E76" w14:textId="31FF36DA" w:rsidR="00267CCE" w:rsidRPr="00F30EF3" w:rsidRDefault="00267CCE"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eastAsia="Times New Roman" w:cstheme="minorHAnsi"/>
          <w:rtl/>
        </w:rPr>
      </w:pPr>
      <w:r w:rsidRPr="00F30EF3">
        <w:rPr>
          <w:rFonts w:cstheme="minorHAnsi"/>
          <w:rtl/>
        </w:rPr>
        <w:t>أجرت مؤسسة تشولانغون للسكان الأصليين مشروعاً بحثياً تعاونياً حول نباتات طب الأدغال مع جامعة جنوب أستراليا. وقاما معاً بجمع النباتات واختبارها في مختبر لدراسة أنشطتها الدوائية. وقد أدى البحث المشترك إلى تحديد بعض المركبات التي يمكن استخدامها في علاج الالتهاب. ونتيجة لذلك، قدمت طلبات براءة ومنحت براءة لجامعة جنوب أستراليا ومؤسسة تشولانغون للسكان الأصليين عن اختراع بعنوان "مركبات مضادة للالتهابات". ديفيد كلودي، أحد الحاصلين على البراءة، هو أحد كبار السن من مجتمع تشولانغون الذي يعرف الاستخدامات الطبية للنباتات التي تنمو هناك من خلال سلالة والده. وبفضل الشروط المتفق عليها بين الطرفين والبراءة التي يمتلكانها بشكل مشترك، فإن كلاً من الجامعة ومؤسسة تشولانغون للسكان الأصليين سيكون لهما رأي في كيفية تسويق المركبات التي حددتاها، وسيتقاسمان الفوائد التجارية.</w:t>
      </w:r>
      <w:r w:rsidRPr="00F30EF3">
        <w:rPr>
          <w:rFonts w:eastAsia="Times New Roman" w:cstheme="minorHAnsi"/>
          <w:vertAlign w:val="superscript"/>
          <w:rtl/>
          <w:lang w:val="en-US" w:eastAsia="en-US"/>
        </w:rPr>
        <w:footnoteReference w:id="204"/>
      </w:r>
      <w:r w:rsidRPr="00F30EF3">
        <w:rPr>
          <w:rFonts w:cstheme="minorHAnsi"/>
          <w:rtl/>
        </w:rPr>
        <w:t xml:space="preserve"> </w:t>
      </w:r>
    </w:p>
    <w:p w14:paraId="465358E5" w14:textId="77777777" w:rsidR="00267CCE" w:rsidRPr="00F30EF3" w:rsidRDefault="00267CCE" w:rsidP="002009C9">
      <w:pPr>
        <w:jc w:val="both"/>
        <w:rPr>
          <w:rFonts w:cstheme="minorHAnsi"/>
          <w:lang w:val="en-US"/>
        </w:rPr>
      </w:pPr>
    </w:p>
    <w:p w14:paraId="068635EB" w14:textId="73E09959" w:rsidR="00267CCE" w:rsidRPr="00F30EF3" w:rsidRDefault="007E506B" w:rsidP="000B27B9">
      <w:pPr>
        <w:pBdr>
          <w:top w:val="single" w:sz="4" w:space="1" w:color="auto"/>
          <w:left w:val="single" w:sz="4" w:space="4" w:color="auto"/>
          <w:bottom w:val="single" w:sz="4" w:space="1" w:color="auto"/>
          <w:right w:val="single" w:sz="4" w:space="4" w:color="auto"/>
        </w:pBdr>
        <w:shd w:val="clear" w:color="auto" w:fill="FDE9D9" w:themeFill="accent6" w:themeFillTint="33"/>
        <w:jc w:val="both"/>
        <w:rPr>
          <w:rFonts w:cstheme="minorHAnsi"/>
          <w:b/>
          <w:bCs/>
          <w:rtl/>
        </w:rPr>
      </w:pPr>
      <w:r w:rsidRPr="00F30EF3">
        <w:rPr>
          <w:rFonts w:cstheme="minorHAnsi"/>
          <w:b/>
          <w:bCs/>
          <w:rtl/>
        </w:rPr>
        <w:t xml:space="preserve">الإطار </w:t>
      </w:r>
      <w:r w:rsidR="00995577" w:rsidRPr="00F30EF3">
        <w:rPr>
          <w:rFonts w:cstheme="minorHAnsi"/>
          <w:b/>
          <w:bCs/>
        </w:rPr>
        <w:t>83</w:t>
      </w:r>
      <w:r w:rsidR="005B1CE5" w:rsidRPr="00F30EF3">
        <w:rPr>
          <w:rFonts w:cstheme="minorHAnsi" w:hint="cs"/>
          <w:b/>
          <w:bCs/>
          <w:rtl/>
        </w:rPr>
        <w:t>.</w:t>
      </w:r>
      <w:r w:rsidRPr="00F30EF3">
        <w:rPr>
          <w:rFonts w:cstheme="minorHAnsi"/>
          <w:b/>
          <w:bCs/>
          <w:rtl/>
        </w:rPr>
        <w:t xml:space="preserve"> مثال – مفاوضات تقاسم المنافع المطابقة للقوانين والبروتوكولات العرفية: سياسة الملكية الفكرية لجامعة أديلايد (أستراليا)</w:t>
      </w:r>
      <w:r w:rsidR="00267CCE" w:rsidRPr="00F30EF3">
        <w:rPr>
          <w:rStyle w:val="FootnoteReference"/>
          <w:rFonts w:cstheme="minorHAnsi"/>
          <w:rtl/>
          <w:lang w:val="en-US"/>
        </w:rPr>
        <w:footnoteReference w:id="205"/>
      </w:r>
      <w:r w:rsidRPr="00F30EF3">
        <w:rPr>
          <w:rFonts w:cstheme="minorHAnsi"/>
          <w:rtl/>
        </w:rPr>
        <w:t xml:space="preserve"> </w:t>
      </w:r>
    </w:p>
    <w:p w14:paraId="65CF1AFC" w14:textId="77777777" w:rsidR="00267CCE" w:rsidRPr="00F30EF3" w:rsidRDefault="00267CCE" w:rsidP="000C1792">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jc w:val="both"/>
        <w:rPr>
          <w:rFonts w:cstheme="minorHAnsi"/>
          <w:rtl/>
        </w:rPr>
      </w:pPr>
      <w:r w:rsidRPr="00F30EF3">
        <w:rPr>
          <w:rFonts w:cstheme="minorHAnsi"/>
          <w:rtl/>
        </w:rPr>
        <w:t xml:space="preserve">المادة 14. المعارف التقليدية للشعوب الأصلية. </w:t>
      </w:r>
      <w:r w:rsidRPr="00F30EF3">
        <w:rPr>
          <w:rFonts w:cstheme="minorHAnsi"/>
          <w:i/>
          <w:iCs/>
          <w:rtl/>
        </w:rPr>
        <w:t>"تدرك الجامعة أن التطوير التجاري للمنتجات الناتجة عن استخدام المعارف التقليدية للشعوب الأصلية يجب أن يخضع لمفاوضات تقاسم المنافع مع مقدمي هذه المعارف، وأن يتوافق مع البروتوكولات والمبادئ التوجيهية الأخلاقية ذات الصلة بالشعوب الأصلية (بما في ذلك المبادئ التوجيهية للبحوث الأخلاقية في الدراسات الأسترالية للشعوب الأصلية)".</w:t>
      </w:r>
      <w:r w:rsidRPr="00F30EF3">
        <w:rPr>
          <w:rFonts w:cstheme="minorHAnsi"/>
          <w:rtl/>
        </w:rPr>
        <w:t xml:space="preserve"> </w:t>
      </w:r>
    </w:p>
    <w:p w14:paraId="554B329A" w14:textId="77777777" w:rsidR="00267CCE" w:rsidRPr="00F30EF3" w:rsidRDefault="00267CCE" w:rsidP="002009C9">
      <w:pPr>
        <w:jc w:val="both"/>
        <w:rPr>
          <w:rFonts w:cstheme="minorHAnsi"/>
          <w:lang w:val="en-US"/>
        </w:rPr>
      </w:pPr>
    </w:p>
    <w:p w14:paraId="40E11DDB" w14:textId="736FC17E" w:rsidR="00267CCE" w:rsidRPr="00F30EF3" w:rsidRDefault="007E506B" w:rsidP="000B27B9">
      <w:pPr>
        <w:pBdr>
          <w:top w:val="single" w:sz="4" w:space="1" w:color="auto"/>
          <w:left w:val="single" w:sz="4" w:space="4" w:color="auto"/>
          <w:bottom w:val="single" w:sz="4" w:space="1" w:color="auto"/>
          <w:right w:val="single" w:sz="4" w:space="4" w:color="auto"/>
        </w:pBdr>
        <w:shd w:val="clear" w:color="auto" w:fill="FDE9D9" w:themeFill="accent6" w:themeFillTint="33"/>
        <w:jc w:val="both"/>
        <w:rPr>
          <w:rFonts w:cstheme="minorHAnsi"/>
          <w:b/>
          <w:bCs/>
          <w:rtl/>
        </w:rPr>
      </w:pPr>
      <w:r w:rsidRPr="00F30EF3">
        <w:rPr>
          <w:rFonts w:cstheme="minorHAnsi"/>
          <w:b/>
          <w:bCs/>
          <w:rtl/>
        </w:rPr>
        <w:t xml:space="preserve">الإطار </w:t>
      </w:r>
      <w:r w:rsidR="00995577" w:rsidRPr="00F30EF3">
        <w:rPr>
          <w:rFonts w:cstheme="minorHAnsi"/>
          <w:b/>
          <w:bCs/>
        </w:rPr>
        <w:t>84</w:t>
      </w:r>
      <w:r w:rsidR="005B1CE5" w:rsidRPr="00F30EF3">
        <w:rPr>
          <w:rFonts w:cstheme="minorHAnsi" w:hint="cs"/>
          <w:b/>
          <w:bCs/>
          <w:rtl/>
        </w:rPr>
        <w:t>.</w:t>
      </w:r>
      <w:r w:rsidRPr="00F30EF3">
        <w:rPr>
          <w:rFonts w:cstheme="minorHAnsi"/>
          <w:b/>
          <w:bCs/>
          <w:rtl/>
        </w:rPr>
        <w:t xml:space="preserve"> مثال - الاعتراف بملكية الشعوب الأصلية للمعارف التقليدية: سياسة الملكية الفكرية لجامعة كانبيرا (أستراليا)</w:t>
      </w:r>
      <w:r w:rsidR="00267CCE" w:rsidRPr="00F30EF3">
        <w:rPr>
          <w:rStyle w:val="FootnoteReference"/>
          <w:rFonts w:cstheme="minorHAnsi"/>
          <w:rtl/>
          <w:lang w:val="en-US"/>
        </w:rPr>
        <w:footnoteReference w:id="206"/>
      </w:r>
    </w:p>
    <w:p w14:paraId="06F81AF4" w14:textId="1165A717" w:rsidR="00B30378" w:rsidRPr="00F30EF3" w:rsidRDefault="00267CCE" w:rsidP="005B1CE5">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line="240" w:lineRule="auto"/>
        <w:jc w:val="both"/>
        <w:rPr>
          <w:rFonts w:cstheme="minorHAnsi"/>
          <w:i/>
          <w:iCs/>
        </w:rPr>
      </w:pPr>
      <w:r w:rsidRPr="00F30EF3">
        <w:rPr>
          <w:rFonts w:cstheme="minorHAnsi"/>
          <w:rtl/>
        </w:rPr>
        <w:t>القسم 2.9. "</w:t>
      </w:r>
      <w:r w:rsidRPr="00F30EF3">
        <w:rPr>
          <w:rFonts w:cstheme="minorHAnsi"/>
          <w:i/>
          <w:iCs/>
          <w:rtl/>
        </w:rPr>
        <w:t>يجب أن تلتزم الجامعة وموظفوها، عند إنشاء الملكية الفكرية، بملكية حقوق الملكية الفكرية والثقافية للسكان الأصليين والحفاظ عليها، بما في ذلك ملكية المواد الثقافية والانتفاع بها؛ والمسائل الاحتفالية و"السرية"؛ واستخدام/الإشارة إلى المتوفين أو أسمائهم؛ والتسلل إلى مواقع شعائر الجنائز؛ واحترام القيم الثقافية.</w:t>
      </w:r>
    </w:p>
    <w:p w14:paraId="772EBDAE" w14:textId="77777777" w:rsidR="00B30378" w:rsidRPr="00F30EF3" w:rsidRDefault="00B30378" w:rsidP="002009C9">
      <w:pPr>
        <w:spacing w:line="240" w:lineRule="auto"/>
        <w:jc w:val="both"/>
        <w:rPr>
          <w:rFonts w:cstheme="minorHAnsi"/>
          <w:b/>
          <w:bCs/>
          <w:lang w:val="en-US"/>
        </w:rPr>
      </w:pPr>
    </w:p>
    <w:p w14:paraId="572FC182" w14:textId="75BD61EF" w:rsidR="00267CCE" w:rsidRPr="00F30EF3" w:rsidRDefault="007E506B"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jc w:val="both"/>
        <w:rPr>
          <w:rFonts w:cstheme="minorHAnsi"/>
          <w:b/>
          <w:bCs/>
          <w:rtl/>
        </w:rPr>
      </w:pPr>
      <w:r w:rsidRPr="00F30EF3">
        <w:rPr>
          <w:rFonts w:cstheme="minorHAnsi"/>
          <w:b/>
          <w:bCs/>
          <w:rtl/>
        </w:rPr>
        <w:t xml:space="preserve">إطار </w:t>
      </w:r>
      <w:r w:rsidR="00995577" w:rsidRPr="00F30EF3">
        <w:rPr>
          <w:rFonts w:cstheme="minorHAnsi"/>
          <w:b/>
          <w:bCs/>
        </w:rPr>
        <w:t>85</w:t>
      </w:r>
      <w:r w:rsidR="005B1CE5" w:rsidRPr="00F30EF3">
        <w:rPr>
          <w:rFonts w:cstheme="minorHAnsi" w:hint="cs"/>
          <w:b/>
          <w:bCs/>
          <w:rtl/>
        </w:rPr>
        <w:t>.</w:t>
      </w:r>
      <w:r w:rsidRPr="00F30EF3">
        <w:rPr>
          <w:rFonts w:cstheme="minorHAnsi"/>
          <w:b/>
          <w:bCs/>
          <w:rtl/>
        </w:rPr>
        <w:t xml:space="preserve"> مثال – اتفاق نقل المواد النموذجي الذي اقترحته منظمة صناعة البيوتكنولوجيا</w:t>
      </w:r>
    </w:p>
    <w:p w14:paraId="5E1F7775" w14:textId="77777777" w:rsidR="00267CCE" w:rsidRPr="00F30EF3" w:rsidRDefault="00267CCE"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jc w:val="both"/>
        <w:rPr>
          <w:rFonts w:cstheme="minorHAnsi"/>
          <w:rtl/>
        </w:rPr>
      </w:pPr>
      <w:r w:rsidRPr="00F30EF3">
        <w:rPr>
          <w:rFonts w:cstheme="minorHAnsi"/>
          <w:rtl/>
        </w:rPr>
        <w:t>القسم الثالث أ. بذل جهود معقولة لتحديد إذا ما كانت هناك أي متطلبات محددة للموافقة المسبقة المستنيرة تنطبق على الموارد الوراثية الخاضعة للتنظيم التي تم جمعها. للقيام بذلك:</w:t>
      </w:r>
    </w:p>
    <w:p w14:paraId="7836BE88" w14:textId="77777777" w:rsidR="00267CCE" w:rsidRPr="00F30EF3" w:rsidRDefault="00267CCE"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240" w:line="240" w:lineRule="auto"/>
        <w:ind w:left="567" w:hanging="567"/>
        <w:jc w:val="both"/>
        <w:rPr>
          <w:rFonts w:eastAsia="Times New Roman" w:cstheme="minorHAnsi"/>
          <w:rtl/>
        </w:rPr>
      </w:pPr>
      <w:r w:rsidRPr="00F30EF3">
        <w:rPr>
          <w:rFonts w:cstheme="minorHAnsi"/>
          <w:rtl/>
        </w:rPr>
        <w:t>1.       تحديد إذا ما كان الطرف المتعاقد قد حدد متطلبات الموافقة المسبقة المستنيرة، أو إذا ما تم تفويض تلك السلطة إلى طرف مقدم.</w:t>
      </w:r>
    </w:p>
    <w:p w14:paraId="67387159" w14:textId="77777777" w:rsidR="00267CCE" w:rsidRPr="00F30EF3" w:rsidRDefault="00267CCE"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240" w:line="240" w:lineRule="auto"/>
        <w:ind w:left="567" w:hanging="567"/>
        <w:jc w:val="both"/>
        <w:rPr>
          <w:rFonts w:eastAsia="Times New Roman" w:cstheme="minorHAnsi"/>
          <w:rtl/>
        </w:rPr>
      </w:pPr>
      <w:r w:rsidRPr="00F30EF3">
        <w:rPr>
          <w:rFonts w:cstheme="minorHAnsi"/>
          <w:rtl/>
        </w:rPr>
        <w:lastRenderedPageBreak/>
        <w:t>2.       تحديد طبيعة اشتراطات الموافقة المسبقة المستنيرة التي وضعها الطرف المتعاقد أو الطرف المقدم، حسب الحالة.</w:t>
      </w:r>
    </w:p>
    <w:p w14:paraId="7B614C9A" w14:textId="5F9AB4D4" w:rsidR="00F20AED" w:rsidRPr="00F30EF3" w:rsidRDefault="00267CCE"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567" w:hanging="567"/>
        <w:jc w:val="both"/>
        <w:rPr>
          <w:rFonts w:cstheme="minorHAnsi"/>
          <w:b/>
          <w:bCs/>
          <w:rtl/>
        </w:rPr>
      </w:pPr>
      <w:r w:rsidRPr="00F30EF3">
        <w:rPr>
          <w:rFonts w:cstheme="minorHAnsi"/>
          <w:rtl/>
        </w:rPr>
        <w:t xml:space="preserve">3.      استيفاء المتطلبات المحددة للامتثال لالتزامات الموافقة المسبقة المستنيرة للطرف المتعاقد أو الطرف المقدم التي تنطبق على الموارد الوراثية الخاضعة للتنظيم التي تم جمعها، وإدراج دليل على هذا الامتثال في التنقيب البيولوجي. </w:t>
      </w:r>
    </w:p>
    <w:p w14:paraId="5EC4B803" w14:textId="77777777" w:rsidR="00F20AED" w:rsidRPr="00F30EF3" w:rsidRDefault="00ED52C7" w:rsidP="007874CF">
      <w:pPr>
        <w:pStyle w:val="Heading3"/>
        <w:spacing w:before="360"/>
        <w:rPr>
          <w:rFonts w:asciiTheme="minorHAnsi" w:hAnsiTheme="minorHAnsi" w:cstheme="minorHAnsi"/>
          <w:sz w:val="24"/>
          <w:szCs w:val="24"/>
          <w:rtl/>
        </w:rPr>
      </w:pPr>
      <w:bookmarkStart w:id="404" w:name="_Toc516160114"/>
      <w:bookmarkStart w:id="405" w:name="_Toc516219450"/>
      <w:bookmarkStart w:id="406" w:name="_Toc516496094"/>
      <w:bookmarkStart w:id="407" w:name="_Toc516829466"/>
      <w:r w:rsidRPr="00F30EF3">
        <w:rPr>
          <w:rFonts w:asciiTheme="minorHAnsi" w:hAnsiTheme="minorHAnsi" w:cstheme="minorHAnsi"/>
          <w:sz w:val="24"/>
          <w:szCs w:val="24"/>
          <w:rtl/>
        </w:rPr>
        <w:t>الموارد المفيدة المتعلقة بالمادة 12</w:t>
      </w:r>
      <w:bookmarkEnd w:id="404"/>
      <w:bookmarkEnd w:id="405"/>
      <w:bookmarkEnd w:id="406"/>
      <w:bookmarkEnd w:id="407"/>
    </w:p>
    <w:p w14:paraId="3BD445E6" w14:textId="77777777" w:rsidR="00165A63" w:rsidRPr="00F30EF3" w:rsidRDefault="00267CCE" w:rsidP="009D4A54">
      <w:pPr>
        <w:pStyle w:val="ListParagraph"/>
        <w:numPr>
          <w:ilvl w:val="0"/>
          <w:numId w:val="20"/>
        </w:numPr>
        <w:tabs>
          <w:tab w:val="clear" w:pos="720"/>
          <w:tab w:val="num" w:pos="426"/>
        </w:tabs>
        <w:spacing w:line="240" w:lineRule="auto"/>
        <w:ind w:left="426" w:hanging="426"/>
        <w:jc w:val="both"/>
        <w:rPr>
          <w:rFonts w:cstheme="minorHAnsi"/>
          <w:rtl/>
        </w:rPr>
      </w:pPr>
      <w:r w:rsidRPr="00F30EF3">
        <w:rPr>
          <w:rFonts w:cstheme="minorHAnsi"/>
          <w:rtl/>
        </w:rPr>
        <w:t>منشور الويبو "حماية ثقافتكم وتعزيزها، دليل عملي عن الملكية الفكرية للشعوب الأصلية والجماعات المحلية"، متاح على الرابط:</w:t>
      </w:r>
    </w:p>
    <w:p w14:paraId="598A573A" w14:textId="77777777" w:rsidR="00267CCE" w:rsidRPr="00F30EF3" w:rsidRDefault="00D3795B" w:rsidP="00165A63">
      <w:pPr>
        <w:pStyle w:val="ListParagraph"/>
        <w:spacing w:line="240" w:lineRule="auto"/>
        <w:ind w:left="426"/>
        <w:jc w:val="both"/>
        <w:rPr>
          <w:rFonts w:cstheme="minorHAnsi"/>
          <w:rtl/>
        </w:rPr>
      </w:pPr>
      <w:hyperlink r:id="rId191" w:history="1">
        <w:r w:rsidR="00372C70" w:rsidRPr="00F30EF3">
          <w:rPr>
            <w:rStyle w:val="Hyperlink"/>
            <w:rFonts w:cstheme="minorHAnsi"/>
          </w:rPr>
          <w:t>https://www.wipo.int/publications/ar/details.jsp?id=4195</w:t>
        </w:r>
      </w:hyperlink>
    </w:p>
    <w:p w14:paraId="2B4141A2" w14:textId="77777777" w:rsidR="00165A63" w:rsidRPr="00F30EF3" w:rsidRDefault="00267CCE" w:rsidP="009D4A54">
      <w:pPr>
        <w:pStyle w:val="ListParagraph"/>
        <w:numPr>
          <w:ilvl w:val="0"/>
          <w:numId w:val="20"/>
        </w:numPr>
        <w:tabs>
          <w:tab w:val="clear" w:pos="720"/>
          <w:tab w:val="num" w:pos="426"/>
        </w:tabs>
        <w:spacing w:line="240" w:lineRule="auto"/>
        <w:ind w:left="426" w:hanging="426"/>
        <w:jc w:val="both"/>
        <w:rPr>
          <w:rFonts w:cstheme="minorHAnsi"/>
          <w:rtl/>
        </w:rPr>
      </w:pPr>
      <w:r w:rsidRPr="00F30EF3">
        <w:rPr>
          <w:rFonts w:cstheme="minorHAnsi"/>
          <w:rtl/>
        </w:rPr>
        <w:t>منشور الويبو "توثيق المعارف التقليدية: مجموعة أدوات"، متاح على الرابط:</w:t>
      </w:r>
    </w:p>
    <w:p w14:paraId="017FBD78" w14:textId="77777777" w:rsidR="00267CCE" w:rsidRPr="00F30EF3" w:rsidRDefault="00D3795B" w:rsidP="00165A63">
      <w:pPr>
        <w:pStyle w:val="ListParagraph"/>
        <w:spacing w:line="240" w:lineRule="auto"/>
        <w:ind w:left="426"/>
        <w:jc w:val="both"/>
        <w:rPr>
          <w:rFonts w:cstheme="minorHAnsi"/>
          <w:rtl/>
        </w:rPr>
      </w:pPr>
      <w:hyperlink r:id="rId192" w:history="1">
        <w:r w:rsidR="00372C70" w:rsidRPr="00F30EF3">
          <w:rPr>
            <w:rStyle w:val="Hyperlink"/>
            <w:rFonts w:cstheme="minorHAnsi"/>
          </w:rPr>
          <w:t>http://www.wipo.int/publications/ar/details.jsp?id=4235</w:t>
        </w:r>
      </w:hyperlink>
    </w:p>
    <w:p w14:paraId="1C94615D" w14:textId="77777777" w:rsidR="00267CCE" w:rsidRPr="00F30EF3" w:rsidRDefault="00267CCE" w:rsidP="009D4A54">
      <w:pPr>
        <w:pStyle w:val="ListParagraph"/>
        <w:numPr>
          <w:ilvl w:val="0"/>
          <w:numId w:val="20"/>
        </w:numPr>
        <w:tabs>
          <w:tab w:val="clear" w:pos="720"/>
          <w:tab w:val="num" w:pos="426"/>
        </w:tabs>
        <w:spacing w:line="240" w:lineRule="auto"/>
        <w:ind w:left="426" w:hanging="426"/>
        <w:jc w:val="both"/>
        <w:rPr>
          <w:rFonts w:cstheme="minorHAnsi"/>
          <w:rtl/>
        </w:rPr>
      </w:pPr>
      <w:r w:rsidRPr="00F30EF3">
        <w:rPr>
          <w:rFonts w:cstheme="minorHAnsi"/>
          <w:rtl/>
        </w:rPr>
        <w:t xml:space="preserve">منشور الويبو "أسئلة رئيسية حول متطلبات الكشف عن البراءات للموارد الوراثية والمعارف التقليدية"، متاح على الرابط: </w:t>
      </w:r>
      <w:r w:rsidRPr="00F30EF3">
        <w:rPr>
          <w:rFonts w:cstheme="minorHAnsi"/>
        </w:rPr>
        <w:t>http://www.wipo.int/publications/en/details.jsp?id=4194</w:t>
      </w:r>
    </w:p>
    <w:p w14:paraId="0367EC2E" w14:textId="77777777" w:rsidR="00165A63" w:rsidRPr="00F30EF3" w:rsidRDefault="00267CCE" w:rsidP="009D4A54">
      <w:pPr>
        <w:pStyle w:val="ListParagraph"/>
        <w:numPr>
          <w:ilvl w:val="0"/>
          <w:numId w:val="20"/>
        </w:numPr>
        <w:tabs>
          <w:tab w:val="clear" w:pos="720"/>
          <w:tab w:val="num" w:pos="426"/>
        </w:tabs>
        <w:spacing w:line="240" w:lineRule="auto"/>
        <w:ind w:left="426" w:hanging="426"/>
        <w:jc w:val="both"/>
        <w:rPr>
          <w:rFonts w:cstheme="minorHAnsi"/>
          <w:rtl/>
        </w:rPr>
      </w:pPr>
      <w:r w:rsidRPr="00F30EF3">
        <w:rPr>
          <w:rFonts w:cstheme="minorHAnsi"/>
          <w:rtl/>
        </w:rPr>
        <w:t>منشور الويبو "مشروع المبادئ التوجيهية بشأن الملكية الفكرية للنفاذ إلى الموارد الوراثية والتقاسم المنصف للمنافع الناشئة عن استخدامها"، متاح على الرابط:</w:t>
      </w:r>
    </w:p>
    <w:p w14:paraId="44DC52F3" w14:textId="77777777" w:rsidR="00267CCE" w:rsidRPr="00F30EF3" w:rsidRDefault="00D3795B" w:rsidP="00165A63">
      <w:pPr>
        <w:pStyle w:val="ListParagraph"/>
        <w:spacing w:line="240" w:lineRule="auto"/>
        <w:ind w:left="426"/>
        <w:jc w:val="both"/>
        <w:rPr>
          <w:rFonts w:cstheme="minorHAnsi"/>
          <w:rtl/>
        </w:rPr>
      </w:pPr>
      <w:hyperlink r:id="rId193" w:history="1">
        <w:r w:rsidR="00372C70" w:rsidRPr="00F30EF3">
          <w:rPr>
            <w:rStyle w:val="Hyperlink"/>
            <w:rFonts w:cstheme="minorHAnsi"/>
          </w:rPr>
          <w:t>http://www.wipo.int/export/sites/www/tk/en/resources/pdf/redrafted_guidelines.pdf</w:t>
        </w:r>
      </w:hyperlink>
    </w:p>
    <w:p w14:paraId="5367193E" w14:textId="77777777" w:rsidR="00165A63" w:rsidRPr="00F30EF3" w:rsidRDefault="00267CCE" w:rsidP="009D4A54">
      <w:pPr>
        <w:pStyle w:val="ListParagraph"/>
        <w:numPr>
          <w:ilvl w:val="0"/>
          <w:numId w:val="20"/>
        </w:numPr>
        <w:tabs>
          <w:tab w:val="clear" w:pos="720"/>
          <w:tab w:val="num" w:pos="426"/>
        </w:tabs>
        <w:spacing w:line="240" w:lineRule="auto"/>
        <w:ind w:left="426" w:hanging="426"/>
        <w:jc w:val="both"/>
        <w:rPr>
          <w:rFonts w:cstheme="minorHAnsi"/>
          <w:rtl/>
        </w:rPr>
      </w:pPr>
      <w:r w:rsidRPr="00F30EF3">
        <w:rPr>
          <w:rFonts w:cstheme="minorHAnsi"/>
          <w:rtl/>
        </w:rPr>
        <w:t>موجز المعلومات الأساسية رقم 1 "المعارف التقليدية والملكية الفكرية“، ورقم 6 "الملكية الفكرية والمعارف الطبية التقليدية"، ورقم 7 "القانون العرفي والمعارف التقليدية"، ورقم 10 "الملكية الفكرية والموارد الوراثية"، متاحة على الرابط:</w:t>
      </w:r>
    </w:p>
    <w:p w14:paraId="35404354" w14:textId="77777777" w:rsidR="00267CCE" w:rsidRPr="00F30EF3" w:rsidRDefault="00D3795B" w:rsidP="00165A63">
      <w:pPr>
        <w:pStyle w:val="ListParagraph"/>
        <w:spacing w:line="240" w:lineRule="auto"/>
        <w:ind w:left="426"/>
        <w:jc w:val="both"/>
        <w:rPr>
          <w:rFonts w:cstheme="minorHAnsi"/>
          <w:rtl/>
        </w:rPr>
      </w:pPr>
      <w:hyperlink r:id="rId194" w:history="1">
        <w:r w:rsidR="00372C70" w:rsidRPr="00F30EF3">
          <w:rPr>
            <w:rStyle w:val="Hyperlink"/>
            <w:rFonts w:cstheme="minorHAnsi"/>
          </w:rPr>
          <w:t>http://www.wipo.int/publications/ar/series/index.jsp?id=144</w:t>
        </w:r>
      </w:hyperlink>
      <w:r w:rsidR="00372C70" w:rsidRPr="00F30EF3">
        <w:rPr>
          <w:rFonts w:cstheme="minorHAnsi"/>
          <w:rtl/>
        </w:rPr>
        <w:t xml:space="preserve"> </w:t>
      </w:r>
    </w:p>
    <w:p w14:paraId="7D63C541" w14:textId="77777777" w:rsidR="00165A63" w:rsidRPr="00F30EF3" w:rsidRDefault="00267CCE" w:rsidP="009D4A54">
      <w:pPr>
        <w:pStyle w:val="ListParagraph"/>
        <w:numPr>
          <w:ilvl w:val="0"/>
          <w:numId w:val="20"/>
        </w:numPr>
        <w:tabs>
          <w:tab w:val="clear" w:pos="720"/>
          <w:tab w:val="num" w:pos="426"/>
        </w:tabs>
        <w:spacing w:line="240" w:lineRule="auto"/>
        <w:ind w:left="426" w:hanging="426"/>
        <w:jc w:val="both"/>
        <w:rPr>
          <w:rFonts w:cstheme="minorHAnsi"/>
          <w:rtl/>
        </w:rPr>
      </w:pPr>
      <w:r w:rsidRPr="00F30EF3">
        <w:rPr>
          <w:rFonts w:cstheme="minorHAnsi"/>
          <w:rtl/>
        </w:rPr>
        <w:t>مسرد بالمصطلحات الرئيسية المتعلقة بالملكية الفكرية والموارد الوراثية والمعارف التقليدية وأشكال التعبير الثقافي التقليدي، متاح على الرابط:</w:t>
      </w:r>
    </w:p>
    <w:p w14:paraId="77934359" w14:textId="77777777" w:rsidR="00267CCE" w:rsidRPr="00F30EF3" w:rsidRDefault="00D3795B" w:rsidP="00165A63">
      <w:pPr>
        <w:pStyle w:val="ListParagraph"/>
        <w:spacing w:line="240" w:lineRule="auto"/>
        <w:ind w:left="426"/>
        <w:jc w:val="both"/>
        <w:rPr>
          <w:rFonts w:cstheme="minorHAnsi"/>
          <w:rtl/>
        </w:rPr>
      </w:pPr>
      <w:hyperlink r:id="rId195" w:history="1">
        <w:r w:rsidR="00372C70" w:rsidRPr="00F30EF3">
          <w:rPr>
            <w:rStyle w:val="Hyperlink"/>
            <w:rFonts w:cstheme="minorHAnsi"/>
          </w:rPr>
          <w:t>http://www.wipo.int/meetings/ar/doc_details.jsp?doc_id=396139</w:t>
        </w:r>
      </w:hyperlink>
    </w:p>
    <w:p w14:paraId="678BAD88" w14:textId="77777777" w:rsidR="00267CCE" w:rsidRPr="00F30EF3" w:rsidRDefault="00267CCE" w:rsidP="009D4A54">
      <w:pPr>
        <w:pStyle w:val="ListParagraph"/>
        <w:numPr>
          <w:ilvl w:val="0"/>
          <w:numId w:val="20"/>
        </w:numPr>
        <w:tabs>
          <w:tab w:val="clear" w:pos="720"/>
          <w:tab w:val="num" w:pos="426"/>
        </w:tabs>
        <w:spacing w:line="240" w:lineRule="auto"/>
        <w:ind w:left="426" w:hanging="426"/>
        <w:jc w:val="both"/>
        <w:rPr>
          <w:rFonts w:cstheme="minorHAnsi"/>
          <w:rtl/>
        </w:rPr>
      </w:pPr>
      <w:r w:rsidRPr="00F30EF3">
        <w:rPr>
          <w:rFonts w:cstheme="minorHAnsi"/>
          <w:rtl/>
        </w:rPr>
        <w:t xml:space="preserve">قاعدة بيانات الويبو لاتفاقات النفاذ إلى التنوع البيولوجي وتقاسم المنافع المتصلة بالتنوع البيولوجي، متاحة على الرابط: </w:t>
      </w:r>
      <w:hyperlink r:id="rId196" w:history="1">
        <w:r w:rsidRPr="00F30EF3">
          <w:rPr>
            <w:rStyle w:val="Hyperlink"/>
            <w:rFonts w:cstheme="minorHAnsi"/>
          </w:rPr>
          <w:t>http://www.wipo.int/tk/en/databases/contracts</w:t>
        </w:r>
        <w:r w:rsidRPr="00F30EF3">
          <w:rPr>
            <w:rStyle w:val="Hyperlink"/>
            <w:rFonts w:cstheme="minorHAnsi"/>
            <w:rtl/>
          </w:rPr>
          <w:t>/</w:t>
        </w:r>
      </w:hyperlink>
    </w:p>
    <w:p w14:paraId="748D3283" w14:textId="77777777" w:rsidR="00267CCE" w:rsidRPr="00F30EF3" w:rsidRDefault="00267CCE" w:rsidP="00E03267">
      <w:pPr>
        <w:pStyle w:val="ListParagraph"/>
        <w:numPr>
          <w:ilvl w:val="0"/>
          <w:numId w:val="20"/>
        </w:numPr>
        <w:tabs>
          <w:tab w:val="clear" w:pos="720"/>
          <w:tab w:val="num" w:pos="426"/>
        </w:tabs>
        <w:spacing w:line="240" w:lineRule="auto"/>
        <w:ind w:left="426" w:hanging="426"/>
        <w:rPr>
          <w:rFonts w:cstheme="minorHAnsi"/>
          <w:rtl/>
        </w:rPr>
      </w:pPr>
      <w:r w:rsidRPr="00F30EF3">
        <w:rPr>
          <w:rFonts w:cstheme="minorHAnsi"/>
          <w:rtl/>
        </w:rPr>
        <w:t xml:space="preserve">مستودع الويبو للموارد المتعلقة بالتجارب الإقليمية والوطنية والمحلية والمجتمعية في مجال الملكية الفكرية والموارد الوراثية والمعارف التقليدية وأشكال التعبير الثقافي التقليدي، متاح على الرابط: </w:t>
      </w:r>
      <w:hyperlink r:id="rId197" w:history="1">
        <w:r w:rsidRPr="00F30EF3">
          <w:rPr>
            <w:rStyle w:val="Hyperlink"/>
            <w:rFonts w:cstheme="minorHAnsi"/>
          </w:rPr>
          <w:t>http://www.wipo.int/tk/en/resources/tk_experiences.html</w:t>
        </w:r>
      </w:hyperlink>
      <w:r w:rsidRPr="00F30EF3">
        <w:rPr>
          <w:rFonts w:cstheme="minorHAnsi"/>
          <w:rtl/>
        </w:rPr>
        <w:t xml:space="preserve"> </w:t>
      </w:r>
    </w:p>
    <w:p w14:paraId="67D7D24F" w14:textId="77777777" w:rsidR="00165A63" w:rsidRPr="00F30EF3" w:rsidRDefault="00267CCE" w:rsidP="009D4A54">
      <w:pPr>
        <w:pStyle w:val="ListParagraph"/>
        <w:numPr>
          <w:ilvl w:val="0"/>
          <w:numId w:val="20"/>
        </w:numPr>
        <w:tabs>
          <w:tab w:val="clear" w:pos="720"/>
          <w:tab w:val="num" w:pos="426"/>
        </w:tabs>
        <w:spacing w:line="240" w:lineRule="auto"/>
        <w:ind w:left="426" w:hanging="426"/>
        <w:jc w:val="both"/>
        <w:rPr>
          <w:rFonts w:cstheme="minorHAnsi"/>
          <w:rtl/>
        </w:rPr>
      </w:pPr>
      <w:r w:rsidRPr="00F30EF3">
        <w:rPr>
          <w:rFonts w:cstheme="minorHAnsi"/>
          <w:rtl/>
        </w:rPr>
        <w:t>دورة متقدمة للتعلم عن بُعد بشأن الملكية الفكرية والمعارف التقليدية وأشكال التعبير الثقافي التقليدي، متاحة للتسجيل على:</w:t>
      </w:r>
    </w:p>
    <w:p w14:paraId="5DAC1151" w14:textId="77777777" w:rsidR="00267CCE" w:rsidRPr="00F30EF3" w:rsidRDefault="00D3795B" w:rsidP="00165A63">
      <w:pPr>
        <w:pStyle w:val="ListParagraph"/>
        <w:spacing w:line="240" w:lineRule="auto"/>
        <w:ind w:left="426"/>
        <w:jc w:val="both"/>
        <w:rPr>
          <w:rFonts w:cstheme="minorHAnsi"/>
          <w:rtl/>
        </w:rPr>
      </w:pPr>
      <w:hyperlink r:id="rId198" w:history="1">
        <w:r w:rsidR="00372C70" w:rsidRPr="00F30EF3">
          <w:rPr>
            <w:rStyle w:val="Hyperlink"/>
            <w:rFonts w:cstheme="minorHAnsi"/>
          </w:rPr>
          <w:t>https://welc.wipo.int/acc/index.jsf?page=courseCatalog.xhtml&amp;lang=ar&amp;cc=DL203E#plus_DL203E</w:t>
        </w:r>
      </w:hyperlink>
    </w:p>
    <w:p w14:paraId="2D212A7E" w14:textId="77777777" w:rsidR="00267CCE" w:rsidRPr="00F30EF3" w:rsidRDefault="00267CCE" w:rsidP="009D4A54">
      <w:pPr>
        <w:pStyle w:val="ListParagraph"/>
        <w:numPr>
          <w:ilvl w:val="0"/>
          <w:numId w:val="20"/>
        </w:numPr>
        <w:tabs>
          <w:tab w:val="clear" w:pos="720"/>
          <w:tab w:val="num" w:pos="426"/>
        </w:tabs>
        <w:spacing w:line="240" w:lineRule="auto"/>
        <w:ind w:left="426" w:hanging="426"/>
        <w:jc w:val="both"/>
        <w:rPr>
          <w:rFonts w:cstheme="minorHAnsi"/>
          <w:rtl/>
        </w:rPr>
      </w:pPr>
      <w:r w:rsidRPr="00F30EF3">
        <w:rPr>
          <w:rFonts w:cstheme="minorHAnsi"/>
          <w:rtl/>
        </w:rPr>
        <w:t>مجموعة من النصوص التشريعية الوطنية والإقليمية ذات الصلة بالموارد الوراثية والمعارف التقليدية</w:t>
      </w:r>
      <w:hyperlink r:id="rId199" w:history="1">
        <w:r w:rsidR="003A33DC" w:rsidRPr="00F30EF3">
          <w:rPr>
            <w:rStyle w:val="Hyperlink"/>
            <w:rFonts w:cstheme="minorHAnsi"/>
          </w:rPr>
          <w:t>http://is</w:t>
        </w:r>
        <w:r w:rsidR="003A33DC" w:rsidRPr="00F30EF3">
          <w:rPr>
            <w:rStyle w:val="Hyperlink"/>
            <w:rFonts w:cstheme="minorHAnsi"/>
            <w:rtl/>
          </w:rPr>
          <w:t>/</w:t>
        </w:r>
      </w:hyperlink>
      <w:r w:rsidRPr="00F30EF3">
        <w:rPr>
          <w:rStyle w:val="Hyperlink"/>
          <w:rFonts w:cstheme="minorHAnsi"/>
          <w:color w:val="auto"/>
          <w:u w:val="none"/>
          <w:rtl/>
        </w:rPr>
        <w:t xml:space="preserve"> </w:t>
      </w:r>
      <w:r w:rsidRPr="00F30EF3">
        <w:rPr>
          <w:rFonts w:cstheme="minorHAnsi"/>
          <w:rtl/>
        </w:rPr>
        <w:t xml:space="preserve">متاحة على الرابط: </w:t>
      </w:r>
      <w:hyperlink r:id="rId200" w:history="1">
        <w:r w:rsidRPr="00F30EF3">
          <w:rPr>
            <w:rStyle w:val="Hyperlink"/>
            <w:rFonts w:cstheme="minorHAnsi"/>
          </w:rPr>
          <w:t>http://www.wipo.int/tk/en/legal_texts</w:t>
        </w:r>
        <w:r w:rsidRPr="00F30EF3">
          <w:rPr>
            <w:rStyle w:val="Hyperlink"/>
            <w:rFonts w:cstheme="minorHAnsi"/>
            <w:rtl/>
          </w:rPr>
          <w:t>/</w:t>
        </w:r>
      </w:hyperlink>
      <w:r w:rsidRPr="00F30EF3">
        <w:rPr>
          <w:rFonts w:cstheme="minorHAnsi"/>
          <w:rtl/>
        </w:rPr>
        <w:t xml:space="preserve"> </w:t>
      </w:r>
    </w:p>
    <w:p w14:paraId="6C67E3FC" w14:textId="77777777" w:rsidR="00165A63" w:rsidRPr="00F30EF3" w:rsidRDefault="00267CCE" w:rsidP="009D4A54">
      <w:pPr>
        <w:pStyle w:val="ListParagraph"/>
        <w:numPr>
          <w:ilvl w:val="0"/>
          <w:numId w:val="20"/>
        </w:numPr>
        <w:tabs>
          <w:tab w:val="clear" w:pos="720"/>
          <w:tab w:val="num" w:pos="426"/>
        </w:tabs>
        <w:spacing w:line="240" w:lineRule="auto"/>
        <w:ind w:left="426" w:hanging="426"/>
        <w:jc w:val="both"/>
        <w:rPr>
          <w:rFonts w:cstheme="minorHAnsi"/>
          <w:rtl/>
        </w:rPr>
      </w:pPr>
      <w:r w:rsidRPr="00F30EF3">
        <w:rPr>
          <w:rFonts w:cstheme="minorHAnsi"/>
          <w:rtl/>
        </w:rPr>
        <w:t xml:space="preserve">لمعرفة المزيد عن اللجنة الحكومية الدولية المعنية بالملكية الفكرية والموارد الوراثية والمعارف التقليدية والفولكلور </w:t>
      </w:r>
      <w:r w:rsidRPr="00F30EF3">
        <w:rPr>
          <w:rFonts w:cstheme="minorHAnsi"/>
        </w:rPr>
        <w:t xml:space="preserve">(IGC): </w:t>
      </w:r>
      <w:hyperlink r:id="rId201" w:history="1">
        <w:r w:rsidRPr="00F30EF3">
          <w:rPr>
            <w:rStyle w:val="Hyperlink"/>
            <w:rFonts w:cstheme="minorHAnsi"/>
          </w:rPr>
          <w:t>http://www.wipo.int/tk/en/igc</w:t>
        </w:r>
        <w:r w:rsidRPr="00F30EF3">
          <w:rPr>
            <w:rStyle w:val="Hyperlink"/>
            <w:rFonts w:cstheme="minorHAnsi"/>
            <w:rtl/>
          </w:rPr>
          <w:t>/</w:t>
        </w:r>
      </w:hyperlink>
      <w:r w:rsidRPr="00F30EF3">
        <w:rPr>
          <w:rFonts w:cstheme="minorHAnsi"/>
          <w:rtl/>
        </w:rPr>
        <w:t xml:space="preserve"> وموجز المعلومات الأساسية رقم 2 المتاح على:</w:t>
      </w:r>
    </w:p>
    <w:p w14:paraId="68A22DEF" w14:textId="77777777" w:rsidR="00267CCE" w:rsidRPr="00F30EF3" w:rsidRDefault="00D3795B" w:rsidP="00165A63">
      <w:pPr>
        <w:pStyle w:val="ListParagraph"/>
        <w:spacing w:line="240" w:lineRule="auto"/>
        <w:ind w:left="426"/>
        <w:jc w:val="both"/>
        <w:rPr>
          <w:rFonts w:cstheme="minorHAnsi"/>
          <w:rtl/>
        </w:rPr>
      </w:pPr>
      <w:hyperlink r:id="rId202" w:history="1">
        <w:r w:rsidR="00372C70" w:rsidRPr="00F30EF3">
          <w:rPr>
            <w:rStyle w:val="Hyperlink"/>
            <w:rFonts w:cstheme="minorHAnsi"/>
          </w:rPr>
          <w:t>http://www.wipo.int/publications/en/details.jsp?id=3861&amp;plang=EN</w:t>
        </w:r>
      </w:hyperlink>
    </w:p>
    <w:p w14:paraId="30C91F8A" w14:textId="77777777" w:rsidR="00267CCE" w:rsidRPr="00F30EF3" w:rsidRDefault="00267CCE" w:rsidP="009D4A54">
      <w:pPr>
        <w:pStyle w:val="ListParagraph"/>
        <w:numPr>
          <w:ilvl w:val="0"/>
          <w:numId w:val="20"/>
        </w:numPr>
        <w:tabs>
          <w:tab w:val="clear" w:pos="720"/>
          <w:tab w:val="num" w:pos="426"/>
        </w:tabs>
        <w:spacing w:line="240" w:lineRule="auto"/>
        <w:ind w:left="426" w:hanging="426"/>
        <w:jc w:val="both"/>
        <w:rPr>
          <w:rFonts w:cstheme="minorHAnsi"/>
          <w:rtl/>
        </w:rPr>
      </w:pPr>
      <w:r w:rsidRPr="00F30EF3">
        <w:rPr>
          <w:rFonts w:cstheme="minorHAnsi"/>
          <w:rtl/>
        </w:rPr>
        <w:t xml:space="preserve">لمعرفة المزيد عن اتفاقية التنوع البيولوجي وبروتوكول ناغويا: </w:t>
      </w:r>
      <w:hyperlink r:id="rId203" w:history="1">
        <w:r w:rsidRPr="00F30EF3">
          <w:rPr>
            <w:rStyle w:val="Hyperlink"/>
            <w:rFonts w:cstheme="minorHAnsi"/>
          </w:rPr>
          <w:t>www.cbd.int/intro</w:t>
        </w:r>
        <w:r w:rsidRPr="00F30EF3">
          <w:rPr>
            <w:rStyle w:val="Hyperlink"/>
            <w:rFonts w:cstheme="minorHAnsi"/>
            <w:rtl/>
          </w:rPr>
          <w:t>/</w:t>
        </w:r>
      </w:hyperlink>
      <w:r w:rsidRPr="00F30EF3">
        <w:rPr>
          <w:rFonts w:cstheme="minorHAnsi"/>
          <w:rtl/>
        </w:rPr>
        <w:t>.</w:t>
      </w:r>
    </w:p>
    <w:p w14:paraId="2ECBB252" w14:textId="77777777" w:rsidR="00267CCE" w:rsidRPr="00F30EF3" w:rsidRDefault="00267CCE" w:rsidP="009D4A54">
      <w:pPr>
        <w:pStyle w:val="ListParagraph"/>
        <w:numPr>
          <w:ilvl w:val="0"/>
          <w:numId w:val="20"/>
        </w:numPr>
        <w:tabs>
          <w:tab w:val="clear" w:pos="720"/>
          <w:tab w:val="num" w:pos="426"/>
        </w:tabs>
        <w:spacing w:line="240" w:lineRule="auto"/>
        <w:ind w:left="426" w:hanging="426"/>
        <w:jc w:val="both"/>
        <w:rPr>
          <w:rFonts w:cstheme="minorHAnsi"/>
          <w:rtl/>
        </w:rPr>
      </w:pPr>
      <w:r w:rsidRPr="00F30EF3">
        <w:rPr>
          <w:rFonts w:cstheme="minorHAnsi"/>
          <w:rtl/>
        </w:rPr>
        <w:t xml:space="preserve">لمعرفة المزيد عن المعاهدة الدولية: </w:t>
      </w:r>
      <w:hyperlink r:id="rId204" w:history="1">
        <w:r w:rsidRPr="00F30EF3">
          <w:rPr>
            <w:rStyle w:val="Hyperlink"/>
            <w:rFonts w:cstheme="minorHAnsi"/>
          </w:rPr>
          <w:t>http://www.fao.org/plant-treaty/ar</w:t>
        </w:r>
        <w:r w:rsidRPr="00F30EF3">
          <w:rPr>
            <w:rStyle w:val="Hyperlink"/>
            <w:rFonts w:cstheme="minorHAnsi"/>
            <w:rtl/>
          </w:rPr>
          <w:t>/</w:t>
        </w:r>
      </w:hyperlink>
      <w:r w:rsidRPr="00F30EF3">
        <w:rPr>
          <w:rFonts w:cstheme="minorHAnsi"/>
          <w:rtl/>
        </w:rPr>
        <w:t>.</w:t>
      </w:r>
    </w:p>
    <w:p w14:paraId="30E2A7C1" w14:textId="77777777" w:rsidR="00B30378" w:rsidRPr="00F30EF3" w:rsidRDefault="00B30378" w:rsidP="00B30378">
      <w:pPr>
        <w:pStyle w:val="ListParagraph"/>
        <w:spacing w:line="240" w:lineRule="auto"/>
        <w:ind w:left="426"/>
        <w:jc w:val="both"/>
        <w:rPr>
          <w:rFonts w:cstheme="minorHAnsi"/>
          <w:lang w:val="en-US"/>
        </w:rPr>
      </w:pPr>
    </w:p>
    <w:p w14:paraId="024A6A96" w14:textId="77777777" w:rsidR="00E22076" w:rsidRPr="00F30EF3" w:rsidRDefault="00E22076" w:rsidP="002F3C51">
      <w:pPr>
        <w:pStyle w:val="Heading2"/>
        <w:rPr>
          <w:rFonts w:asciiTheme="minorHAnsi" w:hAnsiTheme="minorHAnsi" w:cstheme="minorHAnsi"/>
          <w:sz w:val="22"/>
          <w:szCs w:val="22"/>
          <w:lang w:val="en-US"/>
        </w:rPr>
      </w:pPr>
    </w:p>
    <w:p w14:paraId="7BE7BD4D" w14:textId="77777777" w:rsidR="004454DD" w:rsidRPr="00F30EF3" w:rsidRDefault="004454DD" w:rsidP="002F3C51">
      <w:pPr>
        <w:pStyle w:val="Heading2"/>
        <w:rPr>
          <w:rFonts w:asciiTheme="minorHAnsi" w:hAnsiTheme="minorHAnsi" w:cstheme="minorHAnsi"/>
          <w:rtl/>
        </w:rPr>
      </w:pPr>
      <w:bookmarkStart w:id="408" w:name="_Toc516160115"/>
      <w:bookmarkStart w:id="409" w:name="_Toc516219451"/>
      <w:bookmarkStart w:id="410" w:name="_Toc516496095"/>
      <w:bookmarkStart w:id="411" w:name="_Toc516829467"/>
      <w:bookmarkStart w:id="412" w:name="_Toc178260771"/>
      <w:r w:rsidRPr="00F30EF3">
        <w:rPr>
          <w:rFonts w:asciiTheme="minorHAnsi" w:hAnsiTheme="minorHAnsi" w:cstheme="minorHAnsi"/>
          <w:rtl/>
        </w:rPr>
        <w:t xml:space="preserve">المادة 13 – تضارب المصالح </w:t>
      </w:r>
      <w:bookmarkEnd w:id="401"/>
      <w:bookmarkEnd w:id="402"/>
      <w:r w:rsidRPr="00F30EF3">
        <w:rPr>
          <w:rFonts w:asciiTheme="minorHAnsi" w:hAnsiTheme="minorHAnsi" w:cstheme="minorHAnsi"/>
          <w:rtl/>
        </w:rPr>
        <w:t>وتضارب الالتزامات</w:t>
      </w:r>
      <w:bookmarkEnd w:id="408"/>
      <w:bookmarkEnd w:id="409"/>
      <w:bookmarkEnd w:id="410"/>
      <w:bookmarkEnd w:id="411"/>
      <w:bookmarkEnd w:id="412"/>
    </w:p>
    <w:p w14:paraId="045637C0" w14:textId="77777777" w:rsidR="00E22076" w:rsidRPr="00F30EF3" w:rsidRDefault="00E22076" w:rsidP="002F3C51">
      <w:pPr>
        <w:pStyle w:val="Heading2"/>
        <w:rPr>
          <w:rFonts w:asciiTheme="minorHAnsi" w:hAnsiTheme="minorHAnsi" w:cstheme="minorHAnsi"/>
          <w:sz w:val="22"/>
          <w:szCs w:val="22"/>
          <w:lang w:val="en-US"/>
        </w:rPr>
      </w:pPr>
    </w:p>
    <w:bookmarkEnd w:id="403"/>
    <w:p w14:paraId="7AA58635" w14:textId="77777777" w:rsidR="00F54F7B" w:rsidRPr="00F30EF3" w:rsidRDefault="00F54F7B" w:rsidP="00E73746">
      <w:pPr>
        <w:spacing w:after="0" w:line="240" w:lineRule="auto"/>
        <w:jc w:val="both"/>
        <w:rPr>
          <w:rFonts w:cstheme="minorHAnsi"/>
          <w:color w:val="000000" w:themeColor="text1"/>
          <w:lang w:val="en-US"/>
        </w:rPr>
      </w:pPr>
    </w:p>
    <w:p w14:paraId="3B1A87B4" w14:textId="77777777" w:rsidR="009B7900" w:rsidRPr="00F30EF3" w:rsidRDefault="009B7900" w:rsidP="002009C9">
      <w:pPr>
        <w:pStyle w:val="Default"/>
        <w:bidi/>
        <w:jc w:val="both"/>
        <w:rPr>
          <w:rFonts w:asciiTheme="minorHAnsi" w:hAnsiTheme="minorHAnsi" w:cstheme="minorHAnsi"/>
          <w:color w:val="auto"/>
          <w:sz w:val="22"/>
          <w:szCs w:val="22"/>
          <w:rtl/>
        </w:rPr>
      </w:pPr>
      <w:bookmarkStart w:id="413" w:name="_Toc479699569"/>
    </w:p>
    <w:p w14:paraId="03D4E653" w14:textId="14A9507D" w:rsidR="002E241F" w:rsidRPr="00F30EF3" w:rsidRDefault="002E241F" w:rsidP="002009C9">
      <w:pPr>
        <w:pStyle w:val="Default"/>
        <w:bidi/>
        <w:jc w:val="both"/>
        <w:rPr>
          <w:rFonts w:asciiTheme="minorHAnsi" w:hAnsiTheme="minorHAnsi" w:cstheme="minorHAnsi"/>
          <w:color w:val="auto"/>
          <w:sz w:val="22"/>
          <w:szCs w:val="22"/>
          <w:rtl/>
        </w:rPr>
      </w:pPr>
      <w:r w:rsidRPr="00F30EF3">
        <w:rPr>
          <w:rFonts w:asciiTheme="minorHAnsi" w:hAnsiTheme="minorHAnsi" w:cstheme="minorHAnsi"/>
          <w:color w:val="auto"/>
          <w:sz w:val="22"/>
          <w:szCs w:val="22"/>
          <w:rtl/>
        </w:rPr>
        <w:t>تماشياً مع رسالة المؤسسة، يدخل الموظفون في المجال التجاري ويعملون مع الصناعة بأعداد أكبر. ومع ذلك، فإنه من الممكن في هذه العلاقات والتفاعلات أن ينشأ عن مصالح الموظف في بعض الأحيان تضارب فعلي أو محتمل أو مُتصوَّر في المصالح أو تضارب في الالتزامات مع دوره ومسؤولياته في المؤسسة. </w:t>
      </w:r>
    </w:p>
    <w:p w14:paraId="1994C124" w14:textId="77777777" w:rsidR="006708FB" w:rsidRPr="00F30EF3" w:rsidRDefault="006708FB" w:rsidP="002009C9">
      <w:pPr>
        <w:pStyle w:val="Default"/>
        <w:jc w:val="both"/>
        <w:rPr>
          <w:rFonts w:asciiTheme="minorHAnsi" w:hAnsiTheme="minorHAnsi" w:cstheme="minorHAnsi"/>
          <w:color w:val="auto"/>
          <w:sz w:val="22"/>
          <w:szCs w:val="22"/>
          <w:lang w:val="en-US"/>
        </w:rPr>
      </w:pPr>
    </w:p>
    <w:p w14:paraId="7AC24463" w14:textId="7CF9F895" w:rsidR="00306CFA" w:rsidRPr="00F30EF3" w:rsidRDefault="006708FB" w:rsidP="00E03267">
      <w:pPr>
        <w:pStyle w:val="Default"/>
        <w:bidi/>
        <w:spacing w:after="120"/>
        <w:jc w:val="both"/>
        <w:rPr>
          <w:rFonts w:asciiTheme="minorHAnsi" w:hAnsiTheme="minorHAnsi" w:cstheme="minorHAnsi"/>
          <w:color w:val="auto"/>
          <w:sz w:val="22"/>
          <w:szCs w:val="22"/>
          <w:rtl/>
        </w:rPr>
      </w:pPr>
      <w:r w:rsidRPr="00F30EF3">
        <w:rPr>
          <w:rFonts w:asciiTheme="minorHAnsi" w:hAnsiTheme="minorHAnsi" w:cstheme="minorHAnsi"/>
          <w:color w:val="auto"/>
          <w:sz w:val="22"/>
          <w:szCs w:val="22"/>
          <w:rtl/>
        </w:rPr>
        <w:lastRenderedPageBreak/>
        <w:t>ويعد ضمان إدارة تضارب المصالح أو تضارب الالتزامات بشكل صحيح أمراً بالغ الأهمية للحد من المخاطر القانونية والمخاطر المتعلقة بالسمعة وإثبات نزاهة الموظفين الأفراد والمؤسسة. وهناك حاجة إلى المبادئ التوجيهية لمساعدة المؤسسة والمتعاونين معها في مجال الأبحاث في التعامل بشكل استباقي مع تعقيدات مجموعة متنوعة من المتطلبات عند العمل في المجالات المتفردة - والمتداخلة في بعض الأحيان - لأدوار وعلاقات المؤسسة والأدوار والعلاقات الخارجية.</w:t>
      </w:r>
    </w:p>
    <w:p w14:paraId="1F4255B8" w14:textId="1CC2727A" w:rsidR="00F962CA" w:rsidRPr="00F30EF3" w:rsidRDefault="00BF5EC9" w:rsidP="00E03267">
      <w:pPr>
        <w:tabs>
          <w:tab w:val="left" w:pos="851"/>
          <w:tab w:val="left" w:pos="1843"/>
        </w:tabs>
        <w:spacing w:after="120" w:line="240" w:lineRule="auto"/>
        <w:jc w:val="both"/>
        <w:rPr>
          <w:rFonts w:cstheme="minorHAnsi"/>
          <w:rtl/>
        </w:rPr>
      </w:pPr>
      <w:r w:rsidRPr="00F30EF3">
        <w:rPr>
          <w:rFonts w:cstheme="minorHAnsi"/>
          <w:rtl/>
        </w:rPr>
        <w:t xml:space="preserve">ويهدف نموذج المادة 13 إلى تسليط الضوء على هذه القضايا ووضع طريقة لحماية مجتمع المؤسسة من الظروف المشكوك فيها التي قد تنشأ. ويوصى بوضع سياسة إضافية منفصلة و/أو مجموعة من المبادئ التوجيهية الإضافية لوضع معايير ومتطلبات أكثر تفصيلاً لحماية السلامة المالية للمؤسسة وسمعتها والتزاماتها القانونية ولحل أي تعارضات ظاهرة أو حقيقية. </w:t>
      </w:r>
    </w:p>
    <w:p w14:paraId="161790F2" w14:textId="7F1EBF7E" w:rsidR="00D51FFF" w:rsidRPr="00F30EF3" w:rsidRDefault="00B82497" w:rsidP="00E03267">
      <w:pPr>
        <w:pStyle w:val="ListParagraph"/>
        <w:numPr>
          <w:ilvl w:val="0"/>
          <w:numId w:val="54"/>
        </w:numPr>
        <w:tabs>
          <w:tab w:val="left" w:pos="851"/>
          <w:tab w:val="left" w:pos="1843"/>
        </w:tabs>
        <w:spacing w:after="120" w:line="240" w:lineRule="auto"/>
        <w:ind w:left="426" w:hanging="426"/>
        <w:contextualSpacing w:val="0"/>
        <w:jc w:val="both"/>
        <w:rPr>
          <w:rFonts w:cstheme="minorHAnsi"/>
        </w:rPr>
      </w:pPr>
      <w:r w:rsidRPr="00F30EF3">
        <w:rPr>
          <w:rFonts w:cstheme="minorHAnsi"/>
          <w:b/>
          <w:bCs/>
          <w:rtl/>
        </w:rPr>
        <w:t xml:space="preserve">المادة 1.13، </w:t>
      </w:r>
      <w:r w:rsidRPr="00F30EF3">
        <w:rPr>
          <w:rFonts w:cstheme="minorHAnsi"/>
          <w:b/>
          <w:bCs/>
          <w:i/>
          <w:iCs/>
          <w:rtl/>
        </w:rPr>
        <w:t>الالتزام تجاه المؤسسة</w:t>
      </w:r>
      <w:r w:rsidRPr="00F30EF3">
        <w:rPr>
          <w:rFonts w:cstheme="minorHAnsi"/>
          <w:b/>
          <w:bCs/>
          <w:rtl/>
        </w:rPr>
        <w:t xml:space="preserve">: </w:t>
      </w:r>
      <w:r w:rsidRPr="00F30EF3">
        <w:rPr>
          <w:rFonts w:cstheme="minorHAnsi"/>
          <w:rtl/>
        </w:rPr>
        <w:t>تتناول هذه المادة تضارب الالتزامات. وعادةً ما ينطوي تضارب الالتزامات على قضايا تخصيص الوقت (انظر التعريف في نموذج المادة 2). ويدين الموظفون والزوار بولائهم المهني الأساسي للمؤسسة؛ وبالتالي فإن التزامهم المهني الأساسي من وقتهم وطاقاتهم الفكرية هو للتعليم والبحث والبرامج الأخرى التي تدعم رسالة المؤسسة. ويمكن أن تؤدي محاولات تحقيق التوازن بين مسؤوليات المؤسسة والأنشطة الخارجية - مثل الاستشارات أو الخدمة الحكومية أو الخدمة العامة أو العمل التطوعي - إلى تضارب فيما يتعلق بتخصيص الوقت والطاقة. ويجب أن يحصل الموظفون والزائرون الذين يعتزمون المشاركة في نشاط خارجي ينطوي على بذل جهد كبير خارج المؤسسة وتضارب للالتزامات على موافقة مكتوبة من القسم/المكتب المعني. وقد يُطلب من الأفراد الحصول على إجازة لمواصلة النشاط الخارجي إذا لم يكن بالإمكان إدارته بشكل مناسب. وعادةً ما يتم وصف الحدود المسموح بها للأنشطة الخارجية في سياسة تضارب المصالح/تضارب الالتزامات الخاصة بالمؤسسة و/أو كتيب الكلية.</w:t>
      </w:r>
    </w:p>
    <w:p w14:paraId="6D8522D4" w14:textId="54D28C12" w:rsidR="009A6BCB" w:rsidRPr="00F30EF3" w:rsidRDefault="009A6BCB" w:rsidP="00E03267">
      <w:pPr>
        <w:pStyle w:val="ListParagraph"/>
        <w:numPr>
          <w:ilvl w:val="0"/>
          <w:numId w:val="54"/>
        </w:numPr>
        <w:tabs>
          <w:tab w:val="left" w:pos="851"/>
          <w:tab w:val="left" w:pos="1843"/>
        </w:tabs>
        <w:spacing w:after="120" w:line="240" w:lineRule="auto"/>
        <w:ind w:left="426" w:hanging="426"/>
        <w:contextualSpacing w:val="0"/>
        <w:jc w:val="both"/>
        <w:rPr>
          <w:rFonts w:cstheme="minorHAnsi"/>
        </w:rPr>
      </w:pPr>
      <w:r w:rsidRPr="00F30EF3">
        <w:rPr>
          <w:rFonts w:cstheme="minorHAnsi"/>
          <w:b/>
          <w:bCs/>
          <w:rtl/>
        </w:rPr>
        <w:t xml:space="preserve">المادة 2.13، </w:t>
      </w:r>
      <w:r w:rsidRPr="00F30EF3">
        <w:rPr>
          <w:rFonts w:cstheme="minorHAnsi"/>
          <w:b/>
          <w:bCs/>
          <w:i/>
          <w:iCs/>
          <w:rtl/>
        </w:rPr>
        <w:t>المصالح الفضلى للمؤسسة</w:t>
      </w:r>
      <w:r w:rsidRPr="00F30EF3">
        <w:rPr>
          <w:rFonts w:cstheme="minorHAnsi"/>
          <w:b/>
          <w:bCs/>
          <w:rtl/>
        </w:rPr>
        <w:t xml:space="preserve">.  </w:t>
      </w:r>
      <w:r w:rsidRPr="00F30EF3">
        <w:rPr>
          <w:rFonts w:cstheme="minorHAnsi"/>
          <w:rtl/>
        </w:rPr>
        <w:t>تشير هذه المقالة إلى تضارب المصالح. يجب ألا تؤثر اعتبارات المكاسب الشخصية على قرارات أو تصرفات الأفراد في أداء مسؤولياتهم في المؤسسة. وقد تؤدي مثل هذه الحوافز إلى خلق تصور بالسلوك غير اللائق، وبالتالي تتطلب تحديد مثل هذه التضاربات، ومن ثم إدارتها أو القضاء عليها. وبصفة عامة، تنشأ حالات تضارب المصالح عندما توفر المصلحة الخارجية حافزاً قد يؤثر على قدرة الفرد على أداء جميع واجباته والوفاء بمسؤولياته داخل المؤسسة وعندما تتاح للفرد فرصة التأثير على قرار المؤسسة أو أي نشاط آخر.</w:t>
      </w:r>
    </w:p>
    <w:p w14:paraId="2795FEB3" w14:textId="77777777" w:rsidR="00F20AED" w:rsidRPr="00F30EF3" w:rsidRDefault="00F20AED" w:rsidP="002009C9">
      <w:pPr>
        <w:tabs>
          <w:tab w:val="left" w:pos="851"/>
          <w:tab w:val="left" w:pos="1843"/>
        </w:tabs>
        <w:spacing w:after="0" w:line="240" w:lineRule="auto"/>
        <w:ind w:left="426"/>
        <w:jc w:val="both"/>
        <w:rPr>
          <w:rFonts w:cstheme="minorHAnsi"/>
          <w:rtl/>
        </w:rPr>
      </w:pPr>
      <w:r w:rsidRPr="00F30EF3">
        <w:rPr>
          <w:rFonts w:cstheme="minorHAnsi"/>
          <w:rtl/>
        </w:rPr>
        <w:t>وعادةً ما ينطوي تسويق نتائج البحوث من خلال إدارة الملكية الفكرية ونقل التكنولوجيا على مسائل تتعلق بالمصالح المالية المحتملة وغيرها من المصالح، وبالتالي قد يحدث تضارب مصالح. ويمكن تحديد تضارب المصالح على مستويات مختلفة:</w:t>
      </w:r>
    </w:p>
    <w:p w14:paraId="4058F138" w14:textId="77777777" w:rsidR="00F20AED" w:rsidRPr="00F30EF3" w:rsidRDefault="00F20AED" w:rsidP="002009C9">
      <w:pPr>
        <w:tabs>
          <w:tab w:val="left" w:pos="993"/>
          <w:tab w:val="left" w:pos="1843"/>
        </w:tabs>
        <w:spacing w:after="0" w:line="240" w:lineRule="auto"/>
        <w:jc w:val="both"/>
        <w:rPr>
          <w:rFonts w:cstheme="minorHAnsi"/>
          <w:lang w:val="en-US" w:eastAsia="hu-HU"/>
        </w:rPr>
      </w:pPr>
    </w:p>
    <w:p w14:paraId="2F2AC32B" w14:textId="77777777" w:rsidR="00F20AED" w:rsidRPr="00F30EF3" w:rsidRDefault="00C278C2" w:rsidP="00F54313">
      <w:pPr>
        <w:pStyle w:val="ListParagraph"/>
        <w:numPr>
          <w:ilvl w:val="0"/>
          <w:numId w:val="2"/>
        </w:numPr>
        <w:tabs>
          <w:tab w:val="left" w:pos="993"/>
          <w:tab w:val="left" w:pos="1843"/>
        </w:tabs>
        <w:autoSpaceDE w:val="0"/>
        <w:autoSpaceDN w:val="0"/>
        <w:adjustRightInd w:val="0"/>
        <w:spacing w:after="120" w:line="240" w:lineRule="auto"/>
        <w:ind w:hanging="294"/>
        <w:contextualSpacing w:val="0"/>
        <w:jc w:val="both"/>
        <w:rPr>
          <w:rFonts w:cstheme="minorHAnsi"/>
          <w:rtl/>
        </w:rPr>
      </w:pPr>
      <w:r w:rsidRPr="00F30EF3">
        <w:rPr>
          <w:rFonts w:cstheme="minorHAnsi"/>
          <w:color w:val="0070C0"/>
          <w:rtl/>
        </w:rPr>
        <w:t>المستوى المؤسسي</w:t>
      </w:r>
      <w:r w:rsidRPr="00F30EF3">
        <w:rPr>
          <w:rFonts w:cstheme="minorHAnsi"/>
          <w:rtl/>
        </w:rPr>
        <w:t>. وتتمثل رسالة المؤسسة في إنشاء المعرفة وحفظها ونقلها لصالح الجمهور. والمؤسسات تكون غير ربحية، على عكس الشركات. ويمكن أن تضعهم عملية تسويق الملكية الفكرية في موقف يمكن أن تتعارض فيه المصالح المالية المباشرة مع مهمتهم الأساسية. على سبيل المثال، قد تجد المؤسسة نفسها كمالك كلي/جزئي في شركة تتمثل مصالحها المباشرة في تعظيم أرباحها، حتى لو تعارض ذلك مع المبادئ الأكاديمية الأساسية كالانفتاح وتبادل المعارف. وبالمثل، يمكن أن ينشأ تعارض بين الرغبة في تحقيق مكاسب مالية كبيرة من خلال ترخيص الملكية الفكرية والشواغل الخيرية المتعلقة بتلك الملكية الفكرية. ولذلك، يجب على المؤسسات أن توازن بين تعزيز الابتكار وريادة الأعمال وبين الحفاظ على التزامها بحماية نزاهة أبحاثها وموضوعيتها.</w:t>
      </w:r>
    </w:p>
    <w:p w14:paraId="62128579" w14:textId="77777777" w:rsidR="00F20AED" w:rsidRPr="00F30EF3" w:rsidRDefault="008651B7" w:rsidP="00F54313">
      <w:pPr>
        <w:pStyle w:val="ListParagraph"/>
        <w:numPr>
          <w:ilvl w:val="0"/>
          <w:numId w:val="2"/>
        </w:numPr>
        <w:tabs>
          <w:tab w:val="left" w:pos="851"/>
          <w:tab w:val="left" w:pos="1843"/>
        </w:tabs>
        <w:spacing w:after="120" w:line="240" w:lineRule="auto"/>
        <w:ind w:left="709" w:hanging="283"/>
        <w:contextualSpacing w:val="0"/>
        <w:jc w:val="both"/>
        <w:rPr>
          <w:rFonts w:cstheme="minorHAnsi"/>
          <w:rtl/>
        </w:rPr>
      </w:pPr>
      <w:r w:rsidRPr="00F30EF3">
        <w:rPr>
          <w:rFonts w:cstheme="minorHAnsi"/>
          <w:color w:val="0070C0"/>
          <w:rtl/>
        </w:rPr>
        <w:t>مستوى مكتب إدارة الملكية الفكرية</w:t>
      </w:r>
      <w:r w:rsidRPr="00F30EF3">
        <w:rPr>
          <w:rFonts w:cstheme="minorHAnsi"/>
          <w:rtl/>
        </w:rPr>
        <w:t>. ويجب أن يخدم الكيان المسؤول عن عملية تسويق الملكية الفكرية مصالح المؤسسة، وكذلك مصالح الصناعة والمخترعين. ومع ذلك، قد تكون هذه المصالح مختلفة بحيث توجد احتمالية وجود تضارب للمصالح.</w:t>
      </w:r>
    </w:p>
    <w:p w14:paraId="7A2A1495" w14:textId="77777777" w:rsidR="00F20AED" w:rsidRPr="00F30EF3" w:rsidRDefault="00C11B04" w:rsidP="00464282">
      <w:pPr>
        <w:pStyle w:val="ListParagraph"/>
        <w:numPr>
          <w:ilvl w:val="0"/>
          <w:numId w:val="2"/>
        </w:numPr>
        <w:tabs>
          <w:tab w:val="left" w:pos="993"/>
          <w:tab w:val="left" w:pos="1843"/>
        </w:tabs>
        <w:spacing w:after="0" w:line="240" w:lineRule="auto"/>
        <w:ind w:left="709" w:hanging="283"/>
        <w:jc w:val="both"/>
        <w:rPr>
          <w:rFonts w:cstheme="minorHAnsi"/>
          <w:rtl/>
        </w:rPr>
      </w:pPr>
      <w:r w:rsidRPr="00F30EF3">
        <w:rPr>
          <w:rFonts w:cstheme="minorHAnsi"/>
          <w:color w:val="0070C0"/>
          <w:rtl/>
        </w:rPr>
        <w:t>المستوى الشخصي</w:t>
      </w:r>
      <w:r w:rsidRPr="00F30EF3">
        <w:rPr>
          <w:rFonts w:cstheme="minorHAnsi"/>
          <w:rtl/>
        </w:rPr>
        <w:t>. كل فرد له علاقة بالاختراع يكون عرضة لتضارب المصالح، لا سيما في الحالات التي يكون فيها تابعاً رسمياً لأكثر من منظمة واحدة. وتشمل الظروف المشكوك فيها التي يمكن أن تنشأ، على سبيل المثال:</w:t>
      </w:r>
    </w:p>
    <w:p w14:paraId="3B649C87" w14:textId="77777777" w:rsidR="00F20AED" w:rsidRPr="00F30EF3" w:rsidRDefault="008A0336" w:rsidP="009D4A54">
      <w:pPr>
        <w:numPr>
          <w:ilvl w:val="0"/>
          <w:numId w:val="65"/>
        </w:numPr>
        <w:spacing w:before="100" w:beforeAutospacing="1" w:after="100" w:afterAutospacing="1" w:line="240" w:lineRule="auto"/>
        <w:ind w:left="1276" w:hanging="425"/>
        <w:jc w:val="both"/>
        <w:rPr>
          <w:rFonts w:cstheme="minorHAnsi"/>
          <w:rtl/>
        </w:rPr>
      </w:pPr>
      <w:r w:rsidRPr="00F30EF3">
        <w:rPr>
          <w:rFonts w:cstheme="minorHAnsi"/>
          <w:rtl/>
        </w:rPr>
        <w:t>إذا استثمر أحد الموظفين شخصياً في مشروع تجاري تم إنشاؤه من الملكية الفكرية للمؤسسة عندما كان مشاركاً كباحث أو مشرف/مدير؛</w:t>
      </w:r>
    </w:p>
    <w:p w14:paraId="1DD5BF63" w14:textId="77777777" w:rsidR="00F20AED" w:rsidRPr="00F30EF3" w:rsidRDefault="00F20AED" w:rsidP="009D4A54">
      <w:pPr>
        <w:numPr>
          <w:ilvl w:val="0"/>
          <w:numId w:val="65"/>
        </w:numPr>
        <w:spacing w:before="100" w:beforeAutospacing="1" w:after="100" w:afterAutospacing="1" w:line="240" w:lineRule="auto"/>
        <w:ind w:left="1276" w:hanging="425"/>
        <w:jc w:val="both"/>
        <w:rPr>
          <w:rFonts w:cstheme="minorHAnsi"/>
          <w:rtl/>
        </w:rPr>
      </w:pPr>
      <w:r w:rsidRPr="00F30EF3">
        <w:rPr>
          <w:rFonts w:cstheme="minorHAnsi"/>
          <w:rtl/>
        </w:rPr>
        <w:t>أو دخل أحد الموظفين، وهو مؤسس لشركة، في التفاوض شخصياً على شروط الترخيص مع المؤسسة؛</w:t>
      </w:r>
    </w:p>
    <w:p w14:paraId="2C1BF25D" w14:textId="77777777" w:rsidR="00F20AED" w:rsidRPr="00F30EF3" w:rsidRDefault="00F20AED" w:rsidP="009D4A54">
      <w:pPr>
        <w:numPr>
          <w:ilvl w:val="0"/>
          <w:numId w:val="65"/>
        </w:numPr>
        <w:spacing w:before="100" w:beforeAutospacing="1" w:after="100" w:afterAutospacing="1" w:line="240" w:lineRule="auto"/>
        <w:ind w:left="1276" w:hanging="425"/>
        <w:jc w:val="both"/>
        <w:rPr>
          <w:rFonts w:cstheme="minorHAnsi"/>
          <w:rtl/>
        </w:rPr>
      </w:pPr>
      <w:r w:rsidRPr="00F30EF3">
        <w:rPr>
          <w:rFonts w:cstheme="minorHAnsi"/>
          <w:rtl/>
        </w:rPr>
        <w:t>أو إن اتخذ موظف، له منصب في مجلس إدارة الشركة، قرارات بشأن شروط الترخيص مع المؤسسة؛</w:t>
      </w:r>
    </w:p>
    <w:p w14:paraId="472D9281" w14:textId="77777777" w:rsidR="00F20AED" w:rsidRPr="00F30EF3" w:rsidRDefault="00F20AED" w:rsidP="009D4A54">
      <w:pPr>
        <w:numPr>
          <w:ilvl w:val="0"/>
          <w:numId w:val="65"/>
        </w:numPr>
        <w:spacing w:before="100" w:beforeAutospacing="1" w:after="100" w:afterAutospacing="1" w:line="240" w:lineRule="auto"/>
        <w:ind w:left="1276" w:hanging="425"/>
        <w:jc w:val="both"/>
        <w:rPr>
          <w:rFonts w:cstheme="minorHAnsi"/>
          <w:rtl/>
        </w:rPr>
      </w:pPr>
      <w:r w:rsidRPr="00F30EF3">
        <w:rPr>
          <w:rFonts w:cstheme="minorHAnsi"/>
          <w:rtl/>
        </w:rPr>
        <w:t>أو إن اضطر موظف، يبدي مشورة لشركة أخرى، إلى اتخاذ قرار بشأن التنازل عن اختراعاته للمؤسسة أو للشركة التي يدلي لها بمشورته؛</w:t>
      </w:r>
    </w:p>
    <w:p w14:paraId="3A5A4BF6" w14:textId="77777777" w:rsidR="00F20AED" w:rsidRPr="00F30EF3" w:rsidRDefault="00F20AED" w:rsidP="000A40D5">
      <w:pPr>
        <w:numPr>
          <w:ilvl w:val="0"/>
          <w:numId w:val="65"/>
        </w:numPr>
        <w:spacing w:after="120" w:line="240" w:lineRule="auto"/>
        <w:ind w:left="1282" w:hanging="432"/>
        <w:jc w:val="both"/>
        <w:rPr>
          <w:rFonts w:cstheme="minorHAnsi"/>
          <w:rtl/>
        </w:rPr>
      </w:pPr>
      <w:r w:rsidRPr="00F30EF3">
        <w:rPr>
          <w:rFonts w:cstheme="minorHAnsi"/>
          <w:rtl/>
        </w:rPr>
        <w:t>أو إن قبل موظف أن ترعى شركة له فيها مصلحة مالية أبحاثه؛ وينشأ تضارب المصالح لأن نتائج البحث قد تؤثر مادياً على الثروة الشخصية للباحث.</w:t>
      </w:r>
    </w:p>
    <w:p w14:paraId="3520E1D4" w14:textId="77777777" w:rsidR="008651B7" w:rsidRPr="00F30EF3" w:rsidRDefault="008651B7" w:rsidP="000A40D5">
      <w:pPr>
        <w:spacing w:after="0" w:line="240" w:lineRule="auto"/>
        <w:jc w:val="both"/>
        <w:rPr>
          <w:rFonts w:cstheme="minorHAnsi"/>
          <w:lang w:val="en-US"/>
        </w:rPr>
      </w:pPr>
    </w:p>
    <w:p w14:paraId="4984441A" w14:textId="7BFBDA33" w:rsidR="00C21C73" w:rsidRPr="00F30EF3" w:rsidRDefault="00B82497" w:rsidP="009D4A54">
      <w:pPr>
        <w:pStyle w:val="ListParagraph"/>
        <w:numPr>
          <w:ilvl w:val="0"/>
          <w:numId w:val="55"/>
        </w:numPr>
        <w:tabs>
          <w:tab w:val="left" w:pos="426"/>
          <w:tab w:val="left" w:pos="1843"/>
        </w:tabs>
        <w:spacing w:after="0" w:line="240" w:lineRule="auto"/>
        <w:ind w:left="426" w:hanging="426"/>
        <w:jc w:val="both"/>
        <w:rPr>
          <w:rFonts w:cstheme="minorHAnsi"/>
          <w:rtl/>
        </w:rPr>
      </w:pPr>
      <w:r w:rsidRPr="00F30EF3">
        <w:rPr>
          <w:rFonts w:cstheme="minorHAnsi"/>
          <w:b/>
          <w:bCs/>
          <w:rtl/>
        </w:rPr>
        <w:t xml:space="preserve">المادة 4.13، </w:t>
      </w:r>
      <w:r w:rsidRPr="00F30EF3">
        <w:rPr>
          <w:rFonts w:cstheme="minorHAnsi"/>
          <w:b/>
          <w:bCs/>
          <w:i/>
          <w:iCs/>
          <w:rtl/>
        </w:rPr>
        <w:t>الكشف عن الأنشطة الخارجية والمصالح المالية:</w:t>
      </w:r>
      <w:r w:rsidRPr="00F30EF3">
        <w:rPr>
          <w:rFonts w:cstheme="minorHAnsi"/>
          <w:b/>
          <w:bCs/>
          <w:rtl/>
        </w:rPr>
        <w:t xml:space="preserve"> </w:t>
      </w:r>
      <w:r w:rsidRPr="00F30EF3">
        <w:rPr>
          <w:rFonts w:cstheme="minorHAnsi"/>
          <w:rtl/>
        </w:rPr>
        <w:t xml:space="preserve">من المهم أن نفهم أن وجود اتفاقية تضارب المصالح/تضارب الالتزامات لا يعني بالضرورة ارتكاب لخطأ من جانب أي شخص. ومع ذلك، يجب على الموظفين والزائرين </w:t>
      </w:r>
      <w:r w:rsidRPr="00F30EF3">
        <w:rPr>
          <w:rFonts w:cstheme="minorHAnsi"/>
          <w:rtl/>
        </w:rPr>
        <w:lastRenderedPageBreak/>
        <w:t>أن يكونوا متيقظين للحالات التي قد يكون لديهم أو لدى الأشخاص الذين يديرونهم أو يشرفون عليهم تضارب في المصالح، وأن يتأكدوا من الكشف عن الموقف بسرعة وشفافية. ويجب أن توفر سياسة تضارب المصالح/تضارب الالتزامات إرشادات تتعلق بعملية الكشف.</w:t>
      </w:r>
    </w:p>
    <w:p w14:paraId="72357B39" w14:textId="77777777" w:rsidR="003E3402" w:rsidRPr="00F30EF3" w:rsidRDefault="003E3402" w:rsidP="002009C9">
      <w:pPr>
        <w:pStyle w:val="ListParagraph"/>
        <w:tabs>
          <w:tab w:val="left" w:pos="426"/>
          <w:tab w:val="left" w:pos="1843"/>
        </w:tabs>
        <w:spacing w:after="0" w:line="240" w:lineRule="auto"/>
        <w:ind w:left="426"/>
        <w:jc w:val="both"/>
        <w:rPr>
          <w:rFonts w:cstheme="minorHAnsi"/>
          <w:i/>
          <w:iCs/>
          <w:lang w:val="en-US" w:eastAsia="hu-HU"/>
        </w:rPr>
      </w:pPr>
    </w:p>
    <w:p w14:paraId="08C53B7D" w14:textId="41DDFB3B" w:rsidR="00F962CA" w:rsidRPr="00F30EF3" w:rsidRDefault="003E3402" w:rsidP="009D4A54">
      <w:pPr>
        <w:pStyle w:val="ListParagraph"/>
        <w:numPr>
          <w:ilvl w:val="0"/>
          <w:numId w:val="55"/>
        </w:numPr>
        <w:tabs>
          <w:tab w:val="left" w:pos="426"/>
          <w:tab w:val="left" w:pos="1843"/>
        </w:tabs>
        <w:spacing w:after="0" w:line="240" w:lineRule="auto"/>
        <w:ind w:left="426" w:hanging="426"/>
        <w:jc w:val="both"/>
        <w:rPr>
          <w:rFonts w:cstheme="minorHAnsi"/>
          <w:rtl/>
        </w:rPr>
      </w:pPr>
      <w:r w:rsidRPr="00F30EF3">
        <w:rPr>
          <w:rFonts w:cstheme="minorHAnsi"/>
          <w:b/>
          <w:bCs/>
          <w:rtl/>
        </w:rPr>
        <w:t xml:space="preserve">المادة 4.13، </w:t>
      </w:r>
      <w:r w:rsidRPr="00F30EF3">
        <w:rPr>
          <w:rFonts w:cstheme="minorHAnsi"/>
          <w:b/>
          <w:bCs/>
          <w:i/>
          <w:iCs/>
          <w:rtl/>
        </w:rPr>
        <w:t>إلى</w:t>
      </w:r>
      <w:r w:rsidRPr="00F30EF3">
        <w:rPr>
          <w:rFonts w:cstheme="minorHAnsi"/>
          <w:b/>
          <w:bCs/>
          <w:rtl/>
        </w:rPr>
        <w:t xml:space="preserve"> </w:t>
      </w:r>
      <w:r w:rsidRPr="00F30EF3">
        <w:rPr>
          <w:rFonts w:cstheme="minorHAnsi"/>
          <w:b/>
          <w:bCs/>
          <w:i/>
          <w:iCs/>
          <w:rtl/>
        </w:rPr>
        <w:t>السلطة المؤسسية المختصة</w:t>
      </w:r>
      <w:r w:rsidRPr="00F30EF3">
        <w:rPr>
          <w:rFonts w:cstheme="minorHAnsi"/>
          <w:rtl/>
        </w:rPr>
        <w:t>: قد يكون إنشاء لجنة معنية بالملكية الفكرية الخاصة بتضارب المصالح/تضارب الالتزامات مفيداً في الحالات الغامضة أو المعقدة. وتكون هذه اللجنة مسؤولة عادةً عن:</w:t>
      </w:r>
    </w:p>
    <w:p w14:paraId="1187CE9B" w14:textId="77777777" w:rsidR="00F962CA" w:rsidRPr="00F30EF3" w:rsidRDefault="00F962CA" w:rsidP="002009C9">
      <w:pPr>
        <w:pStyle w:val="ListParagraph"/>
        <w:jc w:val="both"/>
        <w:rPr>
          <w:rFonts w:cstheme="minorHAnsi"/>
          <w:lang w:val="en-US"/>
        </w:rPr>
      </w:pPr>
    </w:p>
    <w:p w14:paraId="220DB985" w14:textId="77777777" w:rsidR="00F962CA" w:rsidRPr="00F30EF3" w:rsidRDefault="003E3402" w:rsidP="009D4A54">
      <w:pPr>
        <w:pStyle w:val="ListParagraph"/>
        <w:numPr>
          <w:ilvl w:val="1"/>
          <w:numId w:val="104"/>
        </w:numPr>
        <w:tabs>
          <w:tab w:val="left" w:pos="426"/>
          <w:tab w:val="left" w:pos="1843"/>
        </w:tabs>
        <w:spacing w:after="0" w:line="240" w:lineRule="auto"/>
        <w:ind w:left="851" w:hanging="425"/>
        <w:jc w:val="both"/>
        <w:rPr>
          <w:rFonts w:cstheme="minorHAnsi"/>
          <w:rtl/>
        </w:rPr>
      </w:pPr>
      <w:r w:rsidRPr="00F30EF3">
        <w:rPr>
          <w:rFonts w:cstheme="minorHAnsi"/>
          <w:rtl/>
        </w:rPr>
        <w:t>إدارة برنامج تضارب المصالح/تضارب الالتزامات الخاص بالمؤسسة والإشراف عليه؛</w:t>
      </w:r>
    </w:p>
    <w:p w14:paraId="0392F96A" w14:textId="77777777" w:rsidR="00CE1C58" w:rsidRPr="00F30EF3" w:rsidRDefault="00F962CA" w:rsidP="009D4A54">
      <w:pPr>
        <w:pStyle w:val="ListParagraph"/>
        <w:numPr>
          <w:ilvl w:val="1"/>
          <w:numId w:val="104"/>
        </w:numPr>
        <w:tabs>
          <w:tab w:val="left" w:pos="426"/>
          <w:tab w:val="left" w:pos="1843"/>
        </w:tabs>
        <w:spacing w:after="0" w:line="240" w:lineRule="auto"/>
        <w:ind w:left="851" w:hanging="425"/>
        <w:jc w:val="both"/>
        <w:rPr>
          <w:rFonts w:cstheme="minorHAnsi"/>
          <w:rtl/>
        </w:rPr>
      </w:pPr>
      <w:r w:rsidRPr="00F30EF3">
        <w:rPr>
          <w:rFonts w:cstheme="minorHAnsi"/>
          <w:rtl/>
        </w:rPr>
        <w:t>قيادة التدريب والتثقيف في مجال السياسات المتعلقة بتضارب المصالح/تضارب الالتزامات؛</w:t>
      </w:r>
    </w:p>
    <w:p w14:paraId="3876FFAC" w14:textId="77777777" w:rsidR="00F962CA" w:rsidRPr="00F30EF3" w:rsidRDefault="00F962CA" w:rsidP="009D4A54">
      <w:pPr>
        <w:pStyle w:val="ListParagraph"/>
        <w:numPr>
          <w:ilvl w:val="1"/>
          <w:numId w:val="104"/>
        </w:numPr>
        <w:tabs>
          <w:tab w:val="left" w:pos="426"/>
          <w:tab w:val="left" w:pos="1843"/>
        </w:tabs>
        <w:spacing w:after="0" w:line="240" w:lineRule="auto"/>
        <w:ind w:left="851" w:hanging="425"/>
        <w:jc w:val="both"/>
        <w:rPr>
          <w:rFonts w:cstheme="minorHAnsi"/>
          <w:rtl/>
        </w:rPr>
      </w:pPr>
      <w:r w:rsidRPr="00F30EF3">
        <w:rPr>
          <w:rFonts w:cstheme="minorHAnsi"/>
          <w:rtl/>
        </w:rPr>
        <w:t>الموافقة على الأنشطة التي يقترح الأفراد المشاركة فيها أو رفضها؛</w:t>
      </w:r>
    </w:p>
    <w:p w14:paraId="483B2ABF" w14:textId="77777777" w:rsidR="00F962CA" w:rsidRPr="00F30EF3" w:rsidRDefault="00F962CA" w:rsidP="009D4A54">
      <w:pPr>
        <w:pStyle w:val="ListParagraph"/>
        <w:numPr>
          <w:ilvl w:val="1"/>
          <w:numId w:val="104"/>
        </w:numPr>
        <w:tabs>
          <w:tab w:val="left" w:pos="426"/>
          <w:tab w:val="left" w:pos="1843"/>
        </w:tabs>
        <w:spacing w:after="0" w:line="240" w:lineRule="auto"/>
        <w:ind w:left="851" w:hanging="425"/>
        <w:jc w:val="both"/>
        <w:rPr>
          <w:rFonts w:cstheme="minorHAnsi"/>
          <w:rtl/>
        </w:rPr>
      </w:pPr>
      <w:r w:rsidRPr="00F30EF3">
        <w:rPr>
          <w:rFonts w:cstheme="minorHAnsi"/>
          <w:rtl/>
        </w:rPr>
        <w:t>تطبيق متطلبات سياسة تضارب المصالح/تضارب الالتزامات الخاصة بالمؤسسة؛</w:t>
      </w:r>
    </w:p>
    <w:p w14:paraId="20E3C33F" w14:textId="77777777" w:rsidR="00F962CA" w:rsidRPr="00F30EF3" w:rsidRDefault="00F325A4" w:rsidP="009D4A54">
      <w:pPr>
        <w:pStyle w:val="ListParagraph"/>
        <w:numPr>
          <w:ilvl w:val="1"/>
          <w:numId w:val="104"/>
        </w:numPr>
        <w:tabs>
          <w:tab w:val="left" w:pos="426"/>
          <w:tab w:val="left" w:pos="1843"/>
        </w:tabs>
        <w:spacing w:after="0" w:line="240" w:lineRule="auto"/>
        <w:ind w:left="851" w:hanging="425"/>
        <w:jc w:val="both"/>
        <w:rPr>
          <w:rFonts w:cstheme="minorHAnsi"/>
          <w:rtl/>
        </w:rPr>
      </w:pPr>
      <w:r w:rsidRPr="00F30EF3">
        <w:rPr>
          <w:rFonts w:cstheme="minorHAnsi"/>
          <w:rtl/>
        </w:rPr>
        <w:t>إدارة النزاعات وحلها عند حدوثها؛</w:t>
      </w:r>
    </w:p>
    <w:p w14:paraId="5CC603E7" w14:textId="77777777" w:rsidR="00F962CA" w:rsidRPr="00F30EF3" w:rsidRDefault="00F962CA" w:rsidP="009D4A54">
      <w:pPr>
        <w:pStyle w:val="ListParagraph"/>
        <w:numPr>
          <w:ilvl w:val="1"/>
          <w:numId w:val="104"/>
        </w:numPr>
        <w:tabs>
          <w:tab w:val="left" w:pos="426"/>
          <w:tab w:val="left" w:pos="1843"/>
        </w:tabs>
        <w:spacing w:after="0" w:line="240" w:lineRule="auto"/>
        <w:ind w:left="851" w:hanging="425"/>
        <w:jc w:val="both"/>
        <w:rPr>
          <w:rFonts w:cstheme="minorHAnsi"/>
          <w:rtl/>
        </w:rPr>
      </w:pPr>
      <w:r w:rsidRPr="00F30EF3">
        <w:rPr>
          <w:rFonts w:cstheme="minorHAnsi"/>
          <w:rtl/>
        </w:rPr>
        <w:t xml:space="preserve">مراجعة الطعون. </w:t>
      </w:r>
    </w:p>
    <w:p w14:paraId="3390A1B7" w14:textId="77777777" w:rsidR="00F962CA" w:rsidRPr="00F30EF3" w:rsidRDefault="00F962CA" w:rsidP="00BE40D9">
      <w:pPr>
        <w:pStyle w:val="ListParagraph"/>
        <w:tabs>
          <w:tab w:val="left" w:pos="426"/>
          <w:tab w:val="left" w:pos="1843"/>
        </w:tabs>
        <w:spacing w:after="0" w:line="240" w:lineRule="auto"/>
        <w:ind w:left="851" w:hanging="425"/>
        <w:jc w:val="both"/>
        <w:rPr>
          <w:rFonts w:cstheme="minorHAnsi"/>
          <w:lang w:val="en-US"/>
        </w:rPr>
      </w:pPr>
    </w:p>
    <w:p w14:paraId="4E98B96E" w14:textId="07EED995" w:rsidR="00BE40D9" w:rsidRPr="00F30EF3" w:rsidRDefault="006A55D5" w:rsidP="009D4A54">
      <w:pPr>
        <w:pStyle w:val="ListParagraph"/>
        <w:numPr>
          <w:ilvl w:val="0"/>
          <w:numId w:val="55"/>
        </w:numPr>
        <w:tabs>
          <w:tab w:val="left" w:pos="426"/>
          <w:tab w:val="left" w:pos="1843"/>
        </w:tabs>
        <w:spacing w:after="0" w:line="240" w:lineRule="auto"/>
        <w:ind w:left="426" w:hanging="426"/>
        <w:jc w:val="both"/>
        <w:rPr>
          <w:rFonts w:cstheme="minorHAnsi"/>
          <w:b/>
          <w:bCs/>
          <w:rtl/>
        </w:rPr>
      </w:pPr>
      <w:r w:rsidRPr="00F30EF3">
        <w:rPr>
          <w:rFonts w:cstheme="minorHAnsi"/>
          <w:b/>
          <w:bCs/>
          <w:rtl/>
        </w:rPr>
        <w:t xml:space="preserve">المادة 5.13، </w:t>
      </w:r>
      <w:r w:rsidRPr="00F30EF3">
        <w:rPr>
          <w:rFonts w:cstheme="minorHAnsi"/>
          <w:b/>
          <w:bCs/>
          <w:i/>
          <w:iCs/>
          <w:rtl/>
        </w:rPr>
        <w:t>سياسة منفصلة وشاملة</w:t>
      </w:r>
      <w:r w:rsidRPr="00F30EF3">
        <w:rPr>
          <w:rFonts w:cstheme="minorHAnsi"/>
          <w:rtl/>
        </w:rPr>
        <w:t>: من أجل الاستدامة طويلة الأجل لبرنامج فعال لإدارة الملكية الفكرية وتسويقها، يوصى بشدة أن تضع المؤسسة سياسة منفصلة تتناول تضارب المصالح وتضارب الالتزامات. وينبغي لهذه السياسة أن:</w:t>
      </w:r>
    </w:p>
    <w:p w14:paraId="540E8388" w14:textId="77777777" w:rsidR="00BE40D9" w:rsidRPr="00F30EF3" w:rsidRDefault="00BE40D9" w:rsidP="00B7519E">
      <w:pPr>
        <w:pStyle w:val="ListParagraph"/>
        <w:tabs>
          <w:tab w:val="left" w:pos="851"/>
          <w:tab w:val="left" w:pos="1843"/>
        </w:tabs>
        <w:spacing w:after="0" w:line="240" w:lineRule="auto"/>
        <w:ind w:left="851" w:hanging="425"/>
        <w:jc w:val="both"/>
        <w:rPr>
          <w:rFonts w:cstheme="minorHAnsi"/>
          <w:b/>
          <w:bCs/>
          <w:lang w:val="en-US"/>
        </w:rPr>
      </w:pPr>
    </w:p>
    <w:p w14:paraId="4BD8D8B0" w14:textId="77777777" w:rsidR="00BE40D9" w:rsidRPr="00F30EF3" w:rsidRDefault="00BE40D9" w:rsidP="009D4A54">
      <w:pPr>
        <w:pStyle w:val="ListParagraph"/>
        <w:numPr>
          <w:ilvl w:val="1"/>
          <w:numId w:val="104"/>
        </w:numPr>
        <w:tabs>
          <w:tab w:val="left" w:pos="426"/>
          <w:tab w:val="left" w:pos="1843"/>
        </w:tabs>
        <w:spacing w:after="0" w:line="240" w:lineRule="auto"/>
        <w:ind w:left="851" w:hanging="425"/>
        <w:jc w:val="both"/>
        <w:rPr>
          <w:rFonts w:cstheme="minorHAnsi"/>
          <w:rtl/>
        </w:rPr>
      </w:pPr>
      <w:r w:rsidRPr="00F30EF3">
        <w:rPr>
          <w:rFonts w:cstheme="minorHAnsi"/>
          <w:rtl/>
        </w:rPr>
        <w:t xml:space="preserve">المساعدة في تنبيه الموظفين للتعرف على المجالات التي قد يحدث فيها تضارب (تقديم إرشادات حول الحالات التي قد تؤدي إلى حدوث تضارب في المصالح أو تضارب في الالتزامات، على سبيل المثال، مقدار الوقت الذي قد يخصصه الموظفون للأنشطة الخارجية)؛ </w:t>
      </w:r>
    </w:p>
    <w:p w14:paraId="58FDC16F" w14:textId="77777777" w:rsidR="00BE40D9" w:rsidRPr="00F30EF3" w:rsidRDefault="00BE40D9" w:rsidP="009D4A54">
      <w:pPr>
        <w:pStyle w:val="ListParagraph"/>
        <w:numPr>
          <w:ilvl w:val="1"/>
          <w:numId w:val="104"/>
        </w:numPr>
        <w:tabs>
          <w:tab w:val="left" w:pos="426"/>
          <w:tab w:val="left" w:pos="1843"/>
        </w:tabs>
        <w:spacing w:after="0" w:line="240" w:lineRule="auto"/>
        <w:ind w:left="851" w:hanging="425"/>
        <w:jc w:val="both"/>
        <w:rPr>
          <w:rFonts w:cstheme="minorHAnsi"/>
          <w:rtl/>
        </w:rPr>
      </w:pPr>
      <w:r w:rsidRPr="00F30EF3">
        <w:rPr>
          <w:rFonts w:cstheme="minorHAnsi"/>
          <w:rtl/>
        </w:rPr>
        <w:t xml:space="preserve">التشجيع على الكشف الكامل عن مجالات التضارب المحتملة والمناقشة المفتوحة مع لجنة تضارب المصالح/ تضارب الالتزامات في مرحلة مبكرة (إجراءات ومتطلبات واضحة للكشف)؛ </w:t>
      </w:r>
    </w:p>
    <w:p w14:paraId="19F2B5F0" w14:textId="77777777" w:rsidR="00BE40D9" w:rsidRPr="00F30EF3" w:rsidRDefault="00BE40D9" w:rsidP="009D4A54">
      <w:pPr>
        <w:pStyle w:val="ListParagraph"/>
        <w:numPr>
          <w:ilvl w:val="1"/>
          <w:numId w:val="104"/>
        </w:numPr>
        <w:tabs>
          <w:tab w:val="left" w:pos="426"/>
          <w:tab w:val="left" w:pos="1843"/>
        </w:tabs>
        <w:spacing w:after="0" w:line="240" w:lineRule="auto"/>
        <w:ind w:left="851" w:hanging="425"/>
        <w:jc w:val="both"/>
        <w:rPr>
          <w:rFonts w:cstheme="minorHAnsi"/>
          <w:rtl/>
        </w:rPr>
      </w:pPr>
      <w:r w:rsidRPr="00F30EF3">
        <w:rPr>
          <w:rFonts w:cstheme="minorHAnsi"/>
          <w:rtl/>
        </w:rPr>
        <w:t xml:space="preserve">شرح الأدوار والمسؤوليات الخاصة بمكتب تضارب المصالح؛ </w:t>
      </w:r>
    </w:p>
    <w:p w14:paraId="0F3A8046" w14:textId="77777777" w:rsidR="007E7AC9" w:rsidRPr="00F30EF3" w:rsidRDefault="00BE40D9" w:rsidP="009D4A54">
      <w:pPr>
        <w:pStyle w:val="ListParagraph"/>
        <w:numPr>
          <w:ilvl w:val="1"/>
          <w:numId w:val="104"/>
        </w:numPr>
        <w:tabs>
          <w:tab w:val="left" w:pos="426"/>
          <w:tab w:val="left" w:pos="1843"/>
        </w:tabs>
        <w:spacing w:after="0" w:line="240" w:lineRule="auto"/>
        <w:ind w:left="851" w:hanging="425"/>
        <w:jc w:val="both"/>
        <w:rPr>
          <w:rFonts w:cstheme="minorHAnsi"/>
          <w:rtl/>
        </w:rPr>
      </w:pPr>
      <w:r w:rsidRPr="00F30EF3">
        <w:rPr>
          <w:rFonts w:cstheme="minorHAnsi"/>
          <w:rtl/>
        </w:rPr>
        <w:t xml:space="preserve">ضمان حماية المعلومات الشخصية والخصوصية، وما إلى ذلك. </w:t>
      </w:r>
    </w:p>
    <w:p w14:paraId="5257A6DD" w14:textId="77777777" w:rsidR="00F20AED" w:rsidRPr="00F30EF3" w:rsidRDefault="00BE40D9" w:rsidP="000B27B9">
      <w:pPr>
        <w:spacing w:before="360" w:after="360" w:line="240" w:lineRule="auto"/>
        <w:ind w:left="851" w:hanging="851"/>
        <w:jc w:val="both"/>
        <w:rPr>
          <w:rFonts w:cstheme="minorHAnsi"/>
          <w:b/>
          <w:bCs/>
          <w:color w:val="0070C0"/>
          <w:sz w:val="24"/>
          <w:szCs w:val="24"/>
          <w:rtl/>
        </w:rPr>
      </w:pPr>
      <w:r w:rsidRPr="00F30EF3">
        <w:rPr>
          <w:rFonts w:cstheme="minorHAnsi"/>
          <w:b/>
          <w:bCs/>
          <w:color w:val="0070C0"/>
          <w:sz w:val="24"/>
          <w:szCs w:val="24"/>
          <w:rtl/>
        </w:rPr>
        <w:t>الموارد المفيدة المتعلقة بالمادة 13</w:t>
      </w:r>
    </w:p>
    <w:p w14:paraId="07A95749" w14:textId="77777777" w:rsidR="007E506B" w:rsidRPr="00F30EF3" w:rsidRDefault="007E506B" w:rsidP="00464282">
      <w:pPr>
        <w:pStyle w:val="Footer"/>
        <w:numPr>
          <w:ilvl w:val="0"/>
          <w:numId w:val="8"/>
        </w:numPr>
        <w:ind w:left="426" w:hanging="426"/>
        <w:jc w:val="both"/>
        <w:rPr>
          <w:rFonts w:cstheme="minorHAnsi"/>
          <w:snapToGrid w:val="0"/>
          <w:rtl/>
        </w:rPr>
      </w:pPr>
      <w:r w:rsidRPr="00F30EF3">
        <w:rPr>
          <w:rFonts w:cstheme="minorHAnsi"/>
          <w:b/>
          <w:bCs/>
          <w:snapToGrid w:val="0"/>
          <w:rtl/>
        </w:rPr>
        <w:t>المبادئ التوجيهية بشأن تضارب المصالح/تضارب الالتزامات</w:t>
      </w:r>
      <w:r w:rsidRPr="00F30EF3">
        <w:rPr>
          <w:rFonts w:cstheme="minorHAnsi"/>
          <w:snapToGrid w:val="0"/>
          <w:rtl/>
        </w:rPr>
        <w:t>.</w:t>
      </w:r>
    </w:p>
    <w:p w14:paraId="06864DAF" w14:textId="77777777" w:rsidR="00A20FB3" w:rsidRPr="00F30EF3" w:rsidRDefault="005C1F6D" w:rsidP="009D4A54">
      <w:pPr>
        <w:pStyle w:val="Footer"/>
        <w:numPr>
          <w:ilvl w:val="1"/>
          <w:numId w:val="146"/>
        </w:numPr>
        <w:ind w:left="851" w:hanging="425"/>
        <w:jc w:val="both"/>
        <w:rPr>
          <w:rFonts w:cstheme="minorHAnsi"/>
          <w:snapToGrid w:val="0"/>
          <w:rtl/>
        </w:rPr>
      </w:pPr>
      <w:r w:rsidRPr="00F30EF3">
        <w:rPr>
          <w:rFonts w:cstheme="minorHAnsi"/>
          <w:rtl/>
        </w:rPr>
        <w:t xml:space="preserve">قدم </w:t>
      </w:r>
      <w:hyperlink r:id="rId205" w:history="1">
        <w:r w:rsidRPr="00F30EF3">
          <w:rPr>
            <w:rStyle w:val="Hyperlink"/>
            <w:rFonts w:cstheme="minorHAnsi"/>
            <w:i/>
            <w:iCs/>
            <w:snapToGrid w:val="0"/>
            <w:rtl/>
          </w:rPr>
          <w:t>تقرير تضارب المصالح المالية الفردية والمؤسسية</w:t>
        </w:r>
      </w:hyperlink>
      <w:r w:rsidRPr="00F30EF3">
        <w:rPr>
          <w:rFonts w:cstheme="minorHAnsi"/>
          <w:rtl/>
        </w:rPr>
        <w:t xml:space="preserve"> </w:t>
      </w:r>
      <w:r w:rsidRPr="00F30EF3">
        <w:rPr>
          <w:rFonts w:cstheme="minorHAnsi"/>
          <w:snapToGrid w:val="0"/>
          <w:rtl/>
        </w:rPr>
        <w:t>لرابطة الجامعات الأمريكية (2001) تعريفات وإرشادات تشغيلية لتضارب المصالح وقائمة مرجعية بالأسئلة لقادة الجامعات حول إدارة تضارب المصالح.</w:t>
      </w:r>
    </w:p>
    <w:p w14:paraId="695EF4F5" w14:textId="77777777" w:rsidR="00F77A00" w:rsidRPr="00F30EF3" w:rsidRDefault="00F77A00" w:rsidP="009D4A54">
      <w:pPr>
        <w:pStyle w:val="Footer"/>
        <w:numPr>
          <w:ilvl w:val="1"/>
          <w:numId w:val="146"/>
        </w:numPr>
        <w:ind w:left="851" w:hanging="425"/>
        <w:jc w:val="both"/>
        <w:rPr>
          <w:rFonts w:cstheme="minorHAnsi"/>
          <w:snapToGrid w:val="0"/>
          <w:rtl/>
        </w:rPr>
      </w:pPr>
      <w:r w:rsidRPr="00F30EF3">
        <w:rPr>
          <w:rFonts w:cstheme="minorHAnsi"/>
          <w:snapToGrid w:val="0"/>
          <w:rtl/>
        </w:rPr>
        <w:t xml:space="preserve">الرابطة الأمريكية للأساتذة الجامعيين، </w:t>
      </w:r>
      <w:hyperlink r:id="rId206" w:history="1">
        <w:r w:rsidRPr="00F30EF3">
          <w:rPr>
            <w:rStyle w:val="Hyperlink"/>
            <w:rFonts w:cstheme="minorHAnsi"/>
            <w:i/>
            <w:iCs/>
            <w:snapToGrid w:val="0"/>
            <w:rtl/>
          </w:rPr>
          <w:t>ملخص التوصيات، 56 مبدأ لتوجيه المشاركة بين الأكاديمية والصناعة</w:t>
        </w:r>
      </w:hyperlink>
      <w:r w:rsidRPr="00F30EF3">
        <w:rPr>
          <w:rFonts w:cstheme="minorHAnsi"/>
          <w:snapToGrid w:val="0"/>
          <w:rtl/>
        </w:rPr>
        <w:t>، يحتوي على مبادئ عامة لتوجيه إدارة تضارب المصالح</w:t>
      </w:r>
    </w:p>
    <w:p w14:paraId="7AE858A8" w14:textId="77777777" w:rsidR="00F20AED" w:rsidRPr="00F30EF3" w:rsidRDefault="00F20AED" w:rsidP="00F20AED">
      <w:pPr>
        <w:pStyle w:val="ListParagraph"/>
        <w:shd w:val="clear" w:color="auto" w:fill="FFFFFF" w:themeFill="background1"/>
        <w:tabs>
          <w:tab w:val="left" w:pos="426"/>
        </w:tabs>
        <w:autoSpaceDE w:val="0"/>
        <w:autoSpaceDN w:val="0"/>
        <w:adjustRightInd w:val="0"/>
        <w:spacing w:after="0" w:line="240" w:lineRule="auto"/>
        <w:ind w:left="426"/>
        <w:jc w:val="both"/>
        <w:rPr>
          <w:rFonts w:cstheme="minorHAnsi"/>
          <w:i/>
          <w:iCs/>
          <w:color w:val="943634" w:themeColor="accent2" w:themeShade="BF"/>
          <w:lang w:val="en-US"/>
        </w:rPr>
      </w:pPr>
    </w:p>
    <w:p w14:paraId="3E9E1653" w14:textId="77777777" w:rsidR="003C5CA1" w:rsidRPr="00F30EF3" w:rsidRDefault="003E3402" w:rsidP="00464282">
      <w:pPr>
        <w:pStyle w:val="ListParagraph"/>
        <w:numPr>
          <w:ilvl w:val="0"/>
          <w:numId w:val="8"/>
        </w:numPr>
        <w:shd w:val="clear" w:color="auto" w:fill="FFFFFF" w:themeFill="background1"/>
        <w:tabs>
          <w:tab w:val="left" w:pos="426"/>
        </w:tabs>
        <w:autoSpaceDE w:val="0"/>
        <w:autoSpaceDN w:val="0"/>
        <w:adjustRightInd w:val="0"/>
        <w:spacing w:after="0" w:line="240" w:lineRule="auto"/>
        <w:ind w:left="426" w:hanging="426"/>
        <w:jc w:val="both"/>
        <w:rPr>
          <w:rFonts w:cstheme="minorHAnsi"/>
          <w:rtl/>
        </w:rPr>
      </w:pPr>
      <w:r w:rsidRPr="00F30EF3">
        <w:rPr>
          <w:rFonts w:cstheme="minorHAnsi"/>
          <w:b/>
          <w:bCs/>
          <w:rtl/>
        </w:rPr>
        <w:t>أمثلة على سياسات تضارب المصالح/تضارب الالتزامات</w:t>
      </w:r>
      <w:r w:rsidRPr="00F30EF3">
        <w:rPr>
          <w:rFonts w:cstheme="minorHAnsi"/>
          <w:rtl/>
        </w:rPr>
        <w:t xml:space="preserve">. يوجد لدى العديد من المؤسسات سياسة منفصلة بشأن تضارب المصالح وتضارب الالتزامات، مصحوبة أحياناً بمبادئ توجيهية، وإجراءات خاصة بتضارب المصالح، واستمارات الكشف عن تضارب المصالح، وغيرها من الأدوات. </w:t>
      </w:r>
    </w:p>
    <w:p w14:paraId="51CB3A34" w14:textId="77777777" w:rsidR="00F20AED" w:rsidRPr="00F30EF3" w:rsidRDefault="00F20AED" w:rsidP="009D4A54">
      <w:pPr>
        <w:pStyle w:val="ListParagraph"/>
        <w:numPr>
          <w:ilvl w:val="1"/>
          <w:numId w:val="147"/>
        </w:numPr>
        <w:shd w:val="clear" w:color="auto" w:fill="FFFFFF" w:themeFill="background1"/>
        <w:tabs>
          <w:tab w:val="left" w:pos="426"/>
        </w:tabs>
        <w:autoSpaceDE w:val="0"/>
        <w:autoSpaceDN w:val="0"/>
        <w:adjustRightInd w:val="0"/>
        <w:spacing w:after="0" w:line="240" w:lineRule="auto"/>
        <w:ind w:left="851" w:hanging="425"/>
        <w:jc w:val="both"/>
        <w:rPr>
          <w:rFonts w:cstheme="minorHAnsi"/>
          <w:rtl/>
        </w:rPr>
      </w:pPr>
      <w:r w:rsidRPr="00F30EF3">
        <w:rPr>
          <w:rFonts w:cstheme="minorHAnsi"/>
          <w:rtl/>
        </w:rPr>
        <w:t>ويمكن الاطلاع على أمثلة توضيحية في قاعدة بيانات الويبو بشأن سياسات الملكية الفكرية، باختيار محور "تضارب المصالح".  على سبيل المثال:</w:t>
      </w:r>
    </w:p>
    <w:p w14:paraId="7C84C4BD" w14:textId="77777777" w:rsidR="00F20AED" w:rsidRPr="00F30EF3" w:rsidRDefault="00D3795B"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cstheme="minorHAnsi"/>
          <w:rtl/>
        </w:rPr>
      </w:pPr>
      <w:hyperlink r:id="rId207" w:history="1">
        <w:r w:rsidR="00372C70" w:rsidRPr="00F30EF3">
          <w:rPr>
            <w:rStyle w:val="Hyperlink"/>
            <w:rFonts w:cstheme="minorHAnsi"/>
            <w:rtl/>
          </w:rPr>
          <w:t>جامعة غلاسكو</w:t>
        </w:r>
      </w:hyperlink>
      <w:r w:rsidR="00372C70" w:rsidRPr="00F30EF3">
        <w:rPr>
          <w:rFonts w:cstheme="minorHAnsi"/>
          <w:rtl/>
        </w:rPr>
        <w:t>، المملكة المتحدة</w:t>
      </w:r>
    </w:p>
    <w:p w14:paraId="0C7C7D6D" w14:textId="77777777" w:rsidR="00BF5EC9" w:rsidRPr="00F30EF3" w:rsidRDefault="00D3795B"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cstheme="minorHAnsi"/>
          <w:rtl/>
        </w:rPr>
      </w:pPr>
      <w:hyperlink r:id="rId208" w:history="1">
        <w:r w:rsidR="00372C70" w:rsidRPr="00F30EF3">
          <w:rPr>
            <w:rStyle w:val="Hyperlink"/>
            <w:rFonts w:cstheme="minorHAnsi"/>
            <w:rtl/>
          </w:rPr>
          <w:t>جامعة نورث وسترن</w:t>
        </w:r>
      </w:hyperlink>
      <w:r w:rsidR="00372C70" w:rsidRPr="00F30EF3">
        <w:rPr>
          <w:rFonts w:cstheme="minorHAnsi"/>
          <w:rtl/>
        </w:rPr>
        <w:t>، الولايات المتحدة الأمريكية</w:t>
      </w:r>
    </w:p>
    <w:p w14:paraId="1EE46E54" w14:textId="77777777" w:rsidR="00C21C73" w:rsidRPr="00F30EF3" w:rsidRDefault="00D3795B"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cstheme="minorHAnsi"/>
          <w:rtl/>
        </w:rPr>
      </w:pPr>
      <w:hyperlink r:id="rId209" w:history="1">
        <w:r w:rsidR="00372C70" w:rsidRPr="00F30EF3">
          <w:rPr>
            <w:rStyle w:val="Hyperlink"/>
            <w:rFonts w:cstheme="minorHAnsi"/>
            <w:rtl/>
          </w:rPr>
          <w:t>جامعة أوكلاند</w:t>
        </w:r>
      </w:hyperlink>
      <w:r w:rsidR="00372C70" w:rsidRPr="00F30EF3">
        <w:rPr>
          <w:rFonts w:cstheme="minorHAnsi"/>
          <w:rtl/>
        </w:rPr>
        <w:t>، نيوزيلندا</w:t>
      </w:r>
    </w:p>
    <w:p w14:paraId="3C695B0B" w14:textId="77777777" w:rsidR="0039187D" w:rsidRPr="00F30EF3" w:rsidRDefault="00D3795B"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cstheme="minorHAnsi"/>
          <w:rtl/>
        </w:rPr>
      </w:pPr>
      <w:hyperlink r:id="rId210" w:history="1">
        <w:r w:rsidR="00372C70" w:rsidRPr="00F30EF3">
          <w:rPr>
            <w:rStyle w:val="Hyperlink"/>
            <w:rFonts w:cstheme="minorHAnsi"/>
            <w:rtl/>
          </w:rPr>
          <w:t>جامعة نوتردام</w:t>
        </w:r>
      </w:hyperlink>
      <w:r w:rsidR="00372C70" w:rsidRPr="00F30EF3">
        <w:rPr>
          <w:rFonts w:cstheme="minorHAnsi"/>
          <w:rtl/>
        </w:rPr>
        <w:t>، الولايات المتحدة الأمريكية نيروبي</w:t>
      </w:r>
    </w:p>
    <w:p w14:paraId="30D67643" w14:textId="77777777" w:rsidR="00541C91" w:rsidRPr="00F30EF3" w:rsidRDefault="00D3795B"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cstheme="minorHAnsi"/>
          <w:rtl/>
        </w:rPr>
      </w:pPr>
      <w:hyperlink r:id="rId211" w:history="1">
        <w:r w:rsidR="00372C70" w:rsidRPr="00F30EF3">
          <w:rPr>
            <w:rStyle w:val="Hyperlink"/>
            <w:rFonts w:cstheme="minorHAnsi"/>
            <w:rtl/>
          </w:rPr>
          <w:t>جامعة تشوكا</w:t>
        </w:r>
      </w:hyperlink>
      <w:r w:rsidR="00372C70" w:rsidRPr="00F30EF3">
        <w:rPr>
          <w:rFonts w:cstheme="minorHAnsi"/>
          <w:rtl/>
        </w:rPr>
        <w:t>، كينيا</w:t>
      </w:r>
    </w:p>
    <w:p w14:paraId="2E83A3D6" w14:textId="77777777" w:rsidR="003C5CA1" w:rsidRPr="00F30EF3" w:rsidRDefault="003C5CA1" w:rsidP="009D4A54">
      <w:pPr>
        <w:pStyle w:val="ListParagraph"/>
        <w:numPr>
          <w:ilvl w:val="1"/>
          <w:numId w:val="148"/>
        </w:numPr>
        <w:shd w:val="clear" w:color="auto" w:fill="FFFFFF" w:themeFill="background1"/>
        <w:tabs>
          <w:tab w:val="left" w:pos="426"/>
          <w:tab w:val="left" w:pos="851"/>
          <w:tab w:val="left" w:pos="1276"/>
        </w:tabs>
        <w:autoSpaceDE w:val="0"/>
        <w:autoSpaceDN w:val="0"/>
        <w:adjustRightInd w:val="0"/>
        <w:spacing w:before="100" w:beforeAutospacing="1" w:after="0" w:afterAutospacing="1" w:line="240" w:lineRule="auto"/>
        <w:ind w:left="851" w:hanging="425"/>
        <w:jc w:val="both"/>
        <w:rPr>
          <w:rFonts w:cstheme="minorHAnsi"/>
          <w:rtl/>
        </w:rPr>
      </w:pPr>
      <w:r w:rsidRPr="00F30EF3">
        <w:rPr>
          <w:rFonts w:cstheme="minorHAnsi"/>
          <w:rtl/>
        </w:rPr>
        <w:t xml:space="preserve">يمكن الاطلاع على أمثلة لسياسات تضارب المصالح بالولايات المتحدة على </w:t>
      </w:r>
      <w:hyperlink r:id="rId212" w:history="1">
        <w:r w:rsidRPr="00F30EF3">
          <w:rPr>
            <w:rStyle w:val="Hyperlink"/>
            <w:rFonts w:cstheme="minorHAnsi"/>
            <w:rtl/>
          </w:rPr>
          <w:t>موقع جمعية مديري التكنولوجيا بالجامعات الإلكتروني</w:t>
        </w:r>
      </w:hyperlink>
      <w:r w:rsidRPr="00F30EF3">
        <w:rPr>
          <w:rFonts w:cstheme="minorHAnsi"/>
          <w:rtl/>
        </w:rPr>
        <w:t>.</w:t>
      </w:r>
    </w:p>
    <w:p w14:paraId="0B3104C3" w14:textId="77777777" w:rsidR="003D3A23" w:rsidRPr="00F30EF3" w:rsidRDefault="003C5CA1" w:rsidP="009D4A54">
      <w:pPr>
        <w:pStyle w:val="ListParagraph"/>
        <w:numPr>
          <w:ilvl w:val="1"/>
          <w:numId w:val="148"/>
        </w:numPr>
        <w:shd w:val="clear" w:color="auto" w:fill="FFFFFF" w:themeFill="background1"/>
        <w:tabs>
          <w:tab w:val="left" w:pos="426"/>
        </w:tabs>
        <w:autoSpaceDE w:val="0"/>
        <w:autoSpaceDN w:val="0"/>
        <w:adjustRightInd w:val="0"/>
        <w:spacing w:after="0" w:line="240" w:lineRule="auto"/>
        <w:ind w:left="851" w:hanging="425"/>
        <w:jc w:val="both"/>
        <w:rPr>
          <w:rFonts w:cstheme="minorHAnsi"/>
          <w:rtl/>
        </w:rPr>
      </w:pPr>
      <w:r w:rsidRPr="00F30EF3">
        <w:rPr>
          <w:rFonts w:cstheme="minorHAnsi"/>
          <w:rtl/>
        </w:rPr>
        <w:t xml:space="preserve">وتشمل الأمثلة الأخرى ما يلي: </w:t>
      </w:r>
    </w:p>
    <w:p w14:paraId="72907345" w14:textId="77777777" w:rsidR="003D3A23" w:rsidRPr="00F30EF3" w:rsidRDefault="00D3795B" w:rsidP="009D4A54">
      <w:pPr>
        <w:pStyle w:val="ListParagraph"/>
        <w:numPr>
          <w:ilvl w:val="1"/>
          <w:numId w:val="54"/>
        </w:numPr>
        <w:tabs>
          <w:tab w:val="left" w:pos="1276"/>
          <w:tab w:val="left" w:pos="1843"/>
        </w:tabs>
        <w:spacing w:before="100" w:beforeAutospacing="1" w:after="100" w:afterAutospacing="1" w:line="240" w:lineRule="auto"/>
        <w:ind w:left="1276" w:hanging="425"/>
        <w:jc w:val="both"/>
        <w:rPr>
          <w:rFonts w:cstheme="minorHAnsi"/>
          <w:rtl/>
        </w:rPr>
      </w:pPr>
      <w:hyperlink r:id="rId213" w:history="1">
        <w:r w:rsidR="00372C70" w:rsidRPr="00F30EF3">
          <w:rPr>
            <w:rStyle w:val="Hyperlink"/>
            <w:rFonts w:cstheme="minorHAnsi"/>
            <w:rtl/>
          </w:rPr>
          <w:t>المعهد الهندي للتكنولوجيا</w:t>
        </w:r>
      </w:hyperlink>
      <w:r w:rsidR="00372C70" w:rsidRPr="00F30EF3">
        <w:rPr>
          <w:rFonts w:cstheme="minorHAnsi"/>
          <w:rtl/>
        </w:rPr>
        <w:t>، بومباي</w:t>
      </w:r>
    </w:p>
    <w:p w14:paraId="2AA31461" w14:textId="77777777" w:rsidR="00C9585B" w:rsidRPr="00F30EF3" w:rsidRDefault="00D3795B" w:rsidP="009D4A54">
      <w:pPr>
        <w:pStyle w:val="ListParagraph"/>
        <w:numPr>
          <w:ilvl w:val="1"/>
          <w:numId w:val="54"/>
        </w:numPr>
        <w:tabs>
          <w:tab w:val="left" w:pos="1276"/>
          <w:tab w:val="left" w:pos="1843"/>
        </w:tabs>
        <w:spacing w:before="100" w:beforeAutospacing="1" w:after="100" w:afterAutospacing="1" w:line="240" w:lineRule="auto"/>
        <w:ind w:left="1276" w:hanging="425"/>
        <w:rPr>
          <w:rFonts w:cstheme="minorHAnsi"/>
          <w:rtl/>
        </w:rPr>
      </w:pPr>
      <w:hyperlink r:id="rId214" w:history="1">
        <w:r w:rsidR="00372C70" w:rsidRPr="00F30EF3">
          <w:rPr>
            <w:rStyle w:val="Hyperlink"/>
            <w:rFonts w:cstheme="minorHAnsi"/>
            <w:snapToGrid w:val="0"/>
            <w:rtl/>
          </w:rPr>
          <w:t>جامعة</w:t>
        </w:r>
        <w:r w:rsidR="00372C70" w:rsidRPr="00F30EF3">
          <w:rPr>
            <w:rStyle w:val="Hyperlink"/>
            <w:rFonts w:cstheme="minorHAnsi"/>
            <w:rtl/>
          </w:rPr>
          <w:t xml:space="preserve"> كيب تاون</w:t>
        </w:r>
      </w:hyperlink>
      <w:r w:rsidR="00372C70" w:rsidRPr="00F30EF3">
        <w:rPr>
          <w:rFonts w:cstheme="minorHAnsi"/>
          <w:rtl/>
        </w:rPr>
        <w:t>، جنوب أفريقيا</w:t>
      </w:r>
    </w:p>
    <w:p w14:paraId="4D519FE2" w14:textId="77777777" w:rsidR="00162F6A" w:rsidRPr="00F30EF3" w:rsidRDefault="00C9585B" w:rsidP="009D4A54">
      <w:pPr>
        <w:pStyle w:val="ListParagraph"/>
        <w:numPr>
          <w:ilvl w:val="1"/>
          <w:numId w:val="54"/>
        </w:numPr>
        <w:tabs>
          <w:tab w:val="left" w:pos="1276"/>
          <w:tab w:val="left" w:pos="1843"/>
        </w:tabs>
        <w:spacing w:before="100" w:beforeAutospacing="1" w:after="100" w:afterAutospacing="1" w:line="240" w:lineRule="auto"/>
        <w:ind w:left="1276" w:hanging="425"/>
        <w:jc w:val="both"/>
        <w:rPr>
          <w:rFonts w:cstheme="minorHAnsi"/>
          <w:rtl/>
        </w:rPr>
      </w:pPr>
      <w:r w:rsidRPr="00F30EF3">
        <w:rPr>
          <w:rFonts w:cstheme="minorHAnsi"/>
          <w:snapToGrid w:val="0"/>
          <w:rtl/>
        </w:rPr>
        <w:t>جامعة هارفارد، الولايات المتحدة الأمريكية</w:t>
      </w:r>
    </w:p>
    <w:p w14:paraId="4F6F885A" w14:textId="77777777" w:rsidR="00046743" w:rsidRPr="00F30EF3" w:rsidRDefault="00D3795B" w:rsidP="009D4A54">
      <w:pPr>
        <w:pStyle w:val="ListParagraph"/>
        <w:numPr>
          <w:ilvl w:val="1"/>
          <w:numId w:val="54"/>
        </w:numPr>
        <w:tabs>
          <w:tab w:val="left" w:pos="1276"/>
          <w:tab w:val="left" w:pos="1843"/>
        </w:tabs>
        <w:spacing w:before="100" w:beforeAutospacing="1" w:after="100" w:afterAutospacing="1" w:line="240" w:lineRule="auto"/>
        <w:ind w:left="1276" w:hanging="425"/>
        <w:jc w:val="both"/>
        <w:rPr>
          <w:rFonts w:cstheme="minorHAnsi"/>
          <w:rtl/>
        </w:rPr>
      </w:pPr>
      <w:hyperlink r:id="rId215" w:history="1">
        <w:r w:rsidR="00372C70" w:rsidRPr="00F30EF3">
          <w:rPr>
            <w:rStyle w:val="Hyperlink"/>
            <w:rFonts w:cstheme="minorHAnsi"/>
            <w:snapToGrid w:val="0"/>
          </w:rPr>
          <w:t>MIT</w:t>
        </w:r>
      </w:hyperlink>
      <w:r w:rsidR="00372C70" w:rsidRPr="00F30EF3">
        <w:rPr>
          <w:rFonts w:cstheme="minorHAnsi"/>
          <w:snapToGrid w:val="0"/>
          <w:rtl/>
        </w:rPr>
        <w:t>، الولايات المتحدة الأمريكية، بيان سياسة تضارب المصالح</w:t>
      </w:r>
    </w:p>
    <w:p w14:paraId="04CECA14" w14:textId="77777777" w:rsidR="00F20AED" w:rsidRPr="00F30EF3" w:rsidRDefault="00D3795B" w:rsidP="009D4A54">
      <w:pPr>
        <w:pStyle w:val="ListParagraph"/>
        <w:numPr>
          <w:ilvl w:val="1"/>
          <w:numId w:val="54"/>
        </w:numPr>
        <w:tabs>
          <w:tab w:val="left" w:pos="1276"/>
          <w:tab w:val="left" w:pos="1843"/>
        </w:tabs>
        <w:spacing w:before="100" w:beforeAutospacing="1" w:after="100" w:afterAutospacing="1" w:line="240" w:lineRule="auto"/>
        <w:ind w:left="1276" w:hanging="425"/>
        <w:rPr>
          <w:rFonts w:cstheme="minorHAnsi"/>
          <w:i/>
          <w:iCs/>
          <w:rtl/>
        </w:rPr>
      </w:pPr>
      <w:hyperlink r:id="rId216" w:history="1">
        <w:r w:rsidR="00372C70" w:rsidRPr="00F30EF3">
          <w:rPr>
            <w:rStyle w:val="Hyperlink"/>
            <w:rFonts w:cstheme="minorHAnsi"/>
            <w:snapToGrid w:val="0"/>
            <w:rtl/>
          </w:rPr>
          <w:t>جامعة أكسفورد</w:t>
        </w:r>
      </w:hyperlink>
      <w:r w:rsidR="00372C70" w:rsidRPr="00F30EF3">
        <w:rPr>
          <w:rFonts w:cstheme="minorHAnsi"/>
          <w:snapToGrid w:val="0"/>
          <w:rtl/>
        </w:rPr>
        <w:t>، المملكة المتحدة</w:t>
      </w:r>
    </w:p>
    <w:p w14:paraId="0C2B0B87" w14:textId="77777777" w:rsidR="00621A21" w:rsidRPr="00F30EF3" w:rsidRDefault="00D3795B" w:rsidP="00165A63">
      <w:pPr>
        <w:pStyle w:val="ListParagraph"/>
        <w:numPr>
          <w:ilvl w:val="1"/>
          <w:numId w:val="54"/>
        </w:numPr>
        <w:tabs>
          <w:tab w:val="left" w:pos="1276"/>
          <w:tab w:val="left" w:pos="1843"/>
        </w:tabs>
        <w:spacing w:before="100" w:beforeAutospacing="1" w:after="100" w:afterAutospacing="1" w:line="240" w:lineRule="auto"/>
        <w:ind w:left="1276" w:hanging="425"/>
        <w:rPr>
          <w:rFonts w:cstheme="minorHAnsi"/>
          <w:i/>
          <w:iCs/>
          <w:rtl/>
        </w:rPr>
      </w:pPr>
      <w:hyperlink r:id="rId217" w:history="1">
        <w:r w:rsidR="00372C70" w:rsidRPr="00F30EF3">
          <w:rPr>
            <w:rStyle w:val="Hyperlink"/>
            <w:rFonts w:cstheme="minorHAnsi"/>
            <w:snapToGrid w:val="0"/>
            <w:rtl/>
          </w:rPr>
          <w:t>مدرسة لوزان الاتحادية للعلوم التطبيقية</w:t>
        </w:r>
      </w:hyperlink>
      <w:r w:rsidR="00372C70" w:rsidRPr="00F30EF3">
        <w:rPr>
          <w:rFonts w:cstheme="minorHAnsi"/>
          <w:snapToGrid w:val="0"/>
          <w:rtl/>
        </w:rPr>
        <w:t xml:space="preserve"> (</w:t>
      </w:r>
      <w:r w:rsidR="00372C70" w:rsidRPr="00F30EF3">
        <w:rPr>
          <w:rFonts w:cstheme="minorHAnsi"/>
          <w:snapToGrid w:val="0"/>
        </w:rPr>
        <w:t>EPFL</w:t>
      </w:r>
      <w:r w:rsidR="00372C70" w:rsidRPr="00F30EF3">
        <w:rPr>
          <w:rFonts w:cstheme="minorHAnsi"/>
          <w:snapToGrid w:val="0"/>
          <w:rtl/>
        </w:rPr>
        <w:t>)</w:t>
      </w:r>
    </w:p>
    <w:p w14:paraId="6A65FE9A" w14:textId="77777777" w:rsidR="00E22076" w:rsidRPr="00F30EF3" w:rsidRDefault="00E22076" w:rsidP="002F3C51">
      <w:pPr>
        <w:pStyle w:val="Heading2"/>
        <w:rPr>
          <w:rFonts w:asciiTheme="minorHAnsi" w:hAnsiTheme="minorHAnsi" w:cstheme="minorHAnsi"/>
          <w:sz w:val="22"/>
          <w:szCs w:val="22"/>
          <w:rtl/>
        </w:rPr>
      </w:pPr>
      <w:bookmarkStart w:id="414" w:name="_Toc490468529"/>
      <w:bookmarkStart w:id="415" w:name="_Toc490821217"/>
    </w:p>
    <w:p w14:paraId="65E53B80" w14:textId="77777777" w:rsidR="004454DD" w:rsidRPr="00F30EF3" w:rsidRDefault="004454DD" w:rsidP="002F3C51">
      <w:pPr>
        <w:pStyle w:val="Heading2"/>
        <w:rPr>
          <w:rFonts w:asciiTheme="minorHAnsi" w:hAnsiTheme="minorHAnsi" w:cstheme="minorHAnsi"/>
          <w:rtl/>
        </w:rPr>
      </w:pPr>
      <w:bookmarkStart w:id="416" w:name="_Toc516160116"/>
      <w:bookmarkStart w:id="417" w:name="_Toc516219452"/>
      <w:bookmarkStart w:id="418" w:name="_Toc516496096"/>
      <w:bookmarkStart w:id="419" w:name="_Toc516829468"/>
      <w:bookmarkStart w:id="420" w:name="_Toc178260772"/>
      <w:r w:rsidRPr="00F30EF3">
        <w:rPr>
          <w:rFonts w:asciiTheme="minorHAnsi" w:hAnsiTheme="minorHAnsi" w:cstheme="minorHAnsi"/>
          <w:rtl/>
        </w:rPr>
        <w:t xml:space="preserve">المادة 14 - </w:t>
      </w:r>
      <w:bookmarkEnd w:id="414"/>
      <w:bookmarkEnd w:id="415"/>
      <w:r w:rsidRPr="00F30EF3">
        <w:rPr>
          <w:rFonts w:asciiTheme="minorHAnsi" w:hAnsiTheme="minorHAnsi" w:cstheme="minorHAnsi"/>
          <w:rtl/>
        </w:rPr>
        <w:t>النزاع</w:t>
      </w:r>
      <w:bookmarkEnd w:id="416"/>
      <w:bookmarkEnd w:id="417"/>
      <w:bookmarkEnd w:id="418"/>
      <w:bookmarkEnd w:id="419"/>
      <w:bookmarkEnd w:id="420"/>
    </w:p>
    <w:p w14:paraId="26288A5F" w14:textId="77777777" w:rsidR="00E22076" w:rsidRPr="00F30EF3" w:rsidRDefault="00E22076">
      <w:pPr>
        <w:pStyle w:val="Heading2"/>
        <w:rPr>
          <w:rFonts w:asciiTheme="minorHAnsi" w:hAnsiTheme="minorHAnsi" w:cstheme="minorHAnsi"/>
          <w:sz w:val="22"/>
          <w:szCs w:val="22"/>
          <w:lang w:val="en-US"/>
        </w:rPr>
      </w:pPr>
    </w:p>
    <w:p w14:paraId="7C51356D" w14:textId="35FAF633" w:rsidR="00F20AED" w:rsidRPr="00F30EF3" w:rsidRDefault="00F20AED" w:rsidP="000A40D5">
      <w:pPr>
        <w:pStyle w:val="Heading3"/>
        <w:numPr>
          <w:ilvl w:val="0"/>
          <w:numId w:val="56"/>
        </w:numPr>
        <w:spacing w:after="120"/>
        <w:ind w:left="432" w:hanging="432"/>
        <w:jc w:val="both"/>
        <w:rPr>
          <w:rFonts w:asciiTheme="minorHAnsi" w:hAnsiTheme="minorHAnsi" w:cstheme="minorHAnsi"/>
          <w:b w:val="0"/>
          <w:bCs w:val="0"/>
          <w:color w:val="auto"/>
          <w:sz w:val="22"/>
          <w:szCs w:val="22"/>
          <w:rtl/>
        </w:rPr>
      </w:pPr>
      <w:bookmarkStart w:id="421" w:name="_Toc494116001"/>
      <w:bookmarkStart w:id="422" w:name="_Toc516160117"/>
      <w:bookmarkStart w:id="423" w:name="_Toc516219453"/>
      <w:bookmarkStart w:id="424" w:name="_Toc516496097"/>
      <w:bookmarkStart w:id="425" w:name="_Toc516829469"/>
      <w:bookmarkEnd w:id="413"/>
      <w:r w:rsidRPr="00F30EF3">
        <w:rPr>
          <w:rFonts w:asciiTheme="minorHAnsi" w:hAnsiTheme="minorHAnsi" w:cstheme="minorHAnsi"/>
          <w:color w:val="auto"/>
          <w:sz w:val="22"/>
          <w:szCs w:val="22"/>
          <w:rtl/>
        </w:rPr>
        <w:t>المادة 1.14 - انتهاك السياسة</w:t>
      </w:r>
      <w:bookmarkEnd w:id="421"/>
      <w:r w:rsidRPr="00F30EF3">
        <w:rPr>
          <w:rFonts w:asciiTheme="minorHAnsi" w:hAnsiTheme="minorHAnsi" w:cstheme="minorHAnsi"/>
          <w:b w:val="0"/>
          <w:bCs w:val="0"/>
          <w:color w:val="auto"/>
          <w:sz w:val="22"/>
          <w:szCs w:val="22"/>
          <w:rtl/>
        </w:rPr>
        <w:t>: تُشجَّع المؤسسات على تطبيق سياسة الملكية الفكرية الخاصة بها بشكل واضح ومتسق. ومع ذلك، قد يكون هناك ما يبرر توخي بعض الحذر. ويمكن أن يكون لتطبيق سياسة الملكية الفكرية بصرامة مفرطة تأثير سلبي محتمل على الثقافة والأنشطة التقليدية للجامعة. ويجب أن تتجنب الجامعات البيروقراطيات الاستبدادية والعقوبات الصارمة للغاية على مخالفات سياسة الملكية الفكرية. والأهم من ذلك، يجب على المخترعين والمبدعين المحتملين المشاركة في عملية الملكية الفكرية طواعية وليس بالقوة. وسيتعين على كل مؤسسة تحديد مدى صرامتها في تطبيق سياسة الملكية الفكرية.</w:t>
      </w:r>
      <w:bookmarkEnd w:id="422"/>
      <w:bookmarkEnd w:id="423"/>
      <w:bookmarkEnd w:id="424"/>
      <w:bookmarkEnd w:id="425"/>
    </w:p>
    <w:p w14:paraId="527B8B69" w14:textId="77777777" w:rsidR="005F0C90" w:rsidRPr="00F30EF3" w:rsidRDefault="00F20AED" w:rsidP="000A40D5">
      <w:pPr>
        <w:pStyle w:val="Heading3"/>
        <w:numPr>
          <w:ilvl w:val="0"/>
          <w:numId w:val="56"/>
        </w:numPr>
        <w:spacing w:after="120"/>
        <w:ind w:left="432" w:hanging="432"/>
        <w:jc w:val="both"/>
        <w:rPr>
          <w:rFonts w:asciiTheme="minorHAnsi" w:hAnsiTheme="minorHAnsi" w:cstheme="minorHAnsi"/>
          <w:sz w:val="22"/>
          <w:szCs w:val="22"/>
          <w:rtl/>
        </w:rPr>
      </w:pPr>
      <w:bookmarkStart w:id="426" w:name="_Toc516160118"/>
      <w:bookmarkStart w:id="427" w:name="_Toc516219454"/>
      <w:bookmarkStart w:id="428" w:name="_Toc516496098"/>
      <w:bookmarkStart w:id="429" w:name="_Toc516829470"/>
      <w:r w:rsidRPr="00F30EF3">
        <w:rPr>
          <w:rFonts w:asciiTheme="minorHAnsi" w:hAnsiTheme="minorHAnsi" w:cstheme="minorHAnsi"/>
          <w:color w:val="auto"/>
          <w:sz w:val="22"/>
          <w:szCs w:val="22"/>
          <w:rtl/>
        </w:rPr>
        <w:t xml:space="preserve">المادة 2.14 – تسوية النزاع: </w:t>
      </w:r>
      <w:r w:rsidRPr="00F30EF3">
        <w:rPr>
          <w:rFonts w:asciiTheme="minorHAnsi" w:hAnsiTheme="minorHAnsi" w:cstheme="minorHAnsi"/>
          <w:b w:val="0"/>
          <w:bCs w:val="0"/>
          <w:color w:val="auto"/>
          <w:sz w:val="22"/>
          <w:szCs w:val="22"/>
          <w:rtl/>
        </w:rPr>
        <w:t xml:space="preserve">بالنظر في حل لتسوية المنازعات غير اللجوء إلى المحاكم، تتوفر سبل بديلة لتسوية المنازعات في سياسات الملكية الفكرية. ويمكن أن يكون ذلك إما بشكل منفصل أو بالإضافة إلى إبلاغ المحاكم في حالة فشل السبل البديلة لتسوية المنازعات. لمزيد من التفاصيل، ارجع إلى </w:t>
      </w:r>
      <w:hyperlink r:id="rId218" w:history="1">
        <w:r w:rsidRPr="00F30EF3">
          <w:rPr>
            <w:rStyle w:val="Hyperlink"/>
            <w:rFonts w:asciiTheme="minorHAnsi" w:hAnsiTheme="minorHAnsi" w:cstheme="minorHAnsi"/>
            <w:b w:val="0"/>
            <w:bCs w:val="0"/>
            <w:sz w:val="22"/>
            <w:szCs w:val="22"/>
            <w:rtl/>
          </w:rPr>
          <w:t>آليات وإجراءات التسوية البديلة للمنازعات في الويبو</w:t>
        </w:r>
      </w:hyperlink>
      <w:bookmarkEnd w:id="426"/>
      <w:r w:rsidRPr="00F30EF3">
        <w:rPr>
          <w:rFonts w:asciiTheme="minorHAnsi" w:hAnsiTheme="minorHAnsi" w:cstheme="minorHAnsi"/>
          <w:b w:val="0"/>
          <w:bCs w:val="0"/>
          <w:color w:val="auto"/>
          <w:sz w:val="22"/>
          <w:szCs w:val="22"/>
          <w:rtl/>
        </w:rPr>
        <w:t>.</w:t>
      </w:r>
      <w:bookmarkEnd w:id="427"/>
      <w:bookmarkEnd w:id="428"/>
      <w:bookmarkEnd w:id="429"/>
    </w:p>
    <w:p w14:paraId="68A01BE0" w14:textId="77777777" w:rsidR="00862017" w:rsidRPr="00F30EF3" w:rsidRDefault="00862017" w:rsidP="00862017">
      <w:pPr>
        <w:pStyle w:val="Heading2"/>
        <w:rPr>
          <w:rFonts w:asciiTheme="minorHAnsi" w:hAnsiTheme="minorHAnsi" w:cstheme="minorHAnsi"/>
          <w:sz w:val="22"/>
          <w:szCs w:val="22"/>
          <w:lang w:val="en-US"/>
        </w:rPr>
      </w:pPr>
    </w:p>
    <w:p w14:paraId="615A4D52" w14:textId="77777777" w:rsidR="00862017" w:rsidRPr="00F30EF3" w:rsidRDefault="00862017" w:rsidP="00862017">
      <w:pPr>
        <w:pStyle w:val="Heading2"/>
        <w:rPr>
          <w:rFonts w:asciiTheme="minorHAnsi" w:hAnsiTheme="minorHAnsi" w:cstheme="minorHAnsi"/>
          <w:rtl/>
        </w:rPr>
      </w:pPr>
      <w:bookmarkStart w:id="430" w:name="_Toc516160119"/>
      <w:bookmarkStart w:id="431" w:name="_Toc516219455"/>
      <w:bookmarkStart w:id="432" w:name="_Toc516496099"/>
      <w:bookmarkStart w:id="433" w:name="_Toc516829471"/>
      <w:bookmarkStart w:id="434" w:name="_Toc178260773"/>
      <w:r w:rsidRPr="00F30EF3">
        <w:rPr>
          <w:rFonts w:asciiTheme="minorHAnsi" w:hAnsiTheme="minorHAnsi" w:cstheme="minorHAnsi"/>
          <w:rtl/>
        </w:rPr>
        <w:t>المادة 15 - التعديل</w:t>
      </w:r>
      <w:bookmarkEnd w:id="430"/>
      <w:bookmarkEnd w:id="431"/>
      <w:bookmarkEnd w:id="432"/>
      <w:bookmarkEnd w:id="433"/>
      <w:bookmarkEnd w:id="434"/>
    </w:p>
    <w:p w14:paraId="605520AC" w14:textId="77777777" w:rsidR="00862017" w:rsidRPr="00F30EF3" w:rsidRDefault="00862017" w:rsidP="00862017">
      <w:pPr>
        <w:pStyle w:val="Heading2"/>
        <w:rPr>
          <w:rFonts w:asciiTheme="minorHAnsi" w:hAnsiTheme="minorHAnsi" w:cstheme="minorHAnsi"/>
          <w:sz w:val="22"/>
          <w:szCs w:val="22"/>
          <w:lang w:val="en-US"/>
        </w:rPr>
      </w:pPr>
    </w:p>
    <w:p w14:paraId="3CD3572D" w14:textId="77777777" w:rsidR="00862017" w:rsidRPr="00F30EF3" w:rsidRDefault="00862017" w:rsidP="003D0ECF">
      <w:pPr>
        <w:spacing w:after="0"/>
        <w:rPr>
          <w:rFonts w:cstheme="minorHAnsi"/>
          <w:lang w:val="en-US" w:eastAsia="en-US"/>
        </w:rPr>
      </w:pPr>
    </w:p>
    <w:p w14:paraId="12C43A62" w14:textId="77777777" w:rsidR="006A55D5" w:rsidRPr="00F30EF3" w:rsidRDefault="00F20AED" w:rsidP="009D4A54">
      <w:pPr>
        <w:pStyle w:val="Heading3"/>
        <w:numPr>
          <w:ilvl w:val="0"/>
          <w:numId w:val="56"/>
        </w:numPr>
        <w:spacing w:after="0"/>
        <w:ind w:left="425" w:hanging="425"/>
        <w:jc w:val="both"/>
        <w:rPr>
          <w:rFonts w:asciiTheme="minorHAnsi" w:hAnsiTheme="minorHAnsi" w:cstheme="minorHAnsi"/>
          <w:b w:val="0"/>
          <w:bCs w:val="0"/>
          <w:i/>
          <w:iCs/>
          <w:color w:val="000000" w:themeColor="text1"/>
          <w:sz w:val="22"/>
          <w:szCs w:val="22"/>
          <w:rtl/>
        </w:rPr>
      </w:pPr>
      <w:bookmarkStart w:id="435" w:name="_Toc494116003"/>
      <w:bookmarkStart w:id="436" w:name="_Toc516160120"/>
      <w:bookmarkStart w:id="437" w:name="_Toc516219456"/>
      <w:bookmarkStart w:id="438" w:name="_Toc516496100"/>
      <w:bookmarkStart w:id="439" w:name="_Toc516829472"/>
      <w:r w:rsidRPr="00F30EF3">
        <w:rPr>
          <w:rFonts w:asciiTheme="minorHAnsi" w:hAnsiTheme="minorHAnsi" w:cstheme="minorHAnsi"/>
          <w:color w:val="000000" w:themeColor="text1"/>
          <w:sz w:val="22"/>
          <w:szCs w:val="22"/>
          <w:rtl/>
        </w:rPr>
        <w:t xml:space="preserve">المادة 1.15، </w:t>
      </w:r>
      <w:bookmarkEnd w:id="435"/>
      <w:r w:rsidRPr="00F30EF3">
        <w:rPr>
          <w:rFonts w:asciiTheme="minorHAnsi" w:hAnsiTheme="minorHAnsi" w:cstheme="minorHAnsi"/>
          <w:color w:val="000000" w:themeColor="text1"/>
          <w:sz w:val="22"/>
          <w:szCs w:val="22"/>
          <w:rtl/>
        </w:rPr>
        <w:t>المراجعة</w:t>
      </w:r>
      <w:r w:rsidRPr="00F30EF3">
        <w:rPr>
          <w:rFonts w:asciiTheme="minorHAnsi" w:hAnsiTheme="minorHAnsi" w:cstheme="minorHAnsi"/>
          <w:b w:val="0"/>
          <w:bCs w:val="0"/>
          <w:color w:val="000000" w:themeColor="text1"/>
          <w:sz w:val="22"/>
          <w:szCs w:val="22"/>
          <w:rtl/>
        </w:rPr>
        <w:t>:</w:t>
      </w:r>
      <w:bookmarkEnd w:id="436"/>
      <w:bookmarkEnd w:id="437"/>
      <w:bookmarkEnd w:id="438"/>
      <w:bookmarkEnd w:id="439"/>
      <w:r w:rsidRPr="00F30EF3">
        <w:rPr>
          <w:rFonts w:asciiTheme="minorHAnsi" w:hAnsiTheme="minorHAnsi" w:cstheme="minorHAnsi"/>
          <w:sz w:val="22"/>
          <w:szCs w:val="22"/>
          <w:rtl/>
        </w:rPr>
        <w:t xml:space="preserve"> </w:t>
      </w:r>
    </w:p>
    <w:p w14:paraId="0D007DB3" w14:textId="77777777" w:rsidR="006A55D5" w:rsidRPr="00F30EF3" w:rsidRDefault="006A55D5" w:rsidP="009D4A54">
      <w:pPr>
        <w:pStyle w:val="Heading3"/>
        <w:numPr>
          <w:ilvl w:val="1"/>
          <w:numId w:val="56"/>
        </w:numPr>
        <w:spacing w:after="0"/>
        <w:ind w:left="709" w:hanging="284"/>
        <w:jc w:val="both"/>
        <w:rPr>
          <w:rFonts w:asciiTheme="minorHAnsi" w:hAnsiTheme="minorHAnsi" w:cstheme="minorHAnsi"/>
          <w:b w:val="0"/>
          <w:bCs w:val="0"/>
          <w:i/>
          <w:iCs/>
          <w:color w:val="943634" w:themeColor="accent2" w:themeShade="BF"/>
          <w:sz w:val="22"/>
          <w:szCs w:val="22"/>
          <w:rtl/>
        </w:rPr>
      </w:pPr>
      <w:bookmarkStart w:id="440" w:name="_Toc516160121"/>
      <w:bookmarkStart w:id="441" w:name="_Toc516219457"/>
      <w:bookmarkStart w:id="442" w:name="_Toc516496101"/>
      <w:bookmarkStart w:id="443" w:name="_Toc516829473"/>
      <w:r w:rsidRPr="00F30EF3">
        <w:rPr>
          <w:rFonts w:asciiTheme="minorHAnsi" w:hAnsiTheme="minorHAnsi" w:cstheme="minorHAnsi"/>
          <w:b w:val="0"/>
          <w:bCs w:val="0"/>
          <w:color w:val="auto"/>
          <w:sz w:val="22"/>
          <w:szCs w:val="22"/>
          <w:rtl/>
        </w:rPr>
        <w:t>يجب إرسال نسخة من السياسة المعدّلة إلى جميع أصحاب المصلحة المعنيين، ويجب الحصول على موافقتهم الكتابية (توقيعهم).  واحرص على التعديل والإشارة بوضوح إلى رقم الإصدار وتاريخ سريان كل سياسة جديدة.</w:t>
      </w:r>
      <w:bookmarkEnd w:id="440"/>
      <w:bookmarkEnd w:id="441"/>
      <w:bookmarkEnd w:id="442"/>
      <w:bookmarkEnd w:id="443"/>
    </w:p>
    <w:p w14:paraId="66E2E310" w14:textId="77777777" w:rsidR="009E4057" w:rsidRPr="00F30EF3" w:rsidRDefault="00F20AED" w:rsidP="009D4A54">
      <w:pPr>
        <w:pStyle w:val="Heading3"/>
        <w:numPr>
          <w:ilvl w:val="1"/>
          <w:numId w:val="56"/>
        </w:numPr>
        <w:ind w:left="709" w:hanging="283"/>
        <w:jc w:val="both"/>
        <w:rPr>
          <w:rFonts w:asciiTheme="minorHAnsi" w:hAnsiTheme="minorHAnsi" w:cstheme="minorHAnsi"/>
          <w:b w:val="0"/>
          <w:bCs w:val="0"/>
          <w:i/>
          <w:iCs/>
          <w:color w:val="943634" w:themeColor="accent2" w:themeShade="BF"/>
          <w:sz w:val="22"/>
          <w:szCs w:val="22"/>
          <w:rtl/>
        </w:rPr>
      </w:pPr>
      <w:bookmarkStart w:id="444" w:name="_Toc516160122"/>
      <w:bookmarkStart w:id="445" w:name="_Toc516219458"/>
      <w:bookmarkStart w:id="446" w:name="_Toc516496102"/>
      <w:bookmarkStart w:id="447" w:name="_Toc516829474"/>
      <w:r w:rsidRPr="00F30EF3">
        <w:rPr>
          <w:rFonts w:asciiTheme="minorHAnsi" w:hAnsiTheme="minorHAnsi" w:cstheme="minorHAnsi"/>
          <w:b w:val="0"/>
          <w:bCs w:val="0"/>
          <w:color w:val="auto"/>
          <w:sz w:val="22"/>
          <w:szCs w:val="22"/>
          <w:rtl/>
        </w:rPr>
        <w:t>في بعض البلدان، يتطلب قانون العمل موافقة هيئة تمثيل الموظفين (لجنة داخلية تمثل مجموعة الموظفين) للموافقة على (أي تغييرات في) سياسة الملكية الفكرية، خاصة عندما يتعلق الأمر بالحوافز المالية والتعويضات.</w:t>
      </w:r>
      <w:bookmarkEnd w:id="444"/>
      <w:bookmarkEnd w:id="445"/>
      <w:bookmarkEnd w:id="446"/>
      <w:bookmarkEnd w:id="447"/>
    </w:p>
    <w:p w14:paraId="292DCF01" w14:textId="77777777" w:rsidR="00F20AED" w:rsidRPr="003655D0" w:rsidRDefault="009E4057" w:rsidP="009E4057">
      <w:pPr>
        <w:pStyle w:val="Heading3"/>
        <w:tabs>
          <w:tab w:val="left" w:pos="426"/>
          <w:tab w:val="left" w:pos="6096"/>
        </w:tabs>
        <w:spacing w:after="0"/>
        <w:ind w:left="426"/>
        <w:rPr>
          <w:rFonts w:asciiTheme="minorHAnsi" w:hAnsiTheme="minorHAnsi" w:cstheme="minorHAnsi"/>
          <w:b w:val="0"/>
          <w:bCs w:val="0"/>
          <w:color w:val="auto"/>
          <w:sz w:val="22"/>
          <w:szCs w:val="22"/>
          <w:rtl/>
        </w:rPr>
      </w:pPr>
      <w:r w:rsidRPr="00F30EF3">
        <w:rPr>
          <w:rFonts w:asciiTheme="minorHAnsi" w:hAnsiTheme="minorHAnsi" w:cstheme="minorHAnsi"/>
          <w:b w:val="0"/>
          <w:bCs w:val="0"/>
          <w:color w:val="auto"/>
          <w:sz w:val="22"/>
          <w:szCs w:val="22"/>
          <w:rtl/>
        </w:rPr>
        <w:tab/>
      </w:r>
      <w:bookmarkStart w:id="448" w:name="_Toc516160123"/>
      <w:bookmarkStart w:id="449" w:name="_Toc516219459"/>
      <w:bookmarkStart w:id="450" w:name="_Toc516496103"/>
      <w:bookmarkStart w:id="451" w:name="_Toc516829475"/>
      <w:r w:rsidRPr="00F30EF3">
        <w:rPr>
          <w:rFonts w:asciiTheme="minorHAnsi" w:hAnsiTheme="minorHAnsi" w:cstheme="minorHAnsi"/>
          <w:b w:val="0"/>
          <w:bCs w:val="0"/>
          <w:color w:val="auto"/>
          <w:sz w:val="22"/>
          <w:szCs w:val="22"/>
          <w:rtl/>
        </w:rPr>
        <w:t>[نهاية الوثيقة]</w:t>
      </w:r>
      <w:bookmarkEnd w:id="448"/>
      <w:bookmarkEnd w:id="449"/>
      <w:bookmarkEnd w:id="450"/>
      <w:bookmarkEnd w:id="451"/>
    </w:p>
    <w:p w14:paraId="5D6B2C4F" w14:textId="77777777" w:rsidR="00165A63" w:rsidRPr="003655D0" w:rsidRDefault="00165A63" w:rsidP="00E73746">
      <w:pPr>
        <w:spacing w:line="240" w:lineRule="auto"/>
        <w:rPr>
          <w:rFonts w:eastAsiaTheme="majorEastAsia" w:cstheme="minorHAnsi"/>
          <w:b/>
          <w:bCs/>
          <w:color w:val="000000" w:themeColor="text1"/>
          <w:lang w:val="en-US"/>
        </w:rPr>
      </w:pPr>
    </w:p>
    <w:sectPr w:rsidR="00165A63" w:rsidRPr="003655D0" w:rsidSect="003A33DC">
      <w:footerReference w:type="even" r:id="rId219"/>
      <w:footerReference w:type="default" r:id="rId220"/>
      <w:footerReference w:type="first" r:id="rId221"/>
      <w:pgSz w:w="11906" w:h="16838" w:code="9"/>
      <w:pgMar w:top="1440" w:right="1440" w:bottom="1440" w:left="1440" w:header="720" w:footer="720" w:gutter="0"/>
      <w:cols w:space="720"/>
      <w:bidi/>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F0C2A8" w14:textId="77777777" w:rsidR="00122389" w:rsidRDefault="00122389">
      <w:pPr>
        <w:spacing w:after="0" w:line="240" w:lineRule="auto"/>
      </w:pPr>
      <w:r>
        <w:separator/>
      </w:r>
    </w:p>
  </w:endnote>
  <w:endnote w:type="continuationSeparator" w:id="0">
    <w:p w14:paraId="1160C31A" w14:textId="77777777" w:rsidR="00122389" w:rsidRDefault="00122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PCELD+TimesNewRoman,Bold">
    <w:altName w:val="Times New Roman"/>
    <w:panose1 w:val="00000000000000000000"/>
    <w:charset w:val="00"/>
    <w:family w:val="roman"/>
    <w:notTrueType/>
    <w:pitch w:val="default"/>
    <w:sig w:usb0="00000003" w:usb1="00000000" w:usb2="00000000" w:usb3="00000000" w:csb0="00000001" w:csb1="00000000"/>
  </w:font>
  <w:font w:name="ALPFM O+ Times">
    <w:altName w:val="Times New Roman"/>
    <w:panose1 w:val="00000000000000000000"/>
    <w:charset w:val="00"/>
    <w:family w:val="roman"/>
    <w:notTrueType/>
    <w:pitch w:val="default"/>
    <w:sig w:usb0="00000003" w:usb1="00000000" w:usb2="00000000" w:usb3="00000000" w:csb0="00000001" w:csb1="00000000"/>
  </w:font>
  <w:font w:name="ALPEM D+ Times">
    <w:altName w:val="Times New Roman"/>
    <w:panose1 w:val="00000000000000000000"/>
    <w:charset w:val="00"/>
    <w:family w:val="roman"/>
    <w:notTrueType/>
    <w:pitch w:val="default"/>
    <w:sig w:usb0="00000003" w:usb1="00000000" w:usb2="00000000" w:usb3="00000000" w:csb0="00000001" w:csb1="00000000"/>
  </w:font>
  <w:font w:name="Adobe Garamond Pro">
    <w:altName w:val="Garamond"/>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Weidemann IT Cby BT">
    <w:altName w:val="Cambria"/>
    <w:panose1 w:val="00000000000000000000"/>
    <w:charset w:val="00"/>
    <w:family w:val="roman"/>
    <w:notTrueType/>
    <w:pitch w:val="default"/>
    <w:sig w:usb0="00000003" w:usb1="00000000" w:usb2="00000000" w:usb3="00000000" w:csb0="00000001" w:csb1="00000000"/>
  </w:font>
  <w:font w:name="HelveticaNeueLT Std Cn">
    <w:panose1 w:val="00000000000000000000"/>
    <w:charset w:val="00"/>
    <w:family w:val="swiss"/>
    <w:notTrueType/>
    <w:pitch w:val="default"/>
    <w:sig w:usb0="00000003" w:usb1="00000000" w:usb2="00000000" w:usb3="00000000" w:csb0="00000001" w:csb1="00000000"/>
  </w:font>
  <w:font w:name="HelveticaNeueLT Std">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D603E" w14:textId="0882A5C9" w:rsidR="00D42C28" w:rsidRDefault="00D42C28">
    <w:pPr>
      <w:pStyle w:val="Footer"/>
    </w:pPr>
    <w:r>
      <w:rPr>
        <w:noProof/>
      </w:rPr>
      <mc:AlternateContent>
        <mc:Choice Requires="wps">
          <w:drawing>
            <wp:anchor distT="0" distB="0" distL="0" distR="0" simplePos="0" relativeHeight="251659264" behindDoc="0" locked="0" layoutInCell="1" allowOverlap="1" wp14:anchorId="171EC406" wp14:editId="12079C44">
              <wp:simplePos x="635" y="635"/>
              <wp:positionH relativeFrom="page">
                <wp:align>center</wp:align>
              </wp:positionH>
              <wp:positionV relativeFrom="page">
                <wp:align>bottom</wp:align>
              </wp:positionV>
              <wp:extent cx="1564005" cy="368935"/>
              <wp:effectExtent l="0" t="0" r="17145" b="0"/>
              <wp:wrapNone/>
              <wp:docPr id="108593663" name="Text Box 2"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68935"/>
                      </a:xfrm>
                      <a:prstGeom prst="rect">
                        <a:avLst/>
                      </a:prstGeom>
                      <a:noFill/>
                      <a:ln>
                        <a:noFill/>
                      </a:ln>
                    </wps:spPr>
                    <wps:txbx>
                      <w:txbxContent>
                        <w:p w14:paraId="7F45767F" w14:textId="26DFE5F7" w:rsidR="00D42C28" w:rsidRPr="00D42C28" w:rsidRDefault="00D42C28" w:rsidP="00D42C28">
                          <w:pPr>
                            <w:spacing w:after="0"/>
                            <w:rPr>
                              <w:rFonts w:ascii="Calibri" w:eastAsia="Calibri" w:hAnsi="Calibri" w:cs="Calibri"/>
                              <w:noProof/>
                              <w:color w:val="000000"/>
                              <w:sz w:val="20"/>
                              <w:szCs w:val="20"/>
                            </w:rPr>
                          </w:pPr>
                          <w:r w:rsidRPr="00D42C28">
                            <w:rPr>
                              <w:rFonts w:ascii="Calibri" w:eastAsia="Calibri" w:hAnsi="Calibri" w:cs="Calibri"/>
                              <w:noProof/>
                              <w:color w:val="000000"/>
                              <w:sz w:val="20"/>
                              <w:szCs w:val="20"/>
                            </w:rPr>
                            <w:t>WIPO FOR OFFICIAL USE ONLY</w:t>
                          </w:r>
                          <w:r w:rsidRPr="00D42C28">
                            <w:rPr>
                              <w:rFonts w:ascii="Calibri" w:eastAsia="Calibri" w:hAnsi="Calibri" w:cs="Calibri"/>
                              <w:noProof/>
                              <w:color w:val="000000"/>
                              <w:sz w:val="20"/>
                              <w:szCs w:val="20"/>
                              <w:rtl/>
                            </w:rPr>
                            <w:t xml:space="preserv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1EC406" id="_x0000_t202" coordsize="21600,21600" o:spt="202" path="m,l,21600r21600,l21600,xe">
              <v:stroke joinstyle="miter"/>
              <v:path gradientshapeok="t" o:connecttype="rect"/>
            </v:shapetype>
            <v:shape id="Text Box 2" o:spid="_x0000_s1026" type="#_x0000_t202" alt="WIPO FOR OFFICIAL USE ONLY " style="position:absolute;left:0;text-align:left;margin-left:0;margin-top:0;width:123.15pt;height:29.0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42sCwIAABYEAAAOAAAAZHJzL2Uyb0RvYy54bWysU8Fu2zAMvQ/YPwi6L3baJWi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" filled="f" stroked="f">
              <v:textbox style="mso-fit-shape-to-text:t" inset="0,0,0,15pt">
                <w:txbxContent>
                  <w:p w14:paraId="7F45767F" w14:textId="26DFE5F7" w:rsidR="00D42C28" w:rsidRPr="00D42C28" w:rsidRDefault="00D42C28" w:rsidP="00D42C28">
                    <w:pPr>
                      <w:spacing w:after="0"/>
                      <w:rPr>
                        <w:rFonts w:ascii="Calibri" w:eastAsia="Calibri" w:hAnsi="Calibri" w:cs="Calibri"/>
                        <w:noProof/>
                        <w:color w:val="000000"/>
                        <w:sz w:val="20"/>
                        <w:szCs w:val="20"/>
                      </w:rPr>
                    </w:pPr>
                    <w:r w:rsidRPr="00D42C28">
                      <w:rPr>
                        <w:rFonts w:ascii="Calibri" w:eastAsia="Calibri" w:hAnsi="Calibri" w:cs="Calibri"/>
                        <w:noProof/>
                        <w:color w:val="000000"/>
                        <w:sz w:val="20"/>
                        <w:szCs w:val="20"/>
                      </w:rPr>
                      <w:t>WIPO FOR OFFICIAL USE ONLY</w:t>
                    </w:r>
                    <w:r w:rsidRPr="00D42C28">
                      <w:rPr>
                        <w:rFonts w:ascii="Calibri" w:eastAsia="Calibri" w:hAnsi="Calibri" w:cs="Calibri"/>
                        <w:noProof/>
                        <w:color w:val="000000"/>
                        <w:sz w:val="20"/>
                        <w:szCs w:val="20"/>
                        <w:rtl/>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323F2" w14:textId="77777777" w:rsidR="009C584C" w:rsidRDefault="00D42C28">
    <w:pPr>
      <w:pStyle w:val="Footer"/>
      <w:pBdr>
        <w:bottom w:val="single" w:sz="12" w:space="1" w:color="auto"/>
      </w:pBdr>
      <w:jc w:val="right"/>
      <w:rPr>
        <w:rtl/>
      </w:rPr>
    </w:pPr>
    <w:r>
      <w:rPr>
        <w:noProof/>
        <w:rtl/>
        <w:lang w:val="ar-EG"/>
      </w:rPr>
      <mc:AlternateContent>
        <mc:Choice Requires="wps">
          <w:drawing>
            <wp:anchor distT="0" distB="0" distL="0" distR="0" simplePos="0" relativeHeight="251660288" behindDoc="0" locked="0" layoutInCell="1" allowOverlap="1" wp14:anchorId="055D7CC8" wp14:editId="1B43BC81">
              <wp:simplePos x="914400" y="9712518"/>
              <wp:positionH relativeFrom="page">
                <wp:align>center</wp:align>
              </wp:positionH>
              <wp:positionV relativeFrom="page">
                <wp:align>bottom</wp:align>
              </wp:positionV>
              <wp:extent cx="1564005" cy="368935"/>
              <wp:effectExtent l="0" t="0" r="17145" b="0"/>
              <wp:wrapNone/>
              <wp:docPr id="2043871821" name="Text Box 3"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68935"/>
                      </a:xfrm>
                      <a:prstGeom prst="rect">
                        <a:avLst/>
                      </a:prstGeom>
                      <a:noFill/>
                      <a:ln>
                        <a:noFill/>
                      </a:ln>
                    </wps:spPr>
                    <wps:txbx>
                      <w:txbxContent>
                        <w:p w14:paraId="47CF3181" w14:textId="72AAF0AF" w:rsidR="00D42C28" w:rsidRPr="00D42C28" w:rsidRDefault="00D42C28" w:rsidP="00D42C28">
                          <w:pPr>
                            <w:spacing w:after="0"/>
                            <w:rPr>
                              <w:rFonts w:ascii="Calibri" w:eastAsia="Calibri" w:hAnsi="Calibri" w:cs="Calibri"/>
                              <w:noProof/>
                              <w:color w:val="000000"/>
                              <w:sz w:val="20"/>
                              <w:szCs w:val="20"/>
                            </w:rPr>
                          </w:pPr>
                          <w:r w:rsidRPr="00D42C28">
                            <w:rPr>
                              <w:rFonts w:ascii="Calibri" w:eastAsia="Calibri" w:hAnsi="Calibri" w:cs="Calibri"/>
                              <w:noProof/>
                              <w:color w:val="000000"/>
                              <w:sz w:val="20"/>
                              <w:szCs w:val="20"/>
                            </w:rPr>
                            <w:t>WIPO FOR OFFICIAL USE ONLY</w:t>
                          </w:r>
                          <w:r w:rsidRPr="00D42C28">
                            <w:rPr>
                              <w:rFonts w:ascii="Calibri" w:eastAsia="Calibri" w:hAnsi="Calibri" w:cs="Calibri"/>
                              <w:noProof/>
                              <w:color w:val="000000"/>
                              <w:sz w:val="20"/>
                              <w:szCs w:val="20"/>
                              <w:rtl/>
                            </w:rPr>
                            <w:t xml:space="preserv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5D7CC8" id="_x0000_t202" coordsize="21600,21600" o:spt="202" path="m,l,21600r21600,l21600,xe">
              <v:stroke joinstyle="miter"/>
              <v:path gradientshapeok="t" o:connecttype="rect"/>
            </v:shapetype>
            <v:shape id="Text Box 3" o:spid="_x0000_s1027" type="#_x0000_t202" alt="WIPO FOR OFFICIAL USE ONLY " style="position:absolute;margin-left:0;margin-top:0;width:123.15pt;height:29.0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LqDQIAAB0EAAAOAAAAZHJzL2Uyb0RvYy54bWysU8Fu2zAMvQ/YPwi6L3baJWi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" filled="f" stroked="f">
              <v:textbox style="mso-fit-shape-to-text:t" inset="0,0,0,15pt">
                <w:txbxContent>
                  <w:p w14:paraId="47CF3181" w14:textId="72AAF0AF" w:rsidR="00D42C28" w:rsidRPr="00D42C28" w:rsidRDefault="00D42C28" w:rsidP="00D42C28">
                    <w:pPr>
                      <w:spacing w:after="0"/>
                      <w:rPr>
                        <w:rFonts w:ascii="Calibri" w:eastAsia="Calibri" w:hAnsi="Calibri" w:cs="Calibri"/>
                        <w:noProof/>
                        <w:color w:val="000000"/>
                        <w:sz w:val="20"/>
                        <w:szCs w:val="20"/>
                      </w:rPr>
                    </w:pPr>
                    <w:r w:rsidRPr="00D42C28">
                      <w:rPr>
                        <w:rFonts w:ascii="Calibri" w:eastAsia="Calibri" w:hAnsi="Calibri" w:cs="Calibri"/>
                        <w:noProof/>
                        <w:color w:val="000000"/>
                        <w:sz w:val="20"/>
                        <w:szCs w:val="20"/>
                      </w:rPr>
                      <w:t>WIPO FOR OFFICIAL USE ONLY</w:t>
                    </w:r>
                    <w:r w:rsidRPr="00D42C28">
                      <w:rPr>
                        <w:rFonts w:ascii="Calibri" w:eastAsia="Calibri" w:hAnsi="Calibri" w:cs="Calibri"/>
                        <w:noProof/>
                        <w:color w:val="000000"/>
                        <w:sz w:val="20"/>
                        <w:szCs w:val="20"/>
                        <w:rtl/>
                      </w:rPr>
                      <w:t xml:space="preserve"> </w:t>
                    </w:r>
                  </w:p>
                </w:txbxContent>
              </v:textbox>
              <w10:wrap anchorx="page" anchory="page"/>
            </v:shape>
          </w:pict>
        </mc:Fallback>
      </mc:AlternateContent>
    </w:r>
  </w:p>
  <w:sdt>
    <w:sdtPr>
      <w:rPr>
        <w:rtl/>
      </w:rPr>
      <w:id w:val="-240489988"/>
      <w:docPartObj>
        <w:docPartGallery w:val="Page Numbers (Bottom of Page)"/>
        <w:docPartUnique/>
      </w:docPartObj>
    </w:sdtPr>
    <w:sdtEndPr/>
    <w:sdtContent>
      <w:p w14:paraId="039E0977" w14:textId="1DE70B8F" w:rsidR="00E40747" w:rsidRPr="003A33DC" w:rsidRDefault="00E40747" w:rsidP="009C584C">
        <w:pPr>
          <w:pStyle w:val="Footer"/>
          <w:pBdr>
            <w:bottom w:val="single" w:sz="12" w:space="1" w:color="auto"/>
          </w:pBdr>
          <w:jc w:val="right"/>
          <w:rPr>
            <w:rtl/>
          </w:rPr>
        </w:pPr>
      </w:p>
      <w:p w14:paraId="60DDC22A" w14:textId="77777777" w:rsidR="00E40747" w:rsidRPr="003A33DC" w:rsidRDefault="00E40747" w:rsidP="00B22934">
        <w:pPr>
          <w:pStyle w:val="Footer"/>
          <w:jc w:val="right"/>
          <w:rPr>
            <w:rtl/>
          </w:rPr>
        </w:pPr>
        <w:r w:rsidRPr="003A33DC">
          <w:rPr>
            <w:rFonts w:hint="cs"/>
            <w:rtl/>
          </w:rPr>
          <w:t xml:space="preserve">صفحة | </w:t>
        </w:r>
        <w:r w:rsidRPr="003A33DC">
          <w:rPr>
            <w:rFonts w:hint="cs"/>
            <w:rtl/>
          </w:rPr>
          <w:fldChar w:fldCharType="begin"/>
        </w:r>
        <w:r w:rsidRPr="003A33DC">
          <w:rPr>
            <w:rtl/>
          </w:rPr>
          <w:instrText xml:space="preserve"> </w:instrText>
        </w:r>
        <w:r w:rsidRPr="003A33DC">
          <w:instrText xml:space="preserve">PAGE   \* MERGEFORMAT </w:instrText>
        </w:r>
        <w:r w:rsidRPr="003A33DC">
          <w:rPr>
            <w:rFonts w:hint="cs"/>
            <w:rtl/>
          </w:rPr>
          <w:fldChar w:fldCharType="separate"/>
        </w:r>
        <w:r w:rsidRPr="003A33DC">
          <w:rPr>
            <w:rFonts w:hint="cs"/>
            <w:rtl/>
          </w:rPr>
          <w:t>3</w:t>
        </w:r>
        <w:r w:rsidRPr="003A33DC">
          <w:rPr>
            <w:rFonts w:hint="cs"/>
            <w:rtl/>
          </w:rPr>
          <w:fldChar w:fldCharType="end"/>
        </w:r>
        <w:r w:rsidRPr="003A33DC">
          <w:rPr>
            <w:rFonts w:hint="cs"/>
            <w:rtl/>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40EA7" w14:textId="1BF3186A" w:rsidR="00D42C28" w:rsidRDefault="00D42C28">
    <w:pPr>
      <w:pStyle w:val="Footer"/>
    </w:pPr>
    <w:r>
      <w:rPr>
        <w:noProof/>
      </w:rPr>
      <mc:AlternateContent>
        <mc:Choice Requires="wps">
          <w:drawing>
            <wp:anchor distT="0" distB="0" distL="0" distR="0" simplePos="0" relativeHeight="251658240" behindDoc="0" locked="0" layoutInCell="1" allowOverlap="1" wp14:anchorId="57FC5001" wp14:editId="026C85B1">
              <wp:simplePos x="635" y="635"/>
              <wp:positionH relativeFrom="page">
                <wp:align>center</wp:align>
              </wp:positionH>
              <wp:positionV relativeFrom="page">
                <wp:align>bottom</wp:align>
              </wp:positionV>
              <wp:extent cx="1564005" cy="368935"/>
              <wp:effectExtent l="0" t="0" r="17145" b="0"/>
              <wp:wrapNone/>
              <wp:docPr id="2077631331" name="Text Box 1"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68935"/>
                      </a:xfrm>
                      <a:prstGeom prst="rect">
                        <a:avLst/>
                      </a:prstGeom>
                      <a:noFill/>
                      <a:ln>
                        <a:noFill/>
                      </a:ln>
                    </wps:spPr>
                    <wps:txbx>
                      <w:txbxContent>
                        <w:p w14:paraId="1AC81700" w14:textId="09271479" w:rsidR="00D42C28" w:rsidRPr="00D42C28" w:rsidRDefault="00D42C28" w:rsidP="00D42C28">
                          <w:pPr>
                            <w:spacing w:after="0"/>
                            <w:rPr>
                              <w:rFonts w:ascii="Calibri" w:eastAsia="Calibri" w:hAnsi="Calibri" w:cs="Calibri"/>
                              <w:noProof/>
                              <w:color w:val="000000"/>
                              <w:sz w:val="20"/>
                              <w:szCs w:val="20"/>
                            </w:rPr>
                          </w:pPr>
                          <w:r w:rsidRPr="00D42C28">
                            <w:rPr>
                              <w:rFonts w:ascii="Calibri" w:eastAsia="Calibri" w:hAnsi="Calibri" w:cs="Calibri"/>
                              <w:noProof/>
                              <w:color w:val="000000"/>
                              <w:sz w:val="20"/>
                              <w:szCs w:val="20"/>
                            </w:rPr>
                            <w:t>WIPO FOR OFFICIAL USE ONLY</w:t>
                          </w:r>
                          <w:r w:rsidRPr="00D42C28">
                            <w:rPr>
                              <w:rFonts w:ascii="Calibri" w:eastAsia="Calibri" w:hAnsi="Calibri" w:cs="Calibri"/>
                              <w:noProof/>
                              <w:color w:val="000000"/>
                              <w:sz w:val="20"/>
                              <w:szCs w:val="20"/>
                              <w:rtl/>
                            </w:rPr>
                            <w:t xml:space="preserv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FC5001" id="_x0000_t202" coordsize="21600,21600" o:spt="202" path="m,l,21600r21600,l21600,xe">
              <v:stroke joinstyle="miter"/>
              <v:path gradientshapeok="t" o:connecttype="rect"/>
            </v:shapetype>
            <v:shape id="Text Box 1" o:spid="_x0000_s1028" type="#_x0000_t202" alt="WIPO FOR OFFICIAL USE ONLY " style="position:absolute;left:0;text-align:left;margin-left:0;margin-top:0;width:123.15pt;height:29.0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DwIAAB0EAAAOAAAAZHJzL2Uyb0RvYy54bWysU8Fu2zAMvQ/YPwi6L3bSJWi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" filled="f" stroked="f">
              <v:textbox style="mso-fit-shape-to-text:t" inset="0,0,0,15pt">
                <w:txbxContent>
                  <w:p w14:paraId="1AC81700" w14:textId="09271479" w:rsidR="00D42C28" w:rsidRPr="00D42C28" w:rsidRDefault="00D42C28" w:rsidP="00D42C28">
                    <w:pPr>
                      <w:spacing w:after="0"/>
                      <w:rPr>
                        <w:rFonts w:ascii="Calibri" w:eastAsia="Calibri" w:hAnsi="Calibri" w:cs="Calibri"/>
                        <w:noProof/>
                        <w:color w:val="000000"/>
                        <w:sz w:val="20"/>
                        <w:szCs w:val="20"/>
                      </w:rPr>
                    </w:pPr>
                    <w:r w:rsidRPr="00D42C28">
                      <w:rPr>
                        <w:rFonts w:ascii="Calibri" w:eastAsia="Calibri" w:hAnsi="Calibri" w:cs="Calibri"/>
                        <w:noProof/>
                        <w:color w:val="000000"/>
                        <w:sz w:val="20"/>
                        <w:szCs w:val="20"/>
                      </w:rPr>
                      <w:t>WIPO FOR OFFICIAL USE ONLY</w:t>
                    </w:r>
                    <w:r w:rsidRPr="00D42C28">
                      <w:rPr>
                        <w:rFonts w:ascii="Calibri" w:eastAsia="Calibri" w:hAnsi="Calibri" w:cs="Calibri"/>
                        <w:noProof/>
                        <w:color w:val="000000"/>
                        <w:sz w:val="20"/>
                        <w:szCs w:val="20"/>
                        <w:rtl/>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28B69A" w14:textId="77777777" w:rsidR="00122389" w:rsidRDefault="00122389">
      <w:pPr>
        <w:spacing w:after="0" w:line="240" w:lineRule="auto"/>
      </w:pPr>
      <w:r>
        <w:separator/>
      </w:r>
    </w:p>
  </w:footnote>
  <w:footnote w:type="continuationSeparator" w:id="0">
    <w:p w14:paraId="0280C43E" w14:textId="77777777" w:rsidR="00122389" w:rsidRDefault="00122389">
      <w:pPr>
        <w:spacing w:after="0" w:line="240" w:lineRule="auto"/>
      </w:pPr>
      <w:r>
        <w:continuationSeparator/>
      </w:r>
    </w:p>
  </w:footnote>
  <w:footnote w:id="1">
    <w:p w14:paraId="0F7E68EA" w14:textId="77777777" w:rsidR="00E40747" w:rsidRPr="00C8196F" w:rsidRDefault="00E40747" w:rsidP="00744113">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w:t>
      </w:r>
      <w:r w:rsidRPr="00C8196F">
        <w:rPr>
          <w:rFonts w:cstheme="minorHAnsi"/>
          <w:color w:val="000000" w:themeColor="text1"/>
          <w:sz w:val="18"/>
          <w:szCs w:val="18"/>
          <w:rtl/>
        </w:rPr>
        <w:t xml:space="preserve">توفر مجموعة الأدوات </w:t>
      </w:r>
      <w:r w:rsidRPr="00C8196F">
        <w:rPr>
          <w:rFonts w:cstheme="minorHAnsi"/>
          <w:sz w:val="18"/>
          <w:szCs w:val="18"/>
          <w:rtl/>
        </w:rPr>
        <w:t xml:space="preserve">مرجعاً موحداً للمؤسسات الأكاديمية والبحثية التي تلتمس الإرشاد في طريقة تشكيل وتنفيذ سياساتها المؤسسية الخاصة بالملكية الفكرية. يمكن الاطلاع على نسخة على </w:t>
      </w:r>
      <w:hyperlink r:id="rId1" w:history="1">
        <w:r w:rsidRPr="00C8196F">
          <w:rPr>
            <w:rStyle w:val="Hyperlink"/>
            <w:rFonts w:cstheme="minorHAnsi"/>
            <w:sz w:val="18"/>
            <w:szCs w:val="18"/>
            <w:rtl/>
          </w:rPr>
          <w:t>موقع الويبو الإلكتروني</w:t>
        </w:r>
      </w:hyperlink>
      <w:r w:rsidRPr="00C8196F">
        <w:rPr>
          <w:rFonts w:cstheme="minorHAnsi"/>
          <w:sz w:val="18"/>
          <w:szCs w:val="18"/>
          <w:rtl/>
        </w:rPr>
        <w:t>.</w:t>
      </w:r>
    </w:p>
  </w:footnote>
  <w:footnote w:id="2">
    <w:p w14:paraId="7F8B83A3" w14:textId="77777777" w:rsidR="00E40747" w:rsidRPr="00C8196F" w:rsidRDefault="00E40747" w:rsidP="00B50D7E">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w:t>
      </w:r>
      <w:r w:rsidRPr="00C8196F">
        <w:rPr>
          <w:rFonts w:cstheme="minorHAnsi"/>
          <w:b/>
          <w:bCs/>
          <w:sz w:val="18"/>
          <w:szCs w:val="18"/>
          <w:rtl/>
        </w:rPr>
        <w:t>التسويق المسؤول للملكية الفكرية</w:t>
      </w:r>
      <w:r w:rsidRPr="00C8196F">
        <w:rPr>
          <w:rFonts w:cstheme="minorHAnsi"/>
          <w:sz w:val="18"/>
          <w:szCs w:val="18"/>
          <w:rtl/>
        </w:rPr>
        <w:t xml:space="preserve"> يشير، في سياق هذا المبدأ التوجيهي، إلى تسويق الملكية الفكرية التي تم إنشاؤها في الأوساط الأكاديمية، لتحقيق رسالة المؤسسات الأكاديمية المتمثلة في نشر المعرفة؛ من أجل تعزيز الاقتصادات المحلية؛ ولتغيير العالم نحو الأفضل. انظر أيضاً </w:t>
      </w:r>
      <w:hyperlink w:anchor="Article1p3p1" w:history="1">
        <w:r w:rsidRPr="00C8196F">
          <w:rPr>
            <w:rStyle w:val="Hyperlink"/>
            <w:rFonts w:cstheme="minorHAnsi"/>
            <w:sz w:val="18"/>
            <w:szCs w:val="18"/>
            <w:rtl/>
          </w:rPr>
          <w:t>المادة 1.3.1</w:t>
        </w:r>
      </w:hyperlink>
      <w:r w:rsidRPr="00C8196F">
        <w:rPr>
          <w:rFonts w:cstheme="minorHAnsi"/>
          <w:sz w:val="18"/>
          <w:szCs w:val="18"/>
          <w:rtl/>
        </w:rPr>
        <w:t>.</w:t>
      </w:r>
    </w:p>
  </w:footnote>
  <w:footnote w:id="3">
    <w:p w14:paraId="264611FB" w14:textId="66C0A4CC" w:rsidR="00E40747" w:rsidRPr="00C8196F" w:rsidRDefault="00E40747" w:rsidP="00272089">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تحليل جميع الأحكام ذات الصلة في القوانين واللوائح والسياسات الوطنية والمبادرات الحكومية، التي تعزز سلوك ريادة الأعمال في مؤسسات البحث والتطوير، وتدعم التسويق، وتنظم الملكية، وتساعد على تسريع عملية نشر التكنولوجيا المنبثقة عن المؤسسات الأكاديمية والبحثية وتوجيهها نحو الشركات المحلية أو الوطنية أو حتى الدولية. وقد تساعد</w:t>
      </w:r>
      <w:r w:rsidR="00E44D0D" w:rsidRPr="00C8196F">
        <w:rPr>
          <w:rFonts w:cstheme="minorHAnsi"/>
          <w:sz w:val="18"/>
          <w:szCs w:val="18"/>
          <w:rtl/>
        </w:rPr>
        <w:t xml:space="preserve"> </w:t>
      </w:r>
      <w:hyperlink r:id="rId2" w:history="1">
        <w:r w:rsidRPr="00C8196F">
          <w:rPr>
            <w:rStyle w:val="Hyperlink"/>
            <w:rFonts w:cstheme="minorHAnsi"/>
            <w:i/>
            <w:iCs/>
            <w:sz w:val="18"/>
            <w:szCs w:val="18"/>
            <w:rtl/>
          </w:rPr>
          <w:t>القائمة المرجعية لواضعي سياسات الويبو</w:t>
        </w:r>
      </w:hyperlink>
      <w:r w:rsidRPr="00C8196F">
        <w:rPr>
          <w:rFonts w:cstheme="minorHAnsi"/>
          <w:sz w:val="18"/>
          <w:szCs w:val="18"/>
          <w:rtl/>
        </w:rPr>
        <w:t xml:space="preserve"> على تحليل القوانين والسياسات المعمول بها في بلد ما. لمزيد من المعلومات حول قوانين الملكية الفكرية في مختلف البلدان، قم بزيارة </w:t>
      </w:r>
      <w:hyperlink r:id="rId3" w:history="1">
        <w:r w:rsidRPr="00C8196F">
          <w:rPr>
            <w:rStyle w:val="Hyperlink"/>
            <w:rFonts w:cstheme="minorHAnsi"/>
            <w:sz w:val="18"/>
            <w:szCs w:val="18"/>
            <w:rtl/>
          </w:rPr>
          <w:t>قاعدة بيانات ويبو لكس</w:t>
        </w:r>
      </w:hyperlink>
      <w:r w:rsidRPr="00C8196F">
        <w:rPr>
          <w:rFonts w:cstheme="minorHAnsi"/>
          <w:sz w:val="18"/>
          <w:szCs w:val="18"/>
          <w:rtl/>
        </w:rPr>
        <w:t xml:space="preserve"> و</w:t>
      </w:r>
      <w:hyperlink r:id="rId4" w:history="1">
        <w:r w:rsidRPr="00C8196F">
          <w:rPr>
            <w:rStyle w:val="Hyperlink"/>
            <w:rFonts w:cstheme="minorHAnsi"/>
            <w:sz w:val="18"/>
            <w:szCs w:val="18"/>
            <w:rtl/>
          </w:rPr>
          <w:t>صندوق الأدوات</w:t>
        </w:r>
      </w:hyperlink>
      <w:r w:rsidRPr="00C8196F">
        <w:rPr>
          <w:rFonts w:cstheme="minorHAnsi"/>
          <w:sz w:val="18"/>
          <w:szCs w:val="18"/>
          <w:rtl/>
        </w:rPr>
        <w:t xml:space="preserve"> الذي يوفره رابط </w:t>
      </w:r>
      <w:r w:rsidRPr="00C8196F">
        <w:rPr>
          <w:rFonts w:cstheme="minorHAnsi"/>
          <w:sz w:val="18"/>
          <w:szCs w:val="18"/>
        </w:rPr>
        <w:t>HEIP</w:t>
      </w:r>
      <w:r w:rsidRPr="00C8196F">
        <w:rPr>
          <w:rFonts w:cstheme="minorHAnsi"/>
          <w:sz w:val="18"/>
          <w:szCs w:val="18"/>
          <w:rtl/>
        </w:rPr>
        <w:t>.</w:t>
      </w:r>
    </w:p>
  </w:footnote>
  <w:footnote w:id="4">
    <w:p w14:paraId="692C9722" w14:textId="77777777" w:rsidR="00E40747" w:rsidRPr="00C8196F" w:rsidRDefault="00E40747" w:rsidP="0072797F">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نظراً لاختلاف التواريخ، والأوضاع الاقتصادية، والجهات الفاعلة، فإن العوامل التي نجحت في مؤسسة ما ليس بالضرورة أن تنجح في أخرى. ولذلك، فإن نسخ أو تبني سياسات مماثلة من مؤسسات رائدة ناجحة لا يضمن نتائج مماثلة. </w:t>
      </w:r>
    </w:p>
  </w:footnote>
  <w:footnote w:id="5">
    <w:p w14:paraId="6EAEE218" w14:textId="77777777" w:rsidR="00E40747" w:rsidRPr="00C8196F" w:rsidRDefault="00E40747" w:rsidP="0072797F">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قد تساعد </w:t>
      </w:r>
      <w:hyperlink r:id="rId5" w:history="1">
        <w:r w:rsidRPr="00C8196F">
          <w:rPr>
            <w:rStyle w:val="Hyperlink"/>
            <w:rFonts w:cstheme="minorHAnsi"/>
            <w:i/>
            <w:iCs/>
            <w:sz w:val="18"/>
            <w:szCs w:val="18"/>
            <w:rtl/>
          </w:rPr>
          <w:t>القائمة المرجعية لواضعي السياسات</w:t>
        </w:r>
      </w:hyperlink>
      <w:r w:rsidRPr="00C8196F">
        <w:rPr>
          <w:rFonts w:cstheme="minorHAnsi"/>
          <w:sz w:val="18"/>
          <w:szCs w:val="18"/>
          <w:rtl/>
        </w:rPr>
        <w:t xml:space="preserve"> على فهم الاحتياجات والخصائص والتنظيم وإطار السياسة الأوسع للمؤسسة بشكل أفضل.  </w:t>
      </w:r>
    </w:p>
  </w:footnote>
  <w:footnote w:id="6">
    <w:p w14:paraId="46249E64" w14:textId="77777777" w:rsidR="00E40747" w:rsidRPr="00C8196F" w:rsidRDefault="00E40747" w:rsidP="00B7519E">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ولذلك، فإن التشاور مع المشاركين في تسويق البحوث من مختلف أنحاء النظام البيئي أمر بالغ الأهمية. راجع </w:t>
      </w:r>
      <w:hyperlink r:id="rId6" w:history="1">
        <w:r w:rsidRPr="00C8196F">
          <w:rPr>
            <w:rStyle w:val="Hyperlink"/>
            <w:rFonts w:cstheme="minorHAnsi"/>
            <w:sz w:val="18"/>
            <w:szCs w:val="18"/>
            <w:rtl/>
          </w:rPr>
          <w:t>القائمة المرجعية لواضعي السياسات</w:t>
        </w:r>
      </w:hyperlink>
      <w:r w:rsidRPr="00C8196F">
        <w:rPr>
          <w:rFonts w:cstheme="minorHAnsi"/>
          <w:sz w:val="18"/>
          <w:szCs w:val="18"/>
          <w:rtl/>
        </w:rPr>
        <w:t>، القائمة المرجعية 3.</w:t>
      </w:r>
    </w:p>
  </w:footnote>
  <w:footnote w:id="7">
    <w:p w14:paraId="05DD3CEC" w14:textId="77777777" w:rsidR="00E40747" w:rsidRPr="00C8196F" w:rsidRDefault="00E40747" w:rsidP="0072797F">
      <w:pPr>
        <w:pStyle w:val="FootnoteText"/>
        <w:jc w:val="both"/>
        <w:rPr>
          <w:rFonts w:cstheme="minorHAnsi"/>
          <w:sz w:val="18"/>
          <w:szCs w:val="18"/>
          <w:rtl/>
        </w:rPr>
      </w:pPr>
      <w:r w:rsidRPr="0052419F">
        <w:rPr>
          <w:rStyle w:val="FootnoteReference"/>
          <w:rFonts w:cstheme="minorHAnsi"/>
          <w:sz w:val="18"/>
          <w:szCs w:val="18"/>
        </w:rPr>
        <w:footnoteRef/>
      </w:r>
      <w:r w:rsidRPr="0052419F">
        <w:rPr>
          <w:rFonts w:cstheme="minorHAnsi"/>
          <w:sz w:val="18"/>
          <w:szCs w:val="18"/>
          <w:rtl/>
        </w:rPr>
        <w:t xml:space="preserve">يمكن العثور على أمثلة مختلفة لهذه المبادئ التوجيهية من خلال البحث في </w:t>
      </w:r>
      <w:hyperlink r:id="rId7" w:history="1">
        <w:r w:rsidRPr="0052419F">
          <w:rPr>
            <w:rStyle w:val="Hyperlink"/>
            <w:rFonts w:cstheme="minorHAnsi"/>
            <w:sz w:val="18"/>
            <w:szCs w:val="18"/>
            <w:rtl/>
          </w:rPr>
          <w:t>قاعدة بيانات الويبو لسياسات الملكية الفكرية</w:t>
        </w:r>
      </w:hyperlink>
      <w:r w:rsidRPr="0052419F">
        <w:rPr>
          <w:rFonts w:cstheme="minorHAnsi"/>
          <w:sz w:val="18"/>
          <w:szCs w:val="18"/>
          <w:rtl/>
        </w:rPr>
        <w:t xml:space="preserve">، مع الإشارة إلى "المبادئ التوجيهية والموارد الأخرى" في إطار الوثائق المرافقة.  بعض الأمثلة على المبادئ التوجيهية على الصعيد الوطني هي: </w:t>
      </w:r>
      <w:hyperlink r:id="rId8" w:history="1">
        <w:r w:rsidRPr="0052419F">
          <w:rPr>
            <w:rStyle w:val="Hyperlink"/>
            <w:rFonts w:cstheme="minorHAnsi"/>
            <w:sz w:val="18"/>
            <w:szCs w:val="18"/>
            <w:rtl/>
          </w:rPr>
          <w:t>مجموعة أدوات الملكية الفكرية الأسترالية للتعاون</w:t>
        </w:r>
      </w:hyperlink>
      <w:r w:rsidRPr="0052419F">
        <w:rPr>
          <w:rFonts w:cstheme="minorHAnsi"/>
          <w:sz w:val="18"/>
          <w:szCs w:val="18"/>
          <w:rtl/>
        </w:rPr>
        <w:t xml:space="preserve"> ومجموعة من </w:t>
      </w:r>
      <w:hyperlink r:id="rId9" w:history="1">
        <w:r w:rsidRPr="0052419F">
          <w:rPr>
            <w:rStyle w:val="Hyperlink"/>
            <w:rFonts w:cstheme="minorHAnsi"/>
            <w:sz w:val="18"/>
            <w:szCs w:val="18"/>
            <w:rtl/>
          </w:rPr>
          <w:t>الكتيبات والأدلة</w:t>
        </w:r>
      </w:hyperlink>
      <w:r w:rsidRPr="0052419F">
        <w:rPr>
          <w:rFonts w:cstheme="minorHAnsi"/>
          <w:sz w:val="18"/>
          <w:szCs w:val="18"/>
          <w:rtl/>
        </w:rPr>
        <w:t xml:space="preserve"> بشأن إدارة الملكية الفكرية وضعتها رابطة الصلات بين البحوث الجامعية وقطاع الصناعة (</w:t>
      </w:r>
      <w:r w:rsidRPr="0052419F">
        <w:rPr>
          <w:rFonts w:cstheme="minorHAnsi"/>
          <w:sz w:val="18"/>
          <w:szCs w:val="18"/>
        </w:rPr>
        <w:t>AURIL</w:t>
      </w:r>
      <w:r w:rsidRPr="0052419F">
        <w:rPr>
          <w:rFonts w:cstheme="minorHAnsi"/>
          <w:sz w:val="18"/>
          <w:szCs w:val="18"/>
          <w:rtl/>
        </w:rPr>
        <w:t>).</w:t>
      </w:r>
    </w:p>
  </w:footnote>
  <w:footnote w:id="8">
    <w:p w14:paraId="1376CE01" w14:textId="77777777" w:rsidR="00E40747" w:rsidRPr="00C8196F" w:rsidRDefault="00E40747" w:rsidP="00B7519E">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انظر </w:t>
      </w:r>
      <w:hyperlink r:id="rId10" w:history="1">
        <w:r w:rsidRPr="00C8196F">
          <w:rPr>
            <w:rStyle w:val="Hyperlink"/>
            <w:rFonts w:cstheme="minorHAnsi"/>
            <w:i/>
            <w:iCs/>
            <w:sz w:val="18"/>
            <w:szCs w:val="18"/>
            <w:rtl/>
          </w:rPr>
          <w:t>القائمة المرجعية لواضعي السياسات</w:t>
        </w:r>
      </w:hyperlink>
      <w:r w:rsidRPr="00C8196F">
        <w:rPr>
          <w:rFonts w:cstheme="minorHAnsi"/>
          <w:sz w:val="18"/>
          <w:szCs w:val="18"/>
          <w:rtl/>
        </w:rPr>
        <w:t>، القائمة المرجعية 24.</w:t>
      </w:r>
    </w:p>
  </w:footnote>
  <w:footnote w:id="9">
    <w:p w14:paraId="4FC9AC8B" w14:textId="77777777" w:rsidR="00E40747" w:rsidRPr="00C8196F" w:rsidRDefault="00E40747" w:rsidP="00A163C3">
      <w:pPr>
        <w:autoSpaceDE w:val="0"/>
        <w:autoSpaceDN w:val="0"/>
        <w:adjustRightInd w:val="0"/>
        <w:spacing w:after="0" w:line="240" w:lineRule="auto"/>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يمكن فهم "الرسالة الثالثة" للجامعات على أنها الاستخدام الاقتصادي للأبحاث وحقوق الملكية الفكرية والشركات المنبثقة ونقل التكنولوجيا، وبمعنى أوسع كل شيء في اتجاه المجتمع والاستخدام الاقتصادي للبحث والملكية الفكرية (انظر: ميكايلا كورنيليا دان (2012)، </w:t>
      </w:r>
      <w:hyperlink r:id="rId11" w:history="1">
        <w:r w:rsidRPr="00C8196F">
          <w:rPr>
            <w:rStyle w:val="Hyperlink"/>
            <w:rFonts w:cstheme="minorHAnsi"/>
            <w:i/>
            <w:iCs/>
            <w:sz w:val="18"/>
            <w:szCs w:val="18"/>
          </w:rPr>
          <w:t>The Third Mission of Universities in the Development Strategy of Vienna City</w:t>
        </w:r>
      </w:hyperlink>
      <w:r w:rsidRPr="00C8196F">
        <w:rPr>
          <w:rFonts w:cstheme="minorHAnsi"/>
          <w:sz w:val="18"/>
          <w:szCs w:val="18"/>
          <w:rtl/>
        </w:rPr>
        <w:t>).</w:t>
      </w:r>
    </w:p>
  </w:footnote>
  <w:footnote w:id="10">
    <w:p w14:paraId="06ED2279" w14:textId="77777777" w:rsidR="00E40747" w:rsidRPr="00C8196F" w:rsidRDefault="00E40747" w:rsidP="00FF6CD3">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مثل الوكالات الحكومية والمنظمات الخيرية والمنظمات غير الحكومية وغيرها من مؤسسات التعليم العالي ومستثمري القطاع الخاص والأفراد في جميع أنحاء العالم.</w:t>
      </w:r>
    </w:p>
  </w:footnote>
  <w:footnote w:id="11">
    <w:p w14:paraId="5250247E" w14:textId="77777777" w:rsidR="00E40747" w:rsidRPr="00C8196F" w:rsidRDefault="00E40747" w:rsidP="003C3F7C">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ينبغي للمؤسسات أن تحاول توقع التكنولوجيات التي قد يكون لها تطبيقات تعالج احتياجات اجتماعية هامة غير مُلباة ومن غير المرجح أن تُستوفى تحت شروط مناسبة للأسواق التجارية، وأن تعمل على هيكلة اتفاقات يجب اتباعها لهذه التطبيقات. وتتمثل الأمثلة الرئيسية في التكنولوجيات المناسبة لتلبية الاحتياجات الزراعية والطبية والغذائية للبلدان النامية. انظر </w:t>
      </w:r>
      <w:hyperlink r:id="rId12" w:history="1">
        <w:r w:rsidRPr="00C8196F">
          <w:rPr>
            <w:rStyle w:val="Hyperlink"/>
            <w:rFonts w:cstheme="minorHAnsi"/>
            <w:sz w:val="18"/>
            <w:szCs w:val="18"/>
            <w:rtl/>
          </w:rPr>
          <w:t>تسع نقاط يجب مراعاتها في ترخيص تكنولوجيات الجامعات</w:t>
        </w:r>
      </w:hyperlink>
      <w:r w:rsidRPr="00C8196F">
        <w:rPr>
          <w:rFonts w:cstheme="minorHAnsi"/>
          <w:sz w:val="18"/>
          <w:szCs w:val="18"/>
          <w:rtl/>
        </w:rPr>
        <w:t xml:space="preserve"> (النقطة 9).</w:t>
      </w:r>
    </w:p>
  </w:footnote>
  <w:footnote w:id="12">
    <w:p w14:paraId="6794D9E0" w14:textId="77777777" w:rsidR="00E40747" w:rsidRPr="00C8196F" w:rsidRDefault="00E40747" w:rsidP="003C3F7C">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قد يؤدي نقل المعرفة إلى تحقيق دخل من الإتاوات والتراخيص التي يمكن إعادة استثمارها في برامج بحثية وتدريسية جديدة، على الرغم من أن الدراسات تشير إلى أن معظم المؤسسات لن تحقق دخلاً كافياً لتغطية تكاليف مكتب إدارة ملكية فكرية.</w:t>
      </w:r>
    </w:p>
  </w:footnote>
  <w:footnote w:id="13">
    <w:p w14:paraId="547759FD" w14:textId="77777777" w:rsidR="00E40747" w:rsidRPr="00C8196F" w:rsidRDefault="00E40747" w:rsidP="00AA1A8A">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فالمؤسسات التي تنجح في نقل الاكتشافات من المختبر إلى السوق تؤسس لإنجازات تالية مرموقة.</w:t>
      </w:r>
    </w:p>
  </w:footnote>
  <w:footnote w:id="14">
    <w:p w14:paraId="01C4232B" w14:textId="77777777" w:rsidR="00E40747" w:rsidRPr="00C8196F" w:rsidRDefault="00E40747" w:rsidP="00AA1A8A">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من خلال المعدات الصناعية، والفهم الأفضل لاحتياجات السوق والبحوث التطبيقية.</w:t>
      </w:r>
    </w:p>
  </w:footnote>
  <w:footnote w:id="15">
    <w:p w14:paraId="5C85DD72" w14:textId="77777777" w:rsidR="00E40747" w:rsidRPr="00C8196F" w:rsidRDefault="00E40747" w:rsidP="00E57DC1">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التدريس العملي من خلال مشاركات لمحاضرين يعملون في القطاع الصناعي ودراسات حالة واقعية.</w:t>
      </w:r>
    </w:p>
  </w:footnote>
  <w:footnote w:id="16">
    <w:p w14:paraId="168D3A6E" w14:textId="77777777" w:rsidR="00E40747" w:rsidRPr="00C8196F" w:rsidRDefault="00E40747" w:rsidP="00AA1A8A">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آفاق العثور على عمل للطلاب والباحثين في المراحل المبكرة، وتبادل الموظفين بين المؤسسة والشركات، وتوظيف الشركات لخريجي الجامعات.</w:t>
      </w:r>
    </w:p>
  </w:footnote>
  <w:footnote w:id="17">
    <w:p w14:paraId="43075A8A" w14:textId="77777777" w:rsidR="00E40747" w:rsidRPr="00C8196F" w:rsidRDefault="00E40747" w:rsidP="00AA1A8A">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فالجامعات التي تحتضن بيئة معززة لنقل التكنولوجيا، تصبح أكثر جاذبية لرواد الأعمال من أعضاء هيئة التدريس والعلماء والطلبة الذين يرون في المؤسسة مساراً ناجحاً للتطوير المهني ونقل الابتكار إلى السوق، في آن معاً.</w:t>
      </w:r>
    </w:p>
  </w:footnote>
  <w:footnote w:id="18">
    <w:p w14:paraId="0C292C0A" w14:textId="77777777" w:rsidR="00E40747" w:rsidRPr="00C8196F" w:rsidRDefault="00E40747" w:rsidP="00E57DC1">
      <w:pPr>
        <w:pStyle w:val="FootnoteText"/>
        <w:jc w:val="both"/>
        <w:rPr>
          <w:rFonts w:cstheme="minorHAnsi"/>
          <w:color w:val="000000" w:themeColor="text1"/>
          <w:sz w:val="18"/>
          <w:szCs w:val="18"/>
          <w:rtl/>
        </w:rPr>
      </w:pPr>
      <w:r w:rsidRPr="00C8196F">
        <w:rPr>
          <w:rStyle w:val="FootnoteReference"/>
          <w:rFonts w:cstheme="minorHAnsi"/>
          <w:sz w:val="18"/>
          <w:szCs w:val="18"/>
        </w:rPr>
        <w:footnoteRef/>
      </w:r>
      <w:r w:rsidRPr="00C8196F">
        <w:rPr>
          <w:rFonts w:cstheme="minorHAnsi"/>
          <w:sz w:val="18"/>
          <w:szCs w:val="18"/>
          <w:rtl/>
        </w:rPr>
        <w:t xml:space="preserve"> </w:t>
      </w:r>
      <w:r w:rsidRPr="00C8196F">
        <w:rPr>
          <w:rFonts w:cstheme="minorHAnsi"/>
          <w:color w:val="000000" w:themeColor="text1"/>
          <w:sz w:val="18"/>
          <w:szCs w:val="18"/>
          <w:rtl/>
        </w:rPr>
        <w:t>يسعى العلماء الأكاديميون بوجه عام إلى النشر السريع لأفكارهم، لا سيما من خلال النشر في مجلات علمية مختارة، والتقدير المتبادل بين الأقران. وقد يسعون أيضاً إلى الحصول على مكافآت مالية يمكن الاستفادة منها مرة أخرى في أبحاثهم.</w:t>
      </w:r>
    </w:p>
  </w:footnote>
  <w:footnote w:id="19">
    <w:p w14:paraId="228B2F30" w14:textId="77777777" w:rsidR="00E40747" w:rsidRPr="00C8196F" w:rsidRDefault="00E40747" w:rsidP="00E57DC1">
      <w:pPr>
        <w:pStyle w:val="FootnoteText"/>
        <w:jc w:val="both"/>
        <w:rPr>
          <w:rFonts w:cstheme="minorHAnsi"/>
          <w:color w:val="000000" w:themeColor="text1"/>
          <w:sz w:val="18"/>
          <w:szCs w:val="18"/>
          <w:rtl/>
        </w:rPr>
      </w:pPr>
      <w:r w:rsidRPr="00C8196F">
        <w:rPr>
          <w:rStyle w:val="FootnoteReference"/>
          <w:rFonts w:cstheme="minorHAnsi"/>
          <w:sz w:val="18"/>
          <w:szCs w:val="18"/>
        </w:rPr>
        <w:footnoteRef/>
      </w:r>
      <w:r w:rsidRPr="00C8196F">
        <w:rPr>
          <w:rFonts w:cstheme="minorHAnsi"/>
          <w:sz w:val="18"/>
          <w:szCs w:val="18"/>
          <w:rtl/>
        </w:rPr>
        <w:t xml:space="preserve"> </w:t>
      </w:r>
      <w:r w:rsidRPr="00C8196F">
        <w:rPr>
          <w:rFonts w:cstheme="minorHAnsi"/>
          <w:color w:val="000000" w:themeColor="text1"/>
          <w:sz w:val="18"/>
          <w:szCs w:val="18"/>
          <w:rtl/>
        </w:rPr>
        <w:t>يسعى مكتب إدارة الملكية الفكرية وغيرهم من المسؤولين عن الأبحاث عموماً إلى تحقيق إيرادات من محفظة الملكية الفكرية ويسعون إلى نقل تكنولوجيات المؤسسة أو تسويقها إلى الشركات.</w:t>
      </w:r>
    </w:p>
  </w:footnote>
  <w:footnote w:id="20">
    <w:p w14:paraId="509DF6B7" w14:textId="77777777" w:rsidR="00E40747" w:rsidRPr="00C8196F" w:rsidRDefault="00E40747" w:rsidP="00A26BC7">
      <w:pPr>
        <w:pStyle w:val="FootnoteText"/>
        <w:jc w:val="both"/>
        <w:rPr>
          <w:rFonts w:cstheme="minorHAnsi"/>
          <w:color w:val="000000" w:themeColor="text1"/>
          <w:sz w:val="18"/>
          <w:szCs w:val="18"/>
          <w:rtl/>
        </w:rPr>
      </w:pPr>
      <w:r w:rsidRPr="00C8196F">
        <w:rPr>
          <w:rStyle w:val="FootnoteReference"/>
          <w:rFonts w:cstheme="minorHAnsi"/>
          <w:sz w:val="18"/>
          <w:szCs w:val="18"/>
        </w:rPr>
        <w:footnoteRef/>
      </w:r>
      <w:r w:rsidRPr="00C8196F">
        <w:rPr>
          <w:rFonts w:cstheme="minorHAnsi"/>
          <w:sz w:val="18"/>
          <w:szCs w:val="18"/>
          <w:rtl/>
        </w:rPr>
        <w:t xml:space="preserve"> </w:t>
      </w:r>
      <w:r w:rsidRPr="00C8196F">
        <w:rPr>
          <w:rFonts w:cstheme="minorHAnsi"/>
          <w:color w:val="000000" w:themeColor="text1"/>
          <w:sz w:val="18"/>
          <w:szCs w:val="18"/>
          <w:rtl/>
        </w:rPr>
        <w:t>تُدفَع الشركات بالرغبة في تسويق الملكية الفكرية التي تنشأ في المؤسسات لتحقيق مكاسب مالية. إذ يرغبون في تأمين الحقوق الاستئثارية لهذه الملكية الفكرية والتركيز بشدة على السرعة.</w:t>
      </w:r>
    </w:p>
  </w:footnote>
  <w:footnote w:id="21">
    <w:p w14:paraId="570E9FBF" w14:textId="77777777" w:rsidR="00E40747" w:rsidRPr="00C8196F" w:rsidRDefault="00E40747" w:rsidP="00BF4081">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w:t>
      </w:r>
      <w:r w:rsidRPr="00C8196F">
        <w:rPr>
          <w:rFonts w:cstheme="minorHAnsi"/>
          <w:color w:val="000000" w:themeColor="text1"/>
          <w:sz w:val="18"/>
          <w:szCs w:val="18"/>
          <w:rtl/>
        </w:rPr>
        <w:t>من المتوقع على نحو متزايد أن تشارك الجامعات والمؤسسات البحثية بفاعلية في النظام الإيكولوجي الإقليمي للمعرفة والابتكار وتساهم فيه</w:t>
      </w:r>
      <w:r w:rsidRPr="00C8196F">
        <w:rPr>
          <w:rFonts w:cstheme="minorHAnsi"/>
          <w:sz w:val="18"/>
          <w:szCs w:val="18"/>
          <w:rtl/>
        </w:rPr>
        <w:t xml:space="preserve">. انظر، على سبيل المثال، في أوروبا: رابطة الجامعات الأوروبية، </w:t>
      </w:r>
      <w:hyperlink r:id="rId13" w:history="1">
        <w:r w:rsidRPr="00C8196F">
          <w:rPr>
            <w:rStyle w:val="Hyperlink"/>
            <w:rFonts w:cstheme="minorHAnsi"/>
            <w:i/>
            <w:iCs/>
            <w:color w:val="auto"/>
            <w:sz w:val="18"/>
            <w:szCs w:val="18"/>
            <w:rtl/>
          </w:rPr>
          <w:t>البحث التعاوني بين الجامعة وشركات الأعمال:</w:t>
        </w:r>
      </w:hyperlink>
      <w:hyperlink r:id="rId14" w:history="1">
        <w:r w:rsidRPr="00C8196F">
          <w:rPr>
            <w:rStyle w:val="Hyperlink"/>
            <w:rFonts w:cstheme="minorHAnsi"/>
            <w:i/>
            <w:iCs/>
            <w:color w:val="auto"/>
            <w:sz w:val="18"/>
            <w:szCs w:val="18"/>
            <w:rtl/>
          </w:rPr>
          <w:t xml:space="preserve"> الأهداف والنتائج وأدوات التقييم الجديدة</w:t>
        </w:r>
      </w:hyperlink>
      <w:r w:rsidRPr="00C8196F">
        <w:rPr>
          <w:rFonts w:cstheme="minorHAnsi"/>
          <w:sz w:val="18"/>
          <w:szCs w:val="18"/>
          <w:rtl/>
        </w:rPr>
        <w:t xml:space="preserve"> (2014).</w:t>
      </w:r>
    </w:p>
  </w:footnote>
  <w:footnote w:id="22">
    <w:p w14:paraId="67135759" w14:textId="77777777" w:rsidR="00E40747" w:rsidRPr="00C8196F" w:rsidRDefault="00E40747" w:rsidP="008C13DD">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كذلك </w:t>
      </w:r>
      <w:hyperlink w:anchor="Commercialization Pathways" w:history="1">
        <w:r w:rsidRPr="00C8196F">
          <w:rPr>
            <w:rStyle w:val="Hyperlink"/>
            <w:rFonts w:cstheme="minorHAnsi"/>
            <w:sz w:val="18"/>
            <w:szCs w:val="18"/>
            <w:rtl/>
          </w:rPr>
          <w:t>المادة 4.9.أ</w:t>
        </w:r>
      </w:hyperlink>
      <w:r w:rsidRPr="00C8196F">
        <w:rPr>
          <w:rFonts w:cstheme="minorHAnsi"/>
          <w:sz w:val="18"/>
          <w:szCs w:val="18"/>
          <w:rtl/>
        </w:rPr>
        <w:t xml:space="preserve"> و</w:t>
      </w:r>
      <w:hyperlink w:anchor="Box60" w:history="1">
        <w:r w:rsidRPr="00C8196F">
          <w:rPr>
            <w:rStyle w:val="Hyperlink"/>
            <w:rFonts w:cstheme="minorHAnsi"/>
            <w:sz w:val="18"/>
            <w:szCs w:val="18"/>
            <w:rtl/>
          </w:rPr>
          <w:t>الإطار 61</w:t>
        </w:r>
      </w:hyperlink>
      <w:r w:rsidRPr="00C8196F">
        <w:rPr>
          <w:rFonts w:cstheme="minorHAnsi"/>
          <w:sz w:val="18"/>
          <w:szCs w:val="18"/>
          <w:rtl/>
        </w:rPr>
        <w:t>. غالباً ما يُطلب من المؤسسات التي تتلقى تمويلاً حكومياً للأبحاث إعطاء الأفضلية لإصدار تراخيص للشركات الصغيرة المحلية إذا كانت لديها الموارد والقدرة على تسويق الاختراع.</w:t>
      </w:r>
    </w:p>
  </w:footnote>
  <w:footnote w:id="23">
    <w:p w14:paraId="6C0ADFEC"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"المبادئ التوجيهية بشأن المسؤولية الاجتماعية" للمنظمة الدولية للمعايير".</w:t>
      </w:r>
    </w:p>
  </w:footnote>
  <w:footnote w:id="24">
    <w:p w14:paraId="783D64D4" w14:textId="77777777" w:rsidR="00E40747" w:rsidRPr="00C8196F" w:rsidRDefault="00E40747" w:rsidP="006E4BB0">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وُضع مشروع المسؤولية الاجتماعية للجامعات في الاتحاد الأوروبي (</w:t>
      </w:r>
      <w:r w:rsidRPr="00C8196F">
        <w:rPr>
          <w:rFonts w:cstheme="minorHAnsi"/>
          <w:sz w:val="18"/>
          <w:szCs w:val="18"/>
        </w:rPr>
        <w:t>http://www.eu-usr.eu</w:t>
      </w:r>
      <w:r w:rsidRPr="00C8196F">
        <w:rPr>
          <w:rFonts w:cstheme="minorHAnsi"/>
          <w:sz w:val="18"/>
          <w:szCs w:val="18"/>
          <w:rtl/>
        </w:rPr>
        <w:t>) استجابة للأولوية السياسية للمفوضية الأوروبية حول الحاجة إلى استراتيجية مشتركة للمسؤولية الاجتماعية تتبعها جميع الجامعات الأوروبية. ويقترح تقرير المسؤولية الاجتماعية للجامعات في الاتحاد الأوروبي مجموعة من المعايير المرجعية تقدم نموذجاً أوروبياً لتعزيز المسؤولية الاجتماعية للجامعات.</w:t>
      </w:r>
    </w:p>
  </w:footnote>
  <w:footnote w:id="25">
    <w:p w14:paraId="66522235" w14:textId="77777777" w:rsidR="00E40747" w:rsidRPr="00C8196F" w:rsidRDefault="00E40747" w:rsidP="00A26BC7">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w:t>
      </w:r>
      <w:hyperlink r:id="rId15" w:history="1">
        <w:r w:rsidRPr="00C8196F">
          <w:rPr>
            <w:rStyle w:val="Hyperlink"/>
            <w:rFonts w:cstheme="minorHAnsi"/>
            <w:sz w:val="18"/>
            <w:szCs w:val="18"/>
            <w:rtl/>
          </w:rPr>
          <w:t>المسؤولية الاجتماعية في مؤسسات التعليم العالي:</w:t>
        </w:r>
      </w:hyperlink>
      <w:hyperlink r:id="rId16" w:history="1">
        <w:r w:rsidRPr="00C8196F">
          <w:rPr>
            <w:rStyle w:val="Hyperlink"/>
            <w:rFonts w:cstheme="minorHAnsi"/>
            <w:sz w:val="18"/>
            <w:szCs w:val="18"/>
            <w:rtl/>
          </w:rPr>
          <w:t xml:space="preserve"> حالة تطبيقية من الشرق الأوسط</w:t>
        </w:r>
      </w:hyperlink>
      <w:r w:rsidRPr="00C8196F">
        <w:rPr>
          <w:rFonts w:cstheme="minorHAnsi"/>
          <w:sz w:val="18"/>
          <w:szCs w:val="18"/>
          <w:rtl/>
        </w:rPr>
        <w:t>.</w:t>
      </w:r>
    </w:p>
  </w:footnote>
  <w:footnote w:id="26">
    <w:p w14:paraId="77F73B91" w14:textId="77777777" w:rsidR="00E40747" w:rsidRPr="00C8196F" w:rsidRDefault="00E40747" w:rsidP="00A26BC7">
      <w:pPr>
        <w:autoSpaceDE w:val="0"/>
        <w:autoSpaceDN w:val="0"/>
        <w:adjustRightInd w:val="0"/>
        <w:spacing w:after="0" w:line="240" w:lineRule="auto"/>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w:t>
      </w:r>
      <w:hyperlink r:id="rId17" w:history="1">
        <w:r w:rsidRPr="00C8196F">
          <w:rPr>
            <w:rStyle w:val="Hyperlink"/>
            <w:rFonts w:cstheme="minorHAnsi"/>
            <w:sz w:val="18"/>
            <w:szCs w:val="18"/>
            <w:rtl/>
          </w:rPr>
          <w:t>إطار للمسؤولية الاجتماعية للجامعة ولاستدامتها:</w:t>
        </w:r>
      </w:hyperlink>
      <w:hyperlink r:id="rId18" w:history="1">
        <w:r w:rsidRPr="00C8196F">
          <w:rPr>
            <w:rStyle w:val="Hyperlink"/>
            <w:rFonts w:cstheme="minorHAnsi"/>
            <w:sz w:val="18"/>
            <w:szCs w:val="18"/>
            <w:rtl/>
          </w:rPr>
          <w:t xml:space="preserve"> حالة جامعة جنوب الوادي، مصر</w:t>
        </w:r>
      </w:hyperlink>
      <w:r w:rsidRPr="00C8196F">
        <w:rPr>
          <w:rFonts w:cstheme="minorHAnsi"/>
          <w:sz w:val="18"/>
          <w:szCs w:val="18"/>
          <w:rtl/>
        </w:rPr>
        <w:t>.</w:t>
      </w:r>
    </w:p>
  </w:footnote>
  <w:footnote w:id="27">
    <w:p w14:paraId="62B53497" w14:textId="77777777" w:rsidR="00E40747" w:rsidRPr="00C8196F" w:rsidRDefault="00E40747" w:rsidP="00A26BC7">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المسؤولية الاجتماعية أحد أهدافنا الاستراتيجية الأساسية الثلاثة في </w:t>
      </w:r>
      <w:hyperlink r:id="rId19" w:history="1">
        <w:r w:rsidRPr="00C8196F">
          <w:rPr>
            <w:rStyle w:val="Hyperlink"/>
            <w:rFonts w:cstheme="minorHAnsi"/>
            <w:sz w:val="18"/>
            <w:szCs w:val="18"/>
            <w:rtl/>
          </w:rPr>
          <w:t>استراتيجية مانشستر لعام 2020</w:t>
        </w:r>
      </w:hyperlink>
      <w:r w:rsidRPr="00C8196F">
        <w:rPr>
          <w:rFonts w:cstheme="minorHAnsi"/>
          <w:sz w:val="18"/>
          <w:szCs w:val="18"/>
          <w:rtl/>
        </w:rPr>
        <w:t xml:space="preserve">. فالجامعة لديها </w:t>
      </w:r>
      <w:r w:rsidRPr="00C8196F">
        <w:rPr>
          <w:rFonts w:cstheme="minorHAnsi"/>
          <w:i/>
          <w:iCs/>
          <w:sz w:val="18"/>
          <w:szCs w:val="18"/>
          <w:rtl/>
        </w:rPr>
        <w:t>سياسة لتسويق الملكية الفكرية لأغراض إنسانية</w:t>
      </w:r>
      <w:r w:rsidRPr="00C8196F">
        <w:rPr>
          <w:rFonts w:cstheme="minorHAnsi"/>
          <w:sz w:val="18"/>
          <w:szCs w:val="18"/>
          <w:rtl/>
        </w:rPr>
        <w:t>.</w:t>
      </w:r>
    </w:p>
  </w:footnote>
  <w:footnote w:id="28">
    <w:p w14:paraId="5CAF7C11" w14:textId="77777777" w:rsidR="00E40747" w:rsidRPr="00C8196F" w:rsidRDefault="00E40747" w:rsidP="00A26BC7">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انظر </w:t>
      </w:r>
      <w:hyperlink r:id="rId20" w:history="1">
        <w:r w:rsidRPr="00C8196F">
          <w:rPr>
            <w:rStyle w:val="Hyperlink"/>
            <w:rFonts w:cstheme="minorHAnsi"/>
            <w:sz w:val="18"/>
            <w:szCs w:val="18"/>
            <w:rtl/>
          </w:rPr>
          <w:t>خطة الاستدامة لجامعة غرب اسكتلندا من 2016 إلى 2020</w:t>
        </w:r>
      </w:hyperlink>
      <w:r w:rsidRPr="00C8196F">
        <w:rPr>
          <w:rFonts w:cstheme="minorHAnsi"/>
          <w:sz w:val="18"/>
          <w:szCs w:val="18"/>
          <w:rtl/>
        </w:rPr>
        <w:t>.</w:t>
      </w:r>
    </w:p>
  </w:footnote>
  <w:footnote w:id="29">
    <w:p w14:paraId="533771A4" w14:textId="77777777" w:rsidR="00E40747" w:rsidRPr="00C8196F" w:rsidRDefault="00E40747" w:rsidP="00712AD1">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انظر </w:t>
      </w:r>
      <w:hyperlink r:id="rId21" w:history="1">
        <w:r w:rsidRPr="00C8196F">
          <w:rPr>
            <w:rStyle w:val="Hyperlink"/>
            <w:rFonts w:cstheme="minorHAnsi"/>
            <w:sz w:val="18"/>
            <w:szCs w:val="18"/>
            <w:rtl/>
          </w:rPr>
          <w:t>استراتيجية جامعة أوسلو لعام 2020</w:t>
        </w:r>
      </w:hyperlink>
      <w:r w:rsidRPr="00C8196F">
        <w:rPr>
          <w:rFonts w:cstheme="minorHAnsi"/>
          <w:sz w:val="18"/>
          <w:szCs w:val="18"/>
          <w:rtl/>
        </w:rPr>
        <w:t>.</w:t>
      </w:r>
    </w:p>
  </w:footnote>
  <w:footnote w:id="30">
    <w:p w14:paraId="110F75C6"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جامعة بيركلي لديها برنامج ترخيص مسؤول اجتماعياً لتحقيق أقصى قدر من التأثير المجتمعي.</w:t>
      </w:r>
    </w:p>
  </w:footnote>
  <w:footnote w:id="31">
    <w:p w14:paraId="1925F490"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مقال </w:t>
      </w:r>
      <w:hyperlink r:id="rId22" w:history="1">
        <w:r w:rsidRPr="00C8196F">
          <w:rPr>
            <w:rStyle w:val="Hyperlink"/>
            <w:rFonts w:cstheme="minorHAnsi"/>
            <w:i/>
            <w:iCs/>
            <w:sz w:val="18"/>
            <w:szCs w:val="18"/>
          </w:rPr>
          <w:t>By doing good, Cornell can do well</w:t>
        </w:r>
      </w:hyperlink>
      <w:r w:rsidRPr="00C8196F">
        <w:rPr>
          <w:rFonts w:cstheme="minorHAnsi"/>
          <w:sz w:val="18"/>
          <w:szCs w:val="18"/>
          <w:rtl/>
        </w:rPr>
        <w:t xml:space="preserve">. </w:t>
      </w:r>
    </w:p>
  </w:footnote>
  <w:footnote w:id="32">
    <w:p w14:paraId="602404AA" w14:textId="77777777" w:rsidR="00E40747" w:rsidRPr="00C8196F" w:rsidRDefault="00E40747" w:rsidP="00E84784">
      <w:pPr>
        <w:pStyle w:val="FootnoteText"/>
        <w:rPr>
          <w:rFonts w:cstheme="minorHAnsi"/>
          <w:color w:val="1A1A1A"/>
          <w:sz w:val="18"/>
          <w:szCs w:val="18"/>
          <w:rtl/>
        </w:rPr>
      </w:pPr>
      <w:r w:rsidRPr="00C8196F">
        <w:rPr>
          <w:rStyle w:val="FootnoteReference"/>
          <w:rFonts w:cstheme="minorHAnsi"/>
          <w:sz w:val="18"/>
          <w:szCs w:val="18"/>
        </w:rPr>
        <w:footnoteRef/>
      </w:r>
      <w:r w:rsidRPr="00C8196F">
        <w:rPr>
          <w:rFonts w:cstheme="minorHAnsi"/>
          <w:sz w:val="18"/>
          <w:szCs w:val="18"/>
          <w:rtl/>
        </w:rPr>
        <w:t xml:space="preserve"> </w:t>
      </w:r>
      <w:r w:rsidRPr="00C8196F">
        <w:rPr>
          <w:rFonts w:cstheme="minorHAnsi"/>
          <w:color w:val="1A1A1A"/>
          <w:sz w:val="18"/>
          <w:szCs w:val="18"/>
          <w:rtl/>
        </w:rPr>
        <w:t>تم وضع ميثاق الجامعة للمسؤولية الاجتماعية لتوجيه سير الأنشطة في جامعة مدينة هونغ كونغ (</w:t>
      </w:r>
      <w:r w:rsidRPr="00C8196F">
        <w:rPr>
          <w:rFonts w:cstheme="minorHAnsi"/>
          <w:color w:val="1A1A1A"/>
          <w:sz w:val="18"/>
          <w:szCs w:val="18"/>
        </w:rPr>
        <w:t>CityU</w:t>
      </w:r>
      <w:r w:rsidRPr="00C8196F">
        <w:rPr>
          <w:rFonts w:cstheme="minorHAnsi"/>
          <w:color w:val="1A1A1A"/>
          <w:sz w:val="18"/>
          <w:szCs w:val="18"/>
          <w:rtl/>
        </w:rPr>
        <w:t>) بحيث يمكن إدارة عمليات الجامعة بدقة ومسؤولية، مع إيلاء الاعتبار الواجب لتأثيرها في البيئة والمجتمع؛ مما يحقق التوازن بين النمو والاستدامة. [</w:t>
      </w:r>
      <w:hyperlink r:id="rId23" w:history="1">
        <w:r w:rsidRPr="00C8196F">
          <w:rPr>
            <w:rStyle w:val="Hyperlink"/>
            <w:rFonts w:cstheme="minorHAnsi"/>
            <w:sz w:val="18"/>
            <w:szCs w:val="18"/>
          </w:rPr>
          <w:t>http://www6.cityu.edu.hk/puo/newscentre/usr/uni-charter.htm</w:t>
        </w:r>
      </w:hyperlink>
      <w:r w:rsidRPr="00C8196F">
        <w:rPr>
          <w:rFonts w:cstheme="minorHAnsi"/>
          <w:color w:val="1A1A1A"/>
          <w:sz w:val="18"/>
          <w:szCs w:val="18"/>
          <w:rtl/>
        </w:rPr>
        <w:t>]</w:t>
      </w:r>
    </w:p>
  </w:footnote>
  <w:footnote w:id="33">
    <w:p w14:paraId="60D3CB1E" w14:textId="77777777" w:rsidR="00E40747" w:rsidRPr="00C8196F" w:rsidRDefault="00E40747" w:rsidP="00B9654A">
      <w:pPr>
        <w:pStyle w:val="FootnoteText"/>
        <w:rPr>
          <w:rFonts w:cstheme="minorHAnsi"/>
          <w:sz w:val="18"/>
          <w:szCs w:val="18"/>
          <w:rtl/>
        </w:rPr>
      </w:pPr>
      <w:r w:rsidRPr="00C8196F">
        <w:rPr>
          <w:rStyle w:val="FootnoteReference"/>
          <w:rFonts w:cstheme="minorHAnsi"/>
          <w:sz w:val="18"/>
          <w:szCs w:val="18"/>
        </w:rPr>
        <w:footnoteRef/>
      </w:r>
      <w:hyperlink r:id="rId24" w:history="1">
        <w:r w:rsidRPr="00C8196F">
          <w:rPr>
            <w:rFonts w:cstheme="minorHAnsi"/>
            <w:sz w:val="18"/>
            <w:szCs w:val="18"/>
          </w:rPr>
          <w:t xml:space="preserve"> </w:t>
        </w:r>
        <w:r w:rsidRPr="00C8196F">
          <w:rPr>
            <w:rStyle w:val="Hyperlink"/>
            <w:rFonts w:cstheme="minorHAnsi"/>
            <w:sz w:val="18"/>
            <w:szCs w:val="18"/>
          </w:rPr>
          <w:t>http://www.aunsec.org/aunusrs.php</w:t>
        </w:r>
      </w:hyperlink>
      <w:r w:rsidRPr="00C8196F">
        <w:rPr>
          <w:rFonts w:cstheme="minorHAnsi"/>
          <w:sz w:val="18"/>
          <w:szCs w:val="18"/>
          <w:rtl/>
        </w:rPr>
        <w:t xml:space="preserve"> </w:t>
      </w:r>
    </w:p>
  </w:footnote>
  <w:footnote w:id="34">
    <w:p w14:paraId="3824242D" w14:textId="77777777" w:rsidR="00E40747" w:rsidRPr="00C8196F" w:rsidRDefault="00E40747" w:rsidP="00B9654A">
      <w:pPr>
        <w:pStyle w:val="FootnoteText"/>
        <w:rPr>
          <w:rFonts w:cstheme="minorHAnsi"/>
          <w:sz w:val="18"/>
          <w:szCs w:val="18"/>
          <w:rtl/>
        </w:rPr>
      </w:pPr>
      <w:r w:rsidRPr="00C8196F">
        <w:rPr>
          <w:rStyle w:val="FootnoteReference"/>
          <w:rFonts w:cstheme="minorHAnsi"/>
          <w:sz w:val="18"/>
          <w:szCs w:val="18"/>
        </w:rPr>
        <w:footnoteRef/>
      </w:r>
      <w:hyperlink r:id="rId25" w:history="1">
        <w:r w:rsidRPr="00C8196F">
          <w:rPr>
            <w:rFonts w:cstheme="minorHAnsi"/>
            <w:sz w:val="18"/>
            <w:szCs w:val="18"/>
          </w:rPr>
          <w:t xml:space="preserve"> </w:t>
        </w:r>
        <w:r w:rsidRPr="00C8196F">
          <w:rPr>
            <w:rStyle w:val="Hyperlink"/>
            <w:rFonts w:cstheme="minorHAnsi"/>
            <w:sz w:val="18"/>
            <w:szCs w:val="18"/>
          </w:rPr>
          <w:t>https://www.emeraldinsight.com/doi/abs/10.1108/S2043-905920140000008013</w:t>
        </w:r>
      </w:hyperlink>
      <w:r w:rsidRPr="00C8196F">
        <w:rPr>
          <w:rFonts w:cstheme="minorHAnsi"/>
          <w:sz w:val="18"/>
          <w:szCs w:val="18"/>
          <w:rtl/>
        </w:rPr>
        <w:t xml:space="preserve"> </w:t>
      </w:r>
    </w:p>
  </w:footnote>
  <w:footnote w:id="35">
    <w:p w14:paraId="5D8CA9DD"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في: إدارة الملكية الفكرية في الابتكار الصحي والزراعي: دليل أفضل الممارسات.</w:t>
      </w:r>
    </w:p>
  </w:footnote>
  <w:footnote w:id="36">
    <w:p w14:paraId="785D631E" w14:textId="77777777" w:rsidR="00E40747" w:rsidRPr="00C8196F" w:rsidRDefault="00E40747" w:rsidP="00B7519E">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على سبيل المثال، في أوروبا وبعض البلدان الأخرى، يُسمح بالتجريب على اختراع (بدلاً من استخدام اختراع في التجريب) حتى للأغراض التجارية. غير أنه في الولايات المتحدة، لم تُقبل الأبحاث التي أُجريت دون تصريح من مالك البراءة للأغراض العلمية إلا على نطاق ضيق. انظر: كارلوس كوريا (2016, </w:t>
      </w:r>
      <w:r w:rsidRPr="00C8196F">
        <w:rPr>
          <w:rFonts w:cstheme="minorHAnsi"/>
          <w:sz w:val="18"/>
          <w:szCs w:val="18"/>
        </w:rPr>
        <w:t xml:space="preserve">South Centre Research Paper 69, </w:t>
      </w:r>
      <w:hyperlink r:id="rId26" w:history="1">
        <w:r w:rsidRPr="00C8196F">
          <w:rPr>
            <w:rStyle w:val="Hyperlink"/>
            <w:rFonts w:cstheme="minorHAnsi"/>
            <w:i/>
            <w:iCs/>
            <w:sz w:val="18"/>
            <w:szCs w:val="18"/>
          </w:rPr>
          <w:t>Intellectual Property and Access to Science</w:t>
        </w:r>
      </w:hyperlink>
      <w:r w:rsidRPr="00C8196F">
        <w:rPr>
          <w:rFonts w:cstheme="minorHAnsi"/>
          <w:sz w:val="18"/>
          <w:szCs w:val="18"/>
          <w:rtl/>
        </w:rPr>
        <w:t>.</w:t>
      </w:r>
    </w:p>
  </w:footnote>
  <w:footnote w:id="37">
    <w:p w14:paraId="31B05BF4" w14:textId="77777777" w:rsidR="00E40747" w:rsidRPr="00C8196F" w:rsidRDefault="00E40747" w:rsidP="009357E9">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وتنطبق مثل هذه المبادئ التوجيهية عادة فقط على الملكية الفكرية الناتجة عن البحوث الممولة بالكامل من مصادر عامة، حيث لم تسهم أي أبحاث ممولة تجارياً في الملكية الفكرية.  </w:t>
      </w:r>
    </w:p>
  </w:footnote>
  <w:footnote w:id="38">
    <w:p w14:paraId="55C46267" w14:textId="77777777" w:rsidR="00E40747" w:rsidRPr="00C8196F" w:rsidRDefault="00E40747" w:rsidP="00BD07D8">
      <w:pPr>
        <w:pStyle w:val="FootnoteText"/>
        <w:jc w:val="both"/>
        <w:rPr>
          <w:rFonts w:cstheme="minorHAnsi"/>
          <w:sz w:val="18"/>
          <w:szCs w:val="18"/>
          <w:rtl/>
        </w:rPr>
      </w:pPr>
      <w:r w:rsidRPr="00C8196F">
        <w:rPr>
          <w:rStyle w:val="FootnoteReference"/>
          <w:rFonts w:cstheme="minorHAnsi"/>
          <w:sz w:val="18"/>
          <w:szCs w:val="18"/>
        </w:rPr>
        <w:footnoteRef/>
      </w:r>
      <w:r w:rsidRPr="00C8196F">
        <w:rPr>
          <w:rStyle w:val="FootnoteReference"/>
          <w:rFonts w:cstheme="minorHAnsi"/>
          <w:sz w:val="18"/>
          <w:szCs w:val="18"/>
          <w:rtl/>
        </w:rPr>
        <w:t xml:space="preserve"> </w:t>
      </w:r>
      <w:r w:rsidRPr="00C8196F">
        <w:rPr>
          <w:rFonts w:cstheme="minorHAnsi"/>
          <w:sz w:val="18"/>
          <w:szCs w:val="18"/>
          <w:rtl/>
        </w:rPr>
        <w:t>انظر أيضاً ورقة العمل السابقة التي أعدتها المفوضية الأوروبية:</w:t>
      </w:r>
      <w:hyperlink r:id="rId27" w:history="1">
        <w:r w:rsidRPr="00C8196F">
          <w:rPr>
            <w:rFonts w:cstheme="minorHAnsi"/>
            <w:sz w:val="18"/>
            <w:szCs w:val="18"/>
            <w:rtl/>
          </w:rPr>
          <w:t xml:space="preserve"> </w:t>
        </w:r>
        <w:r w:rsidRPr="00C8196F">
          <w:rPr>
            <w:rStyle w:val="Hyperlink"/>
            <w:rFonts w:cstheme="minorHAnsi"/>
            <w:i/>
            <w:sz w:val="18"/>
            <w:szCs w:val="18"/>
            <w:rtl/>
          </w:rPr>
          <w:t>إدارة الملكية الفكرية في منظمات البحث المُموَّلة من الأموال العامة:</w:t>
        </w:r>
      </w:hyperlink>
      <w:hyperlink r:id="rId28" w:history="1">
        <w:r w:rsidRPr="00C8196F">
          <w:rPr>
            <w:rStyle w:val="Hyperlink"/>
            <w:rFonts w:cstheme="minorHAnsi"/>
            <w:i/>
            <w:iCs/>
            <w:sz w:val="18"/>
            <w:szCs w:val="18"/>
            <w:rtl/>
          </w:rPr>
          <w:t xml:space="preserve"> نحو تطبيق مبادئ توجيهية أوروبية</w:t>
        </w:r>
      </w:hyperlink>
      <w:r w:rsidRPr="00C8196F">
        <w:rPr>
          <w:rStyle w:val="Hyperlink"/>
          <w:rFonts w:cstheme="minorHAnsi"/>
          <w:i/>
          <w:iCs/>
          <w:sz w:val="18"/>
          <w:szCs w:val="18"/>
          <w:rtl/>
        </w:rPr>
        <w:t xml:space="preserve"> </w:t>
      </w:r>
      <w:r w:rsidRPr="00C8196F">
        <w:rPr>
          <w:rFonts w:cstheme="minorHAnsi"/>
          <w:sz w:val="18"/>
          <w:szCs w:val="18"/>
          <w:rtl/>
        </w:rPr>
        <w:t xml:space="preserve">(2004). </w:t>
      </w:r>
    </w:p>
  </w:footnote>
  <w:footnote w:id="39">
    <w:p w14:paraId="69FFDD30" w14:textId="77777777" w:rsidR="00E40747" w:rsidRPr="00C8196F" w:rsidRDefault="00E40747" w:rsidP="00B7519E">
      <w:pPr>
        <w:autoSpaceDE w:val="0"/>
        <w:autoSpaceDN w:val="0"/>
        <w:adjustRightInd w:val="0"/>
        <w:spacing w:after="0" w:line="240" w:lineRule="auto"/>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مشروع </w:t>
      </w:r>
      <w:r w:rsidRPr="00C8196F">
        <w:rPr>
          <w:rFonts w:cstheme="minorHAnsi"/>
          <w:sz w:val="18"/>
          <w:szCs w:val="18"/>
        </w:rPr>
        <w:t>IP-Unilink</w:t>
      </w:r>
      <w:r w:rsidRPr="00C8196F">
        <w:rPr>
          <w:rFonts w:cstheme="minorHAnsi"/>
          <w:b/>
          <w:bCs/>
          <w:sz w:val="18"/>
          <w:szCs w:val="18"/>
          <w:rtl/>
        </w:rPr>
        <w:t xml:space="preserve"> </w:t>
      </w:r>
      <w:r w:rsidRPr="00C8196F">
        <w:rPr>
          <w:rFonts w:cstheme="minorHAnsi"/>
          <w:sz w:val="18"/>
          <w:szCs w:val="18"/>
          <w:rtl/>
        </w:rPr>
        <w:t>هو أحد مبادرات مؤسسات التعليم العالي من الاتحاد الأوروبي (</w:t>
      </w:r>
      <w:r w:rsidRPr="00C8196F">
        <w:rPr>
          <w:rFonts w:cstheme="minorHAnsi"/>
          <w:sz w:val="18"/>
          <w:szCs w:val="18"/>
        </w:rPr>
        <w:t>EU</w:t>
      </w:r>
      <w:r w:rsidRPr="00C8196F">
        <w:rPr>
          <w:rFonts w:cstheme="minorHAnsi"/>
          <w:sz w:val="18"/>
          <w:szCs w:val="18"/>
          <w:rtl/>
        </w:rPr>
        <w:t xml:space="preserve">) والبرازيل وروسيا والهند والصين (دول </w:t>
      </w:r>
      <w:r w:rsidRPr="00C8196F">
        <w:rPr>
          <w:rFonts w:cstheme="minorHAnsi"/>
          <w:sz w:val="18"/>
          <w:szCs w:val="18"/>
        </w:rPr>
        <w:t>BRIC</w:t>
      </w:r>
      <w:r w:rsidRPr="00C8196F">
        <w:rPr>
          <w:rFonts w:cstheme="minorHAnsi"/>
          <w:sz w:val="18"/>
          <w:szCs w:val="18"/>
          <w:rtl/>
        </w:rPr>
        <w:t>)، بتمويل مشترك من الاتحاد الأوروبي.</w:t>
      </w:r>
    </w:p>
  </w:footnote>
  <w:footnote w:id="40">
    <w:p w14:paraId="17D55720" w14:textId="77777777" w:rsidR="00E40747" w:rsidRPr="00C8196F" w:rsidRDefault="00E40747" w:rsidP="00B7519E">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لمزيد من المعلومات، انظر:</w:t>
      </w:r>
      <w:hyperlink r:id="rId29" w:history="1">
        <w:r w:rsidRPr="00C8196F">
          <w:rPr>
            <w:rFonts w:cstheme="minorHAnsi"/>
            <w:sz w:val="18"/>
            <w:szCs w:val="18"/>
            <w:rtl/>
          </w:rPr>
          <w:t xml:space="preserve"> </w:t>
        </w:r>
        <w:r w:rsidRPr="00C8196F">
          <w:rPr>
            <w:rStyle w:val="Hyperlink"/>
            <w:rFonts w:cstheme="minorHAnsi"/>
            <w:color w:val="auto"/>
            <w:sz w:val="18"/>
            <w:szCs w:val="18"/>
            <w:rtl/>
          </w:rPr>
          <w:t>موجز المعلومات الأساسية رقم 10 "الملكية الفكرية والموارد الوراثية</w:t>
        </w:r>
      </w:hyperlink>
      <w:r w:rsidRPr="00C8196F">
        <w:rPr>
          <w:rFonts w:cstheme="minorHAnsi"/>
          <w:sz w:val="18"/>
          <w:szCs w:val="18"/>
          <w:rtl/>
        </w:rPr>
        <w:t>.</w:t>
      </w:r>
    </w:p>
  </w:footnote>
  <w:footnote w:id="41">
    <w:p w14:paraId="6E7C348C" w14:textId="2CF52C2E" w:rsidR="00E40747" w:rsidRPr="00C8196F" w:rsidRDefault="00E40747" w:rsidP="00B7519E">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تم اعتماد </w:t>
      </w:r>
      <w:hyperlink r:id="rId30" w:history="1">
        <w:r w:rsidRPr="00C8196F">
          <w:rPr>
            <w:rStyle w:val="Hyperlink"/>
            <w:rFonts w:cstheme="minorHAnsi"/>
            <w:color w:val="auto"/>
            <w:sz w:val="18"/>
            <w:szCs w:val="18"/>
            <w:rtl/>
          </w:rPr>
          <w:t>اتفاقية التنوع البيولوجي</w:t>
        </w:r>
      </w:hyperlink>
      <w:r w:rsidRPr="00C8196F">
        <w:rPr>
          <w:rFonts w:cstheme="minorHAnsi"/>
          <w:sz w:val="18"/>
          <w:szCs w:val="18"/>
          <w:rtl/>
        </w:rPr>
        <w:t xml:space="preserve"> (</w:t>
      </w:r>
      <w:r w:rsidRPr="00C8196F">
        <w:rPr>
          <w:rFonts w:cstheme="minorHAnsi"/>
          <w:sz w:val="18"/>
          <w:szCs w:val="18"/>
        </w:rPr>
        <w:t>CBD</w:t>
      </w:r>
      <w:r w:rsidRPr="00C8196F">
        <w:rPr>
          <w:rFonts w:cstheme="minorHAnsi"/>
          <w:sz w:val="18"/>
          <w:szCs w:val="18"/>
          <w:rtl/>
        </w:rPr>
        <w:t xml:space="preserve">) في عام 1992 للنهوض بالحفاظ على التنوع البيولوجي، والاستخدام المستدام لمكوناته والتقاسم العادل والمنصف للمنافع المتأتية من استخدام الموارد الوراثية. وتعدّ اتفاقية التنوع البيولوجي أول اتفاق دولي يتناول النفاذ وتقاسم المنافع في أهدافه وأحكامه. كما يقرّ بالحقوق السيادية للدول على مواردها الطبيعية ويؤكد السلطة التي تتمتع بها الحكومات، مع مراعاة تشريعاتها الوطنية، لتعيين النفاذ إلى الموارد الوراثية. وقد تم في عام 2010 اعتماد </w:t>
      </w:r>
      <w:hyperlink r:id="rId31" w:history="1">
        <w:r w:rsidRPr="00C8196F">
          <w:rPr>
            <w:rStyle w:val="Hyperlink"/>
            <w:rFonts w:cstheme="minorHAnsi"/>
            <w:color w:val="auto"/>
            <w:sz w:val="18"/>
            <w:szCs w:val="18"/>
            <w:rtl/>
          </w:rPr>
          <w:t>بروتوكول ناغويا</w:t>
        </w:r>
      </w:hyperlink>
      <w:r w:rsidRPr="00C8196F">
        <w:rPr>
          <w:rFonts w:cstheme="minorHAnsi"/>
          <w:sz w:val="18"/>
          <w:szCs w:val="18"/>
          <w:rtl/>
        </w:rPr>
        <w:t xml:space="preserve"> بشأن النفاذ إلى الموارد الوراثية والتقاسم العادل والمنصف للمنافع الناشئة عن استخدامها الملحق باتفاقية التنوع البيولوجي، وهو اتفاق تكميلي لاتفاقية التنوع البيولوجي. ويحدد قواعد وآليات النفاذ وتقاسم المنافع ويرسي الإطار القانوني للتنفيذ الفعّال للتقاسم العادل والمنصف للمنافع الناشئة من استخدام الموارد الوراثية. وإن </w:t>
      </w:r>
      <w:hyperlink r:id="rId32" w:history="1">
        <w:r w:rsidRPr="00C8196F">
          <w:rPr>
            <w:rStyle w:val="Hyperlink"/>
            <w:rFonts w:cstheme="minorHAnsi"/>
            <w:color w:val="auto"/>
            <w:sz w:val="18"/>
            <w:szCs w:val="18"/>
            <w:rtl/>
          </w:rPr>
          <w:t>المعاهدة الدولية بشأن الموارد الوراثية النباتية للأغذية والزراعة</w:t>
        </w:r>
      </w:hyperlink>
      <w:r w:rsidRPr="00C8196F">
        <w:rPr>
          <w:rFonts w:cstheme="minorHAnsi"/>
          <w:sz w:val="18"/>
          <w:szCs w:val="18"/>
          <w:rtl/>
        </w:rPr>
        <w:t>، التي تم اعتمادها في عام 2001 وتقتصر على الموارد الوراثية النباتية للأغذية والزراعة، تنظم تبادل عدد من المحاصيل الغذائية المهمة، وتيسر النفاذ إلى أصناف المحاصيل ومكوناتها لأغراض البحوث الزراعية واستولاد أصناف جديدة. وانظر موجز المعلومات الأساسية رقم 10 "الملكية الفكرية والموارد الوراثية"، المتاح على الرابط التالي:</w:t>
      </w:r>
    </w:p>
    <w:p w14:paraId="2DF8DB77" w14:textId="77777777" w:rsidR="00E40747" w:rsidRPr="00C8196F" w:rsidRDefault="00D3795B" w:rsidP="00B7519E">
      <w:pPr>
        <w:pStyle w:val="FootnoteText"/>
        <w:jc w:val="both"/>
        <w:rPr>
          <w:rFonts w:cstheme="minorHAnsi"/>
          <w:sz w:val="18"/>
          <w:szCs w:val="18"/>
          <w:rtl/>
        </w:rPr>
      </w:pPr>
      <w:hyperlink r:id="rId33" w:history="1">
        <w:r w:rsidR="00E40747" w:rsidRPr="00C8196F">
          <w:rPr>
            <w:rStyle w:val="Hyperlink"/>
            <w:rFonts w:cstheme="minorHAnsi"/>
            <w:sz w:val="18"/>
            <w:szCs w:val="18"/>
          </w:rPr>
          <w:t>https://www.wipo.int/publications/ar/details.jsp?id=4011</w:t>
        </w:r>
      </w:hyperlink>
      <w:r w:rsidR="00E40747" w:rsidRPr="00C8196F">
        <w:rPr>
          <w:rFonts w:cstheme="minorHAnsi"/>
          <w:sz w:val="18"/>
          <w:szCs w:val="18"/>
          <w:rtl/>
        </w:rPr>
        <w:t>.</w:t>
      </w:r>
    </w:p>
  </w:footnote>
  <w:footnote w:id="42">
    <w:p w14:paraId="3F0840C4" w14:textId="77777777" w:rsidR="00E40747" w:rsidRPr="00C8196F" w:rsidRDefault="00E40747" w:rsidP="00B7519E">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المادة 15 من اتفاقية التنوع البيولوجي. </w:t>
      </w:r>
    </w:p>
  </w:footnote>
  <w:footnote w:id="43">
    <w:p w14:paraId="3AA9858E" w14:textId="77777777" w:rsidR="00E40747" w:rsidRPr="00C8196F" w:rsidRDefault="00E40747" w:rsidP="00B7519E">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w:t>
      </w:r>
      <w:hyperlink r:id="rId34" w:history="1">
        <w:r w:rsidRPr="00C8196F">
          <w:rPr>
            <w:rStyle w:val="Hyperlink"/>
            <w:rFonts w:cstheme="minorHAnsi"/>
            <w:sz w:val="18"/>
            <w:szCs w:val="18"/>
            <w:rtl/>
          </w:rPr>
          <w:t>مبادئ بون التوجيهية بشأن النفاذ إلى الموارد الوراثية وتقاسم المنافع الناجمة عن استغلالها بعدل وإنصاف</w:t>
        </w:r>
      </w:hyperlink>
      <w:r w:rsidRPr="00C8196F">
        <w:rPr>
          <w:rFonts w:cstheme="minorHAnsi"/>
          <w:sz w:val="18"/>
          <w:szCs w:val="18"/>
          <w:rtl/>
        </w:rPr>
        <w:t xml:space="preserve">. </w:t>
      </w:r>
    </w:p>
  </w:footnote>
  <w:footnote w:id="44">
    <w:p w14:paraId="14757713"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نموذج المادة 10.</w:t>
      </w:r>
    </w:p>
  </w:footnote>
  <w:footnote w:id="45">
    <w:p w14:paraId="7965C940" w14:textId="77777777" w:rsidR="00E40747" w:rsidRPr="00C8196F" w:rsidRDefault="00E40747" w:rsidP="00B7519E">
      <w:pPr>
        <w:autoSpaceDE w:val="0"/>
        <w:autoSpaceDN w:val="0"/>
        <w:adjustRightInd w:val="0"/>
        <w:spacing w:after="0" w:line="240" w:lineRule="auto"/>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التعريف مأخوذ من الكتاب الأبيض من إصدار </w:t>
      </w:r>
      <w:r w:rsidRPr="00C8196F">
        <w:rPr>
          <w:rFonts w:cstheme="minorHAnsi"/>
          <w:sz w:val="18"/>
          <w:szCs w:val="18"/>
        </w:rPr>
        <w:t>Biocat/Interbio</w:t>
      </w:r>
      <w:r w:rsidRPr="00C8196F">
        <w:rPr>
          <w:rFonts w:cstheme="minorHAnsi"/>
          <w:sz w:val="18"/>
          <w:szCs w:val="18"/>
          <w:rtl/>
        </w:rPr>
        <w:t xml:space="preserve"> (2012)، ‏</w:t>
      </w:r>
      <w:hyperlink r:id="rId35" w:history="1">
        <w:r w:rsidRPr="00C8196F">
          <w:rPr>
            <w:rStyle w:val="Hyperlink"/>
            <w:rFonts w:cstheme="minorHAnsi"/>
            <w:sz w:val="18"/>
            <w:szCs w:val="18"/>
            <w:cs/>
          </w:rPr>
          <w:t>‎</w:t>
        </w:r>
        <w:r w:rsidRPr="00C8196F">
          <w:rPr>
            <w:rStyle w:val="Hyperlink"/>
            <w:rFonts w:cstheme="minorHAnsi"/>
            <w:sz w:val="18"/>
            <w:szCs w:val="18"/>
          </w:rPr>
          <w:t>From Research To Market:</w:t>
        </w:r>
        <w:r w:rsidRPr="00C8196F">
          <w:rPr>
            <w:rStyle w:val="Hyperlink"/>
            <w:rFonts w:cstheme="minorHAnsi"/>
            <w:sz w:val="18"/>
            <w:szCs w:val="18"/>
            <w:cs/>
          </w:rPr>
          <w:t>‎</w:t>
        </w:r>
      </w:hyperlink>
      <w:hyperlink r:id="rId36" w:history="1">
        <w:r w:rsidRPr="00C8196F">
          <w:rPr>
            <w:rStyle w:val="Hyperlink"/>
            <w:rFonts w:cstheme="minorHAnsi"/>
            <w:sz w:val="18"/>
            <w:szCs w:val="18"/>
          </w:rPr>
          <w:t xml:space="preserve"> Key Issues Of Technology Transfer From Public Research Centres To Businesses White Paper</w:t>
        </w:r>
      </w:hyperlink>
      <w:r w:rsidRPr="00C8196F">
        <w:rPr>
          <w:rFonts w:cstheme="minorHAnsi"/>
          <w:sz w:val="18"/>
          <w:szCs w:val="18"/>
          <w:rtl/>
        </w:rPr>
        <w:t>.</w:t>
      </w:r>
    </w:p>
  </w:footnote>
  <w:footnote w:id="46">
    <w:p w14:paraId="50E682AD" w14:textId="77777777" w:rsidR="00E40747" w:rsidRPr="00C8196F" w:rsidRDefault="00E40747" w:rsidP="00F97422">
      <w:pPr>
        <w:pStyle w:val="FootnoteText"/>
        <w:rPr>
          <w:rFonts w:cstheme="minorHAnsi"/>
          <w:sz w:val="18"/>
          <w:szCs w:val="18"/>
          <w:rtl/>
        </w:rPr>
      </w:pPr>
      <w:r w:rsidRPr="00C8196F">
        <w:rPr>
          <w:rStyle w:val="FootnoteReference"/>
          <w:rFonts w:cstheme="minorHAnsi"/>
          <w:sz w:val="18"/>
          <w:szCs w:val="18"/>
        </w:rPr>
        <w:footnoteRef/>
      </w:r>
      <w:hyperlink r:id="rId37" w:history="1">
        <w:r w:rsidRPr="00C8196F">
          <w:rPr>
            <w:rFonts w:cstheme="minorHAnsi"/>
            <w:sz w:val="18"/>
            <w:szCs w:val="18"/>
          </w:rPr>
          <w:t xml:space="preserve"> </w:t>
        </w:r>
        <w:r w:rsidRPr="00C8196F">
          <w:rPr>
            <w:rStyle w:val="Hyperlink"/>
            <w:rFonts w:cstheme="minorHAnsi"/>
            <w:sz w:val="18"/>
            <w:szCs w:val="18"/>
          </w:rPr>
          <w:t>http://www.cam.ac.uk/research/news/what-is-knowledge-transfer</w:t>
        </w:r>
      </w:hyperlink>
      <w:r w:rsidRPr="00C8196F">
        <w:rPr>
          <w:rFonts w:cstheme="minorHAnsi"/>
          <w:sz w:val="18"/>
          <w:szCs w:val="18"/>
          <w:rtl/>
        </w:rPr>
        <w:t xml:space="preserve"> </w:t>
      </w:r>
    </w:p>
  </w:footnote>
  <w:footnote w:id="47">
    <w:p w14:paraId="36300C60" w14:textId="77777777" w:rsidR="00E40747" w:rsidRPr="00C8196F" w:rsidRDefault="00E40747" w:rsidP="0067511A">
      <w:pPr>
        <w:spacing w:after="0" w:line="240" w:lineRule="auto"/>
        <w:rPr>
          <w:rFonts w:cstheme="minorHAnsi"/>
          <w:b/>
          <w:bCs/>
          <w:sz w:val="18"/>
          <w:szCs w:val="18"/>
          <w:rtl/>
        </w:rPr>
      </w:pPr>
      <w:r w:rsidRPr="00C8196F">
        <w:rPr>
          <w:rStyle w:val="FootnoteReference"/>
          <w:rFonts w:cstheme="minorHAnsi"/>
          <w:sz w:val="18"/>
          <w:szCs w:val="18"/>
        </w:rPr>
        <w:footnoteRef/>
      </w:r>
      <w:r w:rsidRPr="00C8196F">
        <w:rPr>
          <w:rFonts w:cstheme="minorHAnsi"/>
          <w:sz w:val="18"/>
          <w:szCs w:val="18"/>
          <w:rtl/>
        </w:rPr>
        <w:t xml:space="preserve">للحصول على ملاحظات توضيحية للتعريف، انظر: </w:t>
      </w:r>
      <w:hyperlink r:id="rId38" w:history="1">
        <w:r w:rsidRPr="00C8196F">
          <w:rPr>
            <w:rStyle w:val="Hyperlink"/>
            <w:rFonts w:cstheme="minorHAnsi"/>
            <w:sz w:val="18"/>
            <w:szCs w:val="18"/>
          </w:rPr>
          <w:t>www.upov.int/edocs/expndocs/en/upov_exn_var.pdf</w:t>
        </w:r>
      </w:hyperlink>
      <w:r w:rsidRPr="00C8196F">
        <w:rPr>
          <w:rFonts w:cstheme="minorHAnsi"/>
          <w:sz w:val="18"/>
          <w:szCs w:val="18"/>
          <w:rtl/>
        </w:rPr>
        <w:t xml:space="preserve"> و</w:t>
      </w:r>
      <w:hyperlink r:id="rId39" w:history="1">
        <w:r w:rsidRPr="00C8196F">
          <w:rPr>
            <w:rStyle w:val="Hyperlink"/>
            <w:rFonts w:cstheme="minorHAnsi"/>
            <w:sz w:val="18"/>
            <w:szCs w:val="18"/>
          </w:rPr>
          <w:t>http://www.upov.int/overview/en/variety.html</w:t>
        </w:r>
      </w:hyperlink>
      <w:r w:rsidRPr="00C8196F">
        <w:rPr>
          <w:rStyle w:val="Hyperlink"/>
          <w:rFonts w:cstheme="minorHAnsi"/>
          <w:b/>
          <w:bCs/>
          <w:color w:val="auto"/>
          <w:sz w:val="18"/>
          <w:szCs w:val="18"/>
          <w:rtl/>
        </w:rPr>
        <w:t>.</w:t>
      </w:r>
    </w:p>
  </w:footnote>
  <w:footnote w:id="48">
    <w:p w14:paraId="6C579D6F" w14:textId="70CC02BC" w:rsidR="00E40747" w:rsidRPr="00C8196F" w:rsidRDefault="00E40747" w:rsidP="00B7519E">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تتضمن اتفاقية الأوبوف استثناءات مهمة لحق مستولد النباتات: لا يتطلب استخدام الأصناف المحمية في زراعة الكفاف تصريح مستولد النباتات. تتوفر الأصناف المحمية دون تصريح من مستولد النباتات للبحث واستيلاد النباتات، ويجوز للأطراف المتعاقدة في الاتفاقية، في حدود معينة، السماح للمزارعين (بخلاف مزارعي الكفاف) باستخدام منتج المحصول الذي حصلوا عليه من الصنف المحمي لأغراض الإكثار.</w:t>
      </w:r>
    </w:p>
  </w:footnote>
  <w:footnote w:id="49">
    <w:p w14:paraId="783F8E00"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w:t>
      </w:r>
      <w:hyperlink r:id="rId40" w:history="1">
        <w:r w:rsidRPr="00C8196F">
          <w:rPr>
            <w:rStyle w:val="Hyperlink"/>
            <w:rFonts w:cstheme="minorHAnsi"/>
            <w:sz w:val="18"/>
            <w:szCs w:val="18"/>
          </w:rPr>
          <w:t>Guide to the Copyright and Related Rights Treaties by WIPO and Glossary of Copyright and Related Rights Terms</w:t>
        </w:r>
      </w:hyperlink>
    </w:p>
  </w:footnote>
  <w:footnote w:id="50">
    <w:p w14:paraId="39379EBF"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hyperlink r:id="rId41" w:history="1">
        <w:r w:rsidRPr="00C8196F">
          <w:rPr>
            <w:rFonts w:cstheme="minorHAnsi"/>
            <w:sz w:val="18"/>
            <w:szCs w:val="18"/>
            <w:rtl/>
          </w:rPr>
          <w:t xml:space="preserve"> </w:t>
        </w:r>
        <w:r w:rsidRPr="00C8196F">
          <w:rPr>
            <w:rStyle w:val="Hyperlink"/>
            <w:rFonts w:cstheme="minorHAnsi"/>
            <w:sz w:val="18"/>
            <w:szCs w:val="18"/>
            <w:rtl/>
          </w:rPr>
          <w:t xml:space="preserve">لجنة الويبو الدائمة المعنية بقانون البراءات، </w:t>
        </w:r>
        <w:r w:rsidRPr="00C8196F">
          <w:rPr>
            <w:rStyle w:val="Hyperlink"/>
            <w:rFonts w:cstheme="minorHAnsi"/>
            <w:sz w:val="18"/>
            <w:szCs w:val="18"/>
          </w:rPr>
          <w:t>SCP/13/5</w:t>
        </w:r>
      </w:hyperlink>
    </w:p>
  </w:footnote>
  <w:footnote w:id="51">
    <w:p w14:paraId="25D1CBE5"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المصدر:</w:t>
      </w:r>
      <w:hyperlink r:id="rId42" w:history="1">
        <w:r w:rsidRPr="00C8196F">
          <w:rPr>
            <w:rFonts w:cstheme="minorHAnsi"/>
            <w:sz w:val="18"/>
            <w:szCs w:val="18"/>
          </w:rPr>
          <w:t xml:space="preserve"> </w:t>
        </w:r>
        <w:r w:rsidRPr="00C8196F">
          <w:rPr>
            <w:rStyle w:val="Hyperlink"/>
            <w:rFonts w:cstheme="minorHAnsi"/>
            <w:sz w:val="18"/>
            <w:szCs w:val="18"/>
          </w:rPr>
          <w:t>Frascati Manual</w:t>
        </w:r>
      </w:hyperlink>
      <w:r w:rsidRPr="00C8196F">
        <w:rPr>
          <w:rFonts w:cstheme="minorHAnsi"/>
          <w:sz w:val="18"/>
          <w:szCs w:val="18"/>
        </w:rPr>
        <w:t xml:space="preserve"> 2015. Guidelines for Collecting and Reporting Data on Research and Experimental Development, (2005), OECD</w:t>
      </w:r>
    </w:p>
  </w:footnote>
  <w:footnote w:id="52">
    <w:p w14:paraId="7C87E71B" w14:textId="77777777" w:rsidR="00E40747" w:rsidRPr="00C8196F" w:rsidRDefault="00E40747" w:rsidP="00B7519E">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جامعة كالجاري، كندا.</w:t>
      </w:r>
    </w:p>
  </w:footnote>
  <w:footnote w:id="53">
    <w:p w14:paraId="04B9EBA0" w14:textId="77777777" w:rsidR="00E40747" w:rsidRPr="00C8196F" w:rsidRDefault="00E40747" w:rsidP="00B7519E">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جامعة كارنيجي ميلون، الولايات المتحدة الأمريكية.</w:t>
      </w:r>
    </w:p>
  </w:footnote>
  <w:footnote w:id="54">
    <w:p w14:paraId="6B91137E" w14:textId="77777777" w:rsidR="00E40747" w:rsidRPr="00C8196F" w:rsidRDefault="00E40747" w:rsidP="00B7519E">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جامعة مالطا.</w:t>
      </w:r>
    </w:p>
  </w:footnote>
  <w:footnote w:id="55">
    <w:p w14:paraId="37A5B5B8" w14:textId="77777777" w:rsidR="00E40747" w:rsidRPr="00C8196F" w:rsidRDefault="00E40747" w:rsidP="00B7519E">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يشبه الحمض النووي، أو الحمض النووي الريبوزي منقوص الأكسجين، مخططاً للمبادئ التوجيهية البيولوجية التي يجب على الكائن الحي اتباعها لكي يعيش ويؤدي وظائفه. يساعد الحمض النووي الريبوزي، أو المعروف اختصاراً بـ </w:t>
      </w:r>
      <w:r w:rsidRPr="00C8196F">
        <w:rPr>
          <w:rFonts w:cstheme="minorHAnsi"/>
          <w:sz w:val="18"/>
          <w:szCs w:val="18"/>
        </w:rPr>
        <w:t>RNA</w:t>
      </w:r>
      <w:r w:rsidRPr="00C8196F">
        <w:rPr>
          <w:rFonts w:cstheme="minorHAnsi"/>
          <w:sz w:val="18"/>
          <w:szCs w:val="18"/>
          <w:rtl/>
        </w:rPr>
        <w:t>، في تنفيذ إرشادات هذا المخطط.</w:t>
      </w:r>
    </w:p>
  </w:footnote>
  <w:footnote w:id="56">
    <w:p w14:paraId="6B3931E0" w14:textId="77777777" w:rsidR="00E40747" w:rsidRPr="00C8196F" w:rsidRDefault="00E40747" w:rsidP="0034174F">
      <w:pPr>
        <w:pStyle w:val="FootnoteText"/>
        <w:jc w:val="both"/>
        <w:rPr>
          <w:rFonts w:eastAsia="Times New Roman" w:cstheme="minorHAnsi"/>
          <w:sz w:val="18"/>
          <w:szCs w:val="18"/>
          <w:rtl/>
        </w:rPr>
      </w:pPr>
      <w:r w:rsidRPr="00C8196F">
        <w:rPr>
          <w:rStyle w:val="FootnoteReference"/>
          <w:rFonts w:cstheme="minorHAnsi"/>
          <w:sz w:val="18"/>
          <w:szCs w:val="18"/>
        </w:rPr>
        <w:footnoteRef/>
      </w:r>
      <w:r w:rsidRPr="00C8196F">
        <w:rPr>
          <w:rFonts w:cstheme="minorHAnsi"/>
          <w:sz w:val="18"/>
          <w:szCs w:val="18"/>
          <w:rtl/>
        </w:rPr>
        <w:t>وحتى الدراية "السلبية" (نتائج الأبحاث التي تشير إلى أن منتجاً أو مفهوماً معيناً ليس مفيداً تجارياً) قد تكون محمية بوصفها سراً تجارياً. ومع ذلك، إذا اختارت الجامعات الحفاظ على سرية هذه الدراية السلبية، فقد يؤدي ذلك إلى المساس بصورتها كوسيط صادق أمام المجتمع.</w:t>
      </w:r>
    </w:p>
  </w:footnote>
  <w:footnote w:id="57">
    <w:p w14:paraId="0C3B5D02"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لمزيد من المعلومات، انظر </w:t>
      </w:r>
      <w:hyperlink r:id="rId43" w:history="1">
        <w:r w:rsidRPr="00C8196F">
          <w:rPr>
            <w:rStyle w:val="Hyperlink"/>
            <w:rFonts w:cstheme="minorHAnsi"/>
            <w:sz w:val="18"/>
            <w:szCs w:val="18"/>
            <w:rtl/>
          </w:rPr>
          <w:t>موقع الويبو الإلكتروني بشأن المعارف التقليدية</w:t>
        </w:r>
      </w:hyperlink>
      <w:r w:rsidRPr="00C8196F">
        <w:rPr>
          <w:rFonts w:cstheme="minorHAnsi"/>
          <w:sz w:val="18"/>
          <w:szCs w:val="18"/>
          <w:rtl/>
        </w:rPr>
        <w:t>.</w:t>
      </w:r>
    </w:p>
  </w:footnote>
  <w:footnote w:id="58">
    <w:p w14:paraId="5C6BC84D" w14:textId="77777777" w:rsidR="00E40747" w:rsidRPr="00C8196F" w:rsidRDefault="00E40747" w:rsidP="00074140">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التشريع الفرعي (أو المفوض أو الثانوي) هو عملية صنع القرار التشريعي من قبل المسؤولين غير البرلمانيين الذين تم تفويض السلطة لهم بموجب نظام أساسي مُخوِّل. الأمر في الأساس هو نقل لسلطة سن القوانين.</w:t>
      </w:r>
    </w:p>
  </w:footnote>
  <w:footnote w:id="59">
    <w:p w14:paraId="2DF0231E" w14:textId="77777777" w:rsidR="00E40747" w:rsidRPr="00C8196F" w:rsidRDefault="00E40747" w:rsidP="00074140">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التضمين بالإحالة هو عملية تضمين وثيقة ثانية ضمن وثيقة أخرى من خلال ذكر الوثيقة الثانية فقط. غالباً ما يُستخدم التضمين بالإحالة لجعل أطراف العقد ملزمين بشروط وثيقة أخرى، دون الحاجة إلى نسخ الوثيقة بأكملها في العقد.</w:t>
      </w:r>
    </w:p>
  </w:footnote>
  <w:footnote w:id="60">
    <w:p w14:paraId="707FF403" w14:textId="77777777" w:rsidR="00E40747" w:rsidRPr="00C8196F" w:rsidRDefault="00E40747" w:rsidP="00B5600C">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على سبيل المثال، لدى كلية لندن الجامعية بالمملكة المتحدة بيان سياسة بشأن حقوق الملكية الفكرية فيما يتعلق بالطلاب، مع مبادئ توجيهية محددة. لمزيد من الأمثلة، انظر قاعدة بيانات الويبو لسياسات الملكية الفكرية.</w:t>
      </w:r>
    </w:p>
  </w:footnote>
  <w:footnote w:id="61">
    <w:p w14:paraId="77C1072E" w14:textId="77777777" w:rsidR="00E40747" w:rsidRPr="00C8196F" w:rsidRDefault="00E40747" w:rsidP="00CD1670">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جامعة جنوب أفريقيا.</w:t>
      </w:r>
    </w:p>
  </w:footnote>
  <w:footnote w:id="62">
    <w:p w14:paraId="433D65B9" w14:textId="77777777" w:rsidR="00E40747" w:rsidRPr="00C8196F" w:rsidRDefault="00E40747" w:rsidP="00B7519E">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لدى العديد من البلدان قوانين تحمي طرفاً في العقد من الشروط غير العادلة وكذلك من السلوك غير المعقول من قبل الطرف الآخر في العقد. وأي سياسة ملكية فكرية تنص على أنه يجب على الطالب التنازل عن جميع ملكيته الفكرية للمؤسسة، أو تؤكد أو تعلن أن المؤسسة، بقوة السياسة وحدها، تمتلك كل حقوق الملكية الفكرية التي أبدعها الطالب، من المحتمل جداً أن تكون سياسة باطلة. انظر فيليب مينديز (2016)، </w:t>
      </w:r>
      <w:hyperlink r:id="rId44" w:history="1">
        <w:r w:rsidRPr="00C8196F">
          <w:rPr>
            <w:rStyle w:val="Hyperlink"/>
            <w:rFonts w:cstheme="minorHAnsi"/>
            <w:i/>
            <w:iCs/>
            <w:sz w:val="18"/>
            <w:szCs w:val="18"/>
          </w:rPr>
          <w:t>To What Extent are University IP Policies Legally Binding</w:t>
        </w:r>
        <w:r w:rsidRPr="00C8196F">
          <w:rPr>
            <w:rStyle w:val="Hyperlink"/>
            <w:rFonts w:cstheme="minorHAnsi"/>
            <w:i/>
            <w:iCs/>
            <w:sz w:val="18"/>
            <w:szCs w:val="18"/>
            <w:rtl/>
          </w:rPr>
          <w:t>؟</w:t>
        </w:r>
      </w:hyperlink>
      <w:hyperlink r:id="rId45" w:history="1">
        <w:r w:rsidRPr="00C8196F">
          <w:rPr>
            <w:rStyle w:val="Hyperlink"/>
            <w:rFonts w:cstheme="minorHAnsi"/>
            <w:i/>
            <w:iCs/>
            <w:sz w:val="18"/>
            <w:szCs w:val="18"/>
          </w:rPr>
          <w:t xml:space="preserve"> Part 2:</w:t>
        </w:r>
      </w:hyperlink>
      <w:hyperlink r:id="rId46" w:history="1">
        <w:r w:rsidRPr="00C8196F">
          <w:rPr>
            <w:rStyle w:val="Hyperlink"/>
            <w:rFonts w:cstheme="minorHAnsi"/>
            <w:i/>
            <w:iCs/>
            <w:sz w:val="18"/>
            <w:szCs w:val="18"/>
          </w:rPr>
          <w:t xml:space="preserve"> Students</w:t>
        </w:r>
      </w:hyperlink>
      <w:r w:rsidRPr="00C8196F">
        <w:rPr>
          <w:rStyle w:val="Hyperlink"/>
          <w:rFonts w:cstheme="minorHAnsi"/>
          <w:i/>
          <w:iCs/>
          <w:color w:val="auto"/>
          <w:sz w:val="18"/>
          <w:szCs w:val="18"/>
          <w:u w:val="none"/>
          <w:rtl/>
        </w:rPr>
        <w:t>.</w:t>
      </w:r>
    </w:p>
  </w:footnote>
  <w:footnote w:id="63">
    <w:p w14:paraId="25744758" w14:textId="77777777" w:rsidR="00E40747" w:rsidRPr="00C8196F" w:rsidRDefault="00E40747" w:rsidP="00B7519E">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w:t>
      </w:r>
      <w:r w:rsidRPr="00C8196F">
        <w:rPr>
          <w:rFonts w:cstheme="minorHAnsi"/>
          <w:color w:val="000000"/>
          <w:sz w:val="18"/>
          <w:szCs w:val="18"/>
          <w:rtl/>
        </w:rPr>
        <w:t>نظراً لأن الطلاب أطراف يفتقرون للخبرة القانونية بوجه عام، فإنه يجب التعامل مع أي ترتيب تعاقدي معهم بعناية.</w:t>
      </w:r>
    </w:p>
  </w:footnote>
  <w:footnote w:id="64">
    <w:p w14:paraId="78E1CC56" w14:textId="77777777" w:rsidR="00E40747" w:rsidRPr="00C8196F" w:rsidRDefault="00E40747">
      <w:pPr>
        <w:pStyle w:val="FootnoteText"/>
        <w:rPr>
          <w:rStyle w:val="FootnoteReference"/>
          <w:rFonts w:cstheme="minorHAnsi"/>
          <w:sz w:val="18"/>
          <w:szCs w:val="18"/>
          <w:rtl/>
        </w:rPr>
      </w:pPr>
      <w:r w:rsidRPr="00C8196F">
        <w:rPr>
          <w:rStyle w:val="FootnoteReference"/>
          <w:rFonts w:cstheme="minorHAnsi"/>
          <w:sz w:val="18"/>
          <w:szCs w:val="18"/>
        </w:rPr>
        <w:footnoteRef/>
      </w:r>
      <w:r w:rsidRPr="00C8196F">
        <w:rPr>
          <w:rStyle w:val="FootnoteReference"/>
          <w:rFonts w:cstheme="minorHAnsi"/>
          <w:sz w:val="18"/>
          <w:szCs w:val="18"/>
          <w:rtl/>
        </w:rPr>
        <w:t xml:space="preserve"> </w:t>
      </w:r>
      <w:r w:rsidRPr="00C8196F">
        <w:rPr>
          <w:rStyle w:val="FootnoteReference"/>
          <w:rFonts w:cstheme="minorHAnsi"/>
          <w:sz w:val="18"/>
          <w:szCs w:val="18"/>
          <w:vertAlign w:val="baseline"/>
          <w:rtl/>
        </w:rPr>
        <w:t>معهد ماساشوستس للتكنولوجيا وجامعة منيسوتا.</w:t>
      </w:r>
    </w:p>
  </w:footnote>
  <w:footnote w:id="65">
    <w:p w14:paraId="0969097D" w14:textId="77777777" w:rsidR="00E40747" w:rsidRPr="00C8196F" w:rsidRDefault="00E40747">
      <w:pPr>
        <w:pStyle w:val="FootnoteText"/>
        <w:rPr>
          <w:rStyle w:val="FootnoteReference"/>
          <w:rFonts w:cstheme="minorHAnsi"/>
          <w:sz w:val="18"/>
          <w:szCs w:val="18"/>
          <w:rtl/>
        </w:rPr>
      </w:pPr>
      <w:r w:rsidRPr="00C8196F">
        <w:rPr>
          <w:rStyle w:val="FootnoteReference"/>
          <w:rFonts w:cstheme="minorHAnsi"/>
          <w:sz w:val="18"/>
          <w:szCs w:val="18"/>
        </w:rPr>
        <w:footnoteRef/>
      </w:r>
      <w:r w:rsidRPr="00C8196F">
        <w:rPr>
          <w:rStyle w:val="FootnoteReference"/>
          <w:rFonts w:cstheme="minorHAnsi"/>
          <w:sz w:val="18"/>
          <w:szCs w:val="18"/>
          <w:rtl/>
        </w:rPr>
        <w:t xml:space="preserve"> </w:t>
      </w:r>
      <w:r w:rsidRPr="00C8196F">
        <w:rPr>
          <w:rStyle w:val="FootnoteReference"/>
          <w:rFonts w:cstheme="minorHAnsi"/>
          <w:sz w:val="18"/>
          <w:szCs w:val="18"/>
          <w:vertAlign w:val="baseline"/>
          <w:rtl/>
        </w:rPr>
        <w:t>جامعة هارفارد.</w:t>
      </w:r>
    </w:p>
  </w:footnote>
  <w:footnote w:id="66">
    <w:p w14:paraId="1D9DB8D5" w14:textId="77777777" w:rsidR="00E40747" w:rsidRPr="00C8196F" w:rsidRDefault="00E40747">
      <w:pPr>
        <w:pStyle w:val="FootnoteText"/>
        <w:rPr>
          <w:rStyle w:val="FootnoteReference"/>
          <w:rFonts w:cstheme="minorHAnsi"/>
          <w:sz w:val="18"/>
          <w:szCs w:val="18"/>
          <w:rtl/>
        </w:rPr>
      </w:pPr>
      <w:r w:rsidRPr="00C8196F">
        <w:rPr>
          <w:rStyle w:val="FootnoteReference"/>
          <w:rFonts w:cstheme="minorHAnsi"/>
          <w:sz w:val="18"/>
          <w:szCs w:val="18"/>
        </w:rPr>
        <w:footnoteRef/>
      </w:r>
      <w:r w:rsidRPr="00C8196F">
        <w:rPr>
          <w:rStyle w:val="FootnoteReference"/>
          <w:rFonts w:cstheme="minorHAnsi"/>
          <w:sz w:val="18"/>
          <w:szCs w:val="18"/>
          <w:rtl/>
        </w:rPr>
        <w:t xml:space="preserve"> </w:t>
      </w:r>
      <w:r w:rsidRPr="00C8196F">
        <w:rPr>
          <w:rStyle w:val="FootnoteReference"/>
          <w:rFonts w:cstheme="minorHAnsi"/>
          <w:sz w:val="18"/>
          <w:szCs w:val="18"/>
          <w:vertAlign w:val="baseline"/>
          <w:rtl/>
        </w:rPr>
        <w:t>جامعة ديوك.</w:t>
      </w:r>
    </w:p>
  </w:footnote>
  <w:footnote w:id="67">
    <w:p w14:paraId="46C8949A" w14:textId="77777777" w:rsidR="00E40747" w:rsidRPr="00C8196F" w:rsidRDefault="00E40747">
      <w:pPr>
        <w:pStyle w:val="FootnoteText"/>
        <w:rPr>
          <w:rStyle w:val="FootnoteReference"/>
          <w:rFonts w:cstheme="minorHAnsi"/>
          <w:sz w:val="18"/>
          <w:szCs w:val="18"/>
          <w:rtl/>
        </w:rPr>
      </w:pPr>
      <w:r w:rsidRPr="00C8196F">
        <w:rPr>
          <w:rStyle w:val="FootnoteReference"/>
          <w:rFonts w:cstheme="minorHAnsi"/>
          <w:sz w:val="18"/>
          <w:szCs w:val="18"/>
        </w:rPr>
        <w:footnoteRef/>
      </w:r>
      <w:r w:rsidRPr="00C8196F">
        <w:rPr>
          <w:rStyle w:val="FootnoteReference"/>
          <w:rFonts w:cstheme="minorHAnsi"/>
          <w:sz w:val="18"/>
          <w:szCs w:val="18"/>
          <w:rtl/>
        </w:rPr>
        <w:t xml:space="preserve"> </w:t>
      </w:r>
      <w:r w:rsidRPr="00C8196F">
        <w:rPr>
          <w:rStyle w:val="FootnoteReference"/>
          <w:rFonts w:cstheme="minorHAnsi"/>
          <w:sz w:val="18"/>
          <w:szCs w:val="18"/>
          <w:vertAlign w:val="baseline"/>
          <w:rtl/>
        </w:rPr>
        <w:t>جامعة كيب تاون.</w:t>
      </w:r>
    </w:p>
  </w:footnote>
  <w:footnote w:id="68">
    <w:p w14:paraId="17F9ADE4" w14:textId="5FD249BD"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غالباً ما تواجه المؤسسات مسألة ما إذا كان ينبغي أن تخضع لجنة الملكية الفكرية لإشراف المسؤول المالي للمؤسسة أو الموظف المسؤول عن مؤسسة البحث. في الولايات المتحدة والعديد من الجامعات على مستوى العالم، يعتبر هذا النقاش الآن محسوماً: لجنة الملكية الفكرية تخضع لقسم البحث، وليس التمويل.</w:t>
      </w:r>
    </w:p>
  </w:footnote>
  <w:footnote w:id="69">
    <w:p w14:paraId="6090C46A" w14:textId="77777777" w:rsidR="00E40747" w:rsidRPr="00C8196F" w:rsidRDefault="00E40747" w:rsidP="003D0ECF">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جامعة بريتوريا، جنوب أفريقيا. وبينما يُعد "مكتب نقل التكنولوجيا" هو المصطلح الأكثر استخداماً، فإنه لا يحظى بالتفضيل في بعض الأحيان لأن الكثير من المعارف أو الملكية الفكرية التي تنقلها الجامعات ومؤسسات البحث اليوم لا تنطوي على التكنولوجيا، على سبيل المثال حقوق الأنسجة البيولوجية أو برامج البرمجيات اللوجستية.</w:t>
      </w:r>
    </w:p>
  </w:footnote>
  <w:footnote w:id="70">
    <w:p w14:paraId="2CCC0661" w14:textId="77777777" w:rsidR="00E40747" w:rsidRPr="00C8196F" w:rsidRDefault="00E40747" w:rsidP="003D0ECF">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معهد ماساتشوستس للتكنولوجيا، الولايات المتحدة الأمريكية.</w:t>
      </w:r>
    </w:p>
  </w:footnote>
  <w:footnote w:id="71">
    <w:p w14:paraId="2A1D71FC" w14:textId="77777777" w:rsidR="00E40747" w:rsidRPr="00C8196F" w:rsidRDefault="00E40747" w:rsidP="003D0ECF">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جامعة كيب تاون، جنوب أفريقيا.</w:t>
      </w:r>
    </w:p>
    <w:p w14:paraId="46AA939C" w14:textId="77777777" w:rsidR="00E40747" w:rsidRPr="00C8196F" w:rsidRDefault="00E40747" w:rsidP="003D0ECF">
      <w:pPr>
        <w:pStyle w:val="FootnoteText"/>
        <w:rPr>
          <w:rFonts w:cstheme="minorHAnsi"/>
          <w:sz w:val="18"/>
          <w:szCs w:val="18"/>
          <w:rtl/>
        </w:rPr>
      </w:pPr>
      <w:r w:rsidRPr="00C8196F">
        <w:rPr>
          <w:rStyle w:val="FootnoteReference"/>
          <w:rFonts w:cstheme="minorHAnsi"/>
          <w:sz w:val="18"/>
          <w:szCs w:val="18"/>
          <w:rtl/>
        </w:rPr>
        <w:t>66</w:t>
      </w:r>
      <w:r w:rsidRPr="00C8196F">
        <w:rPr>
          <w:rFonts w:cstheme="minorHAnsi"/>
          <w:sz w:val="18"/>
          <w:szCs w:val="18"/>
          <w:rtl/>
        </w:rPr>
        <w:t xml:space="preserve"> جامعة إيموري، الولايات المتحدة الأمريكية.</w:t>
      </w:r>
    </w:p>
    <w:p w14:paraId="18ED90F4" w14:textId="77777777" w:rsidR="00E40747" w:rsidRPr="00C8196F" w:rsidRDefault="00E40747" w:rsidP="003D0ECF">
      <w:pPr>
        <w:pStyle w:val="FootnoteText"/>
        <w:rPr>
          <w:rFonts w:cstheme="minorHAnsi"/>
          <w:sz w:val="18"/>
          <w:szCs w:val="18"/>
          <w:rtl/>
        </w:rPr>
      </w:pPr>
      <w:r w:rsidRPr="00C8196F">
        <w:rPr>
          <w:rStyle w:val="FootnoteReference"/>
          <w:rFonts w:cstheme="minorHAnsi"/>
          <w:sz w:val="18"/>
          <w:szCs w:val="18"/>
          <w:rtl/>
        </w:rPr>
        <w:t>67</w:t>
      </w:r>
      <w:r w:rsidRPr="00C8196F">
        <w:rPr>
          <w:rFonts w:cstheme="minorHAnsi"/>
          <w:sz w:val="18"/>
          <w:szCs w:val="18"/>
          <w:rtl/>
        </w:rPr>
        <w:t xml:space="preserve"> جامعة هارفارد، الولايات المتحدة الأمريكية.</w:t>
      </w:r>
    </w:p>
  </w:footnote>
  <w:footnote w:id="72">
    <w:p w14:paraId="6CDEACD7" w14:textId="77777777" w:rsidR="00E40747" w:rsidRPr="00C8196F" w:rsidRDefault="00E40747" w:rsidP="003D0ECF">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جامعة فري ببروكسل.</w:t>
      </w:r>
    </w:p>
  </w:footnote>
  <w:footnote w:id="73">
    <w:p w14:paraId="3599A9E5" w14:textId="77777777" w:rsidR="00E40747" w:rsidRPr="00C8196F" w:rsidRDefault="00E40747" w:rsidP="003D0ECF">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جامعة سنغافورة الوطنية.</w:t>
      </w:r>
    </w:p>
  </w:footnote>
  <w:footnote w:id="74">
    <w:p w14:paraId="63177E58" w14:textId="77777777" w:rsidR="00E40747" w:rsidRPr="00C8196F" w:rsidRDefault="00E40747" w:rsidP="003D0ECF">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w:t>
      </w:r>
      <w:r w:rsidRPr="00C8196F">
        <w:rPr>
          <w:rFonts w:cstheme="minorHAnsi"/>
          <w:sz w:val="18"/>
          <w:szCs w:val="18"/>
        </w:rPr>
        <w:t>Núcleo de Inovação Tecnológica</w:t>
      </w:r>
      <w:r w:rsidRPr="00C8196F">
        <w:rPr>
          <w:rFonts w:cstheme="minorHAnsi"/>
          <w:sz w:val="18"/>
          <w:szCs w:val="18"/>
          <w:rtl/>
        </w:rPr>
        <w:t xml:space="preserve"> (نواة الابتكار التكنولوجي) مصطلح وضعه قانون الابتكار التكنولوجي رقم 10.973/2004 في البرازيل.</w:t>
      </w:r>
    </w:p>
  </w:footnote>
  <w:footnote w:id="75">
    <w:p w14:paraId="1756F31A" w14:textId="77777777" w:rsidR="00E40747" w:rsidRPr="00C8196F" w:rsidRDefault="00E40747" w:rsidP="00074140">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للمعارف معنى أوسع نطاقاً بكثير من الملكية الفكرية ولا ينبغي الخلط بينها وبين الملكية الفكرية التي تم تعريف معناها في هذا المبدأ التوجيهي.</w:t>
      </w:r>
    </w:p>
  </w:footnote>
  <w:footnote w:id="76">
    <w:p w14:paraId="7DB8ECF5" w14:textId="77777777" w:rsidR="00E40747" w:rsidRPr="00C8196F" w:rsidRDefault="00E40747" w:rsidP="005A05E5">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على سبيل المثال، تقدم جامعة ولاية بنسلفانيا بالولايات المتحدة الأمريكية خدمات استشارية وبرامج تعليمية لرواد الأعمال لإنشاء الشركات</w:t>
      </w:r>
    </w:p>
  </w:footnote>
  <w:footnote w:id="77">
    <w:p w14:paraId="3A675BE7" w14:textId="77777777" w:rsidR="00E40747" w:rsidRPr="00C8196F" w:rsidRDefault="00E40747" w:rsidP="00074140">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إن </w:t>
      </w:r>
      <w:r w:rsidRPr="00C8196F">
        <w:rPr>
          <w:rFonts w:cstheme="minorHAnsi"/>
          <w:sz w:val="18"/>
          <w:szCs w:val="18"/>
        </w:rPr>
        <w:t>NIPMO</w:t>
      </w:r>
      <w:r w:rsidRPr="00C8196F">
        <w:rPr>
          <w:rFonts w:cstheme="minorHAnsi"/>
          <w:sz w:val="18"/>
          <w:szCs w:val="18"/>
          <w:rtl/>
        </w:rPr>
        <w:t xml:space="preserve"> هو المكتب الوطني لإدارة الملكية الفكرية الذي أُنشئ بموجب قانون جنوب أفريقيا هذا، ويتولى مسؤولية الإشراف على تنفيذ القانون.  كما يساعد المؤسسات على تطوير القدرات وغيرها من مجالات إدارة الملكية الفكرية، بما في ذلك تمويل تكاليف حماية الملكية الفكرية من خلال المؤسسات.</w:t>
      </w:r>
    </w:p>
  </w:footnote>
  <w:footnote w:id="78">
    <w:p w14:paraId="2A3D9226" w14:textId="77777777" w:rsidR="00E40747" w:rsidRPr="00C8196F" w:rsidRDefault="00E40747" w:rsidP="00074140">
      <w:pPr>
        <w:autoSpaceDE w:val="0"/>
        <w:autoSpaceDN w:val="0"/>
        <w:adjustRightInd w:val="0"/>
        <w:spacing w:after="0" w:line="240" w:lineRule="auto"/>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تستند القائمة إلى: ت. يونغ </w:t>
      </w:r>
      <w:hyperlink r:id="rId47" w:history="1">
        <w:r w:rsidRPr="00C8196F">
          <w:rPr>
            <w:rStyle w:val="Hyperlink"/>
            <w:rFonts w:cstheme="minorHAnsi"/>
            <w:i/>
            <w:iCs/>
            <w:color w:val="auto"/>
            <w:sz w:val="18"/>
            <w:szCs w:val="18"/>
          </w:rPr>
          <w:t>Establishing a Technology Transfer Office</w:t>
        </w:r>
        <w:r w:rsidRPr="00C8196F">
          <w:rPr>
            <w:rStyle w:val="Hyperlink"/>
            <w:rFonts w:cstheme="minorHAnsi"/>
            <w:i/>
            <w:iCs/>
            <w:color w:val="auto"/>
            <w:sz w:val="18"/>
            <w:szCs w:val="18"/>
            <w:rtl/>
          </w:rPr>
          <w:t xml:space="preserve">‏ </w:t>
        </w:r>
      </w:hyperlink>
      <w:r w:rsidRPr="00C8196F">
        <w:rPr>
          <w:rFonts w:cstheme="minorHAnsi"/>
          <w:sz w:val="18"/>
          <w:szCs w:val="18"/>
          <w:rtl/>
        </w:rPr>
        <w:t>(2007)، الفصل 2.6 في إدارة الملكية الفكرية في الابتكار الصحي والزراعي: دليل أفضل الممارسات.</w:t>
      </w:r>
    </w:p>
  </w:footnote>
  <w:footnote w:id="79">
    <w:p w14:paraId="171C7E7E" w14:textId="7E0124F4" w:rsidR="00E40747" w:rsidRPr="00C8196F" w:rsidRDefault="00E40747" w:rsidP="00074140">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w:t>
      </w:r>
      <w:r w:rsidRPr="00C8196F">
        <w:rPr>
          <w:rFonts w:cstheme="minorHAnsi"/>
          <w:color w:val="000000" w:themeColor="text1"/>
          <w:sz w:val="18"/>
          <w:szCs w:val="18"/>
          <w:rtl/>
        </w:rPr>
        <w:t>ينبغي لقيادة كل مؤسسة أن تحدد رسالة واضحة لمكتب إدارة الملكية الفكرية وتنقل هذه الرسالة إلى أصحاب المصلحة الداخليين والخارجيين. ويجب أن يتضمن بيان الرسالة المسؤولية التأسيسية للمؤسسة في دعم العمليات الفعالة للحث على نشر الملكية الفكرية التي تنتجها المؤسسات على أوسع نطاق من أجل الصالح العام.</w:t>
      </w:r>
      <w:r w:rsidRPr="00C8196F">
        <w:rPr>
          <w:rFonts w:cstheme="minorHAnsi"/>
          <w:i/>
          <w:iCs/>
          <w:color w:val="000000" w:themeColor="text1"/>
          <w:sz w:val="18"/>
          <w:szCs w:val="18"/>
          <w:rtl/>
        </w:rPr>
        <w:t xml:space="preserve"> </w:t>
      </w:r>
      <w:r w:rsidRPr="00C8196F">
        <w:rPr>
          <w:rFonts w:cstheme="minorHAnsi"/>
          <w:sz w:val="18"/>
          <w:szCs w:val="18"/>
          <w:rtl/>
        </w:rPr>
        <w:t xml:space="preserve">انظر: المجلس القومي للبحوث التابع للأكاديميات الوطنية (2011)، </w:t>
      </w:r>
      <w:r w:rsidRPr="00C8196F">
        <w:rPr>
          <w:rFonts w:cstheme="minorHAnsi"/>
          <w:i/>
          <w:iCs/>
          <w:sz w:val="18"/>
          <w:szCs w:val="18"/>
          <w:rtl/>
        </w:rPr>
        <w:t>إدارة الملكية الفكرية بالجامعات التي تضخ في المصلحة العامة</w:t>
      </w:r>
      <w:r w:rsidRPr="00C8196F">
        <w:rPr>
          <w:rFonts w:cstheme="minorHAnsi"/>
          <w:sz w:val="18"/>
          <w:szCs w:val="18"/>
          <w:rtl/>
        </w:rPr>
        <w:t>.</w:t>
      </w:r>
    </w:p>
  </w:footnote>
  <w:footnote w:id="80">
    <w:p w14:paraId="3B2D7493" w14:textId="77777777" w:rsidR="00E40747" w:rsidRPr="00C8196F" w:rsidRDefault="00E40747" w:rsidP="00074140">
      <w:pPr>
        <w:pStyle w:val="CommentText"/>
        <w:spacing w:after="0"/>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w:t>
      </w:r>
      <w:r w:rsidRPr="00C8196F">
        <w:rPr>
          <w:rFonts w:cstheme="minorHAnsi"/>
          <w:color w:val="000000" w:themeColor="text1"/>
          <w:sz w:val="18"/>
          <w:szCs w:val="18"/>
          <w:rtl/>
        </w:rPr>
        <w:t>ولهذا الغرض، ينبغي أن تطلق الإدارة العليا للمؤسسة أيدي مديري مكتب إدارة الملكية الفكرية. بخلاف ذلك، لن يتم تنفيذ هذه الاستقلالية، حيث ستنتقل عملية صنع القرار إلى الإدارة العليا.</w:t>
      </w:r>
    </w:p>
  </w:footnote>
  <w:footnote w:id="81">
    <w:p w14:paraId="59DE0C35"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w:t>
      </w:r>
      <w:r w:rsidRPr="00C8196F">
        <w:rPr>
          <w:rFonts w:cstheme="minorHAnsi"/>
          <w:sz w:val="18"/>
          <w:szCs w:val="18"/>
        </w:rPr>
        <w:t>https://innovus.co.za</w:t>
      </w:r>
      <w:r w:rsidRPr="00C8196F">
        <w:rPr>
          <w:rFonts w:cstheme="minorHAnsi"/>
          <w:sz w:val="18"/>
          <w:szCs w:val="18"/>
          <w:rtl/>
        </w:rPr>
        <w:t>/</w:t>
      </w:r>
    </w:p>
  </w:footnote>
  <w:footnote w:id="82">
    <w:p w14:paraId="3687412B" w14:textId="77777777" w:rsidR="00E40747" w:rsidRPr="00C8196F" w:rsidRDefault="00E40747" w:rsidP="00F11556">
      <w:pPr>
        <w:shd w:val="clear" w:color="auto" w:fill="FFFFFF" w:themeFill="background1"/>
        <w:spacing w:after="0" w:line="240" w:lineRule="auto"/>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ومع ذلك، أظهرت تجربة نقل التكنولوجيا القائمة على الملكية الفكرية في الولايات المتحدة الأمريكية والمملكة المتحدة على مدى عدة عقود أن المخاوف المبكرة بشأن تكاليف التشغيل تطغى عليها في نهاية المطاف أهمية الوظيفة بالنسبة للرسالة الأساسية التي تحملها الجامعة - وبعبارة أخرى، فإنها تكلفة يجب تكبدها لكي تحقق الجامعة رسالتها الحديثة وتلبي التوقعات المجتمعية الخاصة بالأكاديمية.</w:t>
      </w:r>
    </w:p>
  </w:footnote>
  <w:footnote w:id="83">
    <w:p w14:paraId="7DDBE862" w14:textId="77777777" w:rsidR="00E40747" w:rsidRPr="00C8196F" w:rsidRDefault="00E40747" w:rsidP="0017005A">
      <w:pPr>
        <w:pStyle w:val="ListParagraph"/>
        <w:shd w:val="clear" w:color="auto" w:fill="FFFFFF" w:themeFill="background1"/>
        <w:spacing w:after="0" w:line="240" w:lineRule="auto"/>
        <w:ind w:left="0"/>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ستنشئ الحكومات مكاتب إدارة الملكية الفكرية هذه عندما يتيح التشريع الحكومي ذلك، وسيحدث ذلك غالباً بتجميع الموارد من الجامعات ومؤسسات البحث والتطوير عبر الحدود، وخاصةً في البلدان النامية.  </w:t>
      </w:r>
    </w:p>
  </w:footnote>
  <w:footnote w:id="84">
    <w:p w14:paraId="786EE8AA" w14:textId="77777777" w:rsidR="00E40747" w:rsidRPr="00C8196F" w:rsidRDefault="00E40747" w:rsidP="00AA1A8A">
      <w:pPr>
        <w:pStyle w:val="Heading1"/>
        <w:spacing w:before="0" w:after="0" w:line="288" w:lineRule="atLeast"/>
        <w:rPr>
          <w:rFonts w:asciiTheme="minorHAnsi" w:hAnsiTheme="minorHAnsi" w:cstheme="minorHAnsi"/>
          <w:sz w:val="18"/>
          <w:szCs w:val="18"/>
          <w:rtl/>
        </w:rPr>
      </w:pPr>
      <w:r w:rsidRPr="00C8196F">
        <w:rPr>
          <w:rStyle w:val="FootnoteReference"/>
          <w:rFonts w:asciiTheme="minorHAnsi" w:eastAsiaTheme="minorEastAsia" w:hAnsiTheme="minorHAnsi" w:cstheme="minorHAnsi"/>
          <w:b w:val="0"/>
          <w:bCs w:val="0"/>
          <w:color w:val="auto"/>
          <w:sz w:val="18"/>
          <w:szCs w:val="18"/>
        </w:rPr>
        <w:footnoteRef/>
      </w:r>
      <w:r w:rsidRPr="00C8196F">
        <w:rPr>
          <w:rStyle w:val="FootnoteReference"/>
          <w:rFonts w:asciiTheme="minorHAnsi" w:hAnsiTheme="minorHAnsi" w:cstheme="minorHAnsi"/>
          <w:sz w:val="18"/>
          <w:szCs w:val="18"/>
          <w:rtl/>
        </w:rPr>
        <w:t xml:space="preserve"> </w:t>
      </w:r>
      <w:r w:rsidRPr="00C8196F">
        <w:rPr>
          <w:rFonts w:asciiTheme="minorHAnsi" w:hAnsiTheme="minorHAnsi" w:cstheme="minorHAnsi"/>
          <w:b w:val="0"/>
          <w:bCs w:val="0"/>
          <w:color w:val="auto"/>
          <w:sz w:val="18"/>
          <w:szCs w:val="18"/>
          <w:rtl/>
        </w:rPr>
        <w:t>في: البنك الدولي (2011)، نظم الابتكار الزراعي: دليل الاستثمار.</w:t>
      </w:r>
    </w:p>
  </w:footnote>
  <w:footnote w:id="85">
    <w:p w14:paraId="51E0C5B5" w14:textId="77777777" w:rsidR="00E40747" w:rsidRPr="00C8196F" w:rsidRDefault="00E40747" w:rsidP="00B7519E">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إن الخبرة التجارية والقاعدة المعرفية لموظفي مكتب إدارة الملكية الفكرية لها أهمية تفوق مجرد عدد الموظفين العاملين في مكتب إدارة الملكية الفكرية.</w:t>
      </w:r>
    </w:p>
  </w:footnote>
  <w:footnote w:id="86">
    <w:p w14:paraId="370D85A6"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المصدر: ر. نيلسون، معهد ماساتشوستس للتكنولوجيا (</w:t>
      </w:r>
      <w:r w:rsidRPr="00C8196F">
        <w:rPr>
          <w:rFonts w:cstheme="minorHAnsi"/>
          <w:sz w:val="18"/>
          <w:szCs w:val="18"/>
        </w:rPr>
        <w:t>MIT</w:t>
      </w:r>
      <w:r w:rsidRPr="00C8196F">
        <w:rPr>
          <w:rFonts w:cstheme="minorHAnsi"/>
          <w:sz w:val="18"/>
          <w:szCs w:val="18"/>
          <w:rtl/>
        </w:rPr>
        <w:t xml:space="preserve">). </w:t>
      </w:r>
    </w:p>
  </w:footnote>
  <w:footnote w:id="87">
    <w:p w14:paraId="1CCD036E" w14:textId="77777777" w:rsidR="00E40747" w:rsidRPr="00C8196F" w:rsidRDefault="00E40747" w:rsidP="002E2A56">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للاطلاع على أمثلة لهذه الهياكل، انظر </w:t>
      </w:r>
      <w:hyperlink w:anchor="Box22" w:history="1">
        <w:r w:rsidRPr="00C8196F">
          <w:rPr>
            <w:rStyle w:val="Hyperlink"/>
            <w:rFonts w:cstheme="minorHAnsi"/>
            <w:sz w:val="18"/>
            <w:szCs w:val="18"/>
            <w:rtl/>
          </w:rPr>
          <w:t>الإطار 22</w:t>
        </w:r>
      </w:hyperlink>
      <w:r w:rsidRPr="00C8196F">
        <w:rPr>
          <w:rFonts w:cstheme="minorHAnsi"/>
          <w:sz w:val="18"/>
          <w:szCs w:val="18"/>
          <w:rtl/>
        </w:rPr>
        <w:t xml:space="preserve">. </w:t>
      </w:r>
    </w:p>
  </w:footnote>
  <w:footnote w:id="88">
    <w:p w14:paraId="00094970" w14:textId="4EBD7B0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hyperlink r:id="rId48" w:history="1">
        <w:r w:rsidRPr="00C8196F">
          <w:rPr>
            <w:rStyle w:val="Hyperlink"/>
            <w:rFonts w:cstheme="minorHAnsi"/>
            <w:sz w:val="18"/>
            <w:szCs w:val="18"/>
          </w:rPr>
          <w:t xml:space="preserve"> https://otd.harvard.edu/</w:t>
        </w:r>
      </w:hyperlink>
      <w:r w:rsidRPr="00C8196F">
        <w:rPr>
          <w:rStyle w:val="Hyperlink"/>
          <w:rFonts w:cstheme="minorHAnsi"/>
          <w:color w:val="auto"/>
          <w:sz w:val="18"/>
          <w:szCs w:val="18"/>
          <w:rtl/>
        </w:rPr>
        <w:t xml:space="preserve"> </w:t>
      </w:r>
      <w:r w:rsidRPr="00C8196F">
        <w:rPr>
          <w:rFonts w:cstheme="minorHAnsi"/>
          <w:sz w:val="18"/>
          <w:szCs w:val="18"/>
          <w:rtl/>
        </w:rPr>
        <w:t xml:space="preserve">  </w:t>
      </w:r>
    </w:p>
  </w:footnote>
  <w:footnote w:id="89">
    <w:p w14:paraId="7F53032F"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hyperlink r:id="rId49" w:history="1">
        <w:r w:rsidRPr="00C8196F">
          <w:rPr>
            <w:rFonts w:cstheme="minorHAnsi"/>
            <w:sz w:val="18"/>
            <w:szCs w:val="18"/>
          </w:rPr>
          <w:t xml:space="preserve"> </w:t>
        </w:r>
        <w:r w:rsidRPr="00C8196F">
          <w:rPr>
            <w:rStyle w:val="Hyperlink"/>
            <w:rFonts w:cstheme="minorHAnsi"/>
            <w:sz w:val="18"/>
            <w:szCs w:val="18"/>
          </w:rPr>
          <w:t>http://www.rci.uct.ac.za/</w:t>
        </w:r>
      </w:hyperlink>
      <w:r w:rsidRPr="00C8196F">
        <w:rPr>
          <w:rFonts w:cstheme="minorHAnsi"/>
          <w:sz w:val="18"/>
          <w:szCs w:val="18"/>
          <w:rtl/>
        </w:rPr>
        <w:t xml:space="preserve"> </w:t>
      </w:r>
    </w:p>
  </w:footnote>
  <w:footnote w:id="90">
    <w:p w14:paraId="2EAE1671"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جامعة كامبيناس هي جامعة حكومية تمولها ولاية ساو باولو بالبرازيل.</w:t>
      </w:r>
    </w:p>
  </w:footnote>
  <w:footnote w:id="91">
    <w:p w14:paraId="679FB19C"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w:t>
      </w:r>
      <w:hyperlink r:id="rId50" w:history="1">
        <w:r w:rsidRPr="00C8196F">
          <w:rPr>
            <w:rStyle w:val="Hyperlink"/>
            <w:rFonts w:cstheme="minorHAnsi"/>
            <w:sz w:val="18"/>
            <w:szCs w:val="18"/>
          </w:rPr>
          <w:t>www.inova.unicamp.br</w:t>
        </w:r>
      </w:hyperlink>
      <w:r w:rsidRPr="00C8196F">
        <w:rPr>
          <w:rFonts w:cstheme="minorHAnsi"/>
          <w:sz w:val="18"/>
          <w:szCs w:val="18"/>
          <w:rtl/>
        </w:rPr>
        <w:t xml:space="preserve"> </w:t>
      </w:r>
    </w:p>
  </w:footnote>
  <w:footnote w:id="92">
    <w:p w14:paraId="746D8F3A"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hyperlink r:id="rId51" w:history="1">
        <w:r w:rsidRPr="00C8196F">
          <w:rPr>
            <w:rFonts w:cstheme="minorHAnsi"/>
            <w:sz w:val="18"/>
            <w:szCs w:val="18"/>
          </w:rPr>
          <w:t xml:space="preserve"> </w:t>
        </w:r>
        <w:r w:rsidRPr="00C8196F">
          <w:rPr>
            <w:rStyle w:val="Hyperlink"/>
            <w:rFonts w:cstheme="minorHAnsi"/>
            <w:sz w:val="18"/>
            <w:szCs w:val="18"/>
          </w:rPr>
          <w:t>https://wits-enterprise.co.za/</w:t>
        </w:r>
      </w:hyperlink>
      <w:r w:rsidRPr="00C8196F">
        <w:rPr>
          <w:rFonts w:cstheme="minorHAnsi"/>
          <w:sz w:val="18"/>
          <w:szCs w:val="18"/>
          <w:rtl/>
        </w:rPr>
        <w:t xml:space="preserve"> </w:t>
      </w:r>
    </w:p>
  </w:footnote>
  <w:footnote w:id="93">
    <w:p w14:paraId="2A1C90F1" w14:textId="77777777" w:rsidR="00E40747" w:rsidRPr="00C8196F" w:rsidRDefault="00E40747" w:rsidP="001B2246">
      <w:pPr>
        <w:pStyle w:val="FootnoteText"/>
        <w:rPr>
          <w:rFonts w:cstheme="minorHAnsi"/>
          <w:sz w:val="18"/>
          <w:szCs w:val="18"/>
          <w:rtl/>
        </w:rPr>
      </w:pPr>
      <w:r w:rsidRPr="00C8196F">
        <w:rPr>
          <w:rStyle w:val="FootnoteReference"/>
          <w:rFonts w:cstheme="minorHAnsi"/>
          <w:sz w:val="18"/>
          <w:szCs w:val="18"/>
        </w:rPr>
        <w:footnoteRef/>
      </w:r>
      <w:hyperlink r:id="rId52" w:history="1">
        <w:r w:rsidRPr="00C8196F">
          <w:rPr>
            <w:rFonts w:cstheme="minorHAnsi"/>
            <w:sz w:val="18"/>
            <w:szCs w:val="18"/>
          </w:rPr>
          <w:t xml:space="preserve"> </w:t>
        </w:r>
        <w:r w:rsidRPr="00C8196F">
          <w:rPr>
            <w:rStyle w:val="Hyperlink"/>
            <w:rFonts w:cstheme="minorHAnsi"/>
            <w:sz w:val="18"/>
            <w:szCs w:val="18"/>
          </w:rPr>
          <w:t>http://www.innovus.co.za/</w:t>
        </w:r>
      </w:hyperlink>
      <w:r w:rsidRPr="00C8196F">
        <w:rPr>
          <w:rFonts w:cstheme="minorHAnsi"/>
          <w:sz w:val="18"/>
          <w:szCs w:val="18"/>
          <w:rtl/>
        </w:rPr>
        <w:t xml:space="preserve"> </w:t>
      </w:r>
    </w:p>
  </w:footnote>
  <w:footnote w:id="94">
    <w:p w14:paraId="24F1448B" w14:textId="77777777" w:rsidR="00E40747" w:rsidRPr="00C8196F" w:rsidRDefault="00E40747" w:rsidP="006E5B9E">
      <w:pPr>
        <w:pStyle w:val="FootnoteText"/>
        <w:rPr>
          <w:rFonts w:cstheme="minorHAnsi"/>
          <w:sz w:val="18"/>
          <w:szCs w:val="18"/>
          <w:rtl/>
        </w:rPr>
      </w:pPr>
      <w:r w:rsidRPr="00C8196F">
        <w:rPr>
          <w:rStyle w:val="FootnoteReference"/>
          <w:rFonts w:cstheme="minorHAnsi"/>
          <w:sz w:val="18"/>
          <w:szCs w:val="18"/>
        </w:rPr>
        <w:footnoteRef/>
      </w:r>
      <w:hyperlink r:id="rId53" w:history="1">
        <w:r w:rsidRPr="00C8196F">
          <w:rPr>
            <w:rFonts w:cstheme="minorHAnsi"/>
            <w:sz w:val="18"/>
            <w:szCs w:val="18"/>
          </w:rPr>
          <w:t xml:space="preserve"> </w:t>
        </w:r>
        <w:r w:rsidRPr="00C8196F">
          <w:rPr>
            <w:rStyle w:val="Hyperlink"/>
            <w:rFonts w:cstheme="minorHAnsi"/>
            <w:sz w:val="18"/>
            <w:szCs w:val="18"/>
          </w:rPr>
          <w:t>http://www.iperative.com/</w:t>
        </w:r>
      </w:hyperlink>
      <w:r w:rsidRPr="00C8196F">
        <w:rPr>
          <w:rFonts w:cstheme="minorHAnsi"/>
          <w:sz w:val="18"/>
          <w:szCs w:val="18"/>
          <w:rtl/>
        </w:rPr>
        <w:t xml:space="preserve"> </w:t>
      </w:r>
    </w:p>
  </w:footnote>
  <w:footnote w:id="95">
    <w:p w14:paraId="56DF5DEA" w14:textId="77777777" w:rsidR="00E40747" w:rsidRPr="00C8196F" w:rsidRDefault="00E40747" w:rsidP="007D0C94">
      <w:pPr>
        <w:pStyle w:val="FootnoteText"/>
        <w:jc w:val="both"/>
        <w:rPr>
          <w:rFonts w:eastAsiaTheme="minorHAnsi"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ناسيبا، راملي، وزيناتول زاينول (2014)، </w:t>
      </w:r>
      <w:r w:rsidRPr="00C8196F">
        <w:rPr>
          <w:rFonts w:cstheme="minorHAnsi"/>
          <w:i/>
          <w:iCs/>
          <w:sz w:val="18"/>
          <w:szCs w:val="18"/>
          <w:rtl/>
        </w:rPr>
        <w:t>ملكية الملكية الفكرية في الأوساط الأكاديمية: تحليل</w:t>
      </w:r>
      <w:r w:rsidRPr="00C8196F">
        <w:rPr>
          <w:rFonts w:cstheme="minorHAnsi"/>
          <w:sz w:val="18"/>
          <w:szCs w:val="18"/>
          <w:rtl/>
        </w:rPr>
        <w:t>، مجلة حقوق الملكية الفكرية، المجلد 19، مايو 2014، ص 177-188.</w:t>
      </w:r>
    </w:p>
  </w:footnote>
  <w:footnote w:id="96">
    <w:p w14:paraId="5222B68B" w14:textId="77777777" w:rsidR="00E40747" w:rsidRPr="00C8196F" w:rsidRDefault="00E40747" w:rsidP="00417367">
      <w:pPr>
        <w:shd w:val="clear" w:color="auto" w:fill="FFFFFF" w:themeFill="background1"/>
        <w:spacing w:after="0" w:line="240" w:lineRule="auto"/>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تنص معظم القوانين الوطنية على حق </w:t>
      </w:r>
      <w:r w:rsidRPr="00C8196F">
        <w:rPr>
          <w:rFonts w:cstheme="minorHAnsi"/>
          <w:b/>
          <w:bCs/>
          <w:sz w:val="18"/>
          <w:szCs w:val="18"/>
          <w:rtl/>
        </w:rPr>
        <w:t>المخترع</w:t>
      </w:r>
      <w:r w:rsidRPr="00C8196F">
        <w:rPr>
          <w:rFonts w:cstheme="minorHAnsi"/>
          <w:sz w:val="18"/>
          <w:szCs w:val="18"/>
          <w:rtl/>
        </w:rPr>
        <w:t xml:space="preserve"> في التقدم بطلب للحصول على براءة. ومع ذلك، إذا كان الاختراع صُنع أثناء فترة التوظيف، يُمنح صاحب العمل الحق في التقدم بطلب للحصول على براءة. أما فيما يتعلق </w:t>
      </w:r>
      <w:r w:rsidRPr="00C8196F">
        <w:rPr>
          <w:rFonts w:cstheme="minorHAnsi"/>
          <w:b/>
          <w:bCs/>
          <w:sz w:val="18"/>
          <w:szCs w:val="18"/>
          <w:rtl/>
        </w:rPr>
        <w:t>بحق المؤلف</w:t>
      </w:r>
      <w:r w:rsidRPr="00C8196F">
        <w:rPr>
          <w:rFonts w:cstheme="minorHAnsi"/>
          <w:sz w:val="18"/>
          <w:szCs w:val="18"/>
          <w:rtl/>
        </w:rPr>
        <w:t>، تنص معظم القوانين الوطنية على أن مؤلف المصنف المحمي بحق المؤلف هو صاحب حق المؤلف للمصنف. غير أنه إذا أبدع المصنف أثناء فترة التوظيف، يصبح صاحب العمل مالكاً لحق المؤلف. وتنص قوانين وطنية أخرى على أن يظل المؤلف هو مالك حق المؤلف بغض النظر عما إذا كان المصنف قد أبدع في فترة التوظيف من عدمها. كما تنص معظم القوانين على أن هذه الأحكام الافتراضية المتعلقة بالملكية يمكن تنظيمها بموجب العقد.</w:t>
      </w:r>
    </w:p>
  </w:footnote>
  <w:footnote w:id="97">
    <w:p w14:paraId="18C1D8DA" w14:textId="4B8CD0BC" w:rsidR="00E40747" w:rsidRPr="00C8196F" w:rsidRDefault="00E40747" w:rsidP="000C3E6E">
      <w:pPr>
        <w:autoSpaceDE w:val="0"/>
        <w:autoSpaceDN w:val="0"/>
        <w:adjustRightInd w:val="0"/>
        <w:spacing w:after="0" w:line="240" w:lineRule="auto"/>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وحتى عندما توجد نُهُج متشابهة (مثل البلدان التي سنت قانوناً شبيهاً بقانون بايه-دول </w:t>
      </w:r>
      <w:r w:rsidRPr="00C8196F">
        <w:rPr>
          <w:rFonts w:cstheme="minorHAnsi"/>
          <w:sz w:val="18"/>
          <w:szCs w:val="18"/>
        </w:rPr>
        <w:t>(Bayh-Dole)</w:t>
      </w:r>
      <w:r w:rsidRPr="00C8196F">
        <w:rPr>
          <w:rFonts w:cstheme="minorHAnsi"/>
          <w:sz w:val="18"/>
          <w:szCs w:val="18"/>
          <w:rtl/>
        </w:rPr>
        <w:t>)، فإن نطاق القوانين أو قابليتها للتطبيق يختلف من بلد إلى آخر. وللتوضيح: موضوع قانون بايه-دول الياباني أوسع نطاقاً من قانون بايه-دول الأمريكي، لأنه لا يشمل حقوق البراءات فحسب، بل أيضاً بعض حقوق الملكية الفكرية الأخرى؛ ولا تخضع بموجبه المؤسسات لشروط الاحتفاظ بالملكية ذاتها. وينطبق ذلك أيضاً على تشريع جنوب أفريقيا، الذي يأخذ في الاعتبار جميع أشكال الملكية الفكرية، وليس البراءات فحسب.</w:t>
      </w:r>
    </w:p>
  </w:footnote>
  <w:footnote w:id="98">
    <w:p w14:paraId="5FA8DB51" w14:textId="77777777" w:rsidR="00E40747" w:rsidRPr="00C8196F" w:rsidRDefault="00E40747" w:rsidP="00194209">
      <w:pPr>
        <w:autoSpaceDE w:val="0"/>
        <w:autoSpaceDN w:val="0"/>
        <w:adjustRightInd w:val="0"/>
        <w:spacing w:after="0" w:line="240" w:lineRule="auto"/>
        <w:jc w:val="both"/>
        <w:rPr>
          <w:rFonts w:eastAsiaTheme="minorHAnsi"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قد تكون هناك أحكام ذات صلة بالسياسات التحفيزية للابتكار وخطط تطوير العلوم والتكنولوجيا، وما إلى ذلك.</w:t>
      </w:r>
    </w:p>
  </w:footnote>
  <w:footnote w:id="99">
    <w:p w14:paraId="6BF28E23" w14:textId="77777777" w:rsidR="00E40747" w:rsidRPr="00C8196F" w:rsidRDefault="00E40747" w:rsidP="007D0C94">
      <w:pPr>
        <w:autoSpaceDE w:val="0"/>
        <w:autoSpaceDN w:val="0"/>
        <w:adjustRightInd w:val="0"/>
        <w:spacing w:after="0" w:line="240" w:lineRule="auto"/>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وقد غيرت دول مثل النمسا وبلجيكا والدانمرك وفنلندا وألمانيا واليابان والنرويج سياستها التي كانت قائمة على نموذج ملكية المخترع إلى نموذج ملكية المؤسسة. </w:t>
      </w:r>
    </w:p>
  </w:footnote>
  <w:footnote w:id="100">
    <w:p w14:paraId="5343BB24" w14:textId="77777777" w:rsidR="00E40747" w:rsidRPr="00C8196F" w:rsidRDefault="00E40747" w:rsidP="00B7519E">
      <w:pPr>
        <w:pStyle w:val="FootnoteText"/>
        <w:jc w:val="both"/>
        <w:rPr>
          <w:rFonts w:cstheme="minorHAnsi"/>
          <w:i/>
          <w:iCs/>
          <w:sz w:val="18"/>
          <w:szCs w:val="18"/>
          <w:rtl/>
        </w:rPr>
      </w:pPr>
      <w:r w:rsidRPr="00C8196F">
        <w:rPr>
          <w:rStyle w:val="FootnoteReference"/>
          <w:rFonts w:cstheme="minorHAnsi"/>
          <w:sz w:val="18"/>
          <w:szCs w:val="18"/>
        </w:rPr>
        <w:footnoteRef/>
      </w:r>
      <w:r w:rsidRPr="00C8196F">
        <w:rPr>
          <w:rFonts w:cstheme="minorHAnsi"/>
          <w:sz w:val="18"/>
          <w:szCs w:val="18"/>
          <w:rtl/>
        </w:rPr>
        <w:t xml:space="preserve">كان قانون بايه-دول أول إطار قانوني مخصص أضفى الطابع المؤسسي على نقل السيطرة الاستئثارية على العديد من الاختراعات الممولة من الحكومة إلى الجامعات. وقد أدى نقل ملكية هذه الاختراعات وتوضيحها إلى خفض تكاليف المعاملات حيث لم تعد هناك حاجة إلى طب الإذن من وكالات التمويل الفيدرالية، ولأن هذا الأمر أضفى مزيداً من الوضوح على حقوق الملكية وبالتالي منح ضماناً أكبر للمرخص لهم النهائيين. كما يرد بالقانون قواعد للكشف عن الاختراعات ويشترط كذلك على المؤسسات تقديم حوافز للباحثين. انظر </w:t>
      </w:r>
      <w:hyperlink r:id="rId54" w:history="1">
        <w:r w:rsidRPr="00C8196F">
          <w:rPr>
            <w:rStyle w:val="Hyperlink"/>
            <w:rFonts w:cstheme="minorHAnsi"/>
            <w:i/>
            <w:iCs/>
            <w:sz w:val="18"/>
            <w:szCs w:val="18"/>
            <w:rtl/>
          </w:rPr>
          <w:t>تسخير البحث العام لصالح الابتكار - دور الملكية الفكرية</w:t>
        </w:r>
      </w:hyperlink>
      <w:r w:rsidRPr="00C8196F">
        <w:rPr>
          <w:rFonts w:cstheme="minorHAnsi"/>
          <w:i/>
          <w:iCs/>
          <w:sz w:val="18"/>
          <w:szCs w:val="18"/>
          <w:rtl/>
        </w:rPr>
        <w:t>.</w:t>
      </w:r>
    </w:p>
  </w:footnote>
  <w:footnote w:id="101">
    <w:p w14:paraId="686F399B" w14:textId="77777777" w:rsidR="00E40747" w:rsidRPr="00C8196F" w:rsidRDefault="00E40747" w:rsidP="00CC3D49">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w:t>
      </w:r>
      <w:hyperlink r:id="rId55" w:history="1">
        <w:r w:rsidRPr="00C8196F">
          <w:rPr>
            <w:rStyle w:val="Hyperlink"/>
            <w:rFonts w:cstheme="minorHAnsi"/>
            <w:sz w:val="18"/>
            <w:szCs w:val="18"/>
          </w:rPr>
          <w:t>http://www.npc.gov.cn/englishnpc/Law/2009-02/20/content_1471617.htm</w:t>
        </w:r>
      </w:hyperlink>
      <w:r w:rsidRPr="00C8196F">
        <w:rPr>
          <w:rFonts w:cstheme="minorHAnsi"/>
          <w:sz w:val="18"/>
          <w:szCs w:val="18"/>
          <w:rtl/>
        </w:rPr>
        <w:t>.</w:t>
      </w:r>
    </w:p>
  </w:footnote>
  <w:footnote w:id="102">
    <w:p w14:paraId="0E01CDDF" w14:textId="77777777" w:rsidR="00E40747" w:rsidRPr="00C8196F" w:rsidRDefault="00E40747" w:rsidP="00B7519E">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ينص القسم 15(2) على اشتراطات محددة للملكية المشتركة بين مؤسسة وكيان أو منظمة خاصة؛ وتنضوي المؤسسة تحت تعريف المتلقي.</w:t>
      </w:r>
    </w:p>
  </w:footnote>
  <w:footnote w:id="103">
    <w:p w14:paraId="7643A053" w14:textId="77777777" w:rsidR="00E40747" w:rsidRPr="00C8196F" w:rsidRDefault="00E40747" w:rsidP="00E3707D">
      <w:pPr>
        <w:pStyle w:val="CommentText"/>
        <w:spacing w:after="0"/>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احتفظت السويد بنظام امتياز الأستاذ. واتّبعت إيطاليا نظام امتياز الأستاذ في عام 2001. وعادة ما تفضل ملكية الجامعة نموذج الأعمال المتمثل في إصدار البراءات والتراخيص، فيما تفضل ملكية المخترع نموذج الأعمال المتمثل في الشركات المنبثقة. وفي الواقع، يطبق هذا النظام في إيطاليا فقط على الأبحاث الممولة بالكامل من القطاع العام بنسبة 100%.  وتعد السويد هي الدولة الوحيدة في الاتحاد الأوروبي التي تطبق نظام امتياز الأستاذ وحده. </w:t>
      </w:r>
    </w:p>
  </w:footnote>
  <w:footnote w:id="104">
    <w:p w14:paraId="1B6A98D3" w14:textId="77777777" w:rsidR="00E40747" w:rsidRPr="00C8196F" w:rsidRDefault="00E40747" w:rsidP="00074140">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السياسة 73 - حقوق الملكية الفكرية (1997): </w:t>
      </w:r>
      <w:hyperlink r:id="rId56" w:history="1">
        <w:r w:rsidRPr="00C8196F">
          <w:rPr>
            <w:rStyle w:val="Hyperlink"/>
            <w:rFonts w:cstheme="minorHAnsi"/>
            <w:sz w:val="18"/>
            <w:szCs w:val="18"/>
          </w:rPr>
          <w:t>https://uwaterloo.ca/secretariat/policies-procedures-guidelines/policy-73-intellectual-property-rights</w:t>
        </w:r>
      </w:hyperlink>
      <w:r w:rsidRPr="00C8196F">
        <w:rPr>
          <w:rFonts w:cstheme="minorHAnsi"/>
          <w:sz w:val="18"/>
          <w:szCs w:val="18"/>
          <w:rtl/>
        </w:rPr>
        <w:t>.</w:t>
      </w:r>
    </w:p>
  </w:footnote>
  <w:footnote w:id="105">
    <w:p w14:paraId="6375961D" w14:textId="1EE03D78" w:rsidR="00E40747" w:rsidRPr="00C8196F" w:rsidRDefault="00E40747" w:rsidP="00320668">
      <w:pPr>
        <w:pStyle w:val="CommentText"/>
        <w:spacing w:after="0"/>
        <w:jc w:val="both"/>
        <w:rPr>
          <w:rFonts w:cstheme="minorHAnsi"/>
          <w:sz w:val="18"/>
          <w:szCs w:val="18"/>
          <w:rtl/>
        </w:rPr>
      </w:pPr>
      <w:r w:rsidRPr="00C8196F">
        <w:rPr>
          <w:rStyle w:val="FootnoteReference"/>
          <w:rFonts w:cstheme="minorHAnsi"/>
          <w:sz w:val="18"/>
          <w:szCs w:val="18"/>
        </w:rPr>
        <w:footnoteRef/>
      </w:r>
      <w:hyperlink r:id="rId57" w:history="1">
        <w:r w:rsidRPr="00C8196F">
          <w:rPr>
            <w:rFonts w:cstheme="minorHAnsi"/>
            <w:sz w:val="18"/>
            <w:szCs w:val="18"/>
            <w:rtl/>
          </w:rPr>
          <w:t xml:space="preserve"> </w:t>
        </w:r>
        <w:r w:rsidRPr="00C8196F">
          <w:rPr>
            <w:rStyle w:val="Hyperlink"/>
            <w:rFonts w:cstheme="minorHAnsi"/>
            <w:sz w:val="18"/>
            <w:szCs w:val="18"/>
            <w:rtl/>
          </w:rPr>
          <w:t>جمعية مديري التكنولوجيا بالجامعات (</w:t>
        </w:r>
        <w:r w:rsidRPr="00C8196F">
          <w:rPr>
            <w:rStyle w:val="Hyperlink"/>
            <w:rFonts w:cstheme="minorHAnsi"/>
            <w:sz w:val="18"/>
            <w:szCs w:val="18"/>
          </w:rPr>
          <w:t>AUTM</w:t>
        </w:r>
        <w:r w:rsidRPr="00C8196F">
          <w:rPr>
            <w:rStyle w:val="Hyperlink"/>
            <w:rFonts w:cstheme="minorHAnsi"/>
            <w:sz w:val="18"/>
            <w:szCs w:val="18"/>
            <w:rtl/>
          </w:rPr>
          <w:t>)</w:t>
        </w:r>
      </w:hyperlink>
      <w:r w:rsidRPr="00C8196F">
        <w:rPr>
          <w:rFonts w:cstheme="minorHAnsi"/>
          <w:sz w:val="18"/>
          <w:szCs w:val="18"/>
          <w:rtl/>
        </w:rPr>
        <w:t xml:space="preserve"> ظلت تنشر للعديد من السنوات دليل الممارسات الفضلى في نقل التكنولوجيا، والذي كان معياراً للعديد من البلدان حول العالم.</w:t>
      </w:r>
    </w:p>
  </w:footnote>
  <w:footnote w:id="106">
    <w:p w14:paraId="310CD0F8" w14:textId="485EE6DD" w:rsidR="00E40747" w:rsidRPr="00C8196F" w:rsidRDefault="00E40747" w:rsidP="00320668">
      <w:pPr>
        <w:pStyle w:val="FootnoteText"/>
        <w:jc w:val="both"/>
        <w:rPr>
          <w:rFonts w:cstheme="minorHAnsi"/>
          <w:sz w:val="18"/>
          <w:szCs w:val="18"/>
          <w:rtl/>
        </w:rPr>
      </w:pPr>
      <w:r w:rsidRPr="00C8196F">
        <w:rPr>
          <w:rStyle w:val="FootnoteReference"/>
          <w:rFonts w:cstheme="minorHAnsi"/>
          <w:sz w:val="18"/>
          <w:szCs w:val="18"/>
        </w:rPr>
        <w:footnoteRef/>
      </w:r>
      <w:hyperlink r:id="rId58" w:history="1">
        <w:r w:rsidRPr="00C8196F">
          <w:rPr>
            <w:rFonts w:cstheme="minorHAnsi"/>
            <w:sz w:val="18"/>
            <w:szCs w:val="18"/>
            <w:rtl/>
          </w:rPr>
          <w:t xml:space="preserve"> </w:t>
        </w:r>
        <w:r w:rsidRPr="00C8196F">
          <w:rPr>
            <w:rStyle w:val="Hyperlink"/>
            <w:rFonts w:cstheme="minorHAnsi"/>
            <w:sz w:val="18"/>
            <w:szCs w:val="18"/>
            <w:rtl/>
          </w:rPr>
          <w:t>المركز الدولي لنقل التكنولوجيا البيئية (</w:t>
        </w:r>
        <w:r w:rsidRPr="00C8196F">
          <w:rPr>
            <w:rStyle w:val="Hyperlink"/>
            <w:rFonts w:cstheme="minorHAnsi"/>
            <w:sz w:val="18"/>
            <w:szCs w:val="18"/>
          </w:rPr>
          <w:t>ICETT</w:t>
        </w:r>
        <w:r w:rsidRPr="00C8196F">
          <w:rPr>
            <w:rStyle w:val="Hyperlink"/>
            <w:rFonts w:cstheme="minorHAnsi"/>
            <w:sz w:val="18"/>
            <w:szCs w:val="18"/>
            <w:rtl/>
          </w:rPr>
          <w:t>)</w:t>
        </w:r>
      </w:hyperlink>
      <w:r w:rsidRPr="00C8196F">
        <w:rPr>
          <w:rFonts w:cstheme="minorHAnsi"/>
          <w:sz w:val="18"/>
          <w:szCs w:val="18"/>
          <w:rtl/>
        </w:rPr>
        <w:t xml:space="preserve"> تتمثل رسالته في نقل التكنولوجيا البيئية اليابانية المتطورة إلى بلدان أخرى، وخاصة الدول النامية، لمساعدتها على معالجة مشكلاتها البيئية، وبالتالي المساهمة في وقاية البيئة على الصعيد العالمي.</w:t>
      </w:r>
    </w:p>
  </w:footnote>
  <w:footnote w:id="107">
    <w:p w14:paraId="53B98C4A" w14:textId="77777777" w:rsidR="00E40747" w:rsidRPr="00C8196F" w:rsidRDefault="00E40747" w:rsidP="00320668">
      <w:pPr>
        <w:pStyle w:val="FootnoteText"/>
        <w:jc w:val="both"/>
        <w:rPr>
          <w:rFonts w:cstheme="minorHAnsi"/>
          <w:sz w:val="18"/>
          <w:szCs w:val="18"/>
          <w:rtl/>
        </w:rPr>
      </w:pPr>
      <w:r w:rsidRPr="00C8196F">
        <w:rPr>
          <w:rStyle w:val="FootnoteReference"/>
          <w:rFonts w:cstheme="minorHAnsi"/>
          <w:sz w:val="18"/>
          <w:szCs w:val="18"/>
        </w:rPr>
        <w:footnoteRef/>
      </w:r>
      <w:hyperlink r:id="rId59" w:history="1">
        <w:r w:rsidRPr="00C8196F">
          <w:rPr>
            <w:rFonts w:cstheme="minorHAnsi"/>
            <w:sz w:val="18"/>
            <w:szCs w:val="18"/>
            <w:rtl/>
          </w:rPr>
          <w:t xml:space="preserve"> </w:t>
        </w:r>
        <w:r w:rsidRPr="00C8196F">
          <w:rPr>
            <w:rStyle w:val="Hyperlink"/>
            <w:rFonts w:cstheme="minorHAnsi"/>
            <w:sz w:val="18"/>
            <w:szCs w:val="18"/>
            <w:rtl/>
          </w:rPr>
          <w:t>المنظمة الأسترالية لتسويق المعارف (</w:t>
        </w:r>
        <w:r w:rsidRPr="00C8196F">
          <w:rPr>
            <w:rStyle w:val="Hyperlink"/>
            <w:rFonts w:cstheme="minorHAnsi"/>
            <w:sz w:val="18"/>
            <w:szCs w:val="18"/>
          </w:rPr>
          <w:t>KCA</w:t>
        </w:r>
        <w:r w:rsidRPr="00C8196F">
          <w:rPr>
            <w:rStyle w:val="Hyperlink"/>
            <w:rFonts w:cstheme="minorHAnsi"/>
            <w:sz w:val="18"/>
            <w:szCs w:val="18"/>
            <w:rtl/>
          </w:rPr>
          <w:t>)</w:t>
        </w:r>
      </w:hyperlink>
      <w:r w:rsidRPr="00C8196F">
        <w:rPr>
          <w:rFonts w:cstheme="minorHAnsi"/>
          <w:sz w:val="18"/>
          <w:szCs w:val="18"/>
          <w:rtl/>
        </w:rPr>
        <w:t xml:space="preserve"> هي منظمة غير ربحية يرأسها متطوعون تهدف إلى "المساعدة على تطوير المهارات المرتبطة بنقل المعرفة من منظمات القطاع العام وتحسينها".</w:t>
      </w:r>
    </w:p>
  </w:footnote>
  <w:footnote w:id="108">
    <w:p w14:paraId="1047D6B1" w14:textId="77777777" w:rsidR="00E40747" w:rsidRPr="00C8196F" w:rsidRDefault="00E40747" w:rsidP="00320668">
      <w:pPr>
        <w:pStyle w:val="FootnoteText"/>
        <w:jc w:val="both"/>
        <w:rPr>
          <w:rFonts w:cstheme="minorHAnsi"/>
          <w:sz w:val="18"/>
          <w:szCs w:val="18"/>
          <w:rtl/>
        </w:rPr>
      </w:pPr>
      <w:r w:rsidRPr="00C8196F">
        <w:rPr>
          <w:rStyle w:val="FootnoteReference"/>
          <w:rFonts w:cstheme="minorHAnsi"/>
          <w:sz w:val="18"/>
          <w:szCs w:val="18"/>
        </w:rPr>
        <w:footnoteRef/>
      </w:r>
      <w:hyperlink r:id="rId60" w:history="1">
        <w:r w:rsidRPr="00C8196F">
          <w:rPr>
            <w:rFonts w:cstheme="minorHAnsi"/>
            <w:sz w:val="18"/>
            <w:szCs w:val="18"/>
            <w:rtl/>
          </w:rPr>
          <w:t xml:space="preserve"> </w:t>
        </w:r>
        <w:r w:rsidRPr="00C8196F">
          <w:rPr>
            <w:rStyle w:val="Hyperlink"/>
            <w:rFonts w:cstheme="minorHAnsi"/>
            <w:sz w:val="18"/>
            <w:szCs w:val="18"/>
            <w:rtl/>
          </w:rPr>
          <w:t>الرابطة الكندية لتسويق التكنولوجيا</w:t>
        </w:r>
      </w:hyperlink>
      <w:r w:rsidRPr="00C8196F">
        <w:rPr>
          <w:rFonts w:cstheme="minorHAnsi"/>
          <w:sz w:val="18"/>
          <w:szCs w:val="18"/>
          <w:rtl/>
        </w:rPr>
        <w:t xml:space="preserve"> (</w:t>
      </w:r>
      <w:r w:rsidRPr="00C8196F">
        <w:rPr>
          <w:rFonts w:cstheme="minorHAnsi"/>
          <w:i/>
          <w:iCs/>
          <w:sz w:val="18"/>
          <w:szCs w:val="18"/>
        </w:rPr>
        <w:t>ACCT</w:t>
      </w:r>
      <w:r w:rsidRPr="00C8196F">
        <w:rPr>
          <w:rFonts w:cstheme="minorHAnsi"/>
          <w:sz w:val="18"/>
          <w:szCs w:val="18"/>
          <w:rtl/>
        </w:rPr>
        <w:t xml:space="preserve">) هي المنظمة الرائدة في كندا في جميع الأمور المتعلقة بتفاعل البحث الأكاديمي مع الصناعة وحشد الاكتشافات البحثية. </w:t>
      </w:r>
    </w:p>
  </w:footnote>
  <w:footnote w:id="109">
    <w:p w14:paraId="2F03F5AE" w14:textId="4CEF48E8" w:rsidR="00E40747" w:rsidRPr="00C8196F" w:rsidRDefault="00E40747" w:rsidP="00320668">
      <w:pPr>
        <w:pStyle w:val="FootnoteText"/>
        <w:jc w:val="both"/>
        <w:rPr>
          <w:rFonts w:cstheme="minorHAnsi"/>
          <w:sz w:val="18"/>
          <w:szCs w:val="18"/>
          <w:rtl/>
        </w:rPr>
      </w:pPr>
      <w:r w:rsidRPr="00C8196F">
        <w:rPr>
          <w:rStyle w:val="FootnoteReference"/>
          <w:rFonts w:cstheme="minorHAnsi"/>
          <w:sz w:val="18"/>
          <w:szCs w:val="18"/>
        </w:rPr>
        <w:footnoteRef/>
      </w:r>
      <w:hyperlink r:id="rId61" w:history="1">
        <w:r w:rsidRPr="00C8196F">
          <w:rPr>
            <w:rFonts w:cstheme="minorHAnsi"/>
            <w:sz w:val="18"/>
            <w:szCs w:val="18"/>
            <w:rtl/>
          </w:rPr>
          <w:t xml:space="preserve"> </w:t>
        </w:r>
        <w:r w:rsidRPr="00C8196F">
          <w:rPr>
            <w:rStyle w:val="Hyperlink"/>
            <w:rFonts w:cstheme="minorHAnsi"/>
            <w:sz w:val="18"/>
            <w:szCs w:val="18"/>
            <w:rtl/>
          </w:rPr>
          <w:t>رابطة الصلات بين البحوث الجامعية وقطاع الصناعة (</w:t>
        </w:r>
        <w:r w:rsidRPr="00C8196F">
          <w:rPr>
            <w:rStyle w:val="Hyperlink"/>
            <w:rFonts w:cstheme="minorHAnsi"/>
            <w:sz w:val="18"/>
            <w:szCs w:val="18"/>
          </w:rPr>
          <w:t>AURIL</w:t>
        </w:r>
        <w:r w:rsidRPr="00C8196F">
          <w:rPr>
            <w:rStyle w:val="Hyperlink"/>
            <w:rFonts w:cstheme="minorHAnsi"/>
            <w:sz w:val="18"/>
            <w:szCs w:val="18"/>
            <w:rtl/>
          </w:rPr>
          <w:t>)</w:t>
        </w:r>
      </w:hyperlink>
      <w:r w:rsidRPr="00C8196F">
        <w:rPr>
          <w:rFonts w:cstheme="minorHAnsi"/>
          <w:sz w:val="18"/>
          <w:szCs w:val="18"/>
          <w:rtl/>
        </w:rPr>
        <w:t xml:space="preserve"> هي الرابطة المهنية التي تمثل جميع المتخصصين المشاركين في إبداع المعارف وتطويرها وتبادلها في المملكة المتحدة، والذين يعملون لضمان سريان الأفكار والتكنولوجيات والابتكارات الجديدة من مؤسستهم إلى السوق.</w:t>
      </w:r>
    </w:p>
  </w:footnote>
  <w:footnote w:id="110">
    <w:p w14:paraId="45F4E296" w14:textId="77777777" w:rsidR="00E40747" w:rsidRPr="00C8196F" w:rsidRDefault="00E40747" w:rsidP="00417367">
      <w:pPr>
        <w:pStyle w:val="FootnoteText"/>
        <w:jc w:val="both"/>
        <w:rPr>
          <w:rFonts w:cstheme="minorHAnsi"/>
          <w:sz w:val="18"/>
          <w:szCs w:val="18"/>
          <w:vertAlign w:val="superscript"/>
          <w:rtl/>
        </w:rPr>
      </w:pPr>
      <w:r w:rsidRPr="00C8196F">
        <w:rPr>
          <w:rStyle w:val="FootnoteReference"/>
          <w:rFonts w:cstheme="minorHAnsi"/>
          <w:sz w:val="18"/>
          <w:szCs w:val="18"/>
        </w:rPr>
        <w:footnoteRef/>
      </w:r>
      <w:r w:rsidRPr="00C8196F">
        <w:rPr>
          <w:rStyle w:val="FootnoteReference"/>
          <w:rFonts w:cstheme="minorHAnsi"/>
          <w:sz w:val="18"/>
          <w:szCs w:val="18"/>
          <w:rtl/>
        </w:rPr>
        <w:t xml:space="preserve"> </w:t>
      </w:r>
      <w:r w:rsidRPr="00C8196F">
        <w:rPr>
          <w:rStyle w:val="FootnoteReference"/>
          <w:rFonts w:cstheme="minorHAnsi"/>
          <w:sz w:val="18"/>
          <w:szCs w:val="18"/>
          <w:vertAlign w:val="baseline"/>
          <w:rtl/>
        </w:rPr>
        <w:t>بموجب</w:t>
      </w:r>
      <w:r w:rsidRPr="00C8196F">
        <w:rPr>
          <w:rFonts w:cstheme="minorHAnsi"/>
          <w:sz w:val="18"/>
          <w:szCs w:val="18"/>
          <w:rtl/>
        </w:rPr>
        <w:t xml:space="preserve"> سياسة الملكية الفكرية لجامعة كالجاري</w:t>
      </w:r>
      <w:r w:rsidRPr="00C8196F">
        <w:rPr>
          <w:rStyle w:val="FootnoteReference"/>
          <w:rFonts w:cstheme="minorHAnsi"/>
          <w:sz w:val="18"/>
          <w:szCs w:val="18"/>
          <w:vertAlign w:val="baseline"/>
          <w:rtl/>
        </w:rPr>
        <w:t>،</w:t>
      </w:r>
      <w:r w:rsidRPr="00C8196F">
        <w:rPr>
          <w:rFonts w:cstheme="minorHAnsi"/>
          <w:sz w:val="18"/>
          <w:szCs w:val="18"/>
          <w:rtl/>
        </w:rPr>
        <w:t xml:space="preserve"> </w:t>
      </w:r>
      <w:r w:rsidRPr="00C8196F">
        <w:rPr>
          <w:rStyle w:val="FootnoteReference"/>
          <w:rFonts w:cstheme="minorHAnsi"/>
          <w:sz w:val="18"/>
          <w:szCs w:val="18"/>
          <w:vertAlign w:val="baseline"/>
          <w:rtl/>
        </w:rPr>
        <w:t>يمتلك</w:t>
      </w:r>
      <w:r w:rsidRPr="00C8196F">
        <w:rPr>
          <w:rFonts w:cstheme="minorHAnsi"/>
          <w:sz w:val="18"/>
          <w:szCs w:val="18"/>
          <w:rtl/>
        </w:rPr>
        <w:t xml:space="preserve"> منشئو </w:t>
      </w:r>
      <w:r w:rsidRPr="00C8196F">
        <w:rPr>
          <w:rStyle w:val="FootnoteReference"/>
          <w:rFonts w:cstheme="minorHAnsi"/>
          <w:sz w:val="18"/>
          <w:szCs w:val="18"/>
          <w:vertAlign w:val="baseline"/>
          <w:rtl/>
        </w:rPr>
        <w:t>الملكية الفكرية الذين هم أعضاء في مجتمع الجامعة مصنفاتهم. وفي الوقت ذاته، إذا استخدموا مرافق الجامعة واستعانوا بدعمها في إنشاء الملكية الفكرية، فإن الجامعة لديها الحق في تقاسم صافي الإيرادات المتأتية من تسويق الملكية الفكرية</w:t>
      </w:r>
      <w:r w:rsidRPr="00C8196F">
        <w:rPr>
          <w:rFonts w:cstheme="minorHAnsi"/>
          <w:sz w:val="18"/>
          <w:szCs w:val="18"/>
          <w:rtl/>
        </w:rPr>
        <w:t>.</w:t>
      </w:r>
    </w:p>
  </w:footnote>
  <w:footnote w:id="111">
    <w:p w14:paraId="5EA56E2E" w14:textId="77777777" w:rsidR="00E40747" w:rsidRPr="00C8196F" w:rsidRDefault="00E40747" w:rsidP="00074140">
      <w:pPr>
        <w:pStyle w:val="FootnoteText"/>
        <w:jc w:val="both"/>
        <w:rPr>
          <w:rStyle w:val="FootnoteReference"/>
          <w:rFonts w:cstheme="minorHAnsi"/>
          <w:sz w:val="18"/>
          <w:szCs w:val="18"/>
          <w:vertAlign w:val="baseline"/>
          <w:rtl/>
        </w:rPr>
      </w:pPr>
      <w:r w:rsidRPr="00C8196F">
        <w:rPr>
          <w:rStyle w:val="FootnoteReference"/>
          <w:rFonts w:cstheme="minorHAnsi"/>
          <w:sz w:val="18"/>
          <w:szCs w:val="18"/>
        </w:rPr>
        <w:footnoteRef/>
      </w:r>
      <w:r w:rsidRPr="00C8196F">
        <w:rPr>
          <w:rFonts w:cstheme="minorHAnsi"/>
          <w:sz w:val="18"/>
          <w:szCs w:val="18"/>
          <w:rtl/>
        </w:rPr>
        <w:t xml:space="preserve"> </w:t>
      </w:r>
      <w:r w:rsidRPr="00C8196F">
        <w:rPr>
          <w:rStyle w:val="FootnoteReference"/>
          <w:rFonts w:cstheme="minorHAnsi"/>
          <w:sz w:val="18"/>
          <w:szCs w:val="18"/>
          <w:vertAlign w:val="baseline"/>
          <w:rtl/>
        </w:rPr>
        <w:t>المواد من 1.1.5 إلى 9.1.5 من سياسة</w:t>
      </w:r>
      <w:r w:rsidRPr="00C8196F">
        <w:rPr>
          <w:rFonts w:cstheme="minorHAnsi"/>
          <w:sz w:val="18"/>
          <w:szCs w:val="18"/>
          <w:rtl/>
        </w:rPr>
        <w:t xml:space="preserve"> الملكية الفكرية </w:t>
      </w:r>
      <w:r w:rsidRPr="00C8196F">
        <w:rPr>
          <w:rStyle w:val="FootnoteReference"/>
          <w:rFonts w:cstheme="minorHAnsi"/>
          <w:sz w:val="18"/>
          <w:szCs w:val="18"/>
          <w:vertAlign w:val="baseline"/>
          <w:rtl/>
        </w:rPr>
        <w:t xml:space="preserve"> </w:t>
      </w:r>
      <w:r w:rsidRPr="00C8196F">
        <w:rPr>
          <w:rFonts w:cstheme="minorHAnsi"/>
          <w:sz w:val="18"/>
          <w:szCs w:val="18"/>
          <w:rtl/>
        </w:rPr>
        <w:t xml:space="preserve">لجامعة فيكتوريا في ويلينغتون </w:t>
      </w:r>
      <w:r w:rsidRPr="00C8196F">
        <w:rPr>
          <w:rStyle w:val="FootnoteReference"/>
          <w:rFonts w:cstheme="minorHAnsi"/>
          <w:sz w:val="18"/>
          <w:szCs w:val="18"/>
          <w:vertAlign w:val="baseline"/>
          <w:rtl/>
        </w:rPr>
        <w:t xml:space="preserve">توضح بشكلٍ أكبر قواعد الملكية لكل </w:t>
      </w:r>
      <w:r w:rsidRPr="00C8196F">
        <w:rPr>
          <w:rFonts w:cstheme="minorHAnsi"/>
          <w:sz w:val="18"/>
          <w:szCs w:val="18"/>
          <w:rtl/>
        </w:rPr>
        <w:t>نوع</w:t>
      </w:r>
      <w:r w:rsidRPr="00C8196F">
        <w:rPr>
          <w:rStyle w:val="FootnoteReference"/>
          <w:rFonts w:cstheme="minorHAnsi"/>
          <w:sz w:val="18"/>
          <w:szCs w:val="18"/>
          <w:vertAlign w:val="baseline"/>
          <w:rtl/>
        </w:rPr>
        <w:t xml:space="preserve"> من المنشئين.</w:t>
      </w:r>
    </w:p>
  </w:footnote>
  <w:footnote w:id="112">
    <w:p w14:paraId="0B80C4D0" w14:textId="77777777" w:rsidR="00E40747" w:rsidRPr="00C8196F" w:rsidRDefault="00E40747" w:rsidP="00457084">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فرانسوا جواي "</w:t>
      </w:r>
      <w:r w:rsidRPr="00C8196F">
        <w:rPr>
          <w:rFonts w:cstheme="minorHAnsi"/>
          <w:sz w:val="18"/>
          <w:szCs w:val="18"/>
        </w:rPr>
        <w:t>Who owns copyright: Employee or Employer</w:t>
      </w:r>
      <w:r w:rsidRPr="00C8196F">
        <w:rPr>
          <w:rFonts w:cstheme="minorHAnsi"/>
          <w:sz w:val="18"/>
          <w:szCs w:val="18"/>
          <w:rtl/>
        </w:rPr>
        <w:t>?" على</w:t>
      </w:r>
    </w:p>
    <w:p w14:paraId="660B1AD4" w14:textId="77777777" w:rsidR="00E40747" w:rsidRPr="00C8196F" w:rsidRDefault="00D3795B" w:rsidP="00457084">
      <w:pPr>
        <w:pStyle w:val="FootnoteText"/>
        <w:jc w:val="both"/>
        <w:rPr>
          <w:rFonts w:cstheme="minorHAnsi"/>
          <w:sz w:val="18"/>
          <w:szCs w:val="18"/>
          <w:rtl/>
        </w:rPr>
      </w:pPr>
      <w:hyperlink r:id="rId62" w:history="1">
        <w:r w:rsidR="00E40747" w:rsidRPr="00C8196F">
          <w:rPr>
            <w:rStyle w:val="Hyperlink"/>
            <w:rFonts w:cstheme="minorHAnsi"/>
            <w:sz w:val="18"/>
            <w:szCs w:val="18"/>
          </w:rPr>
          <w:t>http://smart-biggar-web-com.sitepreview.ca/en/newsletters/Intellectual_Property_Magazine_Dec2010.pdf</w:t>
        </w:r>
      </w:hyperlink>
    </w:p>
  </w:footnote>
  <w:footnote w:id="113">
    <w:p w14:paraId="53112ADB" w14:textId="77777777" w:rsidR="00E40747" w:rsidRPr="00C8196F" w:rsidRDefault="00E40747" w:rsidP="00457084">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جيم فيتزسيمونز وألكسندرا بريدجز "</w:t>
      </w:r>
      <w:r w:rsidRPr="00C8196F">
        <w:rPr>
          <w:rFonts w:cstheme="minorHAnsi"/>
          <w:sz w:val="18"/>
          <w:szCs w:val="18"/>
        </w:rPr>
        <w:t>The importance of being specific: IP ownership in employee contracts”</w:t>
      </w:r>
      <w:hyperlink r:id="rId63" w:history="1">
        <w:r w:rsidRPr="00C8196F">
          <w:rPr>
            <w:rStyle w:val="Hyperlink"/>
            <w:rFonts w:cstheme="minorHAnsi"/>
            <w:sz w:val="18"/>
            <w:szCs w:val="18"/>
          </w:rPr>
          <w:t xml:space="preserve"> https://www.claytonutz.com/knowledge/2010/december/the-importance-of-being-specific-ip-ownership-in-employee-contracts</w:t>
        </w:r>
      </w:hyperlink>
      <w:r w:rsidRPr="00C8196F">
        <w:rPr>
          <w:rFonts w:cstheme="minorHAnsi"/>
          <w:sz w:val="18"/>
          <w:szCs w:val="18"/>
          <w:rtl/>
        </w:rPr>
        <w:t xml:space="preserve">. </w:t>
      </w:r>
    </w:p>
  </w:footnote>
  <w:footnote w:id="114">
    <w:p w14:paraId="54A5E65A" w14:textId="77777777" w:rsidR="00E40747" w:rsidRPr="00C8196F" w:rsidRDefault="00E40747" w:rsidP="00457084">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w:t>
      </w:r>
      <w:r w:rsidRPr="00C8196F">
        <w:rPr>
          <w:rFonts w:cstheme="minorHAnsi"/>
          <w:sz w:val="18"/>
          <w:szCs w:val="18"/>
        </w:rPr>
        <w:t>[2009] 2 All SA 31 (SCA) 35</w:t>
      </w:r>
      <w:r w:rsidRPr="00C8196F">
        <w:rPr>
          <w:rFonts w:cstheme="minorHAnsi"/>
          <w:sz w:val="18"/>
          <w:szCs w:val="18"/>
          <w:rtl/>
        </w:rPr>
        <w:t>.</w:t>
      </w:r>
    </w:p>
  </w:footnote>
  <w:footnote w:id="115">
    <w:p w14:paraId="7B82FFE1" w14:textId="77777777" w:rsidR="00E40747" w:rsidRPr="00C8196F" w:rsidRDefault="00E40747" w:rsidP="00457084">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أيضاً "</w:t>
      </w:r>
      <w:r w:rsidRPr="00C8196F">
        <w:rPr>
          <w:rFonts w:cstheme="minorHAnsi"/>
          <w:sz w:val="18"/>
          <w:szCs w:val="18"/>
        </w:rPr>
        <w:t>Mary Still, Employers, employees, and intellectual property: The saga of University of Western Australia v Gray</w:t>
      </w:r>
      <w:r w:rsidRPr="00C8196F">
        <w:rPr>
          <w:rFonts w:cstheme="minorHAnsi"/>
          <w:sz w:val="18"/>
          <w:szCs w:val="18"/>
          <w:rtl/>
        </w:rPr>
        <w:t xml:space="preserve">” على </w:t>
      </w:r>
      <w:hyperlink r:id="rId64" w:history="1">
        <w:r w:rsidRPr="00C8196F">
          <w:rPr>
            <w:rStyle w:val="Hyperlink"/>
            <w:rFonts w:cstheme="minorHAnsi"/>
            <w:sz w:val="18"/>
            <w:szCs w:val="18"/>
          </w:rPr>
          <w:t>https://www.claytonutz.com/knowledge/2010/march/employers-employees-and-intellectual-property-the-saga-of-university-of-western-australia-v-gray</w:t>
        </w:r>
      </w:hyperlink>
      <w:r w:rsidRPr="00C8196F">
        <w:rPr>
          <w:rFonts w:cstheme="minorHAnsi"/>
          <w:sz w:val="18"/>
          <w:szCs w:val="18"/>
          <w:rtl/>
        </w:rPr>
        <w:t xml:space="preserve"> </w:t>
      </w:r>
    </w:p>
  </w:footnote>
  <w:footnote w:id="116">
    <w:p w14:paraId="6B9F5E3C" w14:textId="77777777" w:rsidR="00E40747" w:rsidRPr="00C8196F" w:rsidRDefault="00E40747" w:rsidP="00457084">
      <w:pPr>
        <w:tabs>
          <w:tab w:val="left" w:pos="993"/>
        </w:tabs>
        <w:spacing w:after="0" w:line="240" w:lineRule="auto"/>
        <w:jc w:val="both"/>
        <w:rPr>
          <w:rFonts w:eastAsia="Times New Roman" w:cstheme="minorHAnsi"/>
          <w:color w:val="000000"/>
          <w:sz w:val="18"/>
          <w:szCs w:val="18"/>
          <w:highlight w:val="yellow"/>
          <w:rtl/>
        </w:rPr>
      </w:pPr>
      <w:r w:rsidRPr="00C8196F">
        <w:rPr>
          <w:rStyle w:val="FootnoteReference"/>
          <w:rFonts w:cstheme="minorHAnsi"/>
          <w:sz w:val="18"/>
          <w:szCs w:val="18"/>
        </w:rPr>
        <w:footnoteRef/>
      </w:r>
      <w:r w:rsidRPr="00C8196F">
        <w:rPr>
          <w:rFonts w:cstheme="minorHAnsi"/>
          <w:sz w:val="18"/>
          <w:szCs w:val="18"/>
          <w:rtl/>
        </w:rPr>
        <w:t xml:space="preserve"> </w:t>
      </w:r>
      <w:r w:rsidRPr="00C8196F">
        <w:rPr>
          <w:rFonts w:cstheme="minorHAnsi"/>
          <w:color w:val="000000"/>
          <w:sz w:val="18"/>
          <w:szCs w:val="18"/>
          <w:rtl/>
        </w:rPr>
        <w:t>يجب على المخترعين أو المبدعين الراغبين في تعويض المؤسسة بشكل مباشر عن استخدام مواردها اتخاذ الترتيبات اللازمة للقيام بذلك قبل أن يصبح مستوى استخدام الموارد لملكية فكرية معينة كبيراً.</w:t>
      </w:r>
      <w:r w:rsidRPr="00C8196F">
        <w:rPr>
          <w:rFonts w:cstheme="minorHAnsi"/>
          <w:sz w:val="18"/>
          <w:szCs w:val="18"/>
          <w:rtl/>
        </w:rPr>
        <w:t xml:space="preserve"> </w:t>
      </w:r>
    </w:p>
  </w:footnote>
  <w:footnote w:id="117">
    <w:p w14:paraId="5BEF1B9B" w14:textId="77777777" w:rsidR="00E40747" w:rsidRPr="00C8196F" w:rsidRDefault="00E40747" w:rsidP="0034402A">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كلية بودوين برونزويك، الولايات المتحدة الأمريكية: </w:t>
      </w:r>
      <w:hyperlink r:id="rId65" w:history="1">
        <w:r w:rsidRPr="00C8196F">
          <w:rPr>
            <w:rStyle w:val="Hyperlink"/>
            <w:rFonts w:cstheme="minorHAnsi"/>
            <w:sz w:val="18"/>
            <w:szCs w:val="18"/>
            <w:rtl/>
          </w:rPr>
          <w:t>دليل الطالب</w:t>
        </w:r>
      </w:hyperlink>
      <w:r w:rsidRPr="00C8196F">
        <w:rPr>
          <w:rFonts w:cstheme="minorHAnsi"/>
          <w:sz w:val="18"/>
          <w:szCs w:val="18"/>
          <w:rtl/>
        </w:rPr>
        <w:t xml:space="preserve">. </w:t>
      </w:r>
    </w:p>
  </w:footnote>
  <w:footnote w:id="118">
    <w:p w14:paraId="7F02F43A" w14:textId="3C8D1CC8" w:rsidR="00E40747" w:rsidRPr="00C8196F" w:rsidRDefault="00E40747" w:rsidP="008648D5">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على سبيل المثال، في جنوب أفريقيا لن يكون من الممكن لصاحب العمل أن يصبح مالكاً لاختراع مُصَمَّم خارج سياق ونطاق العمل ولكن مع الاستخدام الكبير لموارد المؤسسة. ينص القسم 59(2) من قانون البراءات رقم 57 لعام 1978 على أن أي شرط في عقد العمل— (أ) يتطلب من الموظف أن يعين لصاحب العمل اختراعاً صممه خارج نطاق العمل يكون باطلاً ولاغياً. إلا أنه وفقاً لقانون حقوق الملكية الفكرية في مجال البحوث والتنمية الممولة من القطاع العام لعام 2008، ستكون المؤسسة قادرة على المطالبة بملكية هذه الملكية الفكرية، حيث إن الاستخدام الكبير لموارد المؤسسة يضع الملكية الفكرية الناتجة ضمن نطاق هذا القانون الذي يتطلب من المؤسسة باعتبارها متلقياً للأموال العامة وصاحب عمل أن تكون مالكة لهذه الملكية الفكرية.</w:t>
      </w:r>
    </w:p>
  </w:footnote>
  <w:footnote w:id="119">
    <w:p w14:paraId="2F605CFE" w14:textId="77777777" w:rsidR="00E40747" w:rsidRPr="00C8196F" w:rsidRDefault="00E40747" w:rsidP="00BD07D8">
      <w:pPr>
        <w:pStyle w:val="CommentText"/>
        <w:spacing w:after="0"/>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في هذه الحالة، يجب توضيح الارتباط بالجامعة بشكلٍ عميق في اتفاق العمل.  </w:t>
      </w:r>
    </w:p>
  </w:footnote>
  <w:footnote w:id="120">
    <w:p w14:paraId="1EDC42EF" w14:textId="163CB8AA" w:rsidR="00E40747" w:rsidRPr="00C8196F" w:rsidRDefault="00E40747">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تتطلب قواعد المؤسسة بشكل عام، كشرط للتسجيل، أن تحتفظ المؤسسة بالحق في الاحتفاظ بالنسخة الأصلية أو النسخة من أي أطروحات، والترخيص على النحو الموضح في المادة 2.2.5. تجب الإشارة إلى القواعد واجبة التطبيق. لا يؤثر هذا الاحتفاظ على أي حق مؤلف أو حق ملكية فكرية آخر قد يكون موجوداً في مثل هذه الأطروحات.</w:t>
      </w:r>
    </w:p>
  </w:footnote>
  <w:footnote w:id="121">
    <w:p w14:paraId="03008952"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hyperlink r:id="rId66" w:history="1">
        <w:r w:rsidRPr="00C8196F">
          <w:rPr>
            <w:rFonts w:cstheme="minorHAnsi"/>
            <w:sz w:val="18"/>
            <w:szCs w:val="18"/>
            <w:rtl/>
          </w:rPr>
          <w:t xml:space="preserve"> </w:t>
        </w:r>
        <w:r w:rsidRPr="00C8196F">
          <w:rPr>
            <w:rStyle w:val="Hyperlink"/>
            <w:rFonts w:cstheme="minorHAnsi"/>
            <w:sz w:val="18"/>
            <w:szCs w:val="18"/>
            <w:rtl/>
          </w:rPr>
          <w:t>سياسة الملكية الفكرية لجامعة كيب تاون</w:t>
        </w:r>
      </w:hyperlink>
      <w:r w:rsidRPr="00C8196F">
        <w:rPr>
          <w:rFonts w:cstheme="minorHAnsi"/>
          <w:sz w:val="18"/>
          <w:szCs w:val="18"/>
          <w:rtl/>
        </w:rPr>
        <w:t xml:space="preserve"> (2011).</w:t>
      </w:r>
    </w:p>
  </w:footnote>
  <w:footnote w:id="122">
    <w:p w14:paraId="46A0AEA2" w14:textId="77777777" w:rsidR="00E40747" w:rsidRPr="00C8196F" w:rsidRDefault="00E40747" w:rsidP="00EC1B44">
      <w:pPr>
        <w:pStyle w:val="FootnoteText"/>
        <w:rPr>
          <w:rFonts w:cstheme="minorHAnsi"/>
          <w:color w:val="000000"/>
          <w:sz w:val="18"/>
          <w:szCs w:val="18"/>
          <w:rtl/>
        </w:rPr>
      </w:pPr>
      <w:r w:rsidRPr="00C8196F">
        <w:rPr>
          <w:rStyle w:val="FootnoteReference"/>
          <w:rFonts w:cstheme="minorHAnsi"/>
          <w:sz w:val="18"/>
          <w:szCs w:val="18"/>
        </w:rPr>
        <w:footnoteRef/>
      </w:r>
      <w:r w:rsidRPr="00C8196F">
        <w:rPr>
          <w:rFonts w:cstheme="minorHAnsi"/>
          <w:sz w:val="18"/>
          <w:szCs w:val="18"/>
          <w:rtl/>
        </w:rPr>
        <w:t xml:space="preserve"> </w:t>
      </w:r>
      <w:r w:rsidRPr="00C8196F">
        <w:rPr>
          <w:rFonts w:cstheme="minorHAnsi"/>
          <w:color w:val="000000"/>
          <w:sz w:val="18"/>
          <w:szCs w:val="18"/>
          <w:rtl/>
        </w:rPr>
        <w:t>جامعة جون هوبكنز، الولايات المتحدة.</w:t>
      </w:r>
    </w:p>
  </w:footnote>
  <w:footnote w:id="123">
    <w:p w14:paraId="1D585E43" w14:textId="77777777" w:rsidR="00E40747" w:rsidRPr="00C8196F" w:rsidRDefault="00E40747" w:rsidP="00EC1B44">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جامعة ستانفورد، الولايات المتحدة.</w:t>
      </w:r>
    </w:p>
  </w:footnote>
  <w:footnote w:id="124">
    <w:p w14:paraId="6224FFE9" w14:textId="77777777" w:rsidR="00E40747" w:rsidRPr="00C8196F" w:rsidRDefault="00E40747" w:rsidP="00EC1B44">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على سبيل المثال: جامعة كامبريدج، المملكة المتحدة.</w:t>
      </w:r>
    </w:p>
  </w:footnote>
  <w:footnote w:id="125">
    <w:p w14:paraId="407A8A1A" w14:textId="77777777" w:rsidR="00E40747" w:rsidRPr="00C8196F" w:rsidRDefault="00E40747" w:rsidP="00EC1B44">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على سبيل المثال: جامعة كوينزلاند المركزية في أستراليا.</w:t>
      </w:r>
    </w:p>
  </w:footnote>
  <w:footnote w:id="126">
    <w:p w14:paraId="3810D5F9" w14:textId="77777777" w:rsidR="00E40747" w:rsidRPr="00C8196F" w:rsidRDefault="00E40747" w:rsidP="00074140">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w:t>
      </w:r>
      <w:r w:rsidRPr="00C8196F">
        <w:rPr>
          <w:rFonts w:cstheme="minorHAnsi"/>
          <w:color w:val="000000"/>
          <w:sz w:val="18"/>
          <w:szCs w:val="18"/>
          <w:rtl/>
        </w:rPr>
        <w:t>تزعم بعض الجامعات اهتمامها بالكتب والمقالات والمصنفات الفنية والموسيقى التي ينشئها مؤلفو هيئة التدريس. ومع ذلك، قد يتغير هذا الأمر في البيئة الرقمية، وخاصةً بالنسبة لمواد الدورات على الإنترنت.</w:t>
      </w:r>
    </w:p>
  </w:footnote>
  <w:footnote w:id="127">
    <w:p w14:paraId="78ED72B7" w14:textId="77777777" w:rsidR="00E40747" w:rsidRPr="00C8196F" w:rsidRDefault="00E40747" w:rsidP="0043748B">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مبادرة بودابست للوصول المفتوح (</w:t>
      </w:r>
      <w:r w:rsidRPr="00C8196F">
        <w:rPr>
          <w:rFonts w:cstheme="minorHAnsi"/>
          <w:sz w:val="18"/>
          <w:szCs w:val="18"/>
        </w:rPr>
        <w:t>BOAI</w:t>
      </w:r>
      <w:r w:rsidRPr="00C8196F">
        <w:rPr>
          <w:rFonts w:cstheme="minorHAnsi"/>
          <w:sz w:val="18"/>
          <w:szCs w:val="18"/>
          <w:rtl/>
        </w:rPr>
        <w:t>)؛ بيان بيثيسدا بشأن النشر المفتوح؛ إعلان برلين بشأن الوصول المفتوح إلى المعرفة في العلوم والإنسانيات.</w:t>
      </w:r>
    </w:p>
  </w:footnote>
  <w:footnote w:id="128">
    <w:p w14:paraId="4856DEB3" w14:textId="77777777" w:rsidR="00E40747" w:rsidRPr="00C8196F" w:rsidRDefault="00E40747" w:rsidP="0043748B">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مبادرة </w:t>
      </w:r>
      <w:r w:rsidRPr="00C8196F">
        <w:rPr>
          <w:rFonts w:cstheme="minorHAnsi"/>
          <w:sz w:val="18"/>
          <w:szCs w:val="18"/>
        </w:rPr>
        <w:t>OpenCourseWare (OCW)</w:t>
      </w:r>
      <w:r w:rsidRPr="00C8196F">
        <w:rPr>
          <w:rFonts w:cstheme="minorHAnsi"/>
          <w:sz w:val="18"/>
          <w:szCs w:val="18"/>
          <w:rtl/>
        </w:rPr>
        <w:t xml:space="preserve"> التي أطلقها معهد ماساتشوستس للتكنولوجيا.</w:t>
      </w:r>
    </w:p>
  </w:footnote>
  <w:footnote w:id="129">
    <w:p w14:paraId="47AA5B8F" w14:textId="77777777" w:rsidR="00E40747" w:rsidRPr="00C8196F" w:rsidRDefault="00E40747" w:rsidP="0043748B">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w:t>
      </w:r>
      <w:hyperlink r:id="rId67" w:history="1">
        <w:r w:rsidRPr="00C8196F">
          <w:rPr>
            <w:rStyle w:val="Hyperlink"/>
            <w:rFonts w:cstheme="minorHAnsi"/>
            <w:sz w:val="18"/>
            <w:szCs w:val="18"/>
          </w:rPr>
          <w:t>https://openeducationalresources.pbworks.com/w/page/25308415/Legal%20Aspects%20of%20OER</w:t>
        </w:r>
      </w:hyperlink>
      <w:r w:rsidRPr="00C8196F">
        <w:rPr>
          <w:rFonts w:cstheme="minorHAnsi"/>
          <w:sz w:val="18"/>
          <w:szCs w:val="18"/>
          <w:rtl/>
        </w:rPr>
        <w:t xml:space="preserve">. </w:t>
      </w:r>
    </w:p>
  </w:footnote>
  <w:footnote w:id="130">
    <w:p w14:paraId="6D875151" w14:textId="77777777" w:rsidR="00E40747" w:rsidRPr="00C8196F" w:rsidRDefault="00E40747" w:rsidP="00EC1B44">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المصدر:</w:t>
      </w:r>
      <w:hyperlink r:id="rId68" w:history="1">
        <w:r w:rsidRPr="00C8196F">
          <w:rPr>
            <w:rFonts w:cstheme="minorHAnsi"/>
            <w:sz w:val="18"/>
            <w:szCs w:val="18"/>
            <w:rtl/>
          </w:rPr>
          <w:t xml:space="preserve"> </w:t>
        </w:r>
        <w:r w:rsidRPr="00C8196F">
          <w:rPr>
            <w:rStyle w:val="Hyperlink"/>
            <w:rFonts w:cstheme="minorHAnsi"/>
            <w:sz w:val="18"/>
            <w:szCs w:val="18"/>
            <w:rtl/>
          </w:rPr>
          <w:t>سياسة الملكية الفكرية لجامعة مانشستر</w:t>
        </w:r>
      </w:hyperlink>
    </w:p>
  </w:footnote>
  <w:footnote w:id="131">
    <w:p w14:paraId="7B477E7E" w14:textId="77777777" w:rsidR="00E40747" w:rsidRPr="00C8196F" w:rsidRDefault="00E40747" w:rsidP="00B7519E">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قد يُطلب من مؤسستك بحكم القانون أو القوانين الداخلية الإدارية نشر نتائج الأبحاث المُمولة من القطاع العام. ومع ذلك، تتمتع المؤسسات في معظم البلدان بصلاحية الموافقة على تأخير النشر بغية السماح بتقديم طلبات البراءات. للاطلاع على لمحة عامة عن السياقات الوطنية في أوروبا، انظر </w:t>
      </w:r>
      <w:hyperlink r:id="rId69" w:history="1">
        <w:r w:rsidRPr="00C8196F">
          <w:rPr>
            <w:rStyle w:val="Hyperlink"/>
            <w:rFonts w:cstheme="minorHAnsi"/>
            <w:sz w:val="18"/>
            <w:szCs w:val="18"/>
            <w:rtl/>
          </w:rPr>
          <w:t>تقرير لجنة الاتحاد الأوروبي للبحوث العلمية والتقنية (</w:t>
        </w:r>
        <w:r w:rsidRPr="00C8196F">
          <w:rPr>
            <w:rStyle w:val="Hyperlink"/>
            <w:rFonts w:cstheme="minorHAnsi"/>
            <w:sz w:val="18"/>
            <w:szCs w:val="18"/>
          </w:rPr>
          <w:t>CREST</w:t>
        </w:r>
        <w:r w:rsidRPr="00C8196F">
          <w:rPr>
            <w:rStyle w:val="Hyperlink"/>
            <w:rFonts w:cstheme="minorHAnsi"/>
            <w:sz w:val="18"/>
            <w:szCs w:val="18"/>
            <w:rtl/>
          </w:rPr>
          <w:t>)</w:t>
        </w:r>
      </w:hyperlink>
      <w:r w:rsidRPr="00C8196F">
        <w:rPr>
          <w:rFonts w:cstheme="minorHAnsi"/>
          <w:sz w:val="18"/>
          <w:szCs w:val="18"/>
          <w:rtl/>
        </w:rPr>
        <w:t>، الصفحات من 31 إلى 33.</w:t>
      </w:r>
    </w:p>
  </w:footnote>
  <w:footnote w:id="132">
    <w:p w14:paraId="00CCA189" w14:textId="77777777" w:rsidR="00E40747" w:rsidRPr="00C8196F" w:rsidRDefault="00E40747" w:rsidP="00BE113E">
      <w:pPr>
        <w:pStyle w:val="FootnoteText"/>
        <w:jc w:val="both"/>
        <w:rPr>
          <w:rFonts w:eastAsia="Times New Roman"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في حالة ترخيص التكنولوجيا لأطراف عديدة، مما يزيد من خطر الكشف، فمن الأفضل تسجيل براءة التكنولوجيا. يمكن أيضاً تسويق سر تجاري من خلال اتفاق سرية، ولكن نشر السر قد يؤدي إلى فقدان قيمته.</w:t>
      </w:r>
    </w:p>
  </w:footnote>
  <w:footnote w:id="133">
    <w:p w14:paraId="455DBEB0" w14:textId="77777777" w:rsidR="00E40747" w:rsidRPr="00C8196F" w:rsidRDefault="00E40747" w:rsidP="00BE113E">
      <w:pPr>
        <w:pStyle w:val="FootnoteText"/>
        <w:jc w:val="both"/>
        <w:rPr>
          <w:rFonts w:eastAsia="Times New Roman"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تحتاج الشركات الناشئة عادةً إلى عرض أفكار أعمالها على المستثمرين. بالإضافة إلى ذلك، بما أنها عادةً ما تفتقر إلى السيولة النقدية، فقد تحتاج إلى تسجيل براءة من أجل أن تظهر للسوق أنها تتمتع بميزة تنافسية، مما يسهم في اجتذاب رأس المال، فضلاً عن وضع ضمانات للاقتراض.</w:t>
      </w:r>
    </w:p>
  </w:footnote>
  <w:footnote w:id="134">
    <w:p w14:paraId="38694F70" w14:textId="77777777" w:rsidR="00E40747" w:rsidRPr="00C8196F" w:rsidRDefault="00E40747" w:rsidP="00BE113E">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الأسرار التجارية أكثر جذباً للتكنولوجيات ذات التغييرات والابتكار السريع، مثل البرمجيات.</w:t>
      </w:r>
    </w:p>
  </w:footnote>
  <w:footnote w:id="135">
    <w:p w14:paraId="3B195766" w14:textId="77777777" w:rsidR="00E40747" w:rsidRPr="00C8196F" w:rsidRDefault="00E40747" w:rsidP="00BE113E">
      <w:pPr>
        <w:pStyle w:val="FootnoteText"/>
        <w:jc w:val="both"/>
        <w:rPr>
          <w:rFonts w:eastAsia="Times New Roman"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يفضل أصحاب الملكية الفكرية حماية البراءات إذا كان من الممكن إجراء هندسة عكسية للاختراع بسهولة، نظراً لأن السر التجاري لا يمكن حمايته من الهندسة العكسية التي تحدث دون سرقة السر. في المقابل، حتى إذا كان بإمكان المنافس إجراء هندسة عكسية لبراءة، فلا يجوز له استخدام التكنولوجيا المشمولة ببراءة من دون إذن مالك البراءة.  </w:t>
      </w:r>
    </w:p>
  </w:footnote>
  <w:footnote w:id="136">
    <w:p w14:paraId="563ACA7B" w14:textId="77777777" w:rsidR="00E40747" w:rsidRPr="00C8196F" w:rsidRDefault="00E40747" w:rsidP="00BE113E">
      <w:pPr>
        <w:pStyle w:val="FootnoteText"/>
        <w:rPr>
          <w:rFonts w:eastAsia="Times New Roman"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على سبيل المثال، تتعامل الجامعات عادةً مع برامج الحاسوب والمواد البيولوجية باعتبارها أسراراً تجارية.  كما تتطلب اتفاق سرية للسماح لطرف آخر بالاطلاع على معلومات "سر تجاري" غير منشورة تعرض بالتفصيل اختراعاً محتملاً من المُزمع ترخيصه.</w:t>
      </w:r>
    </w:p>
  </w:footnote>
  <w:footnote w:id="137">
    <w:p w14:paraId="2876B623" w14:textId="77777777" w:rsidR="00E40747" w:rsidRPr="00C8196F" w:rsidRDefault="00E40747" w:rsidP="00B7519E">
      <w:pPr>
        <w:pStyle w:val="FootnoteText"/>
        <w:jc w:val="both"/>
        <w:rPr>
          <w:rFonts w:eastAsia="Times New Roman"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في أغلب عقود البحث المموّلة، هناك بند خاص بالنشر ينص على أنه ستكون هناك فترة توقف للنشر من أجل التأكد من عدم نشر أي شيء سري بطريق الخطأ.</w:t>
      </w:r>
    </w:p>
  </w:footnote>
  <w:footnote w:id="138">
    <w:p w14:paraId="6D36344E" w14:textId="77777777" w:rsidR="00E40747" w:rsidRPr="00C8196F" w:rsidRDefault="00E40747" w:rsidP="006D266E">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على سبيل المثال، </w:t>
      </w:r>
      <w:hyperlink r:id="rId70" w:anchor="4.0" w:history="1">
        <w:r w:rsidRPr="00C8196F">
          <w:rPr>
            <w:rStyle w:val="Hyperlink"/>
            <w:rFonts w:cstheme="minorHAnsi"/>
            <w:sz w:val="18"/>
            <w:szCs w:val="18"/>
            <w:rtl/>
          </w:rPr>
          <w:t>سياسة الملكية الفكرية لجامعة روتشستر</w:t>
        </w:r>
      </w:hyperlink>
      <w:r w:rsidRPr="00C8196F">
        <w:rPr>
          <w:rFonts w:cstheme="minorHAnsi"/>
          <w:sz w:val="18"/>
          <w:szCs w:val="18"/>
          <w:rtl/>
        </w:rPr>
        <w:t xml:space="preserve">، المادة 4.  </w:t>
      </w:r>
    </w:p>
  </w:footnote>
  <w:footnote w:id="139">
    <w:p w14:paraId="53817B23" w14:textId="77777777" w:rsidR="00E40747" w:rsidRPr="00C8196F" w:rsidRDefault="00E40747" w:rsidP="00030E4B">
      <w:pPr>
        <w:pStyle w:val="FootnoteText"/>
        <w:rPr>
          <w:rFonts w:cstheme="minorHAnsi"/>
          <w:sz w:val="18"/>
          <w:szCs w:val="18"/>
          <w:rtl/>
        </w:rPr>
      </w:pPr>
      <w:r w:rsidRPr="00C8196F">
        <w:rPr>
          <w:rStyle w:val="FootnoteReference"/>
          <w:rFonts w:cstheme="minorHAnsi"/>
          <w:sz w:val="18"/>
          <w:szCs w:val="18"/>
        </w:rPr>
        <w:footnoteRef/>
      </w:r>
      <w:hyperlink r:id="rId71" w:history="1">
        <w:r w:rsidRPr="00C8196F">
          <w:rPr>
            <w:rFonts w:cstheme="minorHAnsi"/>
            <w:sz w:val="18"/>
            <w:szCs w:val="18"/>
            <w:rtl/>
          </w:rPr>
          <w:t xml:space="preserve"> </w:t>
        </w:r>
        <w:r w:rsidRPr="00C8196F">
          <w:rPr>
            <w:rStyle w:val="Hyperlink"/>
            <w:rFonts w:cstheme="minorHAnsi"/>
            <w:sz w:val="18"/>
            <w:szCs w:val="18"/>
            <w:rtl/>
          </w:rPr>
          <w:t>سياسة الملكية الفكرية لجامعة مدينة لندن</w:t>
        </w:r>
      </w:hyperlink>
      <w:r w:rsidRPr="00C8196F">
        <w:rPr>
          <w:rFonts w:cstheme="minorHAnsi"/>
          <w:sz w:val="18"/>
          <w:szCs w:val="18"/>
          <w:rtl/>
        </w:rPr>
        <w:t>، 2014.</w:t>
      </w:r>
    </w:p>
  </w:footnote>
  <w:footnote w:id="140">
    <w:p w14:paraId="295DCFA6" w14:textId="77777777" w:rsidR="00E40747" w:rsidRPr="00C8196F" w:rsidRDefault="00E40747" w:rsidP="00201FE6">
      <w:pPr>
        <w:pStyle w:val="FootnoteText"/>
        <w:rPr>
          <w:rFonts w:cstheme="minorHAnsi"/>
          <w:sz w:val="18"/>
          <w:szCs w:val="18"/>
          <w:rtl/>
        </w:rPr>
      </w:pPr>
      <w:r w:rsidRPr="00C8196F">
        <w:rPr>
          <w:rStyle w:val="FootnoteReference"/>
          <w:rFonts w:cstheme="minorHAnsi"/>
          <w:sz w:val="18"/>
          <w:szCs w:val="18"/>
        </w:rPr>
        <w:footnoteRef/>
      </w:r>
      <w:hyperlink r:id="rId72" w:history="1">
        <w:r w:rsidRPr="00C8196F">
          <w:rPr>
            <w:rFonts w:cstheme="minorHAnsi"/>
            <w:sz w:val="18"/>
            <w:szCs w:val="18"/>
            <w:rtl/>
          </w:rPr>
          <w:t xml:space="preserve"> </w:t>
        </w:r>
        <w:r w:rsidRPr="00C8196F">
          <w:rPr>
            <w:rStyle w:val="Hyperlink"/>
            <w:rFonts w:cstheme="minorHAnsi"/>
            <w:sz w:val="18"/>
            <w:szCs w:val="18"/>
            <w:rtl/>
          </w:rPr>
          <w:t>البحث والابتكار.</w:t>
        </w:r>
      </w:hyperlink>
      <w:hyperlink r:id="rId73" w:history="1">
        <w:r w:rsidRPr="00C8196F">
          <w:rPr>
            <w:rStyle w:val="Hyperlink"/>
            <w:rFonts w:cstheme="minorHAnsi"/>
            <w:sz w:val="18"/>
            <w:szCs w:val="18"/>
            <w:rtl/>
          </w:rPr>
          <w:t xml:space="preserve"> التعاون مع جامعة كوبنهاجن.</w:t>
        </w:r>
      </w:hyperlink>
      <w:hyperlink r:id="rId74" w:history="1">
        <w:r w:rsidRPr="00C8196F">
          <w:rPr>
            <w:rStyle w:val="Hyperlink"/>
            <w:rFonts w:cstheme="minorHAnsi"/>
            <w:sz w:val="18"/>
            <w:szCs w:val="18"/>
            <w:rtl/>
          </w:rPr>
          <w:t xml:space="preserve"> المبادئ العامة للجامعة.</w:t>
        </w:r>
      </w:hyperlink>
      <w:hyperlink r:id="rId75" w:history="1">
        <w:r w:rsidRPr="00C8196F">
          <w:rPr>
            <w:rStyle w:val="Hyperlink"/>
            <w:rFonts w:cstheme="minorHAnsi"/>
            <w:sz w:val="18"/>
            <w:szCs w:val="18"/>
            <w:rtl/>
          </w:rPr>
          <w:t xml:space="preserve"> دليل لشركائنا في التعاون</w:t>
        </w:r>
      </w:hyperlink>
      <w:r w:rsidRPr="00C8196F">
        <w:rPr>
          <w:rFonts w:cstheme="minorHAnsi"/>
          <w:sz w:val="18"/>
          <w:szCs w:val="18"/>
          <w:rtl/>
        </w:rPr>
        <w:t xml:space="preserve"> (2012).  </w:t>
      </w:r>
    </w:p>
  </w:footnote>
  <w:footnote w:id="141">
    <w:p w14:paraId="0EF3D64B"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hyperlink r:id="rId76" w:history="1">
        <w:r w:rsidRPr="00C8196F">
          <w:rPr>
            <w:rFonts w:cstheme="minorHAnsi"/>
            <w:sz w:val="18"/>
            <w:szCs w:val="18"/>
            <w:rtl/>
          </w:rPr>
          <w:t xml:space="preserve"> </w:t>
        </w:r>
        <w:r w:rsidRPr="00C8196F">
          <w:rPr>
            <w:rStyle w:val="Hyperlink"/>
            <w:rFonts w:cstheme="minorHAnsi"/>
            <w:sz w:val="18"/>
            <w:szCs w:val="18"/>
            <w:rtl/>
          </w:rPr>
          <w:t>المبادئ التوجيهية للسلوك المسؤول في مجال الأبحاث</w:t>
        </w:r>
      </w:hyperlink>
      <w:r w:rsidRPr="00C8196F">
        <w:rPr>
          <w:rFonts w:cstheme="minorHAnsi"/>
          <w:sz w:val="18"/>
          <w:szCs w:val="18"/>
          <w:rtl/>
        </w:rPr>
        <w:t xml:space="preserve"> (2011)، المادة 4.</w:t>
      </w:r>
    </w:p>
  </w:footnote>
  <w:footnote w:id="142">
    <w:p w14:paraId="3B70BD8F" w14:textId="77777777" w:rsidR="00E40747" w:rsidRPr="00C8196F" w:rsidRDefault="00E40747" w:rsidP="00030E4B">
      <w:pPr>
        <w:pStyle w:val="FootnoteText"/>
        <w:rPr>
          <w:rFonts w:cstheme="minorHAnsi"/>
          <w:sz w:val="18"/>
          <w:szCs w:val="18"/>
          <w:rtl/>
        </w:rPr>
      </w:pPr>
      <w:r w:rsidRPr="00C8196F">
        <w:rPr>
          <w:rStyle w:val="FootnoteReference"/>
          <w:rFonts w:cstheme="minorHAnsi"/>
          <w:sz w:val="18"/>
          <w:szCs w:val="18"/>
        </w:rPr>
        <w:footnoteRef/>
      </w:r>
      <w:hyperlink r:id="rId77" w:history="1">
        <w:r w:rsidRPr="00C8196F">
          <w:rPr>
            <w:rFonts w:cstheme="minorHAnsi"/>
            <w:sz w:val="18"/>
            <w:szCs w:val="18"/>
            <w:rtl/>
          </w:rPr>
          <w:t xml:space="preserve"> </w:t>
        </w:r>
        <w:r w:rsidRPr="00C8196F">
          <w:rPr>
            <w:rStyle w:val="Hyperlink"/>
            <w:rFonts w:cstheme="minorHAnsi"/>
            <w:sz w:val="18"/>
            <w:szCs w:val="18"/>
            <w:rtl/>
          </w:rPr>
          <w:t>دليل الباحث في جامعة ستانفورد للعمل مع القطاع</w:t>
        </w:r>
      </w:hyperlink>
    </w:p>
  </w:footnote>
  <w:footnote w:id="143">
    <w:p w14:paraId="6F24E745" w14:textId="77777777" w:rsidR="00E40747" w:rsidRPr="00C8196F" w:rsidRDefault="00E40747" w:rsidP="00201FE6">
      <w:pPr>
        <w:pStyle w:val="FootnoteText"/>
        <w:rPr>
          <w:rFonts w:cstheme="minorHAnsi"/>
          <w:sz w:val="18"/>
          <w:szCs w:val="18"/>
          <w:rtl/>
        </w:rPr>
      </w:pPr>
      <w:r w:rsidRPr="00C8196F">
        <w:rPr>
          <w:rStyle w:val="FootnoteReference"/>
          <w:rFonts w:cstheme="minorHAnsi"/>
          <w:sz w:val="18"/>
          <w:szCs w:val="18"/>
        </w:rPr>
        <w:footnoteRef/>
      </w:r>
      <w:hyperlink r:id="rId78" w:history="1">
        <w:r w:rsidRPr="00C8196F">
          <w:rPr>
            <w:rFonts w:cstheme="minorHAnsi"/>
            <w:sz w:val="18"/>
            <w:szCs w:val="18"/>
            <w:rtl/>
          </w:rPr>
          <w:t xml:space="preserve"> </w:t>
        </w:r>
        <w:r w:rsidRPr="00C8196F">
          <w:rPr>
            <w:rStyle w:val="Hyperlink"/>
            <w:rFonts w:cstheme="minorHAnsi"/>
            <w:sz w:val="18"/>
            <w:szCs w:val="18"/>
            <w:rtl/>
          </w:rPr>
          <w:t>البحث والابتكار.</w:t>
        </w:r>
      </w:hyperlink>
      <w:hyperlink r:id="rId79" w:history="1">
        <w:r w:rsidRPr="00C8196F">
          <w:rPr>
            <w:rStyle w:val="Hyperlink"/>
            <w:rFonts w:cstheme="minorHAnsi"/>
            <w:sz w:val="18"/>
            <w:szCs w:val="18"/>
            <w:rtl/>
          </w:rPr>
          <w:t xml:space="preserve"> التعاون مع جامعة كوبنهاجن.</w:t>
        </w:r>
      </w:hyperlink>
      <w:hyperlink r:id="rId80" w:history="1">
        <w:r w:rsidRPr="00C8196F">
          <w:rPr>
            <w:rStyle w:val="Hyperlink"/>
            <w:rFonts w:cstheme="minorHAnsi"/>
            <w:sz w:val="18"/>
            <w:szCs w:val="18"/>
            <w:rtl/>
          </w:rPr>
          <w:t xml:space="preserve"> المبادئ العامة للجامعة.</w:t>
        </w:r>
      </w:hyperlink>
      <w:hyperlink r:id="rId81" w:history="1">
        <w:r w:rsidRPr="00C8196F">
          <w:rPr>
            <w:rStyle w:val="Hyperlink"/>
            <w:rFonts w:cstheme="minorHAnsi"/>
            <w:sz w:val="18"/>
            <w:szCs w:val="18"/>
            <w:rtl/>
          </w:rPr>
          <w:t xml:space="preserve"> دليل لشركائنا في التعاون</w:t>
        </w:r>
      </w:hyperlink>
      <w:r w:rsidRPr="00C8196F">
        <w:rPr>
          <w:rFonts w:cstheme="minorHAnsi"/>
          <w:sz w:val="18"/>
          <w:szCs w:val="18"/>
          <w:rtl/>
        </w:rPr>
        <w:t xml:space="preserve"> (2012).  </w:t>
      </w:r>
    </w:p>
  </w:footnote>
  <w:footnote w:id="144">
    <w:p w14:paraId="75C9377A"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جامعة كارولينا الشرقية </w:t>
      </w:r>
      <w:hyperlink r:id="rId82" w:history="1">
        <w:r w:rsidRPr="00C8196F">
          <w:rPr>
            <w:rStyle w:val="Hyperlink"/>
            <w:rFonts w:cstheme="minorHAnsi"/>
            <w:sz w:val="18"/>
            <w:szCs w:val="18"/>
            <w:rtl/>
          </w:rPr>
          <w:t>تفويض السلطة لتوقيع سياسة العقود</w:t>
        </w:r>
      </w:hyperlink>
      <w:r w:rsidRPr="00C8196F">
        <w:rPr>
          <w:rFonts w:cstheme="minorHAnsi"/>
          <w:sz w:val="18"/>
          <w:szCs w:val="18"/>
          <w:rtl/>
        </w:rPr>
        <w:t xml:space="preserve"> اللائحة 01.10.01</w:t>
      </w:r>
    </w:p>
  </w:footnote>
  <w:footnote w:id="145">
    <w:p w14:paraId="43623570" w14:textId="77777777" w:rsidR="00E40747" w:rsidRPr="00C8196F" w:rsidRDefault="00E40747" w:rsidP="003A04D2">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المصدر: إدارة الملكية الفكرية. دليل اتخاذ القرارات الاستراتيجية في الجامعات، رابطة الصلات بين البحوث الجامعية وقطاع الصناعة/جامعات المملكة المتحدة (2002).</w:t>
      </w:r>
    </w:p>
  </w:footnote>
  <w:footnote w:id="146">
    <w:p w14:paraId="29A8D5BE" w14:textId="77777777" w:rsidR="00E40747" w:rsidRPr="00C8196F" w:rsidRDefault="00E40747" w:rsidP="00D3107A">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يمكن ضمان النفاذ إلى النتائج من خلال ترتيبات الترخيص المجانية. يمكن منح المؤسسة حصة من العوائد التي تجنيها الجهة الراعية، ويمكن معالجة أوجه الشك بشأن قدرة/ استعداد الجهة الراعية لتسويق النتائج عبر وضع بنود جزائية في حالة الفشل في التسويق، بما في ذلك إعادة التنازل إلى المؤسسة.</w:t>
      </w:r>
    </w:p>
  </w:footnote>
  <w:footnote w:id="147">
    <w:p w14:paraId="4D1C9B83"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المصدر:</w:t>
      </w:r>
      <w:hyperlink r:id="rId83" w:history="1">
        <w:r w:rsidRPr="00C8196F">
          <w:rPr>
            <w:rFonts w:cstheme="minorHAnsi"/>
            <w:sz w:val="18"/>
            <w:szCs w:val="18"/>
            <w:rtl/>
          </w:rPr>
          <w:t xml:space="preserve"> </w:t>
        </w:r>
        <w:r w:rsidRPr="00C8196F">
          <w:rPr>
            <w:rStyle w:val="Hyperlink"/>
            <w:rFonts w:cstheme="minorHAnsi"/>
            <w:sz w:val="18"/>
            <w:szCs w:val="18"/>
            <w:rtl/>
          </w:rPr>
          <w:t>إدارة الأصول الفكرية للجامعات</w:t>
        </w:r>
      </w:hyperlink>
      <w:r w:rsidRPr="00C8196F">
        <w:rPr>
          <w:rFonts w:cstheme="minorHAnsi"/>
          <w:sz w:val="18"/>
          <w:szCs w:val="18"/>
          <w:rtl/>
        </w:rPr>
        <w:t>، مكتب المملكة المتحدة للملكية الفكرية.</w:t>
      </w:r>
    </w:p>
  </w:footnote>
  <w:footnote w:id="148">
    <w:p w14:paraId="5D86C0FD" w14:textId="77777777" w:rsidR="00E40747" w:rsidRPr="00C8196F" w:rsidRDefault="00E40747" w:rsidP="00316B9D">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w:t>
      </w:r>
      <w:r w:rsidRPr="00C8196F">
        <w:rPr>
          <w:rFonts w:cstheme="minorHAnsi"/>
          <w:color w:val="000000"/>
          <w:sz w:val="18"/>
          <w:szCs w:val="18"/>
          <w:rtl/>
        </w:rPr>
        <w:t>تعني العرضيّة التوصل إلى شيء أثناء البحث عن شيء آخر. وتوجد أمثلة كثيرة في اكتشافات الأدوية، على سبيل المثال البنسلين والفياجرا. وتتضمن الأمثلة الأخرى الأشعة السينية ولاصق الفيلكرو والباكليت (أول مادة بلاستيكية في العالم)، والسكارين وفرن الميكروويف والفازلين ومنظّم ضربات القلب.</w:t>
      </w:r>
    </w:p>
  </w:footnote>
  <w:footnote w:id="149">
    <w:p w14:paraId="15A67FEE" w14:textId="77777777" w:rsidR="00E40747" w:rsidRPr="00C8196F" w:rsidRDefault="00E40747" w:rsidP="00132893">
      <w:pPr>
        <w:pStyle w:val="FootnoteText"/>
        <w:jc w:val="both"/>
        <w:rPr>
          <w:rFonts w:cstheme="minorHAnsi"/>
          <w:sz w:val="18"/>
          <w:szCs w:val="18"/>
          <w:rtl/>
        </w:rPr>
      </w:pPr>
      <w:r w:rsidRPr="00C8196F">
        <w:rPr>
          <w:rStyle w:val="FootnoteReference"/>
          <w:rFonts w:cstheme="minorHAnsi"/>
          <w:sz w:val="18"/>
          <w:szCs w:val="18"/>
        </w:rPr>
        <w:footnoteRef/>
      </w:r>
      <w:r w:rsidRPr="00C8196F">
        <w:rPr>
          <w:rStyle w:val="FootnoteReference"/>
          <w:rFonts w:cstheme="minorHAnsi"/>
          <w:sz w:val="18"/>
          <w:szCs w:val="18"/>
          <w:rtl/>
        </w:rPr>
        <w:t xml:space="preserve"> </w:t>
      </w:r>
      <w:r w:rsidRPr="00C8196F">
        <w:rPr>
          <w:rFonts w:cstheme="minorHAnsi"/>
          <w:sz w:val="18"/>
          <w:szCs w:val="18"/>
          <w:rtl/>
        </w:rPr>
        <w:t>انظر أيضاً ورقة العمل السابقة التي أعدتها المفوضية الأوروبية:</w:t>
      </w:r>
      <w:hyperlink r:id="rId84" w:history="1">
        <w:r w:rsidRPr="00C8196F">
          <w:rPr>
            <w:rFonts w:cstheme="minorHAnsi"/>
            <w:sz w:val="18"/>
            <w:szCs w:val="18"/>
            <w:rtl/>
          </w:rPr>
          <w:t xml:space="preserve"> </w:t>
        </w:r>
        <w:r w:rsidRPr="00C8196F">
          <w:rPr>
            <w:rStyle w:val="Hyperlink"/>
            <w:rFonts w:cstheme="minorHAnsi"/>
            <w:i/>
            <w:sz w:val="18"/>
            <w:szCs w:val="18"/>
            <w:rtl/>
          </w:rPr>
          <w:t>إدارة الملكية الفكرية في منظمات البحث المُموَّلة من الأموال العامة:</w:t>
        </w:r>
      </w:hyperlink>
      <w:hyperlink r:id="rId85" w:history="1">
        <w:r w:rsidRPr="00C8196F">
          <w:rPr>
            <w:rStyle w:val="Hyperlink"/>
            <w:rFonts w:cstheme="minorHAnsi"/>
            <w:i/>
            <w:iCs/>
            <w:sz w:val="18"/>
            <w:szCs w:val="18"/>
            <w:rtl/>
          </w:rPr>
          <w:t xml:space="preserve"> نحو تطبيق مبادئ توجيهية أوروبية</w:t>
        </w:r>
      </w:hyperlink>
      <w:r w:rsidRPr="00C8196F">
        <w:rPr>
          <w:rStyle w:val="Hyperlink"/>
          <w:rFonts w:cstheme="minorHAnsi"/>
          <w:i/>
          <w:iCs/>
          <w:sz w:val="18"/>
          <w:szCs w:val="18"/>
          <w:rtl/>
        </w:rPr>
        <w:t xml:space="preserve"> </w:t>
      </w:r>
      <w:r w:rsidRPr="00C8196F">
        <w:rPr>
          <w:rFonts w:cstheme="minorHAnsi"/>
          <w:sz w:val="18"/>
          <w:szCs w:val="18"/>
          <w:rtl/>
        </w:rPr>
        <w:t xml:space="preserve">(2004). </w:t>
      </w:r>
    </w:p>
    <w:p w14:paraId="2F869505" w14:textId="77777777" w:rsidR="00E40747" w:rsidRPr="00C8196F" w:rsidRDefault="00E40747" w:rsidP="00132893">
      <w:pPr>
        <w:pStyle w:val="FootnoteText"/>
        <w:rPr>
          <w:rFonts w:cstheme="minorHAnsi"/>
          <w:sz w:val="18"/>
          <w:szCs w:val="18"/>
          <w:lang w:val="en-US"/>
        </w:rPr>
      </w:pPr>
    </w:p>
  </w:footnote>
  <w:footnote w:id="150">
    <w:p w14:paraId="590FA633" w14:textId="77777777" w:rsidR="00E40747" w:rsidRPr="00C8196F" w:rsidRDefault="00E40747" w:rsidP="003017B7">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w:t>
      </w:r>
      <w:r w:rsidRPr="00C8196F">
        <w:rPr>
          <w:rFonts w:cstheme="minorHAnsi"/>
          <w:color w:val="000000"/>
          <w:sz w:val="18"/>
          <w:szCs w:val="18"/>
          <w:shd w:val="clear" w:color="auto" w:fill="FFFFFF"/>
          <w:rtl/>
        </w:rPr>
        <w:t xml:space="preserve">وتتسم سلاسل الكتل بخصائص لامركزية متاحة بين النظراء وجديرة بالثقة، وتتيح هذه الخصائص إمكانية إنشاء سجل واضح لا يمكن التلاعب به، وهو أمر مهم للملكية الفكرية. </w:t>
      </w:r>
      <w:r w:rsidRPr="00C8196F">
        <w:rPr>
          <w:rFonts w:cstheme="minorHAnsi"/>
          <w:sz w:val="18"/>
          <w:szCs w:val="18"/>
          <w:rtl/>
        </w:rPr>
        <w:t>تقاوم تكنولوجيا سلاسل الكتل تعديل البيانات. بمجرد تسجيل البيانات، فإنه لا يمكن تغيير البيانات في أي كتلة معينة من دون تغيير جميع الكتل اللاحقة وتواطؤ الشبكة. وبفضل ذلك، يمكن للأفراد استخدام تكنولوجيا سلاسل الكتل لتوفير إثبات قوي على أبوة المصنف ودليل على أبوة الإبداع، ومن ثَمّ يمكن أن تحل محل دفاتر المختبرات التي يُعتمد عليها عندما يتعلق الأمر بالكشف عن اختراع أو تكملها.</w:t>
      </w:r>
    </w:p>
  </w:footnote>
  <w:footnote w:id="151">
    <w:p w14:paraId="4867D402" w14:textId="77777777" w:rsidR="00E40747" w:rsidRPr="00C8196F" w:rsidRDefault="00E40747" w:rsidP="009A7567">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يفضي الكشف عن الاختراع إلى إعلان الاختراع والمخترعين وتاريخ الاختراع. حتى لو لم يتم إيداع طلب براءة مطلقاً، فقد يوفر الكشف عن الاختراع المكتمل كما ينبغي بعض الحماية ضد طلبات البراءات اللاحقة التي تودعها أطراف أخرى (انظر د. ماكجي </w:t>
      </w:r>
      <w:hyperlink r:id="rId86" w:history="1">
        <w:r w:rsidRPr="00C8196F">
          <w:rPr>
            <w:rStyle w:val="Hyperlink"/>
            <w:rFonts w:cstheme="minorHAnsi"/>
            <w:i/>
            <w:iCs/>
            <w:sz w:val="18"/>
            <w:szCs w:val="18"/>
          </w:rPr>
          <w:t>Invention Disclosures and the Role of Inventors</w:t>
        </w:r>
      </w:hyperlink>
      <w:r w:rsidRPr="00C8196F">
        <w:rPr>
          <w:rFonts w:cstheme="minorHAnsi"/>
          <w:i/>
          <w:iCs/>
          <w:sz w:val="18"/>
          <w:szCs w:val="18"/>
          <w:rtl/>
        </w:rPr>
        <w:t>).</w:t>
      </w:r>
    </w:p>
  </w:footnote>
  <w:footnote w:id="152">
    <w:p w14:paraId="523D36A1" w14:textId="534D08DA" w:rsidR="00E40747" w:rsidRPr="00C8196F" w:rsidRDefault="00E40747" w:rsidP="00AB143D">
      <w:pPr>
        <w:pStyle w:val="FootnoteText"/>
        <w:jc w:val="both"/>
        <w:rPr>
          <w:rFonts w:cstheme="minorHAnsi"/>
          <w:color w:val="000000"/>
          <w:sz w:val="18"/>
          <w:szCs w:val="18"/>
          <w:shd w:val="clear" w:color="auto" w:fill="FFFFFF"/>
          <w:rtl/>
        </w:rPr>
      </w:pPr>
      <w:r w:rsidRPr="00C8196F">
        <w:rPr>
          <w:rStyle w:val="FootnoteReference"/>
          <w:rFonts w:cstheme="minorHAnsi"/>
          <w:sz w:val="18"/>
          <w:szCs w:val="18"/>
        </w:rPr>
        <w:footnoteRef/>
      </w:r>
      <w:r w:rsidRPr="00C8196F">
        <w:rPr>
          <w:rStyle w:val="FootnoteReference"/>
          <w:rFonts w:cstheme="minorHAnsi"/>
          <w:sz w:val="18"/>
          <w:szCs w:val="18"/>
          <w:rtl/>
        </w:rPr>
        <w:t xml:space="preserve"> </w:t>
      </w:r>
      <w:r w:rsidRPr="00C8196F">
        <w:rPr>
          <w:rFonts w:cstheme="minorHAnsi"/>
          <w:color w:val="000000"/>
          <w:sz w:val="18"/>
          <w:szCs w:val="18"/>
          <w:shd w:val="clear" w:color="auto" w:fill="FFFFFF"/>
          <w:rtl/>
        </w:rPr>
        <w:t>يرتبط ذلك أيضاً بممارسة بعض المؤسسات لتأكيد حيازة الملكية الفكرية التي يتوصل إليها الطلاب تحت إشراف هيئة التدريس أو الموظفين. ومعظم الجامعات لا تعلن عن هذا التأكيد اعتقاداً منها بأن هذا تأكيد مبالغ فيه وتجاوز من قبل المؤسسة.</w:t>
      </w:r>
    </w:p>
    <w:p w14:paraId="11659988" w14:textId="77777777" w:rsidR="00E40747" w:rsidRPr="00C8196F" w:rsidRDefault="00E40747">
      <w:pPr>
        <w:pStyle w:val="FootnoteText"/>
        <w:rPr>
          <w:rFonts w:cstheme="minorHAnsi"/>
          <w:sz w:val="18"/>
          <w:szCs w:val="18"/>
          <w:lang w:val="en-GB"/>
        </w:rPr>
      </w:pPr>
    </w:p>
  </w:footnote>
  <w:footnote w:id="153">
    <w:p w14:paraId="01BF9E1F" w14:textId="77777777" w:rsidR="00E40747" w:rsidRPr="00C8196F" w:rsidRDefault="00E40747" w:rsidP="006567C2">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منشور الويبو "</w:t>
      </w:r>
      <w:hyperlink r:id="rId87" w:history="1">
        <w:r w:rsidRPr="00C8196F">
          <w:rPr>
            <w:rStyle w:val="Hyperlink"/>
            <w:rFonts w:cstheme="minorHAnsi"/>
            <w:sz w:val="18"/>
            <w:szCs w:val="18"/>
            <w:rtl/>
          </w:rPr>
          <w:t>أسئلة رئيسية عن شروط الكشف في أنظمة البراءات فيما يتعلق بالموارد الوراثية والمعارف التقليدية</w:t>
        </w:r>
      </w:hyperlink>
      <w:r w:rsidRPr="00C8196F">
        <w:rPr>
          <w:rFonts w:cstheme="minorHAnsi"/>
          <w:sz w:val="18"/>
          <w:szCs w:val="18"/>
          <w:rtl/>
        </w:rPr>
        <w:t>".</w:t>
      </w:r>
    </w:p>
  </w:footnote>
  <w:footnote w:id="154">
    <w:p w14:paraId="2F21C914" w14:textId="77777777" w:rsidR="00E40747" w:rsidRPr="00C8196F" w:rsidRDefault="00E40747" w:rsidP="00835251">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بالصيغة المنشورة في 16 ديسمبر 1980 (بالصيغة المعدَّلة بموجب المادة 1 من القانون المؤرخ 19 أكتوبر 2013).</w:t>
      </w:r>
    </w:p>
  </w:footnote>
  <w:footnote w:id="155">
    <w:p w14:paraId="3E2BD87D" w14:textId="77777777" w:rsidR="00E40747" w:rsidRPr="00C8196F" w:rsidRDefault="00E40747" w:rsidP="00835251">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قانون الاتحاد السويسري بشأن براءات الاختراعات الصادر في 25 يونيو 1954 (بصيغته المؤرخة في 1 يناير 2017).</w:t>
      </w:r>
    </w:p>
  </w:footnote>
  <w:footnote w:id="156">
    <w:p w14:paraId="331D042F" w14:textId="77777777" w:rsidR="00E40747" w:rsidRPr="00C8196F" w:rsidRDefault="00E40747" w:rsidP="00835251">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منشور الويبو بعنوان "</w:t>
      </w:r>
      <w:hyperlink r:id="rId88" w:history="1">
        <w:r w:rsidRPr="00C8196F">
          <w:rPr>
            <w:rStyle w:val="Hyperlink"/>
            <w:rFonts w:cstheme="minorHAnsi"/>
            <w:sz w:val="18"/>
            <w:szCs w:val="18"/>
            <w:rtl/>
          </w:rPr>
          <w:t xml:space="preserve">أسئلة رئيسية بشأن وضع شروط الكشف عن البراءة للموارد الوراثية والمعارف التقليدية </w:t>
        </w:r>
      </w:hyperlink>
      <w:r w:rsidRPr="00C8196F">
        <w:rPr>
          <w:rFonts w:cstheme="minorHAnsi"/>
          <w:sz w:val="18"/>
          <w:szCs w:val="18"/>
          <w:rtl/>
        </w:rPr>
        <w:t>" يركّز على الأسئلة الرئيسية التي سيتعين على واضعي السياسات مراعاتها في كل مرحلة من مراحل عملية وضع سياسات بخصوص الشروط المحددة للكشف عن البراءة المرتبطة بالموارد الوراثية/ المعارف التقليدية. انظر أيضاً "</w:t>
      </w:r>
      <w:hyperlink r:id="rId89" w:history="1">
        <w:r w:rsidRPr="00C8196F">
          <w:rPr>
            <w:rStyle w:val="Hyperlink"/>
            <w:rFonts w:cstheme="minorHAnsi"/>
            <w:sz w:val="18"/>
            <w:szCs w:val="18"/>
            <w:rtl/>
          </w:rPr>
          <w:t>موجز المعلومات الأساسية رقم 10 "الملكية الفكرية والموارد الوراثية</w:t>
        </w:r>
      </w:hyperlink>
      <w:r w:rsidRPr="00C8196F">
        <w:rPr>
          <w:rFonts w:cstheme="minorHAnsi"/>
          <w:sz w:val="18"/>
          <w:szCs w:val="18"/>
          <w:rtl/>
        </w:rPr>
        <w:t xml:space="preserve">". </w:t>
      </w:r>
    </w:p>
  </w:footnote>
  <w:footnote w:id="157">
    <w:p w14:paraId="7B365191" w14:textId="77777777" w:rsidR="00E40747" w:rsidRPr="00C8196F" w:rsidRDefault="00E40747" w:rsidP="00835251">
      <w:pPr>
        <w:pStyle w:val="FootnoteText"/>
        <w:jc w:val="both"/>
        <w:rPr>
          <w:rFonts w:cstheme="minorHAnsi"/>
          <w:sz w:val="18"/>
          <w:szCs w:val="18"/>
          <w:rtl/>
        </w:rPr>
      </w:pPr>
      <w:r w:rsidRPr="00C8196F">
        <w:rPr>
          <w:rStyle w:val="FootnoteReference"/>
          <w:rFonts w:cstheme="minorHAnsi"/>
          <w:sz w:val="18"/>
          <w:szCs w:val="18"/>
        </w:rPr>
        <w:footnoteRef/>
      </w:r>
      <w:hyperlink r:id="rId90" w:history="1">
        <w:r w:rsidRPr="00C8196F">
          <w:rPr>
            <w:rFonts w:cstheme="minorHAnsi"/>
            <w:sz w:val="18"/>
            <w:szCs w:val="18"/>
            <w:rtl/>
          </w:rPr>
          <w:t xml:space="preserve"> </w:t>
        </w:r>
        <w:r w:rsidRPr="00C8196F">
          <w:rPr>
            <w:rStyle w:val="Hyperlink"/>
            <w:rFonts w:cstheme="minorHAnsi"/>
            <w:sz w:val="18"/>
            <w:szCs w:val="18"/>
            <w:rtl/>
          </w:rPr>
          <w:t>اللائحة رقم 511/2014</w:t>
        </w:r>
      </w:hyperlink>
      <w:r w:rsidRPr="00C8196F">
        <w:rPr>
          <w:rFonts w:cstheme="minorHAnsi"/>
          <w:sz w:val="18"/>
          <w:szCs w:val="18"/>
          <w:rtl/>
        </w:rPr>
        <w:t xml:space="preserve"> للبرلمان الأوروبي والمجلس بشأن تدابير الامتثال لفائدة المستخدمين انطلاقاً من بروتوكول ناغويا بشأن الحصول على الموارد الوراثية والتقاسم العادل والمنصف للمنافع الناشئة عن استخدامها في الاتحاد، المؤرخ في 16 أبريل 2014.</w:t>
      </w:r>
    </w:p>
  </w:footnote>
  <w:footnote w:id="158">
    <w:p w14:paraId="6DE4275A" w14:textId="77777777" w:rsidR="00E40747" w:rsidRPr="00C8196F" w:rsidRDefault="00E40747" w:rsidP="00E766D2">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المصدر:</w:t>
      </w:r>
      <w:hyperlink r:id="rId91" w:history="1">
        <w:r w:rsidRPr="00C8196F">
          <w:rPr>
            <w:rFonts w:cstheme="minorHAnsi"/>
            <w:sz w:val="18"/>
            <w:szCs w:val="18"/>
            <w:rtl/>
          </w:rPr>
          <w:t xml:space="preserve"> </w:t>
        </w:r>
        <w:r w:rsidRPr="00C8196F">
          <w:rPr>
            <w:rStyle w:val="Hyperlink"/>
            <w:rFonts w:cstheme="minorHAnsi"/>
            <w:sz w:val="18"/>
            <w:szCs w:val="18"/>
            <w:rtl/>
          </w:rPr>
          <w:t>مدونة</w:t>
        </w:r>
      </w:hyperlink>
      <w:r w:rsidRPr="00C8196F">
        <w:rPr>
          <w:rFonts w:cstheme="minorHAnsi"/>
          <w:sz w:val="18"/>
          <w:szCs w:val="18"/>
          <w:rtl/>
        </w:rPr>
        <w:t xml:space="preserve"> جامعة نيوهامبشير. </w:t>
      </w:r>
    </w:p>
  </w:footnote>
  <w:footnote w:id="159">
    <w:p w14:paraId="64C69550"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يعني التنازل نقل الملكية القانونية للاختراع أو الإبداع.</w:t>
      </w:r>
    </w:p>
  </w:footnote>
  <w:footnote w:id="160">
    <w:p w14:paraId="315B1460" w14:textId="77777777" w:rsidR="00E40747" w:rsidRPr="00C8196F" w:rsidRDefault="00E40747" w:rsidP="00BD07D8">
      <w:pPr>
        <w:spacing w:after="0" w:line="240" w:lineRule="auto"/>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يختلف القرار بأن الاختراع ينطوي على قيمة تجارية محتملة "كافية" من مؤسسة إلى أخرى ويعتمد على عوامل كثيرة. يتمثل أحد الاعتبارات في عائد الإتاوة المستقبلي المتوقع للترخيص. وثمة عامل آخر يتمثل في إذا ما يبدي كيان تجاري اهتماماً بالفعل بالاكتشاف ويستطيع تطويره أم لا. وعامل ثالث يتمثل في مدى اتساع نطاق البراءة الناتجة أو قابلية إنفاذها، وإذا ما كان حق المؤلف أداة ملكية فكرية مناسبة أكثر أم لا. فمثلاً، إذا كانت أهلية الاختراع للحماية بموجب براءة محل شك غيّر أنه يتضمن موضوعاً مؤهلاً للحماية بموجب حق المؤلف ويمكن تسويقه بشدة، فإن ترخيص الاختراع في الحال من دون حماية بموجب براءة قد يكون أفضل للمؤسسة مالياً وللمجتمع العلمي بوجه عام.</w:t>
      </w:r>
    </w:p>
  </w:footnote>
  <w:footnote w:id="161">
    <w:p w14:paraId="0E297973" w14:textId="197C75D4" w:rsidR="00E40747" w:rsidRPr="00C8196F" w:rsidRDefault="00E40747" w:rsidP="0034779E">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w:t>
      </w:r>
      <w:r w:rsidRPr="00C8196F">
        <w:rPr>
          <w:rFonts w:cstheme="minorHAnsi"/>
          <w:color w:val="000000"/>
          <w:sz w:val="18"/>
          <w:szCs w:val="18"/>
          <w:rtl/>
        </w:rPr>
        <w:t xml:space="preserve"> الدراسات الاستقصائية التي تجريها</w:t>
      </w:r>
      <w:r w:rsidR="0049597B" w:rsidRPr="00C8196F">
        <w:rPr>
          <w:rFonts w:cstheme="minorHAnsi"/>
          <w:color w:val="000000"/>
          <w:sz w:val="18"/>
          <w:szCs w:val="18"/>
          <w:rtl/>
        </w:rPr>
        <w:t xml:space="preserve"> </w:t>
      </w:r>
      <w:hyperlink r:id="rId92" w:history="1">
        <w:r w:rsidRPr="00C8196F">
          <w:rPr>
            <w:rStyle w:val="Hyperlink"/>
            <w:rFonts w:cstheme="minorHAnsi"/>
            <w:sz w:val="18"/>
            <w:szCs w:val="18"/>
            <w:rtl/>
          </w:rPr>
          <w:t xml:space="preserve">جمعية مديري التكنولوجيا بالجامعات </w:t>
        </w:r>
      </w:hyperlink>
      <w:r w:rsidRPr="00C8196F">
        <w:rPr>
          <w:rFonts w:cstheme="minorHAnsi"/>
          <w:color w:val="000000"/>
          <w:sz w:val="18"/>
          <w:szCs w:val="18"/>
          <w:rtl/>
        </w:rPr>
        <w:t>(</w:t>
      </w:r>
      <w:r w:rsidRPr="00C8196F">
        <w:rPr>
          <w:rFonts w:cstheme="minorHAnsi"/>
          <w:color w:val="000000"/>
          <w:sz w:val="18"/>
          <w:szCs w:val="18"/>
        </w:rPr>
        <w:t>AUTM</w:t>
      </w:r>
      <w:r w:rsidRPr="00C8196F">
        <w:rPr>
          <w:rFonts w:cstheme="minorHAnsi"/>
          <w:color w:val="000000"/>
          <w:sz w:val="18"/>
          <w:szCs w:val="18"/>
          <w:rtl/>
        </w:rPr>
        <w:t>) عن الجامعات والمستشفيات والمؤسسات البحثية.</w:t>
      </w:r>
    </w:p>
  </w:footnote>
  <w:footnote w:id="162">
    <w:p w14:paraId="6824EAB2" w14:textId="099F5991" w:rsidR="00E40747" w:rsidRPr="006C3BDD" w:rsidRDefault="00E40747" w:rsidP="00404124">
      <w:pPr>
        <w:pStyle w:val="FootnoteText"/>
        <w:jc w:val="both"/>
        <w:rPr>
          <w:rFonts w:cstheme="minorHAnsi"/>
          <w:sz w:val="18"/>
          <w:szCs w:val="18"/>
          <w:lang w:val="en-US" w:bidi="ar-SA"/>
        </w:rPr>
      </w:pPr>
      <w:r w:rsidRPr="00C8196F">
        <w:rPr>
          <w:rStyle w:val="FootnoteReference"/>
          <w:rFonts w:cstheme="minorHAnsi"/>
          <w:sz w:val="18"/>
          <w:szCs w:val="18"/>
        </w:rPr>
        <w:footnoteRef/>
      </w:r>
      <w:r w:rsidRPr="00C8196F">
        <w:rPr>
          <w:rFonts w:cstheme="minorHAnsi"/>
          <w:sz w:val="18"/>
          <w:szCs w:val="18"/>
          <w:rtl/>
        </w:rPr>
        <w:t xml:space="preserve"> </w:t>
      </w:r>
      <w:r w:rsidRPr="00C8196F">
        <w:rPr>
          <w:rFonts w:cstheme="minorHAnsi"/>
          <w:color w:val="000000" w:themeColor="text1"/>
          <w:sz w:val="18"/>
          <w:szCs w:val="18"/>
          <w:rtl/>
        </w:rPr>
        <w:t xml:space="preserve">مُقتطف من </w:t>
      </w:r>
      <w:hyperlink r:id="rId93" w:history="1">
        <w:r w:rsidRPr="00C8196F">
          <w:rPr>
            <w:rStyle w:val="Hyperlink"/>
            <w:rFonts w:cstheme="minorHAnsi"/>
            <w:i/>
            <w:iCs/>
            <w:sz w:val="18"/>
            <w:szCs w:val="18"/>
          </w:rPr>
          <w:t>South African Survey Intellectual Property and Technology Transfer at Publicly Funded and at Publicly financed Research Institutions</w:t>
        </w:r>
      </w:hyperlink>
      <w:r w:rsidRPr="00C8196F">
        <w:rPr>
          <w:rFonts w:cstheme="minorHAnsi"/>
          <w:i/>
          <w:iCs/>
          <w:color w:val="000000" w:themeColor="text1"/>
          <w:sz w:val="18"/>
          <w:szCs w:val="18"/>
          <w:rtl/>
        </w:rPr>
        <w:t>.</w:t>
      </w:r>
      <w:r w:rsidRPr="00C8196F">
        <w:rPr>
          <w:rFonts w:cstheme="minorHAnsi"/>
          <w:color w:val="000000" w:themeColor="text1"/>
          <w:sz w:val="18"/>
          <w:szCs w:val="18"/>
          <w:rtl/>
        </w:rPr>
        <w:t xml:space="preserve"> </w:t>
      </w:r>
      <w:r w:rsidRPr="00C8196F">
        <w:rPr>
          <w:rFonts w:cstheme="minorHAnsi"/>
          <w:sz w:val="18"/>
          <w:szCs w:val="18"/>
          <w:rtl/>
        </w:rPr>
        <w:t>وترسي هذه الدراسة الاستقصائية المؤشرات الأساسية المطلوبة لتتبع النشاط العام في إدارة الملكية الفكرية ونقل التكنولوجيا في مؤسسات البحوث المُموَّلة من الأموال العامة في جنوب أفريقيا</w:t>
      </w:r>
      <w:r w:rsidR="006C3BDD">
        <w:rPr>
          <w:rFonts w:cstheme="minorHAnsi" w:hint="cs"/>
          <w:sz w:val="18"/>
          <w:szCs w:val="18"/>
          <w:rtl/>
          <w:lang w:bidi="ar-SA"/>
        </w:rPr>
        <w:t>.</w:t>
      </w:r>
    </w:p>
  </w:footnote>
  <w:footnote w:id="163">
    <w:p w14:paraId="6B4C9829"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hyperlink r:id="rId94" w:history="1">
        <w:r w:rsidRPr="00C8196F">
          <w:rPr>
            <w:rFonts w:cstheme="minorHAnsi"/>
            <w:sz w:val="18"/>
            <w:szCs w:val="18"/>
          </w:rPr>
          <w:t xml:space="preserve"> </w:t>
        </w:r>
        <w:r w:rsidRPr="00C8196F">
          <w:rPr>
            <w:rStyle w:val="Hyperlink"/>
            <w:rFonts w:cstheme="minorHAnsi"/>
            <w:sz w:val="18"/>
            <w:szCs w:val="18"/>
          </w:rPr>
          <w:t>http://research.ump.edu.my/images/docman/Intelectual_Property/UMP-IP-Policy.pdf</w:t>
        </w:r>
      </w:hyperlink>
      <w:r w:rsidRPr="00C8196F">
        <w:rPr>
          <w:rFonts w:cstheme="minorHAnsi"/>
          <w:sz w:val="18"/>
          <w:szCs w:val="18"/>
          <w:rtl/>
        </w:rPr>
        <w:t xml:space="preserve"> </w:t>
      </w:r>
    </w:p>
  </w:footnote>
  <w:footnote w:id="164">
    <w:p w14:paraId="74765381" w14:textId="77777777" w:rsidR="00E40747" w:rsidRPr="00C8196F" w:rsidRDefault="00E40747" w:rsidP="004B3FAF">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كما يمكن تقييد مجال الاستخدام بحيث تتمكن شركات أخرى من استغلال المجالات التي لا تهم المرخّص له الأول.</w:t>
      </w:r>
    </w:p>
  </w:footnote>
  <w:footnote w:id="165">
    <w:p w14:paraId="7A6E6A61" w14:textId="06F04158" w:rsidR="00E40747" w:rsidRPr="00C8196F" w:rsidRDefault="00E40747" w:rsidP="004B3FAF">
      <w:pPr>
        <w:pStyle w:val="FootnoteText"/>
        <w:jc w:val="both"/>
        <w:rPr>
          <w:rStyle w:val="FootnoteReference"/>
          <w:rFonts w:cstheme="minorHAnsi"/>
          <w:sz w:val="18"/>
          <w:szCs w:val="18"/>
          <w:vertAlign w:val="baseline"/>
          <w:rtl/>
        </w:rPr>
      </w:pPr>
      <w:r w:rsidRPr="002A1B08">
        <w:rPr>
          <w:rStyle w:val="FootnoteReference"/>
          <w:rFonts w:cstheme="minorHAnsi"/>
          <w:sz w:val="18"/>
          <w:szCs w:val="18"/>
        </w:rPr>
        <w:footnoteRef/>
      </w:r>
      <w:r w:rsidRPr="00C8196F">
        <w:rPr>
          <w:rStyle w:val="FootnoteReference"/>
          <w:rFonts w:cstheme="minorHAnsi"/>
          <w:sz w:val="18"/>
          <w:szCs w:val="18"/>
          <w:vertAlign w:val="baseline"/>
          <w:rtl/>
        </w:rPr>
        <w:t xml:space="preserve"> ماريو سيرفانتيس، </w:t>
      </w:r>
      <w:hyperlink r:id="rId95" w:history="1">
        <w:r w:rsidRPr="00C8196F">
          <w:rPr>
            <w:rStyle w:val="FootnoteReference"/>
            <w:rFonts w:cstheme="minorHAnsi"/>
            <w:sz w:val="18"/>
            <w:szCs w:val="18"/>
            <w:vertAlign w:val="baseline"/>
            <w:rtl/>
          </w:rPr>
          <w:t>تسجيل البراءات الأكاديمية:</w:t>
        </w:r>
      </w:hyperlink>
      <w:r w:rsidRPr="00C8196F">
        <w:rPr>
          <w:rFonts w:cstheme="minorHAnsi"/>
          <w:sz w:val="18"/>
          <w:szCs w:val="18"/>
          <w:rtl/>
        </w:rPr>
        <w:t xml:space="preserve"> </w:t>
      </w:r>
      <w:hyperlink r:id="rId96" w:history="1">
        <w:r w:rsidRPr="00C8196F">
          <w:rPr>
            <w:rStyle w:val="FootnoteReference"/>
            <w:rFonts w:cstheme="minorHAnsi"/>
            <w:sz w:val="18"/>
            <w:szCs w:val="18"/>
            <w:vertAlign w:val="baseline"/>
            <w:rtl/>
          </w:rPr>
          <w:t>كيف تستخدم الجامعات ومنظمات البحث للقطاع العام ملكيتها الفكرية من أجل تعزيز البحث وتشجيع الشركات الناشئة المبتكرة</w:t>
        </w:r>
      </w:hyperlink>
      <w:r w:rsidRPr="00C8196F">
        <w:rPr>
          <w:rStyle w:val="FootnoteReference"/>
          <w:rFonts w:cstheme="minorHAnsi"/>
          <w:sz w:val="18"/>
          <w:szCs w:val="18"/>
          <w:vertAlign w:val="baseline"/>
          <w:rtl/>
        </w:rPr>
        <w:t>.</w:t>
      </w:r>
      <w:r w:rsidRPr="00C8196F">
        <w:rPr>
          <w:rFonts w:cstheme="minorHAnsi"/>
          <w:sz w:val="18"/>
          <w:szCs w:val="18"/>
          <w:rtl/>
        </w:rPr>
        <w:t xml:space="preserve"> </w:t>
      </w:r>
    </w:p>
  </w:footnote>
  <w:footnote w:id="166">
    <w:p w14:paraId="78F40871" w14:textId="77777777" w:rsidR="00E40747" w:rsidRPr="00C8196F" w:rsidRDefault="00E40747" w:rsidP="00C21221">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مأخوذ من: ش بريزنيتز. (2014)، </w:t>
      </w:r>
      <w:r w:rsidRPr="00C8196F">
        <w:rPr>
          <w:rFonts w:cstheme="minorHAnsi"/>
          <w:i/>
          <w:iCs/>
          <w:sz w:val="18"/>
          <w:szCs w:val="18"/>
        </w:rPr>
        <w:t>The Fountain of Knowledge</w:t>
      </w:r>
      <w:r w:rsidRPr="00C8196F">
        <w:rPr>
          <w:rFonts w:cstheme="minorHAnsi"/>
          <w:sz w:val="18"/>
          <w:szCs w:val="18"/>
          <w:rtl/>
        </w:rPr>
        <w:t>.</w:t>
      </w:r>
    </w:p>
    <w:p w14:paraId="44F4C4F8" w14:textId="77777777" w:rsidR="00E40747" w:rsidRPr="00C8196F" w:rsidRDefault="00E40747">
      <w:pPr>
        <w:pStyle w:val="FootnoteText"/>
        <w:rPr>
          <w:rFonts w:cstheme="minorHAnsi"/>
          <w:sz w:val="18"/>
          <w:szCs w:val="18"/>
        </w:rPr>
      </w:pPr>
    </w:p>
  </w:footnote>
  <w:footnote w:id="167">
    <w:p w14:paraId="7D3549EA" w14:textId="77777777" w:rsidR="00E40747" w:rsidRPr="00C8196F" w:rsidRDefault="00E40747" w:rsidP="00BD07D8">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د. سيجيل وب. فان  </w:t>
      </w:r>
      <w:r w:rsidRPr="00C8196F">
        <w:rPr>
          <w:rFonts w:cstheme="minorHAnsi"/>
          <w:i/>
          <w:iCs/>
          <w:sz w:val="18"/>
          <w:szCs w:val="18"/>
        </w:rPr>
        <w:t>Analyzing the Effectiveness of University Technology Transfer: Implications for Entrepreneurship Education</w:t>
      </w:r>
      <w:r w:rsidRPr="00C8196F">
        <w:rPr>
          <w:rFonts w:cstheme="minorHAnsi"/>
          <w:sz w:val="18"/>
          <w:szCs w:val="18"/>
          <w:rtl/>
        </w:rPr>
        <w:t xml:space="preserve">، في ج. ليبيكاب، (2005)، </w:t>
      </w:r>
      <w:r w:rsidRPr="00C8196F">
        <w:rPr>
          <w:rFonts w:cstheme="minorHAnsi"/>
          <w:i/>
          <w:iCs/>
          <w:sz w:val="18"/>
          <w:szCs w:val="18"/>
        </w:rPr>
        <w:t>University Entrepreneurship and Technology Transfer: Process, Design and Intellectual Property</w:t>
      </w:r>
      <w:r w:rsidRPr="00C8196F">
        <w:rPr>
          <w:rFonts w:cstheme="minorHAnsi"/>
          <w:sz w:val="18"/>
          <w:szCs w:val="18"/>
          <w:rtl/>
        </w:rPr>
        <w:t>.</w:t>
      </w:r>
    </w:p>
  </w:footnote>
  <w:footnote w:id="168">
    <w:p w14:paraId="00617E76" w14:textId="77777777" w:rsidR="00E40747" w:rsidRPr="00C8196F" w:rsidRDefault="00E40747" w:rsidP="004B3FAF">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يشير إهمال الملكية الفكرية الأكاديمية أو تعطيلها إلى حزم الكشف عن الملكية الفكرية والاختراعات التي لا تزال غير مستكشفة أو غير مرخصة أو غير مستخدمة.</w:t>
      </w:r>
    </w:p>
  </w:footnote>
  <w:footnote w:id="169">
    <w:p w14:paraId="373D3070" w14:textId="77777777" w:rsidR="00E40747" w:rsidRPr="00C8196F" w:rsidRDefault="00E40747" w:rsidP="004B3FAF">
      <w:pPr>
        <w:pStyle w:val="FootnoteText"/>
        <w:rPr>
          <w:rFonts w:cstheme="minorHAnsi"/>
          <w:sz w:val="18"/>
          <w:szCs w:val="18"/>
        </w:rPr>
      </w:pPr>
    </w:p>
  </w:footnote>
  <w:footnote w:id="170">
    <w:p w14:paraId="4177FBAD" w14:textId="77777777" w:rsidR="00E40747" w:rsidRPr="00C8196F" w:rsidRDefault="00E40747" w:rsidP="009D4A54">
      <w:pPr>
        <w:spacing w:after="0" w:line="240" w:lineRule="auto"/>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المصدر:</w:t>
      </w:r>
      <w:hyperlink r:id="rId97" w:history="1">
        <w:r w:rsidRPr="00C8196F">
          <w:rPr>
            <w:rFonts w:cstheme="minorHAnsi"/>
            <w:sz w:val="18"/>
            <w:szCs w:val="18"/>
            <w:rtl/>
          </w:rPr>
          <w:t xml:space="preserve"> </w:t>
        </w:r>
        <w:r w:rsidRPr="00C8196F">
          <w:rPr>
            <w:rStyle w:val="Hyperlink"/>
            <w:rFonts w:cstheme="minorHAnsi"/>
            <w:sz w:val="18"/>
            <w:szCs w:val="18"/>
            <w:rtl/>
          </w:rPr>
          <w:t>تسخير البحث العام لصالح الابتكار - دور الملكية الفكرية</w:t>
        </w:r>
      </w:hyperlink>
      <w:r w:rsidRPr="00C8196F">
        <w:rPr>
          <w:rFonts w:cstheme="minorHAnsi"/>
          <w:sz w:val="18"/>
          <w:szCs w:val="18"/>
          <w:rtl/>
        </w:rPr>
        <w:t>، في كتاب: التقرير العالمي للملكية الفكرية 2011. وجه الابتكار المتغير، الفصل: 4.</w:t>
      </w:r>
    </w:p>
  </w:footnote>
  <w:footnote w:id="171">
    <w:p w14:paraId="32FEEC8C" w14:textId="77777777" w:rsidR="00E40747" w:rsidRPr="00C8196F" w:rsidRDefault="00E40747" w:rsidP="00C21221">
      <w:pPr>
        <w:autoSpaceDE w:val="0"/>
        <w:autoSpaceDN w:val="0"/>
        <w:adjustRightInd w:val="0"/>
        <w:spacing w:after="0" w:line="240" w:lineRule="auto"/>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كما يتوفر "دليل سريع لنقل التكنولوجيا إلى الأعمال"، والذي ينبغي أن يكون بمثابة قائمة مرجعية شاملة يجب أخذها في الاعتبار عند الشروع في أي عملية لنقل التكنولوجيا.</w:t>
      </w:r>
    </w:p>
  </w:footnote>
  <w:footnote w:id="172">
    <w:p w14:paraId="78C58262" w14:textId="228799A8" w:rsidR="00E40747" w:rsidRPr="00C8196F" w:rsidRDefault="00E40747" w:rsidP="008A6BE1">
      <w:pPr>
        <w:spacing w:after="0" w:line="240" w:lineRule="auto"/>
        <w:rPr>
          <w:rFonts w:eastAsia="Times New Roman"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w:t>
      </w:r>
      <w:r w:rsidRPr="00C8196F">
        <w:rPr>
          <w:rFonts w:cstheme="minorHAnsi"/>
          <w:b/>
          <w:bCs/>
          <w:color w:val="000000" w:themeColor="text1"/>
          <w:sz w:val="18"/>
          <w:szCs w:val="18"/>
          <w:shd w:val="clear" w:color="auto" w:fill="FFFFFF"/>
          <w:rtl/>
        </w:rPr>
        <w:t>عامل التأثير</w:t>
      </w:r>
      <w:r w:rsidRPr="00C8196F">
        <w:rPr>
          <w:rFonts w:cstheme="minorHAnsi"/>
          <w:color w:val="000000" w:themeColor="text1"/>
          <w:sz w:val="18"/>
          <w:szCs w:val="18"/>
          <w:shd w:val="clear" w:color="auto" w:fill="FFFFFF"/>
          <w:rtl/>
        </w:rPr>
        <w:t xml:space="preserve"> هو قياس لقياس متوسط تكرار الاستشهاد بالمقالة في </w:t>
      </w:r>
      <w:r w:rsidRPr="00C8196F">
        <w:rPr>
          <w:rFonts w:cstheme="minorHAnsi"/>
          <w:b/>
          <w:bCs/>
          <w:color w:val="000000" w:themeColor="text1"/>
          <w:sz w:val="18"/>
          <w:szCs w:val="18"/>
          <w:shd w:val="clear" w:color="auto" w:fill="FFFFFF"/>
          <w:rtl/>
        </w:rPr>
        <w:t>المجلة</w:t>
      </w:r>
      <w:r w:rsidR="008A6BE1">
        <w:rPr>
          <w:rFonts w:cstheme="minorHAnsi" w:hint="cs"/>
          <w:b/>
          <w:bCs/>
          <w:color w:val="000000" w:themeColor="text1"/>
          <w:sz w:val="18"/>
          <w:szCs w:val="18"/>
          <w:shd w:val="clear" w:color="auto" w:fill="FFFFFF"/>
          <w:rtl/>
        </w:rPr>
        <w:t xml:space="preserve"> </w:t>
      </w:r>
      <w:r w:rsidRPr="00C8196F">
        <w:rPr>
          <w:rFonts w:cstheme="minorHAnsi"/>
          <w:color w:val="000000" w:themeColor="text1"/>
          <w:sz w:val="18"/>
          <w:szCs w:val="18"/>
          <w:shd w:val="clear" w:color="auto" w:fill="FFFFFF"/>
          <w:rtl/>
        </w:rPr>
        <w:t xml:space="preserve">في عام معين.  انظر: </w:t>
      </w:r>
      <w:hyperlink r:id="rId98" w:history="1">
        <w:r w:rsidRPr="00C8196F">
          <w:rPr>
            <w:rStyle w:val="Hyperlink"/>
            <w:rFonts w:cstheme="minorHAnsi"/>
            <w:sz w:val="18"/>
            <w:szCs w:val="18"/>
            <w:shd w:val="clear" w:color="auto" w:fill="FFFFFF"/>
          </w:rPr>
          <w:t>https://www.hsl.virginia.edu/services/howdoi/hdi-jcr.cfm</w:t>
        </w:r>
      </w:hyperlink>
      <w:r w:rsidRPr="00C8196F">
        <w:rPr>
          <w:rFonts w:cstheme="minorHAnsi"/>
          <w:color w:val="000000" w:themeColor="text1"/>
          <w:sz w:val="18"/>
          <w:szCs w:val="18"/>
          <w:shd w:val="clear" w:color="auto" w:fill="FFFFFF"/>
          <w:rtl/>
        </w:rPr>
        <w:t>. وثمة علاقة مباشرة قوية بين عامل التأثير وقيمة العلم للمجتمع العلمي.</w:t>
      </w:r>
    </w:p>
  </w:footnote>
  <w:footnote w:id="173">
    <w:p w14:paraId="4C27ED66" w14:textId="77777777" w:rsidR="00E40747" w:rsidRPr="00C8196F" w:rsidRDefault="00E40747" w:rsidP="00B7519E">
      <w:pPr>
        <w:spacing w:after="0" w:line="240" w:lineRule="auto"/>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وقد اختار معظم الباحثين الجامعيين المسار الأكاديمي بدلاً من ثقافة الأعمال، وقد يرون أن المشاركة في عملية التسويق تشكل عبئاً. ومن ناحية أخرى، فإن بعض المشاركة الفعالة المقدمة من المبدعين أمر لا بد منه لنجاح التسويق. </w:t>
      </w:r>
    </w:p>
  </w:footnote>
  <w:footnote w:id="174">
    <w:p w14:paraId="32CB4F60" w14:textId="77777777" w:rsidR="00E40747" w:rsidRPr="00C8196F" w:rsidRDefault="00E40747" w:rsidP="00547F07">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يوجد في بعض البلدان التزام قانوني أيضاً بتقاسم أي صافي أرباح مع المخترعين.</w:t>
      </w:r>
    </w:p>
  </w:footnote>
  <w:footnote w:id="175">
    <w:p w14:paraId="3CB0F03D"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نموذج المادة 2.3.1.</w:t>
      </w:r>
    </w:p>
  </w:footnote>
  <w:footnote w:id="176">
    <w:p w14:paraId="6AFD303F" w14:textId="77777777" w:rsidR="00E40747" w:rsidRPr="00C8196F" w:rsidRDefault="00E40747" w:rsidP="00547F07">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القسم 202(ج)(7)(ج ود).</w:t>
      </w:r>
    </w:p>
  </w:footnote>
  <w:footnote w:id="177">
    <w:p w14:paraId="0E30C3CC" w14:textId="77777777" w:rsidR="00E40747" w:rsidRPr="00C8196F" w:rsidRDefault="00E40747" w:rsidP="00B7519E">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w:t>
      </w:r>
      <w:r w:rsidRPr="00C8196F">
        <w:rPr>
          <w:rFonts w:cstheme="minorHAnsi"/>
          <w:color w:val="000000" w:themeColor="text1"/>
          <w:sz w:val="18"/>
          <w:szCs w:val="18"/>
          <w:rtl/>
        </w:rPr>
        <w:t>تُحدد الممارسات الجيدة والإجراءات الواجب اتباعها في أثناء إنشاء الملكية الفكرية والكشف اللاحق لمكتب إدارة الملكية الفكرية وتحديد حقوق الملكية الفكرية من المادة 1.8 إلى المادة 3.8 ويجب مراعاتها وتنفيذها بعناية</w:t>
      </w:r>
    </w:p>
  </w:footnote>
  <w:footnote w:id="178">
    <w:p w14:paraId="7FD41397" w14:textId="77777777" w:rsidR="00E40747" w:rsidRPr="00C8196F" w:rsidRDefault="00E40747" w:rsidP="00DB1B01">
      <w:pPr>
        <w:pStyle w:val="FootnoteText"/>
        <w:jc w:val="both"/>
        <w:rPr>
          <w:rFonts w:cstheme="minorHAnsi"/>
          <w:color w:val="000000" w:themeColor="text1"/>
          <w:sz w:val="18"/>
          <w:szCs w:val="18"/>
          <w:rtl/>
        </w:rPr>
      </w:pPr>
      <w:r w:rsidRPr="00C8196F">
        <w:rPr>
          <w:rStyle w:val="FootnoteReference"/>
          <w:rFonts w:cstheme="minorHAnsi"/>
          <w:sz w:val="18"/>
          <w:szCs w:val="18"/>
        </w:rPr>
        <w:footnoteRef/>
      </w:r>
      <w:r w:rsidRPr="00C8196F">
        <w:rPr>
          <w:rFonts w:cstheme="minorHAnsi"/>
          <w:sz w:val="18"/>
          <w:szCs w:val="18"/>
          <w:rtl/>
        </w:rPr>
        <w:t xml:space="preserve"> </w:t>
      </w:r>
      <w:r w:rsidRPr="00C8196F">
        <w:rPr>
          <w:rFonts w:cstheme="minorHAnsi"/>
          <w:color w:val="000000" w:themeColor="text1"/>
          <w:sz w:val="18"/>
          <w:szCs w:val="18"/>
          <w:rtl/>
        </w:rPr>
        <w:t>يسعى العلماء الأكاديميون بوجه عام إلى النشر السريع لأفكارهم، لا سيما من خلال النشر في مجلات علمية مختارة، والتقدير المتبادل بين الأقران. وقد يسعون أيضاً إلى الحصول على مكافآت مالية يمكن الاستفادة منها مرة أخرى في أبحاثهم.</w:t>
      </w:r>
    </w:p>
  </w:footnote>
  <w:footnote w:id="179">
    <w:p w14:paraId="060087B0" w14:textId="77777777" w:rsidR="00E40747" w:rsidRPr="00C8196F" w:rsidRDefault="00E40747" w:rsidP="00DB1B01">
      <w:pPr>
        <w:pStyle w:val="FootnoteText"/>
        <w:jc w:val="both"/>
        <w:rPr>
          <w:rFonts w:cstheme="minorHAnsi"/>
          <w:color w:val="000000" w:themeColor="text1"/>
          <w:sz w:val="18"/>
          <w:szCs w:val="18"/>
          <w:rtl/>
        </w:rPr>
      </w:pPr>
      <w:r w:rsidRPr="00C8196F">
        <w:rPr>
          <w:rStyle w:val="FootnoteReference"/>
          <w:rFonts w:cstheme="minorHAnsi"/>
          <w:sz w:val="18"/>
          <w:szCs w:val="18"/>
        </w:rPr>
        <w:footnoteRef/>
      </w:r>
      <w:r w:rsidRPr="00C8196F">
        <w:rPr>
          <w:rFonts w:cstheme="minorHAnsi"/>
          <w:sz w:val="18"/>
          <w:szCs w:val="18"/>
          <w:rtl/>
        </w:rPr>
        <w:t xml:space="preserve"> </w:t>
      </w:r>
      <w:r w:rsidRPr="00C8196F">
        <w:rPr>
          <w:rFonts w:cstheme="minorHAnsi"/>
          <w:color w:val="000000" w:themeColor="text1"/>
          <w:sz w:val="18"/>
          <w:szCs w:val="18"/>
          <w:rtl/>
        </w:rPr>
        <w:t>يسعى مكتب إدارة الملكية الفكرية وغيرهم من المسؤولين عن الأبحاث عموماً إلى تحقيق إيرادات من محفظة الملكية الفكرية ويسعون إلى نقل تكنولوجيات المؤسسة أو تسويقها إلى الشركات.</w:t>
      </w:r>
    </w:p>
  </w:footnote>
  <w:footnote w:id="180">
    <w:p w14:paraId="5D6219EB" w14:textId="77777777" w:rsidR="00E40747" w:rsidRPr="00C8196F" w:rsidRDefault="00E40747" w:rsidP="00DB1B01">
      <w:pPr>
        <w:pStyle w:val="FootnoteText"/>
        <w:jc w:val="both"/>
        <w:rPr>
          <w:rFonts w:cstheme="minorHAnsi"/>
          <w:color w:val="000000" w:themeColor="text1"/>
          <w:sz w:val="18"/>
          <w:szCs w:val="18"/>
          <w:rtl/>
        </w:rPr>
      </w:pPr>
      <w:r w:rsidRPr="00C8196F">
        <w:rPr>
          <w:rStyle w:val="FootnoteReference"/>
          <w:rFonts w:cstheme="minorHAnsi"/>
          <w:sz w:val="18"/>
          <w:szCs w:val="18"/>
        </w:rPr>
        <w:footnoteRef/>
      </w:r>
      <w:r w:rsidRPr="00C8196F">
        <w:rPr>
          <w:rFonts w:cstheme="minorHAnsi"/>
          <w:sz w:val="18"/>
          <w:szCs w:val="18"/>
          <w:rtl/>
        </w:rPr>
        <w:t xml:space="preserve"> </w:t>
      </w:r>
      <w:r w:rsidRPr="00C8196F">
        <w:rPr>
          <w:rFonts w:cstheme="minorHAnsi"/>
          <w:color w:val="000000" w:themeColor="text1"/>
          <w:sz w:val="18"/>
          <w:szCs w:val="18"/>
          <w:rtl/>
        </w:rPr>
        <w:t>تُدفَع الشركات بالرغبة في تسويق الملكية الفكرية التي تنشأ في المؤسسات لتحقيق مكاسب مالية. إذ يرغبون في تأمين الحقوق الاستئثارية لهذه الملكية الفكرية والتركيز بشدة على السرعة.</w:t>
      </w:r>
    </w:p>
  </w:footnote>
  <w:footnote w:id="181">
    <w:p w14:paraId="178921F1"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color w:val="000000" w:themeColor="text1"/>
          <w:sz w:val="18"/>
          <w:szCs w:val="18"/>
          <w:rtl/>
        </w:rPr>
        <w:t>القانون 13,243/16 الذي دخل في حيز النفاذ في 11 يناير 2016.</w:t>
      </w:r>
    </w:p>
  </w:footnote>
  <w:footnote w:id="182">
    <w:p w14:paraId="02E7DEAA" w14:textId="77777777" w:rsidR="00E40747" w:rsidRPr="00C8196F" w:rsidRDefault="00E40747" w:rsidP="00E8794D">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المادة 20 من قانون العلوم والتكنولوجيا: </w:t>
      </w:r>
      <w:r w:rsidRPr="00C8196F">
        <w:rPr>
          <w:rFonts w:cstheme="minorHAnsi"/>
          <w:color w:val="211E1E"/>
          <w:sz w:val="18"/>
          <w:szCs w:val="18"/>
          <w:rtl/>
        </w:rPr>
        <w:t>براءات الاختراع - التي تم الحصول عليها في المشروعات المُموَّلة من الصندوق العلمي والتكنولوجي المُؤسَّس من أموال حكومية، أو من برامج علمية وتكنولوجية - وحقوق المؤلف الخاصة ببرمجيات الحاسوب، وحقوق البراءات الخاصة بتصميم الأسلاك للدوائر المتكاملة، وحقوق سلالات النباتات الجديدة، تُمنَح للقائمين على المشروعات المُصرَّح لهم وفقًا للقانون، باستثناء الحالات التي تتعلق بالأمن القومي والمصالح العامة الحيوية</w:t>
      </w:r>
    </w:p>
  </w:footnote>
  <w:footnote w:id="183">
    <w:p w14:paraId="1455D782" w14:textId="77777777" w:rsidR="00E40747" w:rsidRPr="00C8196F" w:rsidRDefault="00E40747" w:rsidP="00B7519E">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مأخوذ من: شلومو برزنيتز (2014)، </w:t>
      </w:r>
      <w:r w:rsidRPr="00C8196F">
        <w:rPr>
          <w:rFonts w:cstheme="minorHAnsi"/>
          <w:i/>
          <w:iCs/>
          <w:sz w:val="18"/>
          <w:szCs w:val="18"/>
        </w:rPr>
        <w:t>The Fountain of Knowledge</w:t>
      </w:r>
      <w:r w:rsidRPr="00C8196F">
        <w:rPr>
          <w:rFonts w:cstheme="minorHAnsi"/>
          <w:i/>
          <w:iCs/>
          <w:sz w:val="18"/>
          <w:szCs w:val="18"/>
          <w:rtl/>
        </w:rPr>
        <w:t xml:space="preserve">؛ </w:t>
      </w:r>
      <w:r w:rsidRPr="00C8196F">
        <w:rPr>
          <w:rFonts w:cstheme="minorHAnsi"/>
          <w:sz w:val="18"/>
          <w:szCs w:val="18"/>
          <w:rtl/>
        </w:rPr>
        <w:t xml:space="preserve">وغاري ليبيكاب (2005)، </w:t>
      </w:r>
      <w:r w:rsidRPr="00C8196F">
        <w:rPr>
          <w:rFonts w:cstheme="minorHAnsi"/>
          <w:i/>
          <w:iCs/>
          <w:sz w:val="18"/>
          <w:szCs w:val="18"/>
        </w:rPr>
        <w:t>University Entrepreneurship and Technology Transfer: Process, Design and Intellectual Property</w:t>
      </w:r>
      <w:r w:rsidRPr="00C8196F">
        <w:rPr>
          <w:rFonts w:cstheme="minorHAnsi"/>
          <w:sz w:val="18"/>
          <w:szCs w:val="18"/>
          <w:rtl/>
        </w:rPr>
        <w:t>.</w:t>
      </w:r>
    </w:p>
  </w:footnote>
  <w:footnote w:id="184">
    <w:p w14:paraId="3C394F1A" w14:textId="77777777" w:rsidR="00E40747" w:rsidRPr="00C8196F" w:rsidRDefault="00E40747" w:rsidP="00B7519E">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والسبب وراء ذلك هو أن الأساتذة المتفرغين والمشاركين، الذين عادةً ما يكونون متفرغين، يقومون بمعظم عمليات الكشف عن الاختراعات وتسجيل البراءات. لذا، فإن تشجيع أعضاء هيئة التدريس المبتدئين سيكون له أثر أكبر. انظر أيه لينك ودانيال سيغل (2005)، </w:t>
      </w:r>
      <w:r w:rsidRPr="00C8196F">
        <w:rPr>
          <w:rFonts w:cstheme="minorHAnsi"/>
          <w:i/>
          <w:iCs/>
          <w:sz w:val="18"/>
          <w:szCs w:val="18"/>
        </w:rPr>
        <w:t>Generating science-based growth: An econometric analysis of the impact of organizational incentives on university-industry technology transfer</w:t>
      </w:r>
      <w:r w:rsidRPr="00C8196F">
        <w:rPr>
          <w:rFonts w:cstheme="minorHAnsi"/>
          <w:sz w:val="18"/>
          <w:szCs w:val="18"/>
          <w:rtl/>
        </w:rPr>
        <w:t xml:space="preserve">. </w:t>
      </w:r>
    </w:p>
  </w:footnote>
  <w:footnote w:id="185">
    <w:p w14:paraId="7D9C5DC0"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أيه لينك ودانيال سيغل (2005).</w:t>
      </w:r>
    </w:p>
  </w:footnote>
  <w:footnote w:id="186">
    <w:p w14:paraId="72C58FA0"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دانتي دي غريغوريو، وسكوت شين (2003)، </w:t>
      </w:r>
      <w:r w:rsidRPr="00C8196F">
        <w:rPr>
          <w:rFonts w:cstheme="minorHAnsi"/>
          <w:i/>
          <w:iCs/>
          <w:sz w:val="18"/>
          <w:szCs w:val="18"/>
        </w:rPr>
        <w:t>Why do some universities generate more start-ups than others</w:t>
      </w:r>
      <w:r w:rsidRPr="00C8196F">
        <w:rPr>
          <w:rFonts w:cstheme="minorHAnsi"/>
          <w:sz w:val="18"/>
          <w:szCs w:val="18"/>
        </w:rPr>
        <w:t>? , Research Policy 32: 209-227</w:t>
      </w:r>
      <w:r w:rsidRPr="00C8196F">
        <w:rPr>
          <w:rFonts w:cstheme="minorHAnsi"/>
          <w:sz w:val="18"/>
          <w:szCs w:val="18"/>
          <w:rtl/>
        </w:rPr>
        <w:t>.</w:t>
      </w:r>
    </w:p>
  </w:footnote>
  <w:footnote w:id="187">
    <w:p w14:paraId="2023D727"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hyperlink r:id="rId99" w:history="1">
        <w:r w:rsidRPr="00C8196F">
          <w:rPr>
            <w:rFonts w:cstheme="minorHAnsi"/>
            <w:sz w:val="18"/>
            <w:szCs w:val="18"/>
            <w:rtl/>
          </w:rPr>
          <w:t xml:space="preserve"> </w:t>
        </w:r>
        <w:r w:rsidRPr="00C8196F">
          <w:rPr>
            <w:rStyle w:val="Hyperlink"/>
            <w:rFonts w:cstheme="minorHAnsi"/>
            <w:sz w:val="18"/>
            <w:szCs w:val="18"/>
            <w:rtl/>
          </w:rPr>
          <w:t>سياسة حقوق الملكية الفكرية</w:t>
        </w:r>
      </w:hyperlink>
      <w:r w:rsidRPr="00C8196F">
        <w:rPr>
          <w:rFonts w:cstheme="minorHAnsi"/>
          <w:sz w:val="18"/>
          <w:szCs w:val="18"/>
          <w:rtl/>
        </w:rPr>
        <w:t xml:space="preserve"> لجامعة كامبريدج، المادة 39 </w:t>
      </w:r>
    </w:p>
  </w:footnote>
  <w:footnote w:id="188">
    <w:p w14:paraId="1A01A78C"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مؤسسة كامبريدج مكتب إدارة الملكية الفكرية للجامعة.</w:t>
      </w:r>
    </w:p>
  </w:footnote>
  <w:footnote w:id="189">
    <w:p w14:paraId="4C855810"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hyperlink r:id="rId100" w:history="1">
        <w:r w:rsidRPr="00C8196F">
          <w:rPr>
            <w:rFonts w:cstheme="minorHAnsi"/>
            <w:sz w:val="18"/>
            <w:szCs w:val="18"/>
            <w:rtl/>
          </w:rPr>
          <w:t xml:space="preserve"> </w:t>
        </w:r>
        <w:r w:rsidRPr="00C8196F">
          <w:rPr>
            <w:rStyle w:val="Hyperlink"/>
            <w:rFonts w:cstheme="minorHAnsi"/>
            <w:sz w:val="18"/>
            <w:szCs w:val="18"/>
            <w:rtl/>
          </w:rPr>
          <w:t>سياسة البراءات بجامعة يال</w:t>
        </w:r>
      </w:hyperlink>
      <w:r w:rsidRPr="00C8196F">
        <w:rPr>
          <w:rFonts w:cstheme="minorHAnsi"/>
          <w:sz w:val="18"/>
          <w:szCs w:val="18"/>
          <w:rtl/>
        </w:rPr>
        <w:t>، المادة 4(د).</w:t>
      </w:r>
    </w:p>
  </w:footnote>
  <w:footnote w:id="190">
    <w:p w14:paraId="32902C1D" w14:textId="77777777" w:rsidR="00E40747" w:rsidRPr="00C8196F" w:rsidRDefault="00E40747" w:rsidP="000C4C36">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w:t>
      </w:r>
      <w:hyperlink r:id="rId101" w:history="1">
        <w:r w:rsidRPr="00C8196F">
          <w:rPr>
            <w:rStyle w:val="Hyperlink"/>
            <w:rFonts w:cstheme="minorHAnsi"/>
            <w:sz w:val="18"/>
            <w:szCs w:val="18"/>
          </w:rPr>
          <w:t>http://research.southwales.ac.uk/our-culture/researcher-development/research-toolkit/career-progression/innovation-and-engagement-route</w:t>
        </w:r>
        <w:r w:rsidRPr="00C8196F">
          <w:rPr>
            <w:rStyle w:val="Hyperlink"/>
            <w:rFonts w:cstheme="minorHAnsi"/>
            <w:sz w:val="18"/>
            <w:szCs w:val="18"/>
            <w:rtl/>
          </w:rPr>
          <w:t>/</w:t>
        </w:r>
      </w:hyperlink>
      <w:r w:rsidRPr="00C8196F">
        <w:rPr>
          <w:rFonts w:cstheme="minorHAnsi"/>
          <w:sz w:val="18"/>
          <w:szCs w:val="18"/>
          <w:rtl/>
        </w:rPr>
        <w:t xml:space="preserve">. </w:t>
      </w:r>
    </w:p>
  </w:footnote>
  <w:footnote w:id="191">
    <w:p w14:paraId="5FF92741" w14:textId="77777777" w:rsidR="00E40747" w:rsidRPr="00C8196F" w:rsidRDefault="00E40747" w:rsidP="00B7519E">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تتمثل إحدى أنشطة المؤسسة الوطنية للبحوث في جنوب أفريقيا في منح تقييمات للأكاديميين الذين يتقدمون بطلبات وفقاً لفئات محددة مسبقاً. وسواء كان ذلك بشكل صريح أو غير صريح، فإن هذه التقييمات تعد جزءاً من الطلبات التي يقدمها الأكاديميون للترقيات والتوظيف في جامعات جنوب أفريقيا.</w:t>
      </w:r>
    </w:p>
  </w:footnote>
  <w:footnote w:id="192">
    <w:p w14:paraId="7463D6D4" w14:textId="77777777" w:rsidR="00E40747" w:rsidRPr="00C8196F" w:rsidRDefault="00E40747" w:rsidP="00B7519E">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أثبتت العديد من الدراسات أن أحد المحددات الهامة للشركات المنبثقة يكمن في قدرة المؤسسة والمخترعين على الحصول على أسهم بدلاً من رسوم إتاوة الترخيص عندما يرخصون تقنياتهم للشركات الناشئة أو الشركات المنبثقة. انظر إلى دانتي دي غريغوريو وسكوت شين (2003)،</w:t>
      </w:r>
      <w:r w:rsidRPr="00C8196F">
        <w:rPr>
          <w:rFonts w:cstheme="minorHAnsi"/>
          <w:i/>
          <w:iCs/>
          <w:sz w:val="18"/>
          <w:szCs w:val="18"/>
          <w:rtl/>
        </w:rPr>
        <w:t xml:space="preserve"> </w:t>
      </w:r>
      <w:r w:rsidRPr="00C8196F">
        <w:rPr>
          <w:rFonts w:cstheme="minorHAnsi"/>
          <w:i/>
          <w:iCs/>
          <w:sz w:val="18"/>
          <w:szCs w:val="18"/>
        </w:rPr>
        <w:t>Why do some universities generate more start-ups than others</w:t>
      </w:r>
      <w:r w:rsidRPr="00C8196F">
        <w:rPr>
          <w:rFonts w:cstheme="minorHAnsi"/>
          <w:sz w:val="18"/>
          <w:szCs w:val="18"/>
        </w:rPr>
        <w:t>? , Research Policy 32: 209-227</w:t>
      </w:r>
      <w:r w:rsidRPr="00C8196F">
        <w:rPr>
          <w:rFonts w:cstheme="minorHAnsi"/>
          <w:sz w:val="18"/>
          <w:szCs w:val="18"/>
          <w:rtl/>
        </w:rPr>
        <w:t>.</w:t>
      </w:r>
    </w:p>
  </w:footnote>
  <w:footnote w:id="193">
    <w:p w14:paraId="35358AA3" w14:textId="526EEBF3" w:rsidR="00E40747" w:rsidRPr="00C8196F" w:rsidRDefault="00E40747" w:rsidP="00B7519E">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على سبيل المثال، دفع مبلغ صغير مقابل إكمال الكشف عن الاختراع؛ ودفع مبلغ أكبر قليلاً عند الموافقة على طلب براءة أو إيداعها لدى مكتب البراءات؛ ودفع مبلغ أكبر عند إصدار براءة. وتمنح مكافأة مالية أيضاً عن كل براءة يمنحها مكتب البراءات الأمريكي/المكتب الأوروبي للبراءات من أجل تعزيز التدويل.</w:t>
      </w:r>
    </w:p>
  </w:footnote>
  <w:footnote w:id="194">
    <w:p w14:paraId="6214605C" w14:textId="77777777" w:rsidR="00E40747" w:rsidRPr="00C8196F" w:rsidRDefault="00E40747" w:rsidP="009B0D4D">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ترسيخ علاقات مع الشركات المحلية من خلال التدريبات الداخلية للطلاب والمشاريع البحثية.</w:t>
      </w:r>
    </w:p>
  </w:footnote>
  <w:footnote w:id="195">
    <w:p w14:paraId="42C19EC2" w14:textId="77777777" w:rsidR="00E40747" w:rsidRPr="00C8196F" w:rsidRDefault="00E40747" w:rsidP="00B7519E">
      <w:pPr>
        <w:autoSpaceDE w:val="0"/>
        <w:autoSpaceDN w:val="0"/>
        <w:adjustRightInd w:val="0"/>
        <w:spacing w:after="0" w:line="240" w:lineRule="auto"/>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يستعرض موجز السياسات هذا الصادر عن البنك الدولي الأساس المنطقي الذي يستند إليه تصميم السياسة العامة وتنفيذها لتعزيز نقل التكنولوجيا من العلوم إلى الصناعة. ويشير إلى اختلال الحوافز.</w:t>
      </w:r>
    </w:p>
  </w:footnote>
  <w:footnote w:id="196">
    <w:p w14:paraId="18F4638D" w14:textId="77777777" w:rsidR="00E40747" w:rsidRPr="00C8196F" w:rsidRDefault="00E40747" w:rsidP="00B7519E">
      <w:pPr>
        <w:spacing w:after="0" w:line="240" w:lineRule="auto"/>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تبحث هذه الدراسة في الحوافز التي تقدمها 8 جامعات ومؤسسات الشبكة التكنولوجية الأسترالية لموظفي البحث العلمي لتسويق نتائج أبحاثهم. وتوفر دراسات حالة لممارسات الحوافز الناجحة في أستراليا وخارجها على حد سواء، وأفضل الممارسات في تقديم حوافز التسويق وتحديد أي ثغرات أو نقاط ضعف في ممارسات الجامعات الأسترالية الحالية.</w:t>
      </w:r>
    </w:p>
    <w:p w14:paraId="729BE15A" w14:textId="77777777" w:rsidR="00E40747" w:rsidRPr="00C8196F" w:rsidRDefault="00E40747">
      <w:pPr>
        <w:pStyle w:val="FootnoteText"/>
        <w:rPr>
          <w:rFonts w:cstheme="minorHAnsi"/>
          <w:sz w:val="18"/>
          <w:szCs w:val="18"/>
          <w:lang w:val="en"/>
        </w:rPr>
      </w:pPr>
    </w:p>
  </w:footnote>
  <w:footnote w:id="197">
    <w:p w14:paraId="61211E53" w14:textId="77777777" w:rsidR="00E40747" w:rsidRPr="00C8196F" w:rsidRDefault="00E40747" w:rsidP="00AC72FB">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للاطلاع على المزيد من الأمثلة، انظر ضمن قسم </w:t>
      </w:r>
      <w:hyperlink w:anchor="Useful Resources to Article 11" w:history="1">
        <w:r w:rsidRPr="00C8196F">
          <w:rPr>
            <w:rStyle w:val="Hyperlink"/>
            <w:rFonts w:cstheme="minorHAnsi"/>
            <w:sz w:val="18"/>
            <w:szCs w:val="18"/>
            <w:rtl/>
          </w:rPr>
          <w:t>الموارد المفيدة المتعلقة بالمادة 11</w:t>
        </w:r>
      </w:hyperlink>
      <w:r w:rsidRPr="00C8196F">
        <w:rPr>
          <w:rFonts w:cstheme="minorHAnsi"/>
          <w:sz w:val="18"/>
          <w:szCs w:val="18"/>
          <w:rtl/>
        </w:rPr>
        <w:t>.</w:t>
      </w:r>
    </w:p>
  </w:footnote>
  <w:footnote w:id="198">
    <w:p w14:paraId="4E952DE5" w14:textId="77777777" w:rsidR="00E40747" w:rsidRPr="00C8196F" w:rsidRDefault="00E40747">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رابطة البحوث الجامعية والروابط الصناعية.</w:t>
      </w:r>
    </w:p>
  </w:footnote>
  <w:footnote w:id="199">
    <w:p w14:paraId="4C0E7891" w14:textId="77777777" w:rsidR="00E40747" w:rsidRPr="00C8196F" w:rsidRDefault="00E40747" w:rsidP="00267CCE">
      <w:pPr>
        <w:pStyle w:val="FootnoteText"/>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w:t>
      </w:r>
      <w:hyperlink r:id="rId102" w:history="1">
        <w:r w:rsidRPr="00C8196F">
          <w:rPr>
            <w:rStyle w:val="Hyperlink"/>
            <w:rFonts w:cstheme="minorHAnsi"/>
            <w:sz w:val="18"/>
            <w:szCs w:val="18"/>
          </w:rPr>
          <w:t>http://www.wipo.int/tk/en/igc/</w:t>
        </w:r>
      </w:hyperlink>
      <w:r w:rsidRPr="00C8196F">
        <w:rPr>
          <w:rFonts w:cstheme="minorHAnsi"/>
          <w:sz w:val="18"/>
          <w:szCs w:val="18"/>
          <w:rtl/>
        </w:rPr>
        <w:t xml:space="preserve"> </w:t>
      </w:r>
    </w:p>
  </w:footnote>
  <w:footnote w:id="200">
    <w:p w14:paraId="62342C5D" w14:textId="77777777" w:rsidR="00E40747" w:rsidRPr="00C8196F" w:rsidRDefault="00E40747" w:rsidP="00FB4172">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يمكن الاطلاع على مجموعة من النصوص التشريعية الوطنية والإقليمية ذات الصلة بالموارد الوراثية و/أو المعارف التقليدية على الموقع الإلكتروني </w:t>
      </w:r>
      <w:hyperlink r:id="rId103" w:history="1">
        <w:r w:rsidRPr="00C8196F">
          <w:rPr>
            <w:rStyle w:val="Hyperlink"/>
            <w:rFonts w:cstheme="minorHAnsi"/>
            <w:sz w:val="18"/>
            <w:szCs w:val="18"/>
          </w:rPr>
          <w:t>http://www.wipo.int/tk/en/databases/tklaws/</w:t>
        </w:r>
      </w:hyperlink>
      <w:r w:rsidRPr="00C8196F">
        <w:rPr>
          <w:rStyle w:val="Hyperlink"/>
          <w:rFonts w:cstheme="minorHAnsi"/>
          <w:color w:val="auto"/>
          <w:sz w:val="18"/>
          <w:szCs w:val="18"/>
          <w:rtl/>
        </w:rPr>
        <w:t xml:space="preserve"> </w:t>
      </w:r>
      <w:r w:rsidRPr="00C8196F">
        <w:rPr>
          <w:rFonts w:cstheme="minorHAnsi"/>
          <w:sz w:val="18"/>
          <w:szCs w:val="18"/>
          <w:rtl/>
        </w:rPr>
        <w:t xml:space="preserve">  </w:t>
      </w:r>
    </w:p>
  </w:footnote>
  <w:footnote w:id="201">
    <w:p w14:paraId="0696D5E3" w14:textId="77777777" w:rsidR="00E40747" w:rsidRPr="00C8196F" w:rsidRDefault="00E40747" w:rsidP="00FB4172">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أيضاً مثال جامعة أديلايد.</w:t>
      </w:r>
    </w:p>
  </w:footnote>
  <w:footnote w:id="202">
    <w:p w14:paraId="639820BB" w14:textId="77777777" w:rsidR="00E40747" w:rsidRPr="00C8196F" w:rsidRDefault="00E40747" w:rsidP="00FB4172">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وعلى سبيل المثال، يمكن للجامعات أن تقرر الاعتراف بملكية حقوق الملكية الفكرية والثقافية للشعوب الأصلية (انظر مثال جامعة كانبيرا). وتتطور اتفاقات نموذجية تتعلق بالموارد الوراثية والمعارف التقليدية، مثل الاتفاق النموذجي لنقل المواد الخاص بمنظمة صناعة التكنولوجيا الحيوية (انظر أيضاً مقتطف من الاتفاق النموذجي). </w:t>
      </w:r>
    </w:p>
  </w:footnote>
  <w:footnote w:id="203">
    <w:p w14:paraId="5E2C99C5" w14:textId="77777777" w:rsidR="00E40747" w:rsidRPr="00C8196F" w:rsidRDefault="00E40747" w:rsidP="00FB4172">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أعدت الويبو قاعدة بيانات لاتفاقات النفاذ وتقاسم المنافع ذات الصلة بالتنوع البيولوجي وتحتفظ بها، وهي متاحة على الموقع الإلكتروني: </w:t>
      </w:r>
      <w:r w:rsidRPr="00C8196F">
        <w:rPr>
          <w:rFonts w:cstheme="minorHAnsi"/>
          <w:sz w:val="18"/>
          <w:szCs w:val="18"/>
        </w:rPr>
        <w:t>http://www.wipo.int/tk/en/databases/contracts</w:t>
      </w:r>
      <w:r w:rsidRPr="00C8196F">
        <w:rPr>
          <w:rFonts w:cstheme="minorHAnsi"/>
          <w:sz w:val="18"/>
          <w:szCs w:val="18"/>
          <w:rtl/>
        </w:rPr>
        <w:t xml:space="preserve">/ وأعدت الويبو مسودة المبادئ التوجيهية للملكية الفكرية للنفاذ إلى الموارد الوراثية والتقاسم العادل للمنافع الناشئة عن استخدامها التي توضح القضايا العملية للملكية الفكرية التي من المرجح أن يواجهها مقدمو الموارد الوراثية ومتلقوها عند التفاوض على اتفاق، وهي متاحة على الموقع: </w:t>
      </w:r>
      <w:hyperlink r:id="rId104" w:history="1">
        <w:r w:rsidRPr="00C8196F">
          <w:rPr>
            <w:rStyle w:val="Hyperlink"/>
            <w:rFonts w:cstheme="minorHAnsi"/>
            <w:sz w:val="18"/>
            <w:szCs w:val="18"/>
          </w:rPr>
          <w:t>http://www.wipo.int/export/sites/www/tk/en/resources/pdf/redrafted_guidelines.pdf</w:t>
        </w:r>
      </w:hyperlink>
      <w:r w:rsidRPr="00C8196F">
        <w:rPr>
          <w:rFonts w:cstheme="minorHAnsi"/>
          <w:sz w:val="18"/>
          <w:szCs w:val="18"/>
          <w:rtl/>
        </w:rPr>
        <w:t xml:space="preserve">  </w:t>
      </w:r>
    </w:p>
  </w:footnote>
  <w:footnote w:id="204">
    <w:p w14:paraId="701413B9" w14:textId="77777777" w:rsidR="00E40747" w:rsidRPr="00C8196F" w:rsidRDefault="00E40747" w:rsidP="00C34A62">
      <w:pPr>
        <w:spacing w:after="0" w:line="240" w:lineRule="auto"/>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انظر </w:t>
      </w:r>
      <w:hyperlink r:id="rId105" w:history="1">
        <w:r w:rsidRPr="00C8196F">
          <w:rPr>
            <w:rStyle w:val="Hyperlink"/>
            <w:rFonts w:cstheme="minorHAnsi"/>
            <w:sz w:val="18"/>
            <w:szCs w:val="18"/>
          </w:rPr>
          <w:t>https://www.ipaustralia.gov.au/sites/g/files/net856/f/uts_-_recognising_and_protecting_aboriginal_knowledge.pdf</w:t>
        </w:r>
      </w:hyperlink>
      <w:r w:rsidRPr="00C8196F">
        <w:rPr>
          <w:rFonts w:cstheme="minorHAnsi"/>
          <w:sz w:val="18"/>
          <w:szCs w:val="18"/>
          <w:rtl/>
        </w:rPr>
        <w:t xml:space="preserve">، وانظر أيضاً منشور الويبو حماية ثقافتكم وتعزيزها" ص 37 المتاح على الرابط: </w:t>
      </w:r>
      <w:hyperlink r:id="rId106" w:history="1">
        <w:r w:rsidRPr="00C8196F">
          <w:rPr>
            <w:rStyle w:val="Hyperlink"/>
            <w:rFonts w:cstheme="minorHAnsi"/>
            <w:sz w:val="18"/>
            <w:szCs w:val="18"/>
          </w:rPr>
          <w:t>https://www.wipo.int/publications/ar/details.jsp?id=4195</w:t>
        </w:r>
      </w:hyperlink>
      <w:r w:rsidRPr="00C8196F">
        <w:rPr>
          <w:rFonts w:cstheme="minorHAnsi"/>
          <w:sz w:val="18"/>
          <w:szCs w:val="18"/>
          <w:rtl/>
        </w:rPr>
        <w:t xml:space="preserve"> </w:t>
      </w:r>
    </w:p>
  </w:footnote>
  <w:footnote w:id="205">
    <w:p w14:paraId="4D459565" w14:textId="77777777" w:rsidR="00E40747" w:rsidRPr="00C8196F" w:rsidRDefault="00E40747" w:rsidP="00FB4172">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w:t>
      </w:r>
      <w:hyperlink r:id="rId107" w:history="1">
        <w:r w:rsidRPr="00C8196F">
          <w:rPr>
            <w:rStyle w:val="Hyperlink"/>
            <w:rFonts w:cstheme="minorHAnsi"/>
            <w:sz w:val="18"/>
            <w:szCs w:val="18"/>
          </w:rPr>
          <w:t>http://www.wipo.int/about-ip/en/universities_research/ip_policies/details.jsp?id=5896</w:t>
        </w:r>
      </w:hyperlink>
      <w:r w:rsidRPr="00C8196F">
        <w:rPr>
          <w:rFonts w:cstheme="minorHAnsi"/>
          <w:sz w:val="18"/>
          <w:szCs w:val="18"/>
          <w:rtl/>
        </w:rPr>
        <w:t xml:space="preserve">  </w:t>
      </w:r>
    </w:p>
  </w:footnote>
  <w:footnote w:id="206">
    <w:p w14:paraId="018120D5" w14:textId="77777777" w:rsidR="00E40747" w:rsidRPr="00C8196F" w:rsidRDefault="00E40747" w:rsidP="00FB4172">
      <w:pPr>
        <w:pStyle w:val="FootnoteText"/>
        <w:jc w:val="both"/>
        <w:rPr>
          <w:rFonts w:cstheme="minorHAnsi"/>
          <w:sz w:val="18"/>
          <w:szCs w:val="18"/>
          <w:rtl/>
        </w:rPr>
      </w:pPr>
      <w:r w:rsidRPr="00C8196F">
        <w:rPr>
          <w:rStyle w:val="FootnoteReference"/>
          <w:rFonts w:cstheme="minorHAnsi"/>
          <w:sz w:val="18"/>
          <w:szCs w:val="18"/>
        </w:rPr>
        <w:footnoteRef/>
      </w:r>
      <w:r w:rsidRPr="00C8196F">
        <w:rPr>
          <w:rFonts w:cstheme="minorHAnsi"/>
          <w:sz w:val="18"/>
          <w:szCs w:val="18"/>
          <w:rtl/>
        </w:rPr>
        <w:t xml:space="preserve"> انظر </w:t>
      </w:r>
      <w:hyperlink r:id="rId108" w:history="1">
        <w:r w:rsidRPr="00C8196F">
          <w:rPr>
            <w:rStyle w:val="Hyperlink"/>
            <w:rFonts w:cstheme="minorHAnsi"/>
            <w:sz w:val="18"/>
            <w:szCs w:val="18"/>
          </w:rPr>
          <w:t>http://www.wipo.int/about-ip/en/universities_research/ip_policies/details.jsp?id=10067</w:t>
        </w:r>
      </w:hyperlink>
      <w:r w:rsidRPr="00C8196F">
        <w:rPr>
          <w:rFonts w:cstheme="minorHAnsi"/>
          <w:sz w:val="18"/>
          <w:szCs w:val="18"/>
          <w:rt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25B8B"/>
    <w:multiLevelType w:val="hybridMultilevel"/>
    <w:tmpl w:val="03C047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0EC17C1"/>
    <w:multiLevelType w:val="hybridMultilevel"/>
    <w:tmpl w:val="4F584B1C"/>
    <w:lvl w:ilvl="0" w:tplc="1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777A1"/>
    <w:multiLevelType w:val="hybridMultilevel"/>
    <w:tmpl w:val="A0FEC0F8"/>
    <w:lvl w:ilvl="0" w:tplc="04090001">
      <w:start w:val="1"/>
      <w:numFmt w:val="bullet"/>
      <w:lvlText w:val=""/>
      <w:lvlJc w:val="left"/>
      <w:pPr>
        <w:ind w:left="1080" w:hanging="360"/>
      </w:pPr>
      <w:rPr>
        <w:rFonts w:ascii="Symbol" w:hAnsi="Symbol" w:hint="default"/>
      </w:rPr>
    </w:lvl>
    <w:lvl w:ilvl="1" w:tplc="64D0E070">
      <w:start w:val="93"/>
      <w:numFmt w:val="bullet"/>
      <w:lvlText w:val="-"/>
      <w:lvlJc w:val="left"/>
      <w:pPr>
        <w:ind w:left="1800" w:hanging="360"/>
      </w:pPr>
      <w:rPr>
        <w:rFonts w:ascii="Arial" w:eastAsia="Batang" w:hAnsi="Arial" w:cs="Arial"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1CC10FD"/>
    <w:multiLevelType w:val="hybridMultilevel"/>
    <w:tmpl w:val="EDEAE01A"/>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02FF2096"/>
    <w:multiLevelType w:val="hybridMultilevel"/>
    <w:tmpl w:val="94FAC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587022"/>
    <w:multiLevelType w:val="hybridMultilevel"/>
    <w:tmpl w:val="3AA06788"/>
    <w:lvl w:ilvl="0" w:tplc="04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4834D96"/>
    <w:multiLevelType w:val="hybridMultilevel"/>
    <w:tmpl w:val="9F6CA326"/>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8B7D74"/>
    <w:multiLevelType w:val="hybridMultilevel"/>
    <w:tmpl w:val="1C7654E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D1E70"/>
    <w:multiLevelType w:val="hybridMultilevel"/>
    <w:tmpl w:val="6ACC9504"/>
    <w:lvl w:ilvl="0" w:tplc="3E6ADE5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245E3A"/>
    <w:multiLevelType w:val="hybridMultilevel"/>
    <w:tmpl w:val="229E5FD2"/>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EE1540"/>
    <w:multiLevelType w:val="hybridMultilevel"/>
    <w:tmpl w:val="0D3AD5CC"/>
    <w:lvl w:ilvl="0" w:tplc="1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3D4D04"/>
    <w:multiLevelType w:val="hybridMultilevel"/>
    <w:tmpl w:val="CFACB3D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7BC65E7"/>
    <w:multiLevelType w:val="multilevel"/>
    <w:tmpl w:val="20E0AE66"/>
    <w:lvl w:ilvl="0">
      <w:start w:val="1"/>
      <w:numFmt w:val="decimal"/>
      <w:lvlText w:val="(%1)"/>
      <w:lvlJc w:val="left"/>
      <w:pPr>
        <w:tabs>
          <w:tab w:val="num" w:pos="720"/>
        </w:tabs>
        <w:ind w:left="720" w:hanging="360"/>
      </w:pPr>
      <w:rPr>
        <w:rFonts w:cs="Times New Roman" w:hint="default"/>
      </w:rPr>
    </w:lvl>
    <w:lvl w:ilvl="1">
      <w:start w:val="1"/>
      <w:numFmt w:val="lowerRoman"/>
      <w:lvlText w:val="(%2)"/>
      <w:lvlJc w:val="left"/>
      <w:pPr>
        <w:tabs>
          <w:tab w:val="num" w:pos="1800"/>
        </w:tabs>
        <w:ind w:left="1800" w:hanging="720"/>
      </w:pPr>
      <w:rPr>
        <w:rFonts w:cs="Times New Roman" w:hint="default"/>
      </w:rPr>
    </w:lvl>
    <w:lvl w:ilvl="2">
      <w:start w:val="1"/>
      <w:numFmt w:val="decimal"/>
      <w:lvlText w:val="%3."/>
      <w:lvlJc w:val="left"/>
      <w:pPr>
        <w:tabs>
          <w:tab w:val="num" w:pos="2340"/>
        </w:tabs>
        <w:ind w:left="2340" w:hanging="360"/>
      </w:pPr>
      <w:rPr>
        <w:rFonts w:cs="Times New Roman" w:hint="default"/>
        <w:b w:val="0"/>
      </w:rPr>
    </w:lvl>
    <w:lvl w:ilvl="3">
      <w:start w:val="1"/>
      <w:numFmt w:val="bullet"/>
      <w:lvlText w:val="-"/>
      <w:lvlJc w:val="left"/>
      <w:pPr>
        <w:tabs>
          <w:tab w:val="num" w:pos="720"/>
        </w:tabs>
        <w:ind w:left="720" w:hanging="720"/>
      </w:pPr>
      <w:rPr>
        <w:rFonts w:ascii="Arial" w:hAnsi="Arial" w:hint="default"/>
        <w:i/>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500"/>
        </w:tabs>
        <w:ind w:left="4500" w:hanging="360"/>
      </w:pPr>
      <w:rPr>
        <w:rFonts w:cs="Times New Roman" w:hint="default"/>
      </w:rPr>
    </w:lvl>
    <w:lvl w:ilvl="6">
      <w:start w:val="1"/>
      <w:numFmt w:val="lowerLetter"/>
      <w:lvlText w:val="%7)"/>
      <w:lvlJc w:val="left"/>
      <w:pPr>
        <w:tabs>
          <w:tab w:val="num" w:pos="5400"/>
        </w:tabs>
        <w:ind w:left="5400" w:hanging="720"/>
      </w:pPr>
      <w:rPr>
        <w:rFonts w:cs="Times New Roman" w:hint="default"/>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07CA7467"/>
    <w:multiLevelType w:val="hybridMultilevel"/>
    <w:tmpl w:val="A36E23E4"/>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8832C66"/>
    <w:multiLevelType w:val="hybridMultilevel"/>
    <w:tmpl w:val="ED487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F6717A"/>
    <w:multiLevelType w:val="hybridMultilevel"/>
    <w:tmpl w:val="4072D1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2728F8"/>
    <w:multiLevelType w:val="hybridMultilevel"/>
    <w:tmpl w:val="BA108F02"/>
    <w:lvl w:ilvl="0" w:tplc="0409000D">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0B480C60"/>
    <w:multiLevelType w:val="hybridMultilevel"/>
    <w:tmpl w:val="BEE87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A903F9"/>
    <w:multiLevelType w:val="hybridMultilevel"/>
    <w:tmpl w:val="A1BC3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6060FD"/>
    <w:multiLevelType w:val="hybridMultilevel"/>
    <w:tmpl w:val="0F7EB38C"/>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B57E9B"/>
    <w:multiLevelType w:val="hybridMultilevel"/>
    <w:tmpl w:val="A536B1CC"/>
    <w:lvl w:ilvl="0" w:tplc="04090001">
      <w:start w:val="1"/>
      <w:numFmt w:val="bullet"/>
      <w:lvlText w:val=""/>
      <w:lvlJc w:val="left"/>
      <w:pPr>
        <w:ind w:left="1080" w:hanging="360"/>
      </w:pPr>
      <w:rPr>
        <w:rFonts w:ascii="Symbol" w:hAnsi="Symbol" w:hint="default"/>
      </w:rPr>
    </w:lvl>
    <w:lvl w:ilvl="1" w:tplc="64D0E070">
      <w:start w:val="93"/>
      <w:numFmt w:val="bullet"/>
      <w:lvlText w:val="-"/>
      <w:lvlJc w:val="left"/>
      <w:pPr>
        <w:ind w:left="1800" w:hanging="360"/>
      </w:pPr>
      <w:rPr>
        <w:rFonts w:ascii="Arial" w:eastAsia="Batang" w:hAnsi="Arial" w:cs="Aria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0DFC32CA"/>
    <w:multiLevelType w:val="hybridMultilevel"/>
    <w:tmpl w:val="44D2A5F2"/>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300086"/>
    <w:multiLevelType w:val="hybridMultilevel"/>
    <w:tmpl w:val="D9F63AFE"/>
    <w:lvl w:ilvl="0" w:tplc="F94208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E65608A"/>
    <w:multiLevelType w:val="hybridMultilevel"/>
    <w:tmpl w:val="BFB2C5B4"/>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D">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0F295AEE"/>
    <w:multiLevelType w:val="hybridMultilevel"/>
    <w:tmpl w:val="361E9FD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15:restartNumberingAfterBreak="0">
    <w:nsid w:val="0F95004E"/>
    <w:multiLevelType w:val="hybridMultilevel"/>
    <w:tmpl w:val="86C6D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FE0D14"/>
    <w:multiLevelType w:val="hybridMultilevel"/>
    <w:tmpl w:val="E3E8F49C"/>
    <w:lvl w:ilvl="0" w:tplc="B3D21622">
      <w:start w:val="1"/>
      <w:numFmt w:val="bullet"/>
      <w:lvlText w:val="-"/>
      <w:lvlJc w:val="left"/>
      <w:pPr>
        <w:ind w:left="1429" w:hanging="360"/>
      </w:pPr>
      <w:rPr>
        <w:rFonts w:ascii="Arial" w:hAnsi="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11757068"/>
    <w:multiLevelType w:val="hybridMultilevel"/>
    <w:tmpl w:val="0AD0264E"/>
    <w:lvl w:ilvl="0" w:tplc="B3D21622">
      <w:start w:val="1"/>
      <w:numFmt w:val="bullet"/>
      <w:lvlText w:val="-"/>
      <w:lvlJc w:val="left"/>
      <w:pPr>
        <w:ind w:left="1211" w:hanging="360"/>
      </w:pPr>
      <w:rPr>
        <w:rFonts w:ascii="Arial" w:hAnsi="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8" w15:restartNumberingAfterBreak="0">
    <w:nsid w:val="124A56E1"/>
    <w:multiLevelType w:val="hybridMultilevel"/>
    <w:tmpl w:val="F878B520"/>
    <w:lvl w:ilvl="0" w:tplc="B3D2162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B96C22"/>
    <w:multiLevelType w:val="hybridMultilevel"/>
    <w:tmpl w:val="3092BA02"/>
    <w:lvl w:ilvl="0" w:tplc="04090001">
      <w:start w:val="1"/>
      <w:numFmt w:val="bullet"/>
      <w:lvlText w:val=""/>
      <w:lvlJc w:val="left"/>
      <w:pPr>
        <w:ind w:left="720" w:hanging="360"/>
      </w:pPr>
      <w:rPr>
        <w:rFonts w:ascii="Symbol" w:hAnsi="Symbol" w:hint="default"/>
      </w:rPr>
    </w:lvl>
    <w:lvl w:ilvl="1" w:tplc="4BAEAE4E">
      <w:start w:val="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282156"/>
    <w:multiLevelType w:val="hybridMultilevel"/>
    <w:tmpl w:val="2FE84E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474B95"/>
    <w:multiLevelType w:val="hybridMultilevel"/>
    <w:tmpl w:val="C8F8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A6469C"/>
    <w:multiLevelType w:val="hybridMultilevel"/>
    <w:tmpl w:val="331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D6669C"/>
    <w:multiLevelType w:val="hybridMultilevel"/>
    <w:tmpl w:val="A6A20DA2"/>
    <w:lvl w:ilvl="0" w:tplc="0409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66721FD"/>
    <w:multiLevelType w:val="hybridMultilevel"/>
    <w:tmpl w:val="D3C4A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0F29F0"/>
    <w:multiLevelType w:val="hybridMultilevel"/>
    <w:tmpl w:val="371A633A"/>
    <w:lvl w:ilvl="0" w:tplc="04090001">
      <w:start w:val="1"/>
      <w:numFmt w:val="bullet"/>
      <w:lvlText w:val=""/>
      <w:lvlJc w:val="left"/>
      <w:pPr>
        <w:ind w:left="720" w:hanging="360"/>
      </w:pPr>
      <w:rPr>
        <w:rFonts w:ascii="Symbol" w:hAnsi="Symbol" w:hint="default"/>
      </w:rPr>
    </w:lvl>
    <w:lvl w:ilvl="1" w:tplc="4BAEAE4E">
      <w:start w:val="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1A06B9"/>
    <w:multiLevelType w:val="hybridMultilevel"/>
    <w:tmpl w:val="5306839A"/>
    <w:lvl w:ilvl="0" w:tplc="D764A9DE">
      <w:start w:val="1"/>
      <w:numFmt w:val="arabicAlpha"/>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E9B4936"/>
    <w:multiLevelType w:val="hybridMultilevel"/>
    <w:tmpl w:val="03A2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F497375"/>
    <w:multiLevelType w:val="hybridMultilevel"/>
    <w:tmpl w:val="400423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1FE256FD"/>
    <w:multiLevelType w:val="hybridMultilevel"/>
    <w:tmpl w:val="4E3235F2"/>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07A2B95"/>
    <w:multiLevelType w:val="hybridMultilevel"/>
    <w:tmpl w:val="4754DAC6"/>
    <w:lvl w:ilvl="0" w:tplc="0409000D">
      <w:start w:val="1"/>
      <w:numFmt w:val="bullet"/>
      <w:lvlText w:val=""/>
      <w:lvlJc w:val="left"/>
      <w:pPr>
        <w:ind w:left="1080" w:hanging="360"/>
      </w:pPr>
      <w:rPr>
        <w:rFonts w:ascii="Wingdings" w:hAnsi="Wingdings" w:hint="default"/>
      </w:rPr>
    </w:lvl>
    <w:lvl w:ilvl="1" w:tplc="E9A62F6A">
      <w:start w:val="29"/>
      <w:numFmt w:val="bullet"/>
      <w:lvlText w:val="-"/>
      <w:lvlJc w:val="left"/>
      <w:pPr>
        <w:ind w:left="1800" w:hanging="360"/>
      </w:pPr>
      <w:rPr>
        <w:rFonts w:ascii="Arial" w:eastAsiaTheme="minorEastAsia"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14341E7"/>
    <w:multiLevelType w:val="hybridMultilevel"/>
    <w:tmpl w:val="27681FEE"/>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1B2591C"/>
    <w:multiLevelType w:val="hybridMultilevel"/>
    <w:tmpl w:val="81646188"/>
    <w:lvl w:ilvl="0" w:tplc="B3D2162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B0C1C"/>
    <w:multiLevelType w:val="hybridMultilevel"/>
    <w:tmpl w:val="98B85A5A"/>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4" w15:restartNumberingAfterBreak="0">
    <w:nsid w:val="229F7054"/>
    <w:multiLevelType w:val="multilevel"/>
    <w:tmpl w:val="D35E3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2C34192"/>
    <w:multiLevelType w:val="hybridMultilevel"/>
    <w:tmpl w:val="61A69EA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3385F4D"/>
    <w:multiLevelType w:val="hybridMultilevel"/>
    <w:tmpl w:val="FD70356C"/>
    <w:lvl w:ilvl="0" w:tplc="A402836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552077"/>
    <w:multiLevelType w:val="hybridMultilevel"/>
    <w:tmpl w:val="6AD612A6"/>
    <w:lvl w:ilvl="0" w:tplc="4BAEAE4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5D5F61"/>
    <w:multiLevelType w:val="hybridMultilevel"/>
    <w:tmpl w:val="198678A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0766446">
      <w:numFmt w:val="bullet"/>
      <w:lvlText w:val="•"/>
      <w:lvlJc w:val="left"/>
      <w:pPr>
        <w:ind w:left="2160" w:hanging="360"/>
      </w:pPr>
      <w:rPr>
        <w:rFonts w:ascii="Arial" w:eastAsiaTheme="minorEastAsia"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3955262"/>
    <w:multiLevelType w:val="hybridMultilevel"/>
    <w:tmpl w:val="67DE1CCA"/>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A94F6B"/>
    <w:multiLevelType w:val="hybridMultilevel"/>
    <w:tmpl w:val="0FC2E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7415F8"/>
    <w:multiLevelType w:val="hybridMultilevel"/>
    <w:tmpl w:val="EBB4F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58D552E"/>
    <w:multiLevelType w:val="hybridMultilevel"/>
    <w:tmpl w:val="C5D4E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FD1C63"/>
    <w:multiLevelType w:val="hybridMultilevel"/>
    <w:tmpl w:val="853CC2AA"/>
    <w:lvl w:ilvl="0" w:tplc="04090001">
      <w:start w:val="1"/>
      <w:numFmt w:val="bullet"/>
      <w:lvlText w:val=""/>
      <w:lvlJc w:val="left"/>
      <w:pPr>
        <w:ind w:left="1080" w:hanging="360"/>
      </w:pPr>
      <w:rPr>
        <w:rFonts w:ascii="Symbol" w:hAnsi="Symbol" w:hint="default"/>
      </w:rPr>
    </w:lvl>
    <w:lvl w:ilvl="1" w:tplc="B3D21622">
      <w:start w:val="1"/>
      <w:numFmt w:val="bullet"/>
      <w:lvlText w:val="-"/>
      <w:lvlJc w:val="left"/>
      <w:pPr>
        <w:ind w:left="1800" w:hanging="360"/>
      </w:pPr>
      <w:rPr>
        <w:rFonts w:ascii="Arial" w:hAnsi="Aria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263D3D20"/>
    <w:multiLevelType w:val="hybridMultilevel"/>
    <w:tmpl w:val="6284C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6B359BE"/>
    <w:multiLevelType w:val="hybridMultilevel"/>
    <w:tmpl w:val="04847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797092D"/>
    <w:multiLevelType w:val="hybridMultilevel"/>
    <w:tmpl w:val="547A5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7B16DF4"/>
    <w:multiLevelType w:val="hybridMultilevel"/>
    <w:tmpl w:val="60F8A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36341D"/>
    <w:multiLevelType w:val="hybridMultilevel"/>
    <w:tmpl w:val="58227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AB3DCC"/>
    <w:multiLevelType w:val="hybridMultilevel"/>
    <w:tmpl w:val="398C0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A94247D"/>
    <w:multiLevelType w:val="hybridMultilevel"/>
    <w:tmpl w:val="ECD0673E"/>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AFE0221"/>
    <w:multiLevelType w:val="hybridMultilevel"/>
    <w:tmpl w:val="8E1076B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2" w15:restartNumberingAfterBreak="0">
    <w:nsid w:val="2B3A0379"/>
    <w:multiLevelType w:val="hybridMultilevel"/>
    <w:tmpl w:val="B4A6F50E"/>
    <w:lvl w:ilvl="0" w:tplc="B3D21622">
      <w:start w:val="1"/>
      <w:numFmt w:val="bullet"/>
      <w:lvlText w:val="-"/>
      <w:lvlJc w:val="left"/>
      <w:pPr>
        <w:ind w:left="720" w:hanging="360"/>
      </w:pPr>
      <w:rPr>
        <w:rFonts w:ascii="Arial" w:hAnsi="Aria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B3D7D1D"/>
    <w:multiLevelType w:val="hybridMultilevel"/>
    <w:tmpl w:val="8F10E2A0"/>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B6C0B8D"/>
    <w:multiLevelType w:val="hybridMultilevel"/>
    <w:tmpl w:val="897AA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BC31B8B"/>
    <w:multiLevelType w:val="hybridMultilevel"/>
    <w:tmpl w:val="9642DA50"/>
    <w:lvl w:ilvl="0" w:tplc="B3D21622">
      <w:start w:val="1"/>
      <w:numFmt w:val="bullet"/>
      <w:lvlText w:val="-"/>
      <w:lvlJc w:val="left"/>
      <w:pPr>
        <w:ind w:left="1080" w:hanging="360"/>
      </w:pPr>
      <w:rPr>
        <w:rFonts w:ascii="Arial" w:hAnsi="Aria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E564D36"/>
    <w:multiLevelType w:val="hybridMultilevel"/>
    <w:tmpl w:val="677A0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EAB064B"/>
    <w:multiLevelType w:val="hybridMultilevel"/>
    <w:tmpl w:val="26785218"/>
    <w:lvl w:ilvl="0" w:tplc="04090001">
      <w:start w:val="1"/>
      <w:numFmt w:val="bullet"/>
      <w:lvlText w:val=""/>
      <w:lvlJc w:val="left"/>
      <w:pPr>
        <w:ind w:left="928" w:hanging="360"/>
      </w:pPr>
      <w:rPr>
        <w:rFonts w:ascii="Symbol" w:hAnsi="Symbol" w:hint="default"/>
      </w:rPr>
    </w:lvl>
    <w:lvl w:ilvl="1" w:tplc="B3D21622">
      <w:start w:val="1"/>
      <w:numFmt w:val="bullet"/>
      <w:lvlText w:val="-"/>
      <w:lvlJc w:val="left"/>
      <w:pPr>
        <w:ind w:left="1648" w:hanging="360"/>
      </w:pPr>
      <w:rPr>
        <w:rFonts w:ascii="Arial" w:hAnsi="Arial" w:hint="default"/>
      </w:rPr>
    </w:lvl>
    <w:lvl w:ilvl="2" w:tplc="1C090005" w:tentative="1">
      <w:start w:val="1"/>
      <w:numFmt w:val="bullet"/>
      <w:lvlText w:val=""/>
      <w:lvlJc w:val="left"/>
      <w:pPr>
        <w:ind w:left="2368" w:hanging="360"/>
      </w:pPr>
      <w:rPr>
        <w:rFonts w:ascii="Wingdings" w:hAnsi="Wingdings" w:hint="default"/>
      </w:rPr>
    </w:lvl>
    <w:lvl w:ilvl="3" w:tplc="1C090001" w:tentative="1">
      <w:start w:val="1"/>
      <w:numFmt w:val="bullet"/>
      <w:lvlText w:val=""/>
      <w:lvlJc w:val="left"/>
      <w:pPr>
        <w:ind w:left="3088" w:hanging="360"/>
      </w:pPr>
      <w:rPr>
        <w:rFonts w:ascii="Symbol" w:hAnsi="Symbol" w:hint="default"/>
      </w:rPr>
    </w:lvl>
    <w:lvl w:ilvl="4" w:tplc="1C090003" w:tentative="1">
      <w:start w:val="1"/>
      <w:numFmt w:val="bullet"/>
      <w:lvlText w:val="o"/>
      <w:lvlJc w:val="left"/>
      <w:pPr>
        <w:ind w:left="3808" w:hanging="360"/>
      </w:pPr>
      <w:rPr>
        <w:rFonts w:ascii="Courier New" w:hAnsi="Courier New" w:cs="Courier New" w:hint="default"/>
      </w:rPr>
    </w:lvl>
    <w:lvl w:ilvl="5" w:tplc="1C090005" w:tentative="1">
      <w:start w:val="1"/>
      <w:numFmt w:val="bullet"/>
      <w:lvlText w:val=""/>
      <w:lvlJc w:val="left"/>
      <w:pPr>
        <w:ind w:left="4528" w:hanging="360"/>
      </w:pPr>
      <w:rPr>
        <w:rFonts w:ascii="Wingdings" w:hAnsi="Wingdings" w:hint="default"/>
      </w:rPr>
    </w:lvl>
    <w:lvl w:ilvl="6" w:tplc="1C090001" w:tentative="1">
      <w:start w:val="1"/>
      <w:numFmt w:val="bullet"/>
      <w:lvlText w:val=""/>
      <w:lvlJc w:val="left"/>
      <w:pPr>
        <w:ind w:left="5248" w:hanging="360"/>
      </w:pPr>
      <w:rPr>
        <w:rFonts w:ascii="Symbol" w:hAnsi="Symbol" w:hint="default"/>
      </w:rPr>
    </w:lvl>
    <w:lvl w:ilvl="7" w:tplc="1C090003" w:tentative="1">
      <w:start w:val="1"/>
      <w:numFmt w:val="bullet"/>
      <w:lvlText w:val="o"/>
      <w:lvlJc w:val="left"/>
      <w:pPr>
        <w:ind w:left="5968" w:hanging="360"/>
      </w:pPr>
      <w:rPr>
        <w:rFonts w:ascii="Courier New" w:hAnsi="Courier New" w:cs="Courier New" w:hint="default"/>
      </w:rPr>
    </w:lvl>
    <w:lvl w:ilvl="8" w:tplc="1C090005" w:tentative="1">
      <w:start w:val="1"/>
      <w:numFmt w:val="bullet"/>
      <w:lvlText w:val=""/>
      <w:lvlJc w:val="left"/>
      <w:pPr>
        <w:ind w:left="6688" w:hanging="360"/>
      </w:pPr>
      <w:rPr>
        <w:rFonts w:ascii="Wingdings" w:hAnsi="Wingdings" w:hint="default"/>
      </w:rPr>
    </w:lvl>
  </w:abstractNum>
  <w:abstractNum w:abstractNumId="68" w15:restartNumberingAfterBreak="0">
    <w:nsid w:val="31111623"/>
    <w:multiLevelType w:val="hybridMultilevel"/>
    <w:tmpl w:val="9AFAD42E"/>
    <w:lvl w:ilvl="0" w:tplc="6D6E8C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1A42F51"/>
    <w:multiLevelType w:val="hybridMultilevel"/>
    <w:tmpl w:val="FBC8B3A4"/>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0" w15:restartNumberingAfterBreak="0">
    <w:nsid w:val="321A55B9"/>
    <w:multiLevelType w:val="hybridMultilevel"/>
    <w:tmpl w:val="B848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784526"/>
    <w:multiLevelType w:val="hybridMultilevel"/>
    <w:tmpl w:val="E65AC05E"/>
    <w:lvl w:ilvl="0" w:tplc="100C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44F094E"/>
    <w:multiLevelType w:val="hybridMultilevel"/>
    <w:tmpl w:val="9F8AF832"/>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3" w15:restartNumberingAfterBreak="0">
    <w:nsid w:val="34543BD4"/>
    <w:multiLevelType w:val="hybridMultilevel"/>
    <w:tmpl w:val="22208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4FF4A40"/>
    <w:multiLevelType w:val="hybridMultilevel"/>
    <w:tmpl w:val="81783CAC"/>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5DB4CE4"/>
    <w:multiLevelType w:val="hybridMultilevel"/>
    <w:tmpl w:val="FA6EF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6FE5E4A"/>
    <w:multiLevelType w:val="hybridMultilevel"/>
    <w:tmpl w:val="FCDADD9C"/>
    <w:lvl w:ilvl="0" w:tplc="0409000D">
      <w:start w:val="1"/>
      <w:numFmt w:val="bullet"/>
      <w:lvlText w:val=""/>
      <w:lvlJc w:val="left"/>
      <w:pPr>
        <w:ind w:left="1195" w:hanging="360"/>
      </w:pPr>
      <w:rPr>
        <w:rFonts w:ascii="Wingdings" w:hAnsi="Wingdings" w:hint="default"/>
      </w:rPr>
    </w:lvl>
    <w:lvl w:ilvl="1" w:tplc="04090003">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77" w15:restartNumberingAfterBreak="0">
    <w:nsid w:val="37E76462"/>
    <w:multiLevelType w:val="multilevel"/>
    <w:tmpl w:val="64F204C6"/>
    <w:lvl w:ilvl="0">
      <w:start w:val="1"/>
      <w:numFmt w:val="decimal"/>
      <w:lvlText w:val="%1."/>
      <w:lvlJc w:val="left"/>
      <w:pPr>
        <w:ind w:left="360" w:hanging="360"/>
      </w:pPr>
    </w:lvl>
    <w:lvl w:ilvl="1">
      <w:start w:val="1"/>
      <w:numFmt w:val="lowerLetter"/>
      <w:lvlText w:val="%2)"/>
      <w:lvlJc w:val="left"/>
      <w:pPr>
        <w:ind w:left="1142" w:hanging="432"/>
      </w:pPr>
      <w:rPr>
        <w:b w:val="0"/>
        <w:color w:val="auto"/>
      </w:rPr>
    </w:lvl>
    <w:lvl w:ilvl="2">
      <w:start w:val="1"/>
      <w:numFmt w:val="bullet"/>
      <w:lvlText w:val="-"/>
      <w:lvlJc w:val="left"/>
      <w:pPr>
        <w:ind w:left="1781" w:hanging="504"/>
      </w:pPr>
      <w:rPr>
        <w:rFonts w:ascii="Arial" w:hAnsi="Arial" w:hint="default"/>
        <w:b w:val="0"/>
        <w:sz w:val="22"/>
        <w:szCs w:val="22"/>
      </w:rPr>
    </w:lvl>
    <w:lvl w:ilvl="3">
      <w:start w:val="1"/>
      <w:numFmt w:val="decimal"/>
      <w:lvlText w:val="%1.%2.%3.%4."/>
      <w:lvlJc w:val="left"/>
      <w:pPr>
        <w:ind w:left="348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37F86891"/>
    <w:multiLevelType w:val="hybridMultilevel"/>
    <w:tmpl w:val="88EE83AA"/>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835074E"/>
    <w:multiLevelType w:val="hybridMultilevel"/>
    <w:tmpl w:val="454CF018"/>
    <w:lvl w:ilvl="0" w:tplc="0409000D">
      <w:start w:val="1"/>
      <w:numFmt w:val="bullet"/>
      <w:lvlText w:val=""/>
      <w:lvlJc w:val="left"/>
      <w:pPr>
        <w:ind w:left="1146" w:hanging="360"/>
      </w:pPr>
      <w:rPr>
        <w:rFonts w:ascii="Wingdings" w:hAnsi="Wingdings" w:hint="default"/>
      </w:rPr>
    </w:lvl>
    <w:lvl w:ilvl="1" w:tplc="61CE8762">
      <w:numFmt w:val="bullet"/>
      <w:lvlText w:val="–"/>
      <w:lvlJc w:val="left"/>
      <w:pPr>
        <w:ind w:left="1866" w:hanging="360"/>
      </w:pPr>
      <w:rPr>
        <w:rFonts w:ascii="Arial" w:eastAsiaTheme="minorEastAsia" w:hAnsi="Arial" w:cs="Arial"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0" w15:restartNumberingAfterBreak="0">
    <w:nsid w:val="38FB4433"/>
    <w:multiLevelType w:val="hybridMultilevel"/>
    <w:tmpl w:val="2AFEDA1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9C901FC"/>
    <w:multiLevelType w:val="hybridMultilevel"/>
    <w:tmpl w:val="94C839F2"/>
    <w:lvl w:ilvl="0" w:tplc="04090001">
      <w:start w:val="1"/>
      <w:numFmt w:val="bullet"/>
      <w:lvlText w:val=""/>
      <w:lvlJc w:val="left"/>
      <w:pPr>
        <w:ind w:left="2160" w:hanging="360"/>
      </w:pPr>
      <w:rPr>
        <w:rFonts w:ascii="Symbol" w:hAnsi="Symbol" w:hint="default"/>
      </w:rPr>
    </w:lvl>
    <w:lvl w:ilvl="1" w:tplc="B3D21622">
      <w:start w:val="1"/>
      <w:numFmt w:val="bullet"/>
      <w:lvlText w:val="-"/>
      <w:lvlJc w:val="left"/>
      <w:pPr>
        <w:ind w:left="2880" w:hanging="360"/>
      </w:pPr>
      <w:rPr>
        <w:rFonts w:ascii="Arial" w:hAnsi="Aria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2" w15:restartNumberingAfterBreak="0">
    <w:nsid w:val="39F93F5A"/>
    <w:multiLevelType w:val="hybridMultilevel"/>
    <w:tmpl w:val="94565250"/>
    <w:lvl w:ilvl="0" w:tplc="04090001">
      <w:start w:val="1"/>
      <w:numFmt w:val="bullet"/>
      <w:lvlText w:val=""/>
      <w:lvlJc w:val="left"/>
      <w:pPr>
        <w:ind w:left="1080" w:hanging="360"/>
      </w:pPr>
      <w:rPr>
        <w:rFonts w:ascii="Symbol" w:hAnsi="Symbol" w:hint="default"/>
      </w:rPr>
    </w:lvl>
    <w:lvl w:ilvl="1" w:tplc="E9A62F6A">
      <w:start w:val="29"/>
      <w:numFmt w:val="bullet"/>
      <w:lvlText w:val="-"/>
      <w:lvlJc w:val="left"/>
      <w:pPr>
        <w:ind w:left="1800" w:hanging="360"/>
      </w:pPr>
      <w:rPr>
        <w:rFonts w:ascii="Arial" w:eastAsiaTheme="minorEastAsia"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BCD5817"/>
    <w:multiLevelType w:val="hybridMultilevel"/>
    <w:tmpl w:val="6B94703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E634E1"/>
    <w:multiLevelType w:val="hybridMultilevel"/>
    <w:tmpl w:val="296EBA54"/>
    <w:lvl w:ilvl="0" w:tplc="9ACAA65A">
      <w:start w:val="1"/>
      <w:numFmt w:val="bullet"/>
      <w:lvlText w:val=""/>
      <w:lvlJc w:val="left"/>
      <w:pPr>
        <w:ind w:left="720" w:hanging="360"/>
      </w:pPr>
      <w:rPr>
        <w:rFonts w:ascii="Symbol" w:hAnsi="Symbol" w:hint="default"/>
        <w:color w:val="000000" w:themeColor="text1"/>
        <w:spacing w:val="-25"/>
        <w:w w:val="99"/>
        <w:sz w:val="24"/>
        <w:szCs w:val="24"/>
      </w:rPr>
    </w:lvl>
    <w:lvl w:ilvl="1" w:tplc="C284CB74">
      <w:numFmt w:val="bullet"/>
      <w:lvlText w:val="•"/>
      <w:lvlJc w:val="left"/>
      <w:pPr>
        <w:ind w:left="3270" w:hanging="711"/>
      </w:pPr>
      <w:rPr>
        <w:rFonts w:hint="default"/>
      </w:rPr>
    </w:lvl>
    <w:lvl w:ilvl="2" w:tplc="AE1E4D76">
      <w:numFmt w:val="bullet"/>
      <w:lvlText w:val="•"/>
      <w:lvlJc w:val="left"/>
      <w:pPr>
        <w:ind w:left="4161" w:hanging="711"/>
      </w:pPr>
      <w:rPr>
        <w:rFonts w:hint="default"/>
      </w:rPr>
    </w:lvl>
    <w:lvl w:ilvl="3" w:tplc="30D23D76">
      <w:numFmt w:val="bullet"/>
      <w:lvlText w:val="•"/>
      <w:lvlJc w:val="left"/>
      <w:pPr>
        <w:ind w:left="5051" w:hanging="711"/>
      </w:pPr>
      <w:rPr>
        <w:rFonts w:hint="default"/>
      </w:rPr>
    </w:lvl>
    <w:lvl w:ilvl="4" w:tplc="6C989F06">
      <w:numFmt w:val="bullet"/>
      <w:lvlText w:val="•"/>
      <w:lvlJc w:val="left"/>
      <w:pPr>
        <w:ind w:left="5942" w:hanging="711"/>
      </w:pPr>
      <w:rPr>
        <w:rFonts w:hint="default"/>
      </w:rPr>
    </w:lvl>
    <w:lvl w:ilvl="5" w:tplc="44840E62">
      <w:numFmt w:val="bullet"/>
      <w:lvlText w:val="•"/>
      <w:lvlJc w:val="left"/>
      <w:pPr>
        <w:ind w:left="6833" w:hanging="711"/>
      </w:pPr>
      <w:rPr>
        <w:rFonts w:hint="default"/>
      </w:rPr>
    </w:lvl>
    <w:lvl w:ilvl="6" w:tplc="0280337E">
      <w:numFmt w:val="bullet"/>
      <w:lvlText w:val="•"/>
      <w:lvlJc w:val="left"/>
      <w:pPr>
        <w:ind w:left="7723" w:hanging="711"/>
      </w:pPr>
      <w:rPr>
        <w:rFonts w:hint="default"/>
      </w:rPr>
    </w:lvl>
    <w:lvl w:ilvl="7" w:tplc="B41E74F0">
      <w:numFmt w:val="bullet"/>
      <w:lvlText w:val="•"/>
      <w:lvlJc w:val="left"/>
      <w:pPr>
        <w:ind w:left="8614" w:hanging="711"/>
      </w:pPr>
      <w:rPr>
        <w:rFonts w:hint="default"/>
      </w:rPr>
    </w:lvl>
    <w:lvl w:ilvl="8" w:tplc="A64EB114">
      <w:numFmt w:val="bullet"/>
      <w:lvlText w:val="•"/>
      <w:lvlJc w:val="left"/>
      <w:pPr>
        <w:ind w:left="9505" w:hanging="711"/>
      </w:pPr>
      <w:rPr>
        <w:rFonts w:hint="default"/>
      </w:rPr>
    </w:lvl>
  </w:abstractNum>
  <w:abstractNum w:abstractNumId="85" w15:restartNumberingAfterBreak="0">
    <w:nsid w:val="3C03074B"/>
    <w:multiLevelType w:val="hybridMultilevel"/>
    <w:tmpl w:val="FB4C20BC"/>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C6F28DE"/>
    <w:multiLevelType w:val="hybridMultilevel"/>
    <w:tmpl w:val="20EC5C80"/>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D164372"/>
    <w:multiLevelType w:val="hybridMultilevel"/>
    <w:tmpl w:val="582CF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D9674A2"/>
    <w:multiLevelType w:val="hybridMultilevel"/>
    <w:tmpl w:val="DB3AC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E9E682D"/>
    <w:multiLevelType w:val="hybridMultilevel"/>
    <w:tmpl w:val="16680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F9C0810"/>
    <w:multiLevelType w:val="hybridMultilevel"/>
    <w:tmpl w:val="F9609EC4"/>
    <w:lvl w:ilvl="0" w:tplc="B3D2162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1A77702"/>
    <w:multiLevelType w:val="hybridMultilevel"/>
    <w:tmpl w:val="C1406612"/>
    <w:lvl w:ilvl="0" w:tplc="04090001">
      <w:start w:val="1"/>
      <w:numFmt w:val="bullet"/>
      <w:lvlText w:val=""/>
      <w:lvlJc w:val="left"/>
      <w:pPr>
        <w:ind w:left="1353" w:hanging="360"/>
      </w:pPr>
      <w:rPr>
        <w:rFonts w:ascii="Symbol" w:hAnsi="Symbol"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2" w15:restartNumberingAfterBreak="0">
    <w:nsid w:val="41C90400"/>
    <w:multiLevelType w:val="hybridMultilevel"/>
    <w:tmpl w:val="376A58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29E74E6"/>
    <w:multiLevelType w:val="hybridMultilevel"/>
    <w:tmpl w:val="C986C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537ABC"/>
    <w:multiLevelType w:val="hybridMultilevel"/>
    <w:tmpl w:val="97EE3526"/>
    <w:lvl w:ilvl="0" w:tplc="0409000D">
      <w:start w:val="1"/>
      <w:numFmt w:val="bullet"/>
      <w:lvlText w:val=""/>
      <w:lvlJc w:val="left"/>
      <w:pPr>
        <w:ind w:left="1146" w:hanging="360"/>
      </w:pPr>
      <w:rPr>
        <w:rFonts w:ascii="Wingdings" w:hAnsi="Wingdings" w:hint="default"/>
      </w:rPr>
    </w:lvl>
    <w:lvl w:ilvl="1" w:tplc="0409000D">
      <w:start w:val="1"/>
      <w:numFmt w:val="bullet"/>
      <w:lvlText w:val=""/>
      <w:lvlJc w:val="left"/>
      <w:pPr>
        <w:ind w:left="1866" w:hanging="360"/>
      </w:pPr>
      <w:rPr>
        <w:rFonts w:ascii="Wingdings" w:hAnsi="Wingdings"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5" w15:restartNumberingAfterBreak="0">
    <w:nsid w:val="43A6714C"/>
    <w:multiLevelType w:val="hybridMultilevel"/>
    <w:tmpl w:val="7A2C7AA8"/>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6" w15:restartNumberingAfterBreak="0">
    <w:nsid w:val="458F3E7C"/>
    <w:multiLevelType w:val="hybridMultilevel"/>
    <w:tmpl w:val="C4AA2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7B47A16"/>
    <w:multiLevelType w:val="hybridMultilevel"/>
    <w:tmpl w:val="E9AC20D4"/>
    <w:lvl w:ilvl="0" w:tplc="04090001">
      <w:start w:val="1"/>
      <w:numFmt w:val="bullet"/>
      <w:lvlText w:val=""/>
      <w:lvlJc w:val="left"/>
      <w:pPr>
        <w:ind w:left="928" w:hanging="360"/>
      </w:pPr>
      <w:rPr>
        <w:rFonts w:ascii="Symbol" w:hAnsi="Symbol" w:hint="default"/>
      </w:rPr>
    </w:lvl>
    <w:lvl w:ilvl="1" w:tplc="B3D21622">
      <w:start w:val="1"/>
      <w:numFmt w:val="bullet"/>
      <w:lvlText w:val="-"/>
      <w:lvlJc w:val="left"/>
      <w:pPr>
        <w:ind w:left="1648" w:hanging="360"/>
      </w:pPr>
      <w:rPr>
        <w:rFonts w:ascii="Arial" w:hAnsi="Arial" w:hint="default"/>
      </w:rPr>
    </w:lvl>
    <w:lvl w:ilvl="2" w:tplc="1C090005" w:tentative="1">
      <w:start w:val="1"/>
      <w:numFmt w:val="bullet"/>
      <w:lvlText w:val=""/>
      <w:lvlJc w:val="left"/>
      <w:pPr>
        <w:ind w:left="2368" w:hanging="360"/>
      </w:pPr>
      <w:rPr>
        <w:rFonts w:ascii="Wingdings" w:hAnsi="Wingdings" w:hint="default"/>
      </w:rPr>
    </w:lvl>
    <w:lvl w:ilvl="3" w:tplc="1C090001" w:tentative="1">
      <w:start w:val="1"/>
      <w:numFmt w:val="bullet"/>
      <w:lvlText w:val=""/>
      <w:lvlJc w:val="left"/>
      <w:pPr>
        <w:ind w:left="3088" w:hanging="360"/>
      </w:pPr>
      <w:rPr>
        <w:rFonts w:ascii="Symbol" w:hAnsi="Symbol" w:hint="default"/>
      </w:rPr>
    </w:lvl>
    <w:lvl w:ilvl="4" w:tplc="1C090003" w:tentative="1">
      <w:start w:val="1"/>
      <w:numFmt w:val="bullet"/>
      <w:lvlText w:val="o"/>
      <w:lvlJc w:val="left"/>
      <w:pPr>
        <w:ind w:left="3808" w:hanging="360"/>
      </w:pPr>
      <w:rPr>
        <w:rFonts w:ascii="Courier New" w:hAnsi="Courier New" w:cs="Courier New" w:hint="default"/>
      </w:rPr>
    </w:lvl>
    <w:lvl w:ilvl="5" w:tplc="1C090005" w:tentative="1">
      <w:start w:val="1"/>
      <w:numFmt w:val="bullet"/>
      <w:lvlText w:val=""/>
      <w:lvlJc w:val="left"/>
      <w:pPr>
        <w:ind w:left="4528" w:hanging="360"/>
      </w:pPr>
      <w:rPr>
        <w:rFonts w:ascii="Wingdings" w:hAnsi="Wingdings" w:hint="default"/>
      </w:rPr>
    </w:lvl>
    <w:lvl w:ilvl="6" w:tplc="1C090001" w:tentative="1">
      <w:start w:val="1"/>
      <w:numFmt w:val="bullet"/>
      <w:lvlText w:val=""/>
      <w:lvlJc w:val="left"/>
      <w:pPr>
        <w:ind w:left="5248" w:hanging="360"/>
      </w:pPr>
      <w:rPr>
        <w:rFonts w:ascii="Symbol" w:hAnsi="Symbol" w:hint="default"/>
      </w:rPr>
    </w:lvl>
    <w:lvl w:ilvl="7" w:tplc="1C090003" w:tentative="1">
      <w:start w:val="1"/>
      <w:numFmt w:val="bullet"/>
      <w:lvlText w:val="o"/>
      <w:lvlJc w:val="left"/>
      <w:pPr>
        <w:ind w:left="5968" w:hanging="360"/>
      </w:pPr>
      <w:rPr>
        <w:rFonts w:ascii="Courier New" w:hAnsi="Courier New" w:cs="Courier New" w:hint="default"/>
      </w:rPr>
    </w:lvl>
    <w:lvl w:ilvl="8" w:tplc="1C090005" w:tentative="1">
      <w:start w:val="1"/>
      <w:numFmt w:val="bullet"/>
      <w:lvlText w:val=""/>
      <w:lvlJc w:val="left"/>
      <w:pPr>
        <w:ind w:left="6688" w:hanging="360"/>
      </w:pPr>
      <w:rPr>
        <w:rFonts w:ascii="Wingdings" w:hAnsi="Wingdings" w:hint="default"/>
      </w:rPr>
    </w:lvl>
  </w:abstractNum>
  <w:abstractNum w:abstractNumId="98" w15:restartNumberingAfterBreak="0">
    <w:nsid w:val="485D6477"/>
    <w:multiLevelType w:val="multilevel"/>
    <w:tmpl w:val="4EFC8E66"/>
    <w:lvl w:ilvl="0">
      <w:start w:val="1"/>
      <w:numFmt w:val="bullet"/>
      <w:lvlText w:val="•"/>
      <w:lvlJc w:val="left"/>
      <w:pPr>
        <w:tabs>
          <w:tab w:val="num" w:pos="357"/>
        </w:tabs>
        <w:ind w:left="357" w:hanging="357"/>
      </w:pPr>
      <w:rPr>
        <w:rFonts w:ascii="Calibri" w:hAnsi="Calibri" w:hint="default"/>
      </w:rPr>
    </w:lvl>
    <w:lvl w:ilvl="1">
      <w:start w:val="1"/>
      <w:numFmt w:val="bullet"/>
      <w:lvlText w:val="̶"/>
      <w:lvlJc w:val="left"/>
      <w:pPr>
        <w:tabs>
          <w:tab w:val="num" w:pos="720"/>
        </w:tabs>
        <w:ind w:left="720" w:hanging="363"/>
      </w:pPr>
      <w:rPr>
        <w:rFonts w:ascii="Calibri" w:hAnsi="Calibri" w:hint="default"/>
      </w:rPr>
    </w:lvl>
    <w:lvl w:ilvl="2">
      <w:start w:val="1"/>
      <w:numFmt w:val="bullet"/>
      <w:lvlText w:val="*"/>
      <w:lvlJc w:val="left"/>
      <w:pPr>
        <w:tabs>
          <w:tab w:val="num" w:pos="1077"/>
        </w:tabs>
        <w:ind w:left="1077" w:hanging="357"/>
      </w:pPr>
      <w:rPr>
        <w:rFonts w:ascii="Calibri" w:hAnsi="Calibri"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9" w15:restartNumberingAfterBreak="0">
    <w:nsid w:val="488D7A3C"/>
    <w:multiLevelType w:val="hybridMultilevel"/>
    <w:tmpl w:val="23FCF810"/>
    <w:lvl w:ilvl="0" w:tplc="0409000D">
      <w:start w:val="1"/>
      <w:numFmt w:val="bullet"/>
      <w:lvlText w:val=""/>
      <w:lvlJc w:val="left"/>
      <w:pPr>
        <w:ind w:left="1146"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0" w15:restartNumberingAfterBreak="0">
    <w:nsid w:val="48C875D1"/>
    <w:multiLevelType w:val="hybridMultilevel"/>
    <w:tmpl w:val="614040A8"/>
    <w:lvl w:ilvl="0" w:tplc="B3D21622">
      <w:start w:val="1"/>
      <w:numFmt w:val="bullet"/>
      <w:lvlText w:val="-"/>
      <w:lvlJc w:val="left"/>
      <w:pPr>
        <w:ind w:left="1211" w:hanging="360"/>
      </w:pPr>
      <w:rPr>
        <w:rFonts w:ascii="Arial" w:hAnsi="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01" w15:restartNumberingAfterBreak="0">
    <w:nsid w:val="4C71531E"/>
    <w:multiLevelType w:val="hybridMultilevel"/>
    <w:tmpl w:val="DEC02A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CF06662"/>
    <w:multiLevelType w:val="hybridMultilevel"/>
    <w:tmpl w:val="4D484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CF16EB2"/>
    <w:multiLevelType w:val="hybridMultilevel"/>
    <w:tmpl w:val="9DCA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0B43DC9"/>
    <w:multiLevelType w:val="hybridMultilevel"/>
    <w:tmpl w:val="34D68162"/>
    <w:lvl w:ilvl="0" w:tplc="B3D21622">
      <w:start w:val="1"/>
      <w:numFmt w:val="bullet"/>
      <w:lvlText w:val="-"/>
      <w:lvlJc w:val="left"/>
      <w:pPr>
        <w:ind w:left="720" w:hanging="360"/>
      </w:pPr>
      <w:rPr>
        <w:rFonts w:ascii="Arial" w:hAnsi="Arial" w:hint="default"/>
      </w:rPr>
    </w:lvl>
    <w:lvl w:ilvl="1" w:tplc="4BAEAE4E">
      <w:start w:val="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0B75420"/>
    <w:multiLevelType w:val="hybridMultilevel"/>
    <w:tmpl w:val="6ED8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13060B3"/>
    <w:multiLevelType w:val="hybridMultilevel"/>
    <w:tmpl w:val="EBDA8840"/>
    <w:lvl w:ilvl="0" w:tplc="B3D21622">
      <w:start w:val="1"/>
      <w:numFmt w:val="bullet"/>
      <w:lvlText w:val="-"/>
      <w:lvlJc w:val="left"/>
      <w:pPr>
        <w:ind w:left="1575" w:hanging="360"/>
      </w:pPr>
      <w:rPr>
        <w:rFonts w:ascii="Arial" w:hAnsi="Aria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107" w15:restartNumberingAfterBreak="0">
    <w:nsid w:val="51BB2B4E"/>
    <w:multiLevelType w:val="hybridMultilevel"/>
    <w:tmpl w:val="3B1E3FFA"/>
    <w:lvl w:ilvl="0" w:tplc="B3D2162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3261778"/>
    <w:multiLevelType w:val="multilevel"/>
    <w:tmpl w:val="FAD8C15E"/>
    <w:lvl w:ilvl="0">
      <w:start w:val="1"/>
      <w:numFmt w:val="decimal"/>
      <w:lvlText w:val="(%1)"/>
      <w:lvlJc w:val="left"/>
      <w:pPr>
        <w:tabs>
          <w:tab w:val="num" w:pos="720"/>
        </w:tabs>
        <w:ind w:left="720" w:hanging="360"/>
      </w:pPr>
      <w:rPr>
        <w:rFonts w:cs="Times New Roman" w:hint="default"/>
      </w:rPr>
    </w:lvl>
    <w:lvl w:ilvl="1">
      <w:start w:val="1"/>
      <w:numFmt w:val="lowerRoman"/>
      <w:lvlText w:val="(%2)"/>
      <w:lvlJc w:val="left"/>
      <w:pPr>
        <w:tabs>
          <w:tab w:val="num" w:pos="1800"/>
        </w:tabs>
        <w:ind w:left="1800" w:hanging="720"/>
      </w:pPr>
      <w:rPr>
        <w:rFonts w:cs="Times New Roman" w:hint="default"/>
      </w:rPr>
    </w:lvl>
    <w:lvl w:ilvl="2">
      <w:start w:val="1"/>
      <w:numFmt w:val="decimal"/>
      <w:lvlText w:val="%3."/>
      <w:lvlJc w:val="left"/>
      <w:pPr>
        <w:tabs>
          <w:tab w:val="num" w:pos="2340"/>
        </w:tabs>
        <w:ind w:left="2340" w:hanging="360"/>
      </w:pPr>
      <w:rPr>
        <w:rFonts w:cs="Times New Roman" w:hint="default"/>
        <w:b w:val="0"/>
      </w:rPr>
    </w:lvl>
    <w:lvl w:ilvl="3">
      <w:start w:val="1"/>
      <w:numFmt w:val="bullet"/>
      <w:lvlText w:val=""/>
      <w:lvlJc w:val="left"/>
      <w:pPr>
        <w:tabs>
          <w:tab w:val="num" w:pos="720"/>
        </w:tabs>
        <w:ind w:left="720" w:hanging="720"/>
      </w:pPr>
      <w:rPr>
        <w:rFonts w:ascii="Wingdings" w:hAnsi="Wingdings" w:hint="default"/>
        <w:i/>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500"/>
        </w:tabs>
        <w:ind w:left="4500" w:hanging="360"/>
      </w:pPr>
      <w:rPr>
        <w:rFonts w:cs="Times New Roman" w:hint="default"/>
      </w:rPr>
    </w:lvl>
    <w:lvl w:ilvl="6">
      <w:start w:val="1"/>
      <w:numFmt w:val="lowerLetter"/>
      <w:lvlText w:val="%7)"/>
      <w:lvlJc w:val="left"/>
      <w:pPr>
        <w:tabs>
          <w:tab w:val="num" w:pos="5400"/>
        </w:tabs>
        <w:ind w:left="5400" w:hanging="720"/>
      </w:pPr>
      <w:rPr>
        <w:rFonts w:cs="Times New Roman" w:hint="default"/>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9" w15:restartNumberingAfterBreak="0">
    <w:nsid w:val="543D7093"/>
    <w:multiLevelType w:val="hybridMultilevel"/>
    <w:tmpl w:val="D8A25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55F5BB4"/>
    <w:multiLevelType w:val="hybridMultilevel"/>
    <w:tmpl w:val="6D2CC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64F50B2"/>
    <w:multiLevelType w:val="hybridMultilevel"/>
    <w:tmpl w:val="50183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FA52B7"/>
    <w:multiLevelType w:val="hybridMultilevel"/>
    <w:tmpl w:val="FC96B25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3" w15:restartNumberingAfterBreak="0">
    <w:nsid w:val="583A7D6A"/>
    <w:multiLevelType w:val="hybridMultilevel"/>
    <w:tmpl w:val="94226FBA"/>
    <w:lvl w:ilvl="0" w:tplc="91EEEAB6">
      <w:start w:val="1"/>
      <w:numFmt w:val="bullet"/>
      <w:lvlText w:val=""/>
      <w:lvlJc w:val="left"/>
      <w:pPr>
        <w:ind w:left="720" w:hanging="360"/>
      </w:pPr>
      <w:rPr>
        <w:rFonts w:ascii="Symbol" w:hAnsi="Symbol" w:hint="default"/>
        <w:color w:val="auto"/>
        <w:sz w:val="20"/>
        <w:szCs w:val="20"/>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8493A06"/>
    <w:multiLevelType w:val="hybridMultilevel"/>
    <w:tmpl w:val="64C4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8672639"/>
    <w:multiLevelType w:val="hybridMultilevel"/>
    <w:tmpl w:val="1D048DD0"/>
    <w:lvl w:ilvl="0" w:tplc="E07A4464">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9F00A8D"/>
    <w:multiLevelType w:val="hybridMultilevel"/>
    <w:tmpl w:val="8F9E233E"/>
    <w:lvl w:ilvl="0" w:tplc="841EE786">
      <w:start w:val="1"/>
      <w:numFmt w:val="arabicAbjad"/>
      <w:lvlText w:val="(%1)"/>
      <w:lvlJc w:val="left"/>
      <w:pPr>
        <w:ind w:left="1070" w:hanging="360"/>
      </w:pPr>
      <w:rPr>
        <w:rFonts w:hint="default"/>
        <w:lang w:bidi="ar-EG"/>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17" w15:restartNumberingAfterBreak="0">
    <w:nsid w:val="5A5D7403"/>
    <w:multiLevelType w:val="hybridMultilevel"/>
    <w:tmpl w:val="D728AD34"/>
    <w:lvl w:ilvl="0" w:tplc="B3D2162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A7F7A69"/>
    <w:multiLevelType w:val="hybridMultilevel"/>
    <w:tmpl w:val="9D9252F2"/>
    <w:lvl w:ilvl="0" w:tplc="0409000D">
      <w:start w:val="1"/>
      <w:numFmt w:val="bullet"/>
      <w:lvlText w:val=""/>
      <w:lvlJc w:val="left"/>
      <w:pPr>
        <w:ind w:left="1195" w:hanging="360"/>
      </w:pPr>
      <w:rPr>
        <w:rFonts w:ascii="Wingdings" w:hAnsi="Wingdings" w:hint="default"/>
      </w:rPr>
    </w:lvl>
    <w:lvl w:ilvl="1" w:tplc="0409000D">
      <w:start w:val="1"/>
      <w:numFmt w:val="bullet"/>
      <w:lvlText w:val=""/>
      <w:lvlJc w:val="left"/>
      <w:pPr>
        <w:ind w:left="1915" w:hanging="360"/>
      </w:pPr>
      <w:rPr>
        <w:rFonts w:ascii="Wingdings" w:hAnsi="Wingdings"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119" w15:restartNumberingAfterBreak="0">
    <w:nsid w:val="5AE250AB"/>
    <w:multiLevelType w:val="hybridMultilevel"/>
    <w:tmpl w:val="3892A7CC"/>
    <w:lvl w:ilvl="0" w:tplc="B3D21622">
      <w:start w:val="1"/>
      <w:numFmt w:val="bullet"/>
      <w:lvlText w:val="-"/>
      <w:lvlJc w:val="left"/>
      <w:pPr>
        <w:ind w:left="720" w:hanging="360"/>
      </w:pPr>
      <w:rPr>
        <w:rFonts w:ascii="Arial" w:hAnsi="Aria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B7446D3"/>
    <w:multiLevelType w:val="hybridMultilevel"/>
    <w:tmpl w:val="9B56B260"/>
    <w:lvl w:ilvl="0" w:tplc="0409000D">
      <w:start w:val="1"/>
      <w:numFmt w:val="bullet"/>
      <w:lvlText w:val=""/>
      <w:lvlJc w:val="left"/>
      <w:pPr>
        <w:ind w:left="1146"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1" w15:restartNumberingAfterBreak="0">
    <w:nsid w:val="5C79517C"/>
    <w:multiLevelType w:val="hybridMultilevel"/>
    <w:tmpl w:val="A79EDC32"/>
    <w:lvl w:ilvl="0" w:tplc="E9A62F6A">
      <w:start w:val="29"/>
      <w:numFmt w:val="bullet"/>
      <w:lvlText w:val="-"/>
      <w:lvlJc w:val="left"/>
      <w:pPr>
        <w:ind w:left="1080" w:hanging="360"/>
      </w:pPr>
      <w:rPr>
        <w:rFonts w:ascii="Arial" w:eastAsiaTheme="minorEastAsia"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5CD05583"/>
    <w:multiLevelType w:val="hybridMultilevel"/>
    <w:tmpl w:val="A7CA7390"/>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3" w15:restartNumberingAfterBreak="0">
    <w:nsid w:val="5D5545C0"/>
    <w:multiLevelType w:val="hybridMultilevel"/>
    <w:tmpl w:val="55B2F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D5B3D4D"/>
    <w:multiLevelType w:val="hybridMultilevel"/>
    <w:tmpl w:val="C750E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DA4147E"/>
    <w:multiLevelType w:val="hybridMultilevel"/>
    <w:tmpl w:val="C3CABB9E"/>
    <w:lvl w:ilvl="0" w:tplc="0409000D">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26" w15:restartNumberingAfterBreak="0">
    <w:nsid w:val="5DBF2E82"/>
    <w:multiLevelType w:val="hybridMultilevel"/>
    <w:tmpl w:val="69320D6A"/>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E227CD3"/>
    <w:multiLevelType w:val="hybridMultilevel"/>
    <w:tmpl w:val="ED9E58C8"/>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DB0DFC"/>
    <w:multiLevelType w:val="hybridMultilevel"/>
    <w:tmpl w:val="6CCA1F3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20641D4"/>
    <w:multiLevelType w:val="hybridMultilevel"/>
    <w:tmpl w:val="22405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25B0F71"/>
    <w:multiLevelType w:val="hybridMultilevel"/>
    <w:tmpl w:val="2B0A6B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2646D30"/>
    <w:multiLevelType w:val="hybridMultilevel"/>
    <w:tmpl w:val="202699BE"/>
    <w:lvl w:ilvl="0" w:tplc="E6225F00">
      <w:start w:val="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2786BB5"/>
    <w:multiLevelType w:val="hybridMultilevel"/>
    <w:tmpl w:val="5A1C4154"/>
    <w:lvl w:ilvl="0" w:tplc="04090001">
      <w:start w:val="1"/>
      <w:numFmt w:val="bullet"/>
      <w:lvlText w:val=""/>
      <w:lvlJc w:val="left"/>
      <w:pPr>
        <w:ind w:left="928" w:hanging="360"/>
      </w:pPr>
      <w:rPr>
        <w:rFonts w:ascii="Symbol" w:hAnsi="Symbol" w:hint="default"/>
      </w:rPr>
    </w:lvl>
    <w:lvl w:ilvl="1" w:tplc="0409000D">
      <w:start w:val="1"/>
      <w:numFmt w:val="bullet"/>
      <w:lvlText w:val=""/>
      <w:lvlJc w:val="left"/>
      <w:pPr>
        <w:ind w:left="1648" w:hanging="360"/>
      </w:pPr>
      <w:rPr>
        <w:rFonts w:ascii="Wingdings" w:hAnsi="Wingdings" w:hint="default"/>
      </w:rPr>
    </w:lvl>
    <w:lvl w:ilvl="2" w:tplc="1C090005" w:tentative="1">
      <w:start w:val="1"/>
      <w:numFmt w:val="bullet"/>
      <w:lvlText w:val=""/>
      <w:lvlJc w:val="left"/>
      <w:pPr>
        <w:ind w:left="2368" w:hanging="360"/>
      </w:pPr>
      <w:rPr>
        <w:rFonts w:ascii="Wingdings" w:hAnsi="Wingdings" w:hint="default"/>
      </w:rPr>
    </w:lvl>
    <w:lvl w:ilvl="3" w:tplc="1C090001" w:tentative="1">
      <w:start w:val="1"/>
      <w:numFmt w:val="bullet"/>
      <w:lvlText w:val=""/>
      <w:lvlJc w:val="left"/>
      <w:pPr>
        <w:ind w:left="3088" w:hanging="360"/>
      </w:pPr>
      <w:rPr>
        <w:rFonts w:ascii="Symbol" w:hAnsi="Symbol" w:hint="default"/>
      </w:rPr>
    </w:lvl>
    <w:lvl w:ilvl="4" w:tplc="1C090003" w:tentative="1">
      <w:start w:val="1"/>
      <w:numFmt w:val="bullet"/>
      <w:lvlText w:val="o"/>
      <w:lvlJc w:val="left"/>
      <w:pPr>
        <w:ind w:left="3808" w:hanging="360"/>
      </w:pPr>
      <w:rPr>
        <w:rFonts w:ascii="Courier New" w:hAnsi="Courier New" w:cs="Courier New" w:hint="default"/>
      </w:rPr>
    </w:lvl>
    <w:lvl w:ilvl="5" w:tplc="1C090005" w:tentative="1">
      <w:start w:val="1"/>
      <w:numFmt w:val="bullet"/>
      <w:lvlText w:val=""/>
      <w:lvlJc w:val="left"/>
      <w:pPr>
        <w:ind w:left="4528" w:hanging="360"/>
      </w:pPr>
      <w:rPr>
        <w:rFonts w:ascii="Wingdings" w:hAnsi="Wingdings" w:hint="default"/>
      </w:rPr>
    </w:lvl>
    <w:lvl w:ilvl="6" w:tplc="1C090001" w:tentative="1">
      <w:start w:val="1"/>
      <w:numFmt w:val="bullet"/>
      <w:lvlText w:val=""/>
      <w:lvlJc w:val="left"/>
      <w:pPr>
        <w:ind w:left="5248" w:hanging="360"/>
      </w:pPr>
      <w:rPr>
        <w:rFonts w:ascii="Symbol" w:hAnsi="Symbol" w:hint="default"/>
      </w:rPr>
    </w:lvl>
    <w:lvl w:ilvl="7" w:tplc="1C090003" w:tentative="1">
      <w:start w:val="1"/>
      <w:numFmt w:val="bullet"/>
      <w:lvlText w:val="o"/>
      <w:lvlJc w:val="left"/>
      <w:pPr>
        <w:ind w:left="5968" w:hanging="360"/>
      </w:pPr>
      <w:rPr>
        <w:rFonts w:ascii="Courier New" w:hAnsi="Courier New" w:cs="Courier New" w:hint="default"/>
      </w:rPr>
    </w:lvl>
    <w:lvl w:ilvl="8" w:tplc="1C090005" w:tentative="1">
      <w:start w:val="1"/>
      <w:numFmt w:val="bullet"/>
      <w:lvlText w:val=""/>
      <w:lvlJc w:val="left"/>
      <w:pPr>
        <w:ind w:left="6688" w:hanging="360"/>
      </w:pPr>
      <w:rPr>
        <w:rFonts w:ascii="Wingdings" w:hAnsi="Wingdings" w:hint="default"/>
      </w:rPr>
    </w:lvl>
  </w:abstractNum>
  <w:abstractNum w:abstractNumId="133" w15:restartNumberingAfterBreak="0">
    <w:nsid w:val="62801377"/>
    <w:multiLevelType w:val="hybridMultilevel"/>
    <w:tmpl w:val="069CD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39A6198"/>
    <w:multiLevelType w:val="hybridMultilevel"/>
    <w:tmpl w:val="7FC648E8"/>
    <w:lvl w:ilvl="0" w:tplc="04090001">
      <w:start w:val="1"/>
      <w:numFmt w:val="bullet"/>
      <w:lvlText w:val=""/>
      <w:lvlJc w:val="left"/>
      <w:pPr>
        <w:ind w:left="1080" w:hanging="360"/>
      </w:pPr>
      <w:rPr>
        <w:rFonts w:ascii="Symbol" w:hAnsi="Symbol" w:hint="default"/>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63B13D6A"/>
    <w:multiLevelType w:val="hybridMultilevel"/>
    <w:tmpl w:val="74C89D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5C63A23"/>
    <w:multiLevelType w:val="hybridMultilevel"/>
    <w:tmpl w:val="1FEE68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9011587"/>
    <w:multiLevelType w:val="hybridMultilevel"/>
    <w:tmpl w:val="1502548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8" w15:restartNumberingAfterBreak="0">
    <w:nsid w:val="6A1031FE"/>
    <w:multiLevelType w:val="hybridMultilevel"/>
    <w:tmpl w:val="FF5059C2"/>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AD11727"/>
    <w:multiLevelType w:val="hybridMultilevel"/>
    <w:tmpl w:val="B344E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B7C4E40"/>
    <w:multiLevelType w:val="hybridMultilevel"/>
    <w:tmpl w:val="6F28D9B2"/>
    <w:lvl w:ilvl="0" w:tplc="04090001">
      <w:start w:val="1"/>
      <w:numFmt w:val="bullet"/>
      <w:lvlText w:val=""/>
      <w:lvlJc w:val="left"/>
      <w:pPr>
        <w:ind w:left="928" w:hanging="360"/>
      </w:pPr>
      <w:rPr>
        <w:rFonts w:ascii="Symbol" w:hAnsi="Symbol" w:hint="default"/>
      </w:rPr>
    </w:lvl>
    <w:lvl w:ilvl="1" w:tplc="B3D21622">
      <w:start w:val="1"/>
      <w:numFmt w:val="bullet"/>
      <w:lvlText w:val="-"/>
      <w:lvlJc w:val="left"/>
      <w:pPr>
        <w:ind w:left="1648" w:hanging="360"/>
      </w:pPr>
      <w:rPr>
        <w:rFonts w:ascii="Arial" w:hAnsi="Arial" w:hint="default"/>
      </w:rPr>
    </w:lvl>
    <w:lvl w:ilvl="2" w:tplc="1C090005" w:tentative="1">
      <w:start w:val="1"/>
      <w:numFmt w:val="bullet"/>
      <w:lvlText w:val=""/>
      <w:lvlJc w:val="left"/>
      <w:pPr>
        <w:ind w:left="2368" w:hanging="360"/>
      </w:pPr>
      <w:rPr>
        <w:rFonts w:ascii="Wingdings" w:hAnsi="Wingdings" w:hint="default"/>
      </w:rPr>
    </w:lvl>
    <w:lvl w:ilvl="3" w:tplc="1C090001" w:tentative="1">
      <w:start w:val="1"/>
      <w:numFmt w:val="bullet"/>
      <w:lvlText w:val=""/>
      <w:lvlJc w:val="left"/>
      <w:pPr>
        <w:ind w:left="3088" w:hanging="360"/>
      </w:pPr>
      <w:rPr>
        <w:rFonts w:ascii="Symbol" w:hAnsi="Symbol" w:hint="default"/>
      </w:rPr>
    </w:lvl>
    <w:lvl w:ilvl="4" w:tplc="1C090003" w:tentative="1">
      <w:start w:val="1"/>
      <w:numFmt w:val="bullet"/>
      <w:lvlText w:val="o"/>
      <w:lvlJc w:val="left"/>
      <w:pPr>
        <w:ind w:left="3808" w:hanging="360"/>
      </w:pPr>
      <w:rPr>
        <w:rFonts w:ascii="Courier New" w:hAnsi="Courier New" w:cs="Courier New" w:hint="default"/>
      </w:rPr>
    </w:lvl>
    <w:lvl w:ilvl="5" w:tplc="1C090005" w:tentative="1">
      <w:start w:val="1"/>
      <w:numFmt w:val="bullet"/>
      <w:lvlText w:val=""/>
      <w:lvlJc w:val="left"/>
      <w:pPr>
        <w:ind w:left="4528" w:hanging="360"/>
      </w:pPr>
      <w:rPr>
        <w:rFonts w:ascii="Wingdings" w:hAnsi="Wingdings" w:hint="default"/>
      </w:rPr>
    </w:lvl>
    <w:lvl w:ilvl="6" w:tplc="1C090001" w:tentative="1">
      <w:start w:val="1"/>
      <w:numFmt w:val="bullet"/>
      <w:lvlText w:val=""/>
      <w:lvlJc w:val="left"/>
      <w:pPr>
        <w:ind w:left="5248" w:hanging="360"/>
      </w:pPr>
      <w:rPr>
        <w:rFonts w:ascii="Symbol" w:hAnsi="Symbol" w:hint="default"/>
      </w:rPr>
    </w:lvl>
    <w:lvl w:ilvl="7" w:tplc="1C090003" w:tentative="1">
      <w:start w:val="1"/>
      <w:numFmt w:val="bullet"/>
      <w:lvlText w:val="o"/>
      <w:lvlJc w:val="left"/>
      <w:pPr>
        <w:ind w:left="5968" w:hanging="360"/>
      </w:pPr>
      <w:rPr>
        <w:rFonts w:ascii="Courier New" w:hAnsi="Courier New" w:cs="Courier New" w:hint="default"/>
      </w:rPr>
    </w:lvl>
    <w:lvl w:ilvl="8" w:tplc="1C090005" w:tentative="1">
      <w:start w:val="1"/>
      <w:numFmt w:val="bullet"/>
      <w:lvlText w:val=""/>
      <w:lvlJc w:val="left"/>
      <w:pPr>
        <w:ind w:left="6688" w:hanging="360"/>
      </w:pPr>
      <w:rPr>
        <w:rFonts w:ascii="Wingdings" w:hAnsi="Wingdings" w:hint="default"/>
      </w:rPr>
    </w:lvl>
  </w:abstractNum>
  <w:abstractNum w:abstractNumId="141" w15:restartNumberingAfterBreak="0">
    <w:nsid w:val="6DAB089C"/>
    <w:multiLevelType w:val="hybridMultilevel"/>
    <w:tmpl w:val="0A5A95C4"/>
    <w:lvl w:ilvl="0" w:tplc="B3D21622">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EB73992"/>
    <w:multiLevelType w:val="hybridMultilevel"/>
    <w:tmpl w:val="91A83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F0616CE"/>
    <w:multiLevelType w:val="hybridMultilevel"/>
    <w:tmpl w:val="3B2EA8CC"/>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F7231AF"/>
    <w:multiLevelType w:val="hybridMultilevel"/>
    <w:tmpl w:val="A078A170"/>
    <w:lvl w:ilvl="0" w:tplc="B3D21622">
      <w:start w:val="1"/>
      <w:numFmt w:val="bullet"/>
      <w:lvlText w:val="-"/>
      <w:lvlJc w:val="left"/>
      <w:pPr>
        <w:ind w:left="720" w:hanging="360"/>
      </w:pPr>
      <w:rPr>
        <w:rFonts w:ascii="Arial" w:hAnsi="Aria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FC40E43"/>
    <w:multiLevelType w:val="hybridMultilevel"/>
    <w:tmpl w:val="B7C8E42C"/>
    <w:lvl w:ilvl="0" w:tplc="B3D2162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2516DD"/>
    <w:multiLevelType w:val="hybridMultilevel"/>
    <w:tmpl w:val="B1FA6706"/>
    <w:lvl w:ilvl="0" w:tplc="B3D2162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24F123F"/>
    <w:multiLevelType w:val="hybridMultilevel"/>
    <w:tmpl w:val="39946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388046A"/>
    <w:multiLevelType w:val="hybridMultilevel"/>
    <w:tmpl w:val="F0E05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5285CFB"/>
    <w:multiLevelType w:val="hybridMultilevel"/>
    <w:tmpl w:val="B6B48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5B6281F"/>
    <w:multiLevelType w:val="hybridMultilevel"/>
    <w:tmpl w:val="C15C953C"/>
    <w:lvl w:ilvl="0" w:tplc="0409000D">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1" w15:restartNumberingAfterBreak="0">
    <w:nsid w:val="76724352"/>
    <w:multiLevelType w:val="hybridMultilevel"/>
    <w:tmpl w:val="9C502DA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76E86883"/>
    <w:multiLevelType w:val="multilevel"/>
    <w:tmpl w:val="A57C21FE"/>
    <w:lvl w:ilvl="0">
      <w:start w:val="1"/>
      <w:numFmt w:val="decimal"/>
      <w:pStyle w:val="Maintitle"/>
      <w:lvlText w:val="%1."/>
      <w:lvlJc w:val="left"/>
      <w:pPr>
        <w:ind w:left="1080" w:hanging="72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3" w15:restartNumberingAfterBreak="0">
    <w:nsid w:val="77B12620"/>
    <w:multiLevelType w:val="multilevel"/>
    <w:tmpl w:val="CC6A76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4" w15:restartNumberingAfterBreak="0">
    <w:nsid w:val="787867AE"/>
    <w:multiLevelType w:val="hybridMultilevel"/>
    <w:tmpl w:val="C3DEA3EC"/>
    <w:lvl w:ilvl="0" w:tplc="0409000D">
      <w:start w:val="1"/>
      <w:numFmt w:val="bullet"/>
      <w:lvlText w:val=""/>
      <w:lvlJc w:val="left"/>
      <w:pPr>
        <w:ind w:left="1995" w:hanging="360"/>
      </w:pPr>
      <w:rPr>
        <w:rFonts w:ascii="Wingdings" w:hAnsi="Wingdings" w:hint="default"/>
      </w:rPr>
    </w:lvl>
    <w:lvl w:ilvl="1" w:tplc="04090003">
      <w:start w:val="1"/>
      <w:numFmt w:val="bullet"/>
      <w:lvlText w:val="o"/>
      <w:lvlJc w:val="left"/>
      <w:pPr>
        <w:ind w:left="2715" w:hanging="360"/>
      </w:pPr>
      <w:rPr>
        <w:rFonts w:ascii="Courier New" w:hAnsi="Courier New" w:cs="Courier New" w:hint="default"/>
      </w:rPr>
    </w:lvl>
    <w:lvl w:ilvl="2" w:tplc="04090005">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155" w15:restartNumberingAfterBreak="0">
    <w:nsid w:val="789B1F9A"/>
    <w:multiLevelType w:val="hybridMultilevel"/>
    <w:tmpl w:val="31608BF8"/>
    <w:lvl w:ilvl="0" w:tplc="B3D21622">
      <w:start w:val="1"/>
      <w:numFmt w:val="bullet"/>
      <w:lvlText w:val="-"/>
      <w:lvlJc w:val="left"/>
      <w:pPr>
        <w:ind w:left="1195" w:hanging="360"/>
      </w:pPr>
      <w:rPr>
        <w:rFonts w:ascii="Arial" w:hAnsi="Arial" w:hint="default"/>
      </w:rPr>
    </w:lvl>
    <w:lvl w:ilvl="1" w:tplc="04090003">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156" w15:restartNumberingAfterBreak="0">
    <w:nsid w:val="79AE5F9B"/>
    <w:multiLevelType w:val="hybridMultilevel"/>
    <w:tmpl w:val="0996187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7" w15:restartNumberingAfterBreak="0">
    <w:nsid w:val="7AD461E6"/>
    <w:multiLevelType w:val="hybridMultilevel"/>
    <w:tmpl w:val="0486C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B3F7133"/>
    <w:multiLevelType w:val="hybridMultilevel"/>
    <w:tmpl w:val="E05229A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9" w15:restartNumberingAfterBreak="0">
    <w:nsid w:val="7B665B83"/>
    <w:multiLevelType w:val="multilevel"/>
    <w:tmpl w:val="E946D2D2"/>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7D103206"/>
    <w:multiLevelType w:val="multilevel"/>
    <w:tmpl w:val="BD501AE0"/>
    <w:lvl w:ilvl="0">
      <w:start w:val="1"/>
      <w:numFmt w:val="bullet"/>
      <w:lvlText w:val=""/>
      <w:lvlJc w:val="left"/>
      <w:pPr>
        <w:ind w:left="340" w:hanging="340"/>
      </w:pPr>
      <w:rPr>
        <w:rFonts w:ascii="Symbol" w:hAnsi="Symbol" w:hint="default"/>
      </w:rPr>
    </w:lvl>
    <w:lvl w:ilvl="1">
      <w:start w:val="1"/>
      <w:numFmt w:val="decimal"/>
      <w:isLgl/>
      <w:lvlText w:val="%1.%2."/>
      <w:lvlJc w:val="left"/>
      <w:pPr>
        <w:ind w:left="624" w:hanging="340"/>
      </w:pPr>
      <w:rPr>
        <w:rFonts w:hint="default"/>
      </w:rPr>
    </w:lvl>
    <w:lvl w:ilvl="2">
      <w:start w:val="1"/>
      <w:numFmt w:val="bullet"/>
      <w:lvlText w:val=""/>
      <w:lvlJc w:val="left"/>
      <w:pPr>
        <w:ind w:left="766" w:hanging="340"/>
      </w:pPr>
      <w:rPr>
        <w:rFonts w:ascii="Symbol" w:hAnsi="Symbol" w:hint="default"/>
        <w:b w:val="0"/>
      </w:rPr>
    </w:lvl>
    <w:lvl w:ilvl="3">
      <w:start w:val="1"/>
      <w:numFmt w:val="decimal"/>
      <w:isLgl/>
      <w:lvlText w:val="%1.%2.%3.%4."/>
      <w:lvlJc w:val="left"/>
      <w:pPr>
        <w:ind w:left="1192" w:hanging="340"/>
      </w:pPr>
      <w:rPr>
        <w:rFonts w:hint="default"/>
      </w:rPr>
    </w:lvl>
    <w:lvl w:ilvl="4">
      <w:start w:val="1"/>
      <w:numFmt w:val="decimal"/>
      <w:isLgl/>
      <w:lvlText w:val="%1.%2.%3.%4.%5."/>
      <w:lvlJc w:val="left"/>
      <w:pPr>
        <w:ind w:left="1476" w:hanging="340"/>
      </w:pPr>
      <w:rPr>
        <w:rFonts w:hint="default"/>
      </w:rPr>
    </w:lvl>
    <w:lvl w:ilvl="5">
      <w:start w:val="1"/>
      <w:numFmt w:val="decimal"/>
      <w:isLgl/>
      <w:lvlText w:val="%1.%2.%3.%4.%5.%6."/>
      <w:lvlJc w:val="left"/>
      <w:pPr>
        <w:ind w:left="1760" w:hanging="340"/>
      </w:pPr>
      <w:rPr>
        <w:rFonts w:hint="default"/>
      </w:rPr>
    </w:lvl>
    <w:lvl w:ilvl="6">
      <w:start w:val="1"/>
      <w:numFmt w:val="decimal"/>
      <w:isLgl/>
      <w:lvlText w:val="%1.%2.%3.%4.%5.%6.%7."/>
      <w:lvlJc w:val="left"/>
      <w:pPr>
        <w:ind w:left="2044" w:hanging="340"/>
      </w:pPr>
      <w:rPr>
        <w:rFonts w:hint="default"/>
      </w:rPr>
    </w:lvl>
    <w:lvl w:ilvl="7">
      <w:start w:val="1"/>
      <w:numFmt w:val="decimal"/>
      <w:isLgl/>
      <w:lvlText w:val="%1.%2.%3.%4.%5.%6.%7.%8."/>
      <w:lvlJc w:val="left"/>
      <w:pPr>
        <w:ind w:left="2328" w:hanging="340"/>
      </w:pPr>
      <w:rPr>
        <w:rFonts w:hint="default"/>
      </w:rPr>
    </w:lvl>
    <w:lvl w:ilvl="8">
      <w:start w:val="1"/>
      <w:numFmt w:val="decimal"/>
      <w:isLgl/>
      <w:lvlText w:val="%1.%2.%3.%4.%5.%6.%7.%8.%9."/>
      <w:lvlJc w:val="left"/>
      <w:pPr>
        <w:ind w:left="2612" w:hanging="340"/>
      </w:pPr>
      <w:rPr>
        <w:rFonts w:hint="default"/>
      </w:rPr>
    </w:lvl>
  </w:abstractNum>
  <w:abstractNum w:abstractNumId="161" w15:restartNumberingAfterBreak="0">
    <w:nsid w:val="7D1033BC"/>
    <w:multiLevelType w:val="hybridMultilevel"/>
    <w:tmpl w:val="8E920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D115AFB"/>
    <w:multiLevelType w:val="hybridMultilevel"/>
    <w:tmpl w:val="4D563590"/>
    <w:lvl w:ilvl="0" w:tplc="E9A62F6A">
      <w:start w:val="29"/>
      <w:numFmt w:val="bullet"/>
      <w:lvlText w:val="-"/>
      <w:lvlJc w:val="left"/>
      <w:pPr>
        <w:ind w:left="1080" w:hanging="360"/>
      </w:pPr>
      <w:rPr>
        <w:rFonts w:ascii="Arial" w:eastAsiaTheme="minorEastAsia" w:hAnsi="Arial" w:cs="Aria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7D870515"/>
    <w:multiLevelType w:val="hybridMultilevel"/>
    <w:tmpl w:val="4122102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BD040B"/>
    <w:multiLevelType w:val="hybridMultilevel"/>
    <w:tmpl w:val="85242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DED42D2"/>
    <w:multiLevelType w:val="hybridMultilevel"/>
    <w:tmpl w:val="54663B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7E1968DD"/>
    <w:multiLevelType w:val="hybridMultilevel"/>
    <w:tmpl w:val="4ADC578E"/>
    <w:lvl w:ilvl="0" w:tplc="B3D21622">
      <w:start w:val="1"/>
      <w:numFmt w:val="bullet"/>
      <w:lvlText w:val="-"/>
      <w:lvlJc w:val="left"/>
      <w:pPr>
        <w:ind w:left="720" w:hanging="360"/>
      </w:pPr>
      <w:rPr>
        <w:rFonts w:ascii="Arial" w:hAnsi="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7EC474C7"/>
    <w:multiLevelType w:val="hybridMultilevel"/>
    <w:tmpl w:val="4914D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EC940B9"/>
    <w:multiLevelType w:val="hybridMultilevel"/>
    <w:tmpl w:val="7F50B65A"/>
    <w:lvl w:ilvl="0" w:tplc="92E6FA72">
      <w:start w:val="1"/>
      <w:numFmt w:val="bullet"/>
      <w:lvlText w:val="-"/>
      <w:lvlJc w:val="left"/>
      <w:pPr>
        <w:ind w:left="720" w:hanging="360"/>
      </w:pPr>
      <w:rPr>
        <w:rFonts w:ascii="Calibri" w:eastAsiaTheme="minorEastAsia" w:hAnsi="Calibri" w:cstheme="minorBid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9" w15:restartNumberingAfterBreak="0">
    <w:nsid w:val="7F50028E"/>
    <w:multiLevelType w:val="hybridMultilevel"/>
    <w:tmpl w:val="252ED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3570600">
    <w:abstractNumId w:val="152"/>
  </w:num>
  <w:num w:numId="2" w16cid:durableId="218825936">
    <w:abstractNumId w:val="165"/>
  </w:num>
  <w:num w:numId="3" w16cid:durableId="1730348958">
    <w:abstractNumId w:val="151"/>
  </w:num>
  <w:num w:numId="4" w16cid:durableId="1920866354">
    <w:abstractNumId w:val="38"/>
  </w:num>
  <w:num w:numId="5" w16cid:durableId="801075109">
    <w:abstractNumId w:val="39"/>
  </w:num>
  <w:num w:numId="6" w16cid:durableId="1415125328">
    <w:abstractNumId w:val="55"/>
  </w:num>
  <w:num w:numId="7" w16cid:durableId="1712923906">
    <w:abstractNumId w:val="164"/>
  </w:num>
  <w:num w:numId="8" w16cid:durableId="1388532198">
    <w:abstractNumId w:val="132"/>
  </w:num>
  <w:num w:numId="9" w16cid:durableId="2023705107">
    <w:abstractNumId w:val="70"/>
  </w:num>
  <w:num w:numId="10" w16cid:durableId="856039538">
    <w:abstractNumId w:val="160"/>
  </w:num>
  <w:num w:numId="11" w16cid:durableId="729109273">
    <w:abstractNumId w:val="147"/>
  </w:num>
  <w:num w:numId="12" w16cid:durableId="567573484">
    <w:abstractNumId w:val="82"/>
  </w:num>
  <w:num w:numId="13" w16cid:durableId="587423308">
    <w:abstractNumId w:val="139"/>
  </w:num>
  <w:num w:numId="14" w16cid:durableId="1984382126">
    <w:abstractNumId w:val="162"/>
  </w:num>
  <w:num w:numId="15" w16cid:durableId="175854657">
    <w:abstractNumId w:val="121"/>
  </w:num>
  <w:num w:numId="16" w16cid:durableId="1251700499">
    <w:abstractNumId w:val="4"/>
  </w:num>
  <w:num w:numId="17" w16cid:durableId="1626694434">
    <w:abstractNumId w:val="16"/>
  </w:num>
  <w:num w:numId="18" w16cid:durableId="2100905095">
    <w:abstractNumId w:val="86"/>
  </w:num>
  <w:num w:numId="19" w16cid:durableId="1089622536">
    <w:abstractNumId w:val="6"/>
  </w:num>
  <w:num w:numId="20" w16cid:durableId="176584116">
    <w:abstractNumId w:val="44"/>
  </w:num>
  <w:num w:numId="21" w16cid:durableId="1636788065">
    <w:abstractNumId w:val="31"/>
  </w:num>
  <w:num w:numId="22" w16cid:durableId="1341664776">
    <w:abstractNumId w:val="125"/>
  </w:num>
  <w:num w:numId="23" w16cid:durableId="1042093453">
    <w:abstractNumId w:val="7"/>
  </w:num>
  <w:num w:numId="24" w16cid:durableId="1895316216">
    <w:abstractNumId w:val="148"/>
  </w:num>
  <w:num w:numId="25" w16cid:durableId="1814444099">
    <w:abstractNumId w:val="167"/>
  </w:num>
  <w:num w:numId="26" w16cid:durableId="2124032371">
    <w:abstractNumId w:val="138"/>
  </w:num>
  <w:num w:numId="27" w16cid:durableId="758790144">
    <w:abstractNumId w:val="2"/>
  </w:num>
  <w:num w:numId="28" w16cid:durableId="1154755458">
    <w:abstractNumId w:val="43"/>
  </w:num>
  <w:num w:numId="29" w16cid:durableId="1066418719">
    <w:abstractNumId w:val="25"/>
  </w:num>
  <w:num w:numId="30" w16cid:durableId="110826890">
    <w:abstractNumId w:val="131"/>
  </w:num>
  <w:num w:numId="31" w16cid:durableId="127666840">
    <w:abstractNumId w:val="95"/>
  </w:num>
  <w:num w:numId="32" w16cid:durableId="496463579">
    <w:abstractNumId w:val="40"/>
  </w:num>
  <w:num w:numId="33" w16cid:durableId="768353536">
    <w:abstractNumId w:val="54"/>
  </w:num>
  <w:num w:numId="34" w16cid:durableId="893807235">
    <w:abstractNumId w:val="46"/>
  </w:num>
  <w:num w:numId="35" w16cid:durableId="178198956">
    <w:abstractNumId w:val="157"/>
  </w:num>
  <w:num w:numId="36" w16cid:durableId="365329984">
    <w:abstractNumId w:val="24"/>
  </w:num>
  <w:num w:numId="37" w16cid:durableId="1646616533">
    <w:abstractNumId w:val="159"/>
  </w:num>
  <w:num w:numId="38" w16cid:durableId="2106414915">
    <w:abstractNumId w:val="137"/>
  </w:num>
  <w:num w:numId="39" w16cid:durableId="131413370">
    <w:abstractNumId w:val="11"/>
  </w:num>
  <w:num w:numId="40" w16cid:durableId="614411744">
    <w:abstractNumId w:val="156"/>
  </w:num>
  <w:num w:numId="41" w16cid:durableId="1730613732">
    <w:abstractNumId w:val="28"/>
  </w:num>
  <w:num w:numId="42" w16cid:durableId="1812868913">
    <w:abstractNumId w:val="20"/>
  </w:num>
  <w:num w:numId="43" w16cid:durableId="466164304">
    <w:abstractNumId w:val="32"/>
  </w:num>
  <w:num w:numId="44" w16cid:durableId="1294290297">
    <w:abstractNumId w:val="149"/>
  </w:num>
  <w:num w:numId="45" w16cid:durableId="115410433">
    <w:abstractNumId w:val="74"/>
  </w:num>
  <w:num w:numId="46" w16cid:durableId="1811366393">
    <w:abstractNumId w:val="141"/>
  </w:num>
  <w:num w:numId="47" w16cid:durableId="1264457008">
    <w:abstractNumId w:val="0"/>
  </w:num>
  <w:num w:numId="48" w16cid:durableId="2011176258">
    <w:abstractNumId w:val="34"/>
  </w:num>
  <w:num w:numId="49" w16cid:durableId="1856798087">
    <w:abstractNumId w:val="50"/>
  </w:num>
  <w:num w:numId="50" w16cid:durableId="2115245882">
    <w:abstractNumId w:val="146"/>
  </w:num>
  <w:num w:numId="51" w16cid:durableId="1859081118">
    <w:abstractNumId w:val="98"/>
  </w:num>
  <w:num w:numId="52" w16cid:durableId="383070329">
    <w:abstractNumId w:val="103"/>
  </w:num>
  <w:num w:numId="53" w16cid:durableId="205290759">
    <w:abstractNumId w:val="59"/>
  </w:num>
  <w:num w:numId="54" w16cid:durableId="1782720692">
    <w:abstractNumId w:val="163"/>
  </w:num>
  <w:num w:numId="55" w16cid:durableId="455295855">
    <w:abstractNumId w:val="33"/>
  </w:num>
  <w:num w:numId="56" w16cid:durableId="1200778900">
    <w:abstractNumId w:val="113"/>
  </w:num>
  <w:num w:numId="57" w16cid:durableId="2051297566">
    <w:abstractNumId w:val="80"/>
  </w:num>
  <w:num w:numId="58" w16cid:durableId="1030299928">
    <w:abstractNumId w:val="29"/>
  </w:num>
  <w:num w:numId="59" w16cid:durableId="195194292">
    <w:abstractNumId w:val="119"/>
  </w:num>
  <w:num w:numId="60" w16cid:durableId="288316156">
    <w:abstractNumId w:val="35"/>
  </w:num>
  <w:num w:numId="61" w16cid:durableId="2101949182">
    <w:abstractNumId w:val="65"/>
  </w:num>
  <w:num w:numId="62" w16cid:durableId="1123110909">
    <w:abstractNumId w:val="58"/>
  </w:num>
  <w:num w:numId="63" w16cid:durableId="469828276">
    <w:abstractNumId w:val="168"/>
  </w:num>
  <w:num w:numId="64" w16cid:durableId="755590377">
    <w:abstractNumId w:val="47"/>
  </w:num>
  <w:num w:numId="65" w16cid:durableId="1282541827">
    <w:abstractNumId w:val="166"/>
  </w:num>
  <w:num w:numId="66" w16cid:durableId="1922132043">
    <w:abstractNumId w:val="90"/>
  </w:num>
  <w:num w:numId="67" w16cid:durableId="901602729">
    <w:abstractNumId w:val="57"/>
  </w:num>
  <w:num w:numId="68" w16cid:durableId="2140341163">
    <w:abstractNumId w:val="92"/>
  </w:num>
  <w:num w:numId="69" w16cid:durableId="1036006126">
    <w:abstractNumId w:val="48"/>
  </w:num>
  <w:num w:numId="70" w16cid:durableId="1958830570">
    <w:abstractNumId w:val="42"/>
  </w:num>
  <w:num w:numId="71" w16cid:durableId="510872357">
    <w:abstractNumId w:val="77"/>
  </w:num>
  <w:num w:numId="72" w16cid:durableId="196739174">
    <w:abstractNumId w:val="127"/>
  </w:num>
  <w:num w:numId="73" w16cid:durableId="639186022">
    <w:abstractNumId w:val="161"/>
  </w:num>
  <w:num w:numId="74" w16cid:durableId="569853414">
    <w:abstractNumId w:val="129"/>
  </w:num>
  <w:num w:numId="75" w16cid:durableId="47921603">
    <w:abstractNumId w:val="14"/>
  </w:num>
  <w:num w:numId="76" w16cid:durableId="539442549">
    <w:abstractNumId w:val="66"/>
  </w:num>
  <w:num w:numId="77" w16cid:durableId="230233371">
    <w:abstractNumId w:val="169"/>
  </w:num>
  <w:num w:numId="78" w16cid:durableId="581835558">
    <w:abstractNumId w:val="134"/>
  </w:num>
  <w:num w:numId="79" w16cid:durableId="1905869803">
    <w:abstractNumId w:val="83"/>
  </w:num>
  <w:num w:numId="80" w16cid:durableId="228811202">
    <w:abstractNumId w:val="63"/>
  </w:num>
  <w:num w:numId="81" w16cid:durableId="823740717">
    <w:abstractNumId w:val="93"/>
  </w:num>
  <w:num w:numId="82" w16cid:durableId="649094240">
    <w:abstractNumId w:val="79"/>
  </w:num>
  <w:num w:numId="83" w16cid:durableId="1632977750">
    <w:abstractNumId w:val="108"/>
  </w:num>
  <w:num w:numId="84" w16cid:durableId="781614541">
    <w:abstractNumId w:val="71"/>
  </w:num>
  <w:num w:numId="85" w16cid:durableId="1333873214">
    <w:abstractNumId w:val="99"/>
  </w:num>
  <w:num w:numId="86" w16cid:durableId="1997686527">
    <w:abstractNumId w:val="23"/>
  </w:num>
  <w:num w:numId="87" w16cid:durableId="209155117">
    <w:abstractNumId w:val="154"/>
  </w:num>
  <w:num w:numId="88" w16cid:durableId="711031181">
    <w:abstractNumId w:val="123"/>
  </w:num>
  <w:num w:numId="89" w16cid:durableId="1741978307">
    <w:abstractNumId w:val="104"/>
  </w:num>
  <w:num w:numId="90" w16cid:durableId="266470023">
    <w:abstractNumId w:val="158"/>
  </w:num>
  <w:num w:numId="91" w16cid:durableId="632368544">
    <w:abstractNumId w:val="122"/>
  </w:num>
  <w:num w:numId="92" w16cid:durableId="1800300648">
    <w:abstractNumId w:val="112"/>
  </w:num>
  <w:num w:numId="93" w16cid:durableId="908417322">
    <w:abstractNumId w:val="61"/>
  </w:num>
  <w:num w:numId="94" w16cid:durableId="393892864">
    <w:abstractNumId w:val="26"/>
  </w:num>
  <w:num w:numId="95" w16cid:durableId="1867061733">
    <w:abstractNumId w:val="69"/>
  </w:num>
  <w:num w:numId="96" w16cid:durableId="1490947738">
    <w:abstractNumId w:val="37"/>
  </w:num>
  <w:num w:numId="97" w16cid:durableId="980885605">
    <w:abstractNumId w:val="124"/>
  </w:num>
  <w:num w:numId="98" w16cid:durableId="1186093356">
    <w:abstractNumId w:val="142"/>
  </w:num>
  <w:num w:numId="99" w16cid:durableId="1587113325">
    <w:abstractNumId w:val="111"/>
  </w:num>
  <w:num w:numId="100" w16cid:durableId="934359933">
    <w:abstractNumId w:val="73"/>
  </w:num>
  <w:num w:numId="101" w16cid:durableId="398796191">
    <w:abstractNumId w:val="1"/>
  </w:num>
  <w:num w:numId="102" w16cid:durableId="264506452">
    <w:abstractNumId w:val="84"/>
  </w:num>
  <w:num w:numId="103" w16cid:durableId="370690941">
    <w:abstractNumId w:val="150"/>
  </w:num>
  <w:num w:numId="104" w16cid:durableId="149176771">
    <w:abstractNumId w:val="13"/>
  </w:num>
  <w:num w:numId="105" w16cid:durableId="954756276">
    <w:abstractNumId w:val="76"/>
  </w:num>
  <w:num w:numId="106" w16cid:durableId="1122768609">
    <w:abstractNumId w:val="68"/>
  </w:num>
  <w:num w:numId="107" w16cid:durableId="9575694">
    <w:abstractNumId w:val="22"/>
  </w:num>
  <w:num w:numId="108" w16cid:durableId="988747404">
    <w:abstractNumId w:val="116"/>
  </w:num>
  <w:num w:numId="109" w16cid:durableId="1679891605">
    <w:abstractNumId w:val="130"/>
  </w:num>
  <w:num w:numId="110" w16cid:durableId="1011492821">
    <w:abstractNumId w:val="128"/>
  </w:num>
  <w:num w:numId="111" w16cid:durableId="173569463">
    <w:abstractNumId w:val="126"/>
  </w:num>
  <w:num w:numId="112" w16cid:durableId="757412246">
    <w:abstractNumId w:val="10"/>
  </w:num>
  <w:num w:numId="113" w16cid:durableId="1701978642">
    <w:abstractNumId w:val="41"/>
  </w:num>
  <w:num w:numId="114" w16cid:durableId="1618633469">
    <w:abstractNumId w:val="145"/>
  </w:num>
  <w:num w:numId="115" w16cid:durableId="249513531">
    <w:abstractNumId w:val="81"/>
  </w:num>
  <w:num w:numId="116" w16cid:durableId="1757896905">
    <w:abstractNumId w:val="12"/>
  </w:num>
  <w:num w:numId="117" w16cid:durableId="730618107">
    <w:abstractNumId w:val="27"/>
  </w:num>
  <w:num w:numId="118" w16cid:durableId="1956323895">
    <w:abstractNumId w:val="102"/>
  </w:num>
  <w:num w:numId="119" w16cid:durableId="1053039841">
    <w:abstractNumId w:val="100"/>
  </w:num>
  <w:num w:numId="120" w16cid:durableId="1515145618">
    <w:abstractNumId w:val="120"/>
  </w:num>
  <w:num w:numId="121" w16cid:durableId="1830557601">
    <w:abstractNumId w:val="72"/>
  </w:num>
  <w:num w:numId="122" w16cid:durableId="647247049">
    <w:abstractNumId w:val="114"/>
  </w:num>
  <w:num w:numId="123" w16cid:durableId="1078597230">
    <w:abstractNumId w:val="105"/>
  </w:num>
  <w:num w:numId="124" w16cid:durableId="246693804">
    <w:abstractNumId w:val="89"/>
  </w:num>
  <w:num w:numId="125" w16cid:durableId="1194222539">
    <w:abstractNumId w:val="56"/>
  </w:num>
  <w:num w:numId="126" w16cid:durableId="903249844">
    <w:abstractNumId w:val="45"/>
  </w:num>
  <w:num w:numId="127" w16cid:durableId="2038047243">
    <w:abstractNumId w:val="75"/>
  </w:num>
  <w:num w:numId="128" w16cid:durableId="2005471379">
    <w:abstractNumId w:val="64"/>
  </w:num>
  <w:num w:numId="129" w16cid:durableId="193229019">
    <w:abstractNumId w:val="91"/>
  </w:num>
  <w:num w:numId="130" w16cid:durableId="1219828623">
    <w:abstractNumId w:val="52"/>
  </w:num>
  <w:num w:numId="131" w16cid:durableId="136119095">
    <w:abstractNumId w:val="18"/>
  </w:num>
  <w:num w:numId="132" w16cid:durableId="2105417898">
    <w:abstractNumId w:val="110"/>
  </w:num>
  <w:num w:numId="133" w16cid:durableId="1998532739">
    <w:abstractNumId w:val="51"/>
  </w:num>
  <w:num w:numId="134" w16cid:durableId="475025242">
    <w:abstractNumId w:val="3"/>
  </w:num>
  <w:num w:numId="135" w16cid:durableId="480733175">
    <w:abstractNumId w:val="17"/>
  </w:num>
  <w:num w:numId="136" w16cid:durableId="1640725481">
    <w:abstractNumId w:val="109"/>
  </w:num>
  <w:num w:numId="137" w16cid:durableId="1418090211">
    <w:abstractNumId w:val="87"/>
  </w:num>
  <w:num w:numId="138" w16cid:durableId="872693519">
    <w:abstractNumId w:val="88"/>
  </w:num>
  <w:num w:numId="139" w16cid:durableId="831992069">
    <w:abstractNumId w:val="155"/>
  </w:num>
  <w:num w:numId="140" w16cid:durableId="227225355">
    <w:abstractNumId w:val="21"/>
  </w:num>
  <w:num w:numId="141" w16cid:durableId="1710375197">
    <w:abstractNumId w:val="49"/>
  </w:num>
  <w:num w:numId="142" w16cid:durableId="1834367554">
    <w:abstractNumId w:val="85"/>
  </w:num>
  <w:num w:numId="143" w16cid:durableId="788088995">
    <w:abstractNumId w:val="9"/>
  </w:num>
  <w:num w:numId="144" w16cid:durableId="2143691283">
    <w:abstractNumId w:val="60"/>
  </w:num>
  <w:num w:numId="145" w16cid:durableId="1735547867">
    <w:abstractNumId w:val="19"/>
  </w:num>
  <w:num w:numId="146" w16cid:durableId="1354838617">
    <w:abstractNumId w:val="97"/>
  </w:num>
  <w:num w:numId="147" w16cid:durableId="2138444624">
    <w:abstractNumId w:val="140"/>
  </w:num>
  <w:num w:numId="148" w16cid:durableId="1853568780">
    <w:abstractNumId w:val="67"/>
  </w:num>
  <w:num w:numId="149" w16cid:durableId="1003900624">
    <w:abstractNumId w:val="30"/>
  </w:num>
  <w:num w:numId="150" w16cid:durableId="379867841">
    <w:abstractNumId w:val="143"/>
  </w:num>
  <w:num w:numId="151" w16cid:durableId="1305114314">
    <w:abstractNumId w:val="117"/>
  </w:num>
  <w:num w:numId="152" w16cid:durableId="1017733947">
    <w:abstractNumId w:val="107"/>
  </w:num>
  <w:num w:numId="153" w16cid:durableId="1387989968">
    <w:abstractNumId w:val="96"/>
  </w:num>
  <w:num w:numId="154" w16cid:durableId="2111924621">
    <w:abstractNumId w:val="136"/>
  </w:num>
  <w:num w:numId="155" w16cid:durableId="1295795050">
    <w:abstractNumId w:val="118"/>
  </w:num>
  <w:num w:numId="156" w16cid:durableId="1085876155">
    <w:abstractNumId w:val="78"/>
  </w:num>
  <w:num w:numId="157" w16cid:durableId="84769626">
    <w:abstractNumId w:val="133"/>
  </w:num>
  <w:num w:numId="158" w16cid:durableId="186143832">
    <w:abstractNumId w:val="53"/>
  </w:num>
  <w:num w:numId="159" w16cid:durableId="357203496">
    <w:abstractNumId w:val="94"/>
  </w:num>
  <w:num w:numId="160" w16cid:durableId="2000308124">
    <w:abstractNumId w:val="144"/>
  </w:num>
  <w:num w:numId="161" w16cid:durableId="1134759710">
    <w:abstractNumId w:val="5"/>
  </w:num>
  <w:num w:numId="162" w16cid:durableId="90012491">
    <w:abstractNumId w:val="15"/>
  </w:num>
  <w:num w:numId="163" w16cid:durableId="1527712417">
    <w:abstractNumId w:val="106"/>
  </w:num>
  <w:num w:numId="164" w16cid:durableId="369187062">
    <w:abstractNumId w:val="135"/>
  </w:num>
  <w:num w:numId="165" w16cid:durableId="1639218537">
    <w:abstractNumId w:val="62"/>
  </w:num>
  <w:num w:numId="166" w16cid:durableId="870528821">
    <w:abstractNumId w:val="153"/>
  </w:num>
  <w:num w:numId="167" w16cid:durableId="72163261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25428575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35700397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676685077">
    <w:abstractNumId w:val="101"/>
  </w:num>
  <w:num w:numId="171" w16cid:durableId="835222003">
    <w:abstractNumId w:val="8"/>
  </w:num>
  <w:num w:numId="172" w16cid:durableId="1589582306">
    <w:abstractNumId w:val="8"/>
  </w:num>
  <w:num w:numId="173" w16cid:durableId="18552955">
    <w:abstractNumId w:val="115"/>
  </w:num>
  <w:num w:numId="174" w16cid:durableId="1403912350">
    <w:abstractNumId w:val="36"/>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75A"/>
    <w:rsid w:val="000008DC"/>
    <w:rsid w:val="00000F47"/>
    <w:rsid w:val="000017C6"/>
    <w:rsid w:val="00001C91"/>
    <w:rsid w:val="00001FF2"/>
    <w:rsid w:val="00002880"/>
    <w:rsid w:val="000031CE"/>
    <w:rsid w:val="0000372B"/>
    <w:rsid w:val="00003C7F"/>
    <w:rsid w:val="000047F8"/>
    <w:rsid w:val="0000497C"/>
    <w:rsid w:val="00004A02"/>
    <w:rsid w:val="00005372"/>
    <w:rsid w:val="00006582"/>
    <w:rsid w:val="000072C5"/>
    <w:rsid w:val="00007B07"/>
    <w:rsid w:val="0001011D"/>
    <w:rsid w:val="00012D01"/>
    <w:rsid w:val="000132EE"/>
    <w:rsid w:val="00013B6E"/>
    <w:rsid w:val="0001448C"/>
    <w:rsid w:val="00014BCC"/>
    <w:rsid w:val="00014D53"/>
    <w:rsid w:val="000151EE"/>
    <w:rsid w:val="0001520F"/>
    <w:rsid w:val="00017497"/>
    <w:rsid w:val="000202C2"/>
    <w:rsid w:val="00020809"/>
    <w:rsid w:val="00020D50"/>
    <w:rsid w:val="000224A1"/>
    <w:rsid w:val="00022B42"/>
    <w:rsid w:val="00023C71"/>
    <w:rsid w:val="00024138"/>
    <w:rsid w:val="0002456F"/>
    <w:rsid w:val="00026179"/>
    <w:rsid w:val="00026413"/>
    <w:rsid w:val="00026799"/>
    <w:rsid w:val="00027256"/>
    <w:rsid w:val="00030E4B"/>
    <w:rsid w:val="00032572"/>
    <w:rsid w:val="000337FA"/>
    <w:rsid w:val="000340C2"/>
    <w:rsid w:val="00034765"/>
    <w:rsid w:val="000358BB"/>
    <w:rsid w:val="000401C0"/>
    <w:rsid w:val="0004177B"/>
    <w:rsid w:val="00042004"/>
    <w:rsid w:val="00042A41"/>
    <w:rsid w:val="00042C9A"/>
    <w:rsid w:val="00043F51"/>
    <w:rsid w:val="00044259"/>
    <w:rsid w:val="000444C2"/>
    <w:rsid w:val="000444D5"/>
    <w:rsid w:val="00044567"/>
    <w:rsid w:val="00044985"/>
    <w:rsid w:val="00044D45"/>
    <w:rsid w:val="00044E5F"/>
    <w:rsid w:val="000458E7"/>
    <w:rsid w:val="00045B4E"/>
    <w:rsid w:val="00045EAC"/>
    <w:rsid w:val="00045EDA"/>
    <w:rsid w:val="00046148"/>
    <w:rsid w:val="00046743"/>
    <w:rsid w:val="00046A51"/>
    <w:rsid w:val="00046E08"/>
    <w:rsid w:val="0005036D"/>
    <w:rsid w:val="000512A5"/>
    <w:rsid w:val="00051997"/>
    <w:rsid w:val="00052773"/>
    <w:rsid w:val="000534B1"/>
    <w:rsid w:val="000540EF"/>
    <w:rsid w:val="000553BB"/>
    <w:rsid w:val="00056A48"/>
    <w:rsid w:val="000579B8"/>
    <w:rsid w:val="00057B2F"/>
    <w:rsid w:val="00057D3B"/>
    <w:rsid w:val="00057F37"/>
    <w:rsid w:val="00060399"/>
    <w:rsid w:val="00060558"/>
    <w:rsid w:val="000616D0"/>
    <w:rsid w:val="00063808"/>
    <w:rsid w:val="00064040"/>
    <w:rsid w:val="0006482A"/>
    <w:rsid w:val="0006517B"/>
    <w:rsid w:val="00066E1C"/>
    <w:rsid w:val="00067BE3"/>
    <w:rsid w:val="0007179C"/>
    <w:rsid w:val="00072818"/>
    <w:rsid w:val="00072989"/>
    <w:rsid w:val="00072C7B"/>
    <w:rsid w:val="00072D52"/>
    <w:rsid w:val="00072F2A"/>
    <w:rsid w:val="0007322D"/>
    <w:rsid w:val="00073A55"/>
    <w:rsid w:val="00073F8E"/>
    <w:rsid w:val="00074140"/>
    <w:rsid w:val="00074698"/>
    <w:rsid w:val="00074DB0"/>
    <w:rsid w:val="00076ADB"/>
    <w:rsid w:val="00076C43"/>
    <w:rsid w:val="00076E83"/>
    <w:rsid w:val="0008003B"/>
    <w:rsid w:val="000810C3"/>
    <w:rsid w:val="000827C3"/>
    <w:rsid w:val="00082D5A"/>
    <w:rsid w:val="00082FA7"/>
    <w:rsid w:val="0008362B"/>
    <w:rsid w:val="000848ED"/>
    <w:rsid w:val="0008555A"/>
    <w:rsid w:val="00086649"/>
    <w:rsid w:val="00086897"/>
    <w:rsid w:val="00087142"/>
    <w:rsid w:val="00087BE9"/>
    <w:rsid w:val="000908BE"/>
    <w:rsid w:val="00090CCB"/>
    <w:rsid w:val="000910E2"/>
    <w:rsid w:val="000930CA"/>
    <w:rsid w:val="00096449"/>
    <w:rsid w:val="00096C60"/>
    <w:rsid w:val="000A1395"/>
    <w:rsid w:val="000A2A75"/>
    <w:rsid w:val="000A3620"/>
    <w:rsid w:val="000A4009"/>
    <w:rsid w:val="000A4093"/>
    <w:rsid w:val="000A40D5"/>
    <w:rsid w:val="000A4AA3"/>
    <w:rsid w:val="000A4AF0"/>
    <w:rsid w:val="000A4F79"/>
    <w:rsid w:val="000A674C"/>
    <w:rsid w:val="000B0442"/>
    <w:rsid w:val="000B07E9"/>
    <w:rsid w:val="000B0D59"/>
    <w:rsid w:val="000B1631"/>
    <w:rsid w:val="000B2058"/>
    <w:rsid w:val="000B22A9"/>
    <w:rsid w:val="000B248A"/>
    <w:rsid w:val="000B27B9"/>
    <w:rsid w:val="000B2D59"/>
    <w:rsid w:val="000B4E29"/>
    <w:rsid w:val="000B4F38"/>
    <w:rsid w:val="000B5719"/>
    <w:rsid w:val="000B5B31"/>
    <w:rsid w:val="000B6677"/>
    <w:rsid w:val="000C0D19"/>
    <w:rsid w:val="000C1792"/>
    <w:rsid w:val="000C1F83"/>
    <w:rsid w:val="000C38E0"/>
    <w:rsid w:val="000C3E6E"/>
    <w:rsid w:val="000C4A96"/>
    <w:rsid w:val="000C4C36"/>
    <w:rsid w:val="000C5552"/>
    <w:rsid w:val="000C6F57"/>
    <w:rsid w:val="000D12AB"/>
    <w:rsid w:val="000D1A41"/>
    <w:rsid w:val="000D1F39"/>
    <w:rsid w:val="000D2C3E"/>
    <w:rsid w:val="000D3AA8"/>
    <w:rsid w:val="000D5B6D"/>
    <w:rsid w:val="000D5CEA"/>
    <w:rsid w:val="000D6517"/>
    <w:rsid w:val="000D7090"/>
    <w:rsid w:val="000D7320"/>
    <w:rsid w:val="000D75AC"/>
    <w:rsid w:val="000E0A05"/>
    <w:rsid w:val="000E0BF6"/>
    <w:rsid w:val="000E1B2E"/>
    <w:rsid w:val="000E2073"/>
    <w:rsid w:val="000E266A"/>
    <w:rsid w:val="000E4127"/>
    <w:rsid w:val="000E47DB"/>
    <w:rsid w:val="000E58BE"/>
    <w:rsid w:val="000E645D"/>
    <w:rsid w:val="000E6BEF"/>
    <w:rsid w:val="000F0CEF"/>
    <w:rsid w:val="000F0DBF"/>
    <w:rsid w:val="000F1F1D"/>
    <w:rsid w:val="000F46DC"/>
    <w:rsid w:val="000F5747"/>
    <w:rsid w:val="000F5B08"/>
    <w:rsid w:val="000F6089"/>
    <w:rsid w:val="000F6501"/>
    <w:rsid w:val="000F7816"/>
    <w:rsid w:val="001007A1"/>
    <w:rsid w:val="0010111B"/>
    <w:rsid w:val="001013B4"/>
    <w:rsid w:val="00103259"/>
    <w:rsid w:val="0010435A"/>
    <w:rsid w:val="001049BF"/>
    <w:rsid w:val="00105E6A"/>
    <w:rsid w:val="00105FB4"/>
    <w:rsid w:val="00106927"/>
    <w:rsid w:val="00106E5E"/>
    <w:rsid w:val="0011100B"/>
    <w:rsid w:val="00112228"/>
    <w:rsid w:val="00112AFE"/>
    <w:rsid w:val="001160B7"/>
    <w:rsid w:val="00116388"/>
    <w:rsid w:val="0011650C"/>
    <w:rsid w:val="001165FC"/>
    <w:rsid w:val="00116A82"/>
    <w:rsid w:val="00116AB9"/>
    <w:rsid w:val="00117ED8"/>
    <w:rsid w:val="0012087B"/>
    <w:rsid w:val="00122126"/>
    <w:rsid w:val="00122347"/>
    <w:rsid w:val="00122389"/>
    <w:rsid w:val="00122403"/>
    <w:rsid w:val="0012258A"/>
    <w:rsid w:val="00122DF5"/>
    <w:rsid w:val="00122E9C"/>
    <w:rsid w:val="00123231"/>
    <w:rsid w:val="0012352F"/>
    <w:rsid w:val="0012362C"/>
    <w:rsid w:val="00124F75"/>
    <w:rsid w:val="00124F91"/>
    <w:rsid w:val="0012633A"/>
    <w:rsid w:val="00126D60"/>
    <w:rsid w:val="001272E8"/>
    <w:rsid w:val="00131D84"/>
    <w:rsid w:val="00131EE3"/>
    <w:rsid w:val="00132893"/>
    <w:rsid w:val="001336DC"/>
    <w:rsid w:val="00134503"/>
    <w:rsid w:val="00135CB0"/>
    <w:rsid w:val="001362F4"/>
    <w:rsid w:val="00136894"/>
    <w:rsid w:val="0013727C"/>
    <w:rsid w:val="00140787"/>
    <w:rsid w:val="00140E88"/>
    <w:rsid w:val="00142579"/>
    <w:rsid w:val="00143031"/>
    <w:rsid w:val="001432FC"/>
    <w:rsid w:val="00144A93"/>
    <w:rsid w:val="00144C1C"/>
    <w:rsid w:val="00144F14"/>
    <w:rsid w:val="00145DE5"/>
    <w:rsid w:val="00146164"/>
    <w:rsid w:val="00146AC6"/>
    <w:rsid w:val="00147971"/>
    <w:rsid w:val="00150662"/>
    <w:rsid w:val="00150925"/>
    <w:rsid w:val="00152148"/>
    <w:rsid w:val="001523C5"/>
    <w:rsid w:val="00152EC6"/>
    <w:rsid w:val="00152F72"/>
    <w:rsid w:val="00154CE4"/>
    <w:rsid w:val="00155140"/>
    <w:rsid w:val="00155D38"/>
    <w:rsid w:val="00156847"/>
    <w:rsid w:val="00156BB4"/>
    <w:rsid w:val="0015756C"/>
    <w:rsid w:val="00157BF2"/>
    <w:rsid w:val="00157F4C"/>
    <w:rsid w:val="00161692"/>
    <w:rsid w:val="00162A88"/>
    <w:rsid w:val="00162B6B"/>
    <w:rsid w:val="00162F6A"/>
    <w:rsid w:val="00163415"/>
    <w:rsid w:val="001636D0"/>
    <w:rsid w:val="00163D45"/>
    <w:rsid w:val="001640A7"/>
    <w:rsid w:val="00165818"/>
    <w:rsid w:val="00165A63"/>
    <w:rsid w:val="00166FF0"/>
    <w:rsid w:val="001670E5"/>
    <w:rsid w:val="00167166"/>
    <w:rsid w:val="001671CF"/>
    <w:rsid w:val="0017005A"/>
    <w:rsid w:val="00170C88"/>
    <w:rsid w:val="00172609"/>
    <w:rsid w:val="00172756"/>
    <w:rsid w:val="001729EC"/>
    <w:rsid w:val="00172F28"/>
    <w:rsid w:val="0017343F"/>
    <w:rsid w:val="0017474C"/>
    <w:rsid w:val="00174D0A"/>
    <w:rsid w:val="00174EA7"/>
    <w:rsid w:val="0017568D"/>
    <w:rsid w:val="00175B07"/>
    <w:rsid w:val="00175F19"/>
    <w:rsid w:val="0017627B"/>
    <w:rsid w:val="001770A4"/>
    <w:rsid w:val="00177E70"/>
    <w:rsid w:val="00184305"/>
    <w:rsid w:val="001853B1"/>
    <w:rsid w:val="001866F3"/>
    <w:rsid w:val="00186D19"/>
    <w:rsid w:val="00186DF6"/>
    <w:rsid w:val="0019098E"/>
    <w:rsid w:val="001920D8"/>
    <w:rsid w:val="001921AB"/>
    <w:rsid w:val="001928E9"/>
    <w:rsid w:val="001929CD"/>
    <w:rsid w:val="00192EA1"/>
    <w:rsid w:val="00193B71"/>
    <w:rsid w:val="00194209"/>
    <w:rsid w:val="001963F3"/>
    <w:rsid w:val="00197A75"/>
    <w:rsid w:val="00197D4D"/>
    <w:rsid w:val="001A07C5"/>
    <w:rsid w:val="001A0D58"/>
    <w:rsid w:val="001A2075"/>
    <w:rsid w:val="001A32D1"/>
    <w:rsid w:val="001A3381"/>
    <w:rsid w:val="001A3B9D"/>
    <w:rsid w:val="001A56F4"/>
    <w:rsid w:val="001A616B"/>
    <w:rsid w:val="001A775E"/>
    <w:rsid w:val="001B0C79"/>
    <w:rsid w:val="001B1DA5"/>
    <w:rsid w:val="001B2246"/>
    <w:rsid w:val="001B29C6"/>
    <w:rsid w:val="001B356E"/>
    <w:rsid w:val="001B4072"/>
    <w:rsid w:val="001B4644"/>
    <w:rsid w:val="001B4878"/>
    <w:rsid w:val="001B5BDA"/>
    <w:rsid w:val="001B6F4A"/>
    <w:rsid w:val="001B700C"/>
    <w:rsid w:val="001B7989"/>
    <w:rsid w:val="001C07E8"/>
    <w:rsid w:val="001C1E24"/>
    <w:rsid w:val="001C1EA3"/>
    <w:rsid w:val="001C5591"/>
    <w:rsid w:val="001C6398"/>
    <w:rsid w:val="001C7793"/>
    <w:rsid w:val="001C791F"/>
    <w:rsid w:val="001C7A47"/>
    <w:rsid w:val="001D063A"/>
    <w:rsid w:val="001D08C5"/>
    <w:rsid w:val="001D240F"/>
    <w:rsid w:val="001D4B78"/>
    <w:rsid w:val="001D6350"/>
    <w:rsid w:val="001D6902"/>
    <w:rsid w:val="001D7A14"/>
    <w:rsid w:val="001E1307"/>
    <w:rsid w:val="001E22D8"/>
    <w:rsid w:val="001E2AFA"/>
    <w:rsid w:val="001E2B05"/>
    <w:rsid w:val="001E390B"/>
    <w:rsid w:val="001E3A9F"/>
    <w:rsid w:val="001E4548"/>
    <w:rsid w:val="001E4F1D"/>
    <w:rsid w:val="001E615A"/>
    <w:rsid w:val="001E61B6"/>
    <w:rsid w:val="001E6569"/>
    <w:rsid w:val="001E7984"/>
    <w:rsid w:val="001E7CE0"/>
    <w:rsid w:val="001E7D6C"/>
    <w:rsid w:val="001E7E61"/>
    <w:rsid w:val="001F0033"/>
    <w:rsid w:val="001F0241"/>
    <w:rsid w:val="001F061B"/>
    <w:rsid w:val="001F1275"/>
    <w:rsid w:val="001F1C33"/>
    <w:rsid w:val="001F3F98"/>
    <w:rsid w:val="001F47A0"/>
    <w:rsid w:val="001F4AA6"/>
    <w:rsid w:val="001F4ECE"/>
    <w:rsid w:val="001F61E1"/>
    <w:rsid w:val="001F685C"/>
    <w:rsid w:val="001F70D3"/>
    <w:rsid w:val="001F7814"/>
    <w:rsid w:val="002009C9"/>
    <w:rsid w:val="00200EE6"/>
    <w:rsid w:val="00201F39"/>
    <w:rsid w:val="00201FCD"/>
    <w:rsid w:val="00201FE6"/>
    <w:rsid w:val="002020F4"/>
    <w:rsid w:val="002045E1"/>
    <w:rsid w:val="00204C25"/>
    <w:rsid w:val="00205858"/>
    <w:rsid w:val="00207DDF"/>
    <w:rsid w:val="00210994"/>
    <w:rsid w:val="00210BFB"/>
    <w:rsid w:val="00211343"/>
    <w:rsid w:val="00212251"/>
    <w:rsid w:val="00215996"/>
    <w:rsid w:val="002173C6"/>
    <w:rsid w:val="00220160"/>
    <w:rsid w:val="00220293"/>
    <w:rsid w:val="00222B39"/>
    <w:rsid w:val="00222DED"/>
    <w:rsid w:val="00224CCF"/>
    <w:rsid w:val="00224F72"/>
    <w:rsid w:val="002251B4"/>
    <w:rsid w:val="0022528B"/>
    <w:rsid w:val="002255D1"/>
    <w:rsid w:val="00225CEA"/>
    <w:rsid w:val="002313A4"/>
    <w:rsid w:val="0023167B"/>
    <w:rsid w:val="00232226"/>
    <w:rsid w:val="002324A1"/>
    <w:rsid w:val="002325D9"/>
    <w:rsid w:val="002329FB"/>
    <w:rsid w:val="00233724"/>
    <w:rsid w:val="00233FC7"/>
    <w:rsid w:val="00233FEA"/>
    <w:rsid w:val="002340AA"/>
    <w:rsid w:val="0023490C"/>
    <w:rsid w:val="00235E5A"/>
    <w:rsid w:val="00236077"/>
    <w:rsid w:val="00237162"/>
    <w:rsid w:val="002373F6"/>
    <w:rsid w:val="00237893"/>
    <w:rsid w:val="00237BF8"/>
    <w:rsid w:val="00240812"/>
    <w:rsid w:val="00240AD9"/>
    <w:rsid w:val="00241208"/>
    <w:rsid w:val="002414E6"/>
    <w:rsid w:val="002432CE"/>
    <w:rsid w:val="002439B9"/>
    <w:rsid w:val="00244F40"/>
    <w:rsid w:val="002466A5"/>
    <w:rsid w:val="00247284"/>
    <w:rsid w:val="0025041D"/>
    <w:rsid w:val="00251159"/>
    <w:rsid w:val="0025173E"/>
    <w:rsid w:val="00253053"/>
    <w:rsid w:val="00253683"/>
    <w:rsid w:val="00254241"/>
    <w:rsid w:val="002552E2"/>
    <w:rsid w:val="00255B6C"/>
    <w:rsid w:val="002562C3"/>
    <w:rsid w:val="0025757A"/>
    <w:rsid w:val="002576AD"/>
    <w:rsid w:val="002579F2"/>
    <w:rsid w:val="00257A0C"/>
    <w:rsid w:val="0026018F"/>
    <w:rsid w:val="002612AF"/>
    <w:rsid w:val="002613F0"/>
    <w:rsid w:val="002616B9"/>
    <w:rsid w:val="002629E5"/>
    <w:rsid w:val="00262DCC"/>
    <w:rsid w:val="00263DA0"/>
    <w:rsid w:val="00263F07"/>
    <w:rsid w:val="002660BE"/>
    <w:rsid w:val="00267571"/>
    <w:rsid w:val="00267CCE"/>
    <w:rsid w:val="00267F59"/>
    <w:rsid w:val="002706C1"/>
    <w:rsid w:val="00271439"/>
    <w:rsid w:val="00272089"/>
    <w:rsid w:val="00272391"/>
    <w:rsid w:val="002728B7"/>
    <w:rsid w:val="00272A61"/>
    <w:rsid w:val="00273A07"/>
    <w:rsid w:val="00274DFD"/>
    <w:rsid w:val="0027537A"/>
    <w:rsid w:val="002753A1"/>
    <w:rsid w:val="0027568D"/>
    <w:rsid w:val="00275912"/>
    <w:rsid w:val="00275B84"/>
    <w:rsid w:val="0027602C"/>
    <w:rsid w:val="00276E83"/>
    <w:rsid w:val="00277164"/>
    <w:rsid w:val="002800CB"/>
    <w:rsid w:val="0028017B"/>
    <w:rsid w:val="002806EC"/>
    <w:rsid w:val="00280759"/>
    <w:rsid w:val="00282082"/>
    <w:rsid w:val="00282193"/>
    <w:rsid w:val="00282355"/>
    <w:rsid w:val="002826D0"/>
    <w:rsid w:val="00282CDD"/>
    <w:rsid w:val="00282D13"/>
    <w:rsid w:val="00282E19"/>
    <w:rsid w:val="0028432A"/>
    <w:rsid w:val="00284FEC"/>
    <w:rsid w:val="002868BC"/>
    <w:rsid w:val="002876BB"/>
    <w:rsid w:val="0029196B"/>
    <w:rsid w:val="00292BA3"/>
    <w:rsid w:val="0029399E"/>
    <w:rsid w:val="002947A1"/>
    <w:rsid w:val="00294B77"/>
    <w:rsid w:val="00294B8E"/>
    <w:rsid w:val="002959BC"/>
    <w:rsid w:val="002968A9"/>
    <w:rsid w:val="002A0128"/>
    <w:rsid w:val="002A13BA"/>
    <w:rsid w:val="002A190F"/>
    <w:rsid w:val="002A1B08"/>
    <w:rsid w:val="002A1D58"/>
    <w:rsid w:val="002A2271"/>
    <w:rsid w:val="002A2CCC"/>
    <w:rsid w:val="002A3827"/>
    <w:rsid w:val="002A6ABD"/>
    <w:rsid w:val="002A719B"/>
    <w:rsid w:val="002A7540"/>
    <w:rsid w:val="002A7BE4"/>
    <w:rsid w:val="002A7DA9"/>
    <w:rsid w:val="002B148A"/>
    <w:rsid w:val="002B18D3"/>
    <w:rsid w:val="002B237C"/>
    <w:rsid w:val="002B3719"/>
    <w:rsid w:val="002B426B"/>
    <w:rsid w:val="002B447D"/>
    <w:rsid w:val="002B4F7E"/>
    <w:rsid w:val="002B5025"/>
    <w:rsid w:val="002B58D9"/>
    <w:rsid w:val="002B5E07"/>
    <w:rsid w:val="002B7773"/>
    <w:rsid w:val="002C110C"/>
    <w:rsid w:val="002C2782"/>
    <w:rsid w:val="002C29AF"/>
    <w:rsid w:val="002C2F12"/>
    <w:rsid w:val="002C332D"/>
    <w:rsid w:val="002C3701"/>
    <w:rsid w:val="002C4072"/>
    <w:rsid w:val="002C4B01"/>
    <w:rsid w:val="002C600B"/>
    <w:rsid w:val="002C71AE"/>
    <w:rsid w:val="002D0038"/>
    <w:rsid w:val="002D09AC"/>
    <w:rsid w:val="002D1000"/>
    <w:rsid w:val="002D1214"/>
    <w:rsid w:val="002D16BF"/>
    <w:rsid w:val="002D209B"/>
    <w:rsid w:val="002D20E2"/>
    <w:rsid w:val="002D2732"/>
    <w:rsid w:val="002D3552"/>
    <w:rsid w:val="002D36A7"/>
    <w:rsid w:val="002D3A1B"/>
    <w:rsid w:val="002D4FDC"/>
    <w:rsid w:val="002D527F"/>
    <w:rsid w:val="002D5515"/>
    <w:rsid w:val="002D7D01"/>
    <w:rsid w:val="002E0160"/>
    <w:rsid w:val="002E01A6"/>
    <w:rsid w:val="002E0DD9"/>
    <w:rsid w:val="002E1533"/>
    <w:rsid w:val="002E241F"/>
    <w:rsid w:val="002E2A56"/>
    <w:rsid w:val="002E45CD"/>
    <w:rsid w:val="002E57D0"/>
    <w:rsid w:val="002E5D04"/>
    <w:rsid w:val="002E625B"/>
    <w:rsid w:val="002E6E0B"/>
    <w:rsid w:val="002E79BE"/>
    <w:rsid w:val="002F0427"/>
    <w:rsid w:val="002F05B9"/>
    <w:rsid w:val="002F0D8F"/>
    <w:rsid w:val="002F3C51"/>
    <w:rsid w:val="002F570B"/>
    <w:rsid w:val="002F5ABB"/>
    <w:rsid w:val="002F5C30"/>
    <w:rsid w:val="00300421"/>
    <w:rsid w:val="00300B1E"/>
    <w:rsid w:val="003017B7"/>
    <w:rsid w:val="003031BB"/>
    <w:rsid w:val="003042E5"/>
    <w:rsid w:val="003049DF"/>
    <w:rsid w:val="00304FF2"/>
    <w:rsid w:val="003068A7"/>
    <w:rsid w:val="00306ABD"/>
    <w:rsid w:val="00306CFA"/>
    <w:rsid w:val="00310FB1"/>
    <w:rsid w:val="00311177"/>
    <w:rsid w:val="00311FDA"/>
    <w:rsid w:val="00313AD9"/>
    <w:rsid w:val="00314233"/>
    <w:rsid w:val="003153B6"/>
    <w:rsid w:val="00315B4B"/>
    <w:rsid w:val="00315CE4"/>
    <w:rsid w:val="00316B9D"/>
    <w:rsid w:val="0031763B"/>
    <w:rsid w:val="0032040C"/>
    <w:rsid w:val="00320668"/>
    <w:rsid w:val="003218A3"/>
    <w:rsid w:val="00321965"/>
    <w:rsid w:val="003234C7"/>
    <w:rsid w:val="003238B6"/>
    <w:rsid w:val="00323C5E"/>
    <w:rsid w:val="003241F6"/>
    <w:rsid w:val="00325D5B"/>
    <w:rsid w:val="00326E8C"/>
    <w:rsid w:val="00327970"/>
    <w:rsid w:val="00331753"/>
    <w:rsid w:val="00332D42"/>
    <w:rsid w:val="00332FEA"/>
    <w:rsid w:val="0033383F"/>
    <w:rsid w:val="00333CCE"/>
    <w:rsid w:val="003340A6"/>
    <w:rsid w:val="003348E8"/>
    <w:rsid w:val="00334AE0"/>
    <w:rsid w:val="00334C92"/>
    <w:rsid w:val="00334F1B"/>
    <w:rsid w:val="00334F3A"/>
    <w:rsid w:val="003351F2"/>
    <w:rsid w:val="00335F58"/>
    <w:rsid w:val="003362FA"/>
    <w:rsid w:val="00336E84"/>
    <w:rsid w:val="00340057"/>
    <w:rsid w:val="0034174F"/>
    <w:rsid w:val="003419E0"/>
    <w:rsid w:val="00341EBD"/>
    <w:rsid w:val="00342261"/>
    <w:rsid w:val="0034402A"/>
    <w:rsid w:val="00344278"/>
    <w:rsid w:val="00344909"/>
    <w:rsid w:val="003451D3"/>
    <w:rsid w:val="00347704"/>
    <w:rsid w:val="0034779E"/>
    <w:rsid w:val="003479A3"/>
    <w:rsid w:val="00350414"/>
    <w:rsid w:val="00350587"/>
    <w:rsid w:val="003507EC"/>
    <w:rsid w:val="00351B65"/>
    <w:rsid w:val="0035295B"/>
    <w:rsid w:val="003532B9"/>
    <w:rsid w:val="00353602"/>
    <w:rsid w:val="00354F63"/>
    <w:rsid w:val="003550AB"/>
    <w:rsid w:val="0035604B"/>
    <w:rsid w:val="0035646C"/>
    <w:rsid w:val="00356495"/>
    <w:rsid w:val="003600F3"/>
    <w:rsid w:val="00360D8B"/>
    <w:rsid w:val="00363A07"/>
    <w:rsid w:val="00363A4F"/>
    <w:rsid w:val="00365427"/>
    <w:rsid w:val="003655D0"/>
    <w:rsid w:val="00365F97"/>
    <w:rsid w:val="00365FE8"/>
    <w:rsid w:val="00366469"/>
    <w:rsid w:val="00367092"/>
    <w:rsid w:val="00367756"/>
    <w:rsid w:val="00367FD1"/>
    <w:rsid w:val="003707A0"/>
    <w:rsid w:val="00370F82"/>
    <w:rsid w:val="003718DF"/>
    <w:rsid w:val="00371F66"/>
    <w:rsid w:val="00372430"/>
    <w:rsid w:val="00372763"/>
    <w:rsid w:val="00372C70"/>
    <w:rsid w:val="00372CF9"/>
    <w:rsid w:val="00374AD2"/>
    <w:rsid w:val="00374E7A"/>
    <w:rsid w:val="00374FD9"/>
    <w:rsid w:val="00375179"/>
    <w:rsid w:val="00375ED1"/>
    <w:rsid w:val="003768C7"/>
    <w:rsid w:val="003774B5"/>
    <w:rsid w:val="00377B1B"/>
    <w:rsid w:val="00380099"/>
    <w:rsid w:val="003805B7"/>
    <w:rsid w:val="00380BE6"/>
    <w:rsid w:val="0038100C"/>
    <w:rsid w:val="00382E6B"/>
    <w:rsid w:val="00384690"/>
    <w:rsid w:val="00384C61"/>
    <w:rsid w:val="00385232"/>
    <w:rsid w:val="003854CE"/>
    <w:rsid w:val="00387277"/>
    <w:rsid w:val="00387ECC"/>
    <w:rsid w:val="003901ED"/>
    <w:rsid w:val="00390829"/>
    <w:rsid w:val="00390F84"/>
    <w:rsid w:val="0039187D"/>
    <w:rsid w:val="00392235"/>
    <w:rsid w:val="003926C6"/>
    <w:rsid w:val="003927CC"/>
    <w:rsid w:val="00392C58"/>
    <w:rsid w:val="00392D43"/>
    <w:rsid w:val="00393683"/>
    <w:rsid w:val="00393CA1"/>
    <w:rsid w:val="00393F6F"/>
    <w:rsid w:val="00394C8E"/>
    <w:rsid w:val="00395745"/>
    <w:rsid w:val="00396915"/>
    <w:rsid w:val="003976AC"/>
    <w:rsid w:val="003A04D2"/>
    <w:rsid w:val="003A11EC"/>
    <w:rsid w:val="003A185F"/>
    <w:rsid w:val="003A27A7"/>
    <w:rsid w:val="003A27FF"/>
    <w:rsid w:val="003A2FE2"/>
    <w:rsid w:val="003A33DC"/>
    <w:rsid w:val="003A3536"/>
    <w:rsid w:val="003A39A2"/>
    <w:rsid w:val="003A4C0F"/>
    <w:rsid w:val="003A6577"/>
    <w:rsid w:val="003A751E"/>
    <w:rsid w:val="003A76D9"/>
    <w:rsid w:val="003B01CB"/>
    <w:rsid w:val="003B072B"/>
    <w:rsid w:val="003B0981"/>
    <w:rsid w:val="003B16E8"/>
    <w:rsid w:val="003B3199"/>
    <w:rsid w:val="003B356C"/>
    <w:rsid w:val="003B3E6A"/>
    <w:rsid w:val="003B4ADD"/>
    <w:rsid w:val="003B5A03"/>
    <w:rsid w:val="003B72A2"/>
    <w:rsid w:val="003B7502"/>
    <w:rsid w:val="003B7EA0"/>
    <w:rsid w:val="003C0ADB"/>
    <w:rsid w:val="003C0C74"/>
    <w:rsid w:val="003C1089"/>
    <w:rsid w:val="003C1373"/>
    <w:rsid w:val="003C1BFB"/>
    <w:rsid w:val="003C1EAA"/>
    <w:rsid w:val="003C344A"/>
    <w:rsid w:val="003C3562"/>
    <w:rsid w:val="003C3F7C"/>
    <w:rsid w:val="003C4D6A"/>
    <w:rsid w:val="003C53C6"/>
    <w:rsid w:val="003C5CA1"/>
    <w:rsid w:val="003C61F0"/>
    <w:rsid w:val="003C66B2"/>
    <w:rsid w:val="003C6A07"/>
    <w:rsid w:val="003C7A6B"/>
    <w:rsid w:val="003D0ECF"/>
    <w:rsid w:val="003D1B1A"/>
    <w:rsid w:val="003D278F"/>
    <w:rsid w:val="003D37B7"/>
    <w:rsid w:val="003D3A23"/>
    <w:rsid w:val="003D5A9B"/>
    <w:rsid w:val="003D618B"/>
    <w:rsid w:val="003E0A16"/>
    <w:rsid w:val="003E2EB9"/>
    <w:rsid w:val="003E3402"/>
    <w:rsid w:val="003E3C35"/>
    <w:rsid w:val="003E5257"/>
    <w:rsid w:val="003E5F02"/>
    <w:rsid w:val="003E62AD"/>
    <w:rsid w:val="003E7703"/>
    <w:rsid w:val="003E7862"/>
    <w:rsid w:val="003E7F87"/>
    <w:rsid w:val="003F0EE6"/>
    <w:rsid w:val="003F1799"/>
    <w:rsid w:val="003F24F3"/>
    <w:rsid w:val="003F3C92"/>
    <w:rsid w:val="003F3F49"/>
    <w:rsid w:val="003F4283"/>
    <w:rsid w:val="003F6080"/>
    <w:rsid w:val="003F61C4"/>
    <w:rsid w:val="003F6E72"/>
    <w:rsid w:val="003F6ED5"/>
    <w:rsid w:val="003F7534"/>
    <w:rsid w:val="003F7C7D"/>
    <w:rsid w:val="00400605"/>
    <w:rsid w:val="00401A40"/>
    <w:rsid w:val="00401F17"/>
    <w:rsid w:val="00402935"/>
    <w:rsid w:val="004029C6"/>
    <w:rsid w:val="00402AC5"/>
    <w:rsid w:val="00403108"/>
    <w:rsid w:val="00403FC5"/>
    <w:rsid w:val="00404124"/>
    <w:rsid w:val="00404875"/>
    <w:rsid w:val="0040670F"/>
    <w:rsid w:val="00407101"/>
    <w:rsid w:val="00407105"/>
    <w:rsid w:val="004076B8"/>
    <w:rsid w:val="004078AC"/>
    <w:rsid w:val="00410449"/>
    <w:rsid w:val="0041135F"/>
    <w:rsid w:val="00412CA8"/>
    <w:rsid w:val="00415849"/>
    <w:rsid w:val="004159B1"/>
    <w:rsid w:val="00415A54"/>
    <w:rsid w:val="00417367"/>
    <w:rsid w:val="0041763D"/>
    <w:rsid w:val="004178AF"/>
    <w:rsid w:val="00417FF9"/>
    <w:rsid w:val="00421C35"/>
    <w:rsid w:val="00422745"/>
    <w:rsid w:val="004228B2"/>
    <w:rsid w:val="004229FD"/>
    <w:rsid w:val="00422CCA"/>
    <w:rsid w:val="00423282"/>
    <w:rsid w:val="004234A0"/>
    <w:rsid w:val="0042387B"/>
    <w:rsid w:val="0042416D"/>
    <w:rsid w:val="004244BF"/>
    <w:rsid w:val="00424B66"/>
    <w:rsid w:val="00424D5E"/>
    <w:rsid w:val="00425802"/>
    <w:rsid w:val="00425C10"/>
    <w:rsid w:val="00425FC9"/>
    <w:rsid w:val="0042608A"/>
    <w:rsid w:val="0042661D"/>
    <w:rsid w:val="00430532"/>
    <w:rsid w:val="0043054C"/>
    <w:rsid w:val="0043055D"/>
    <w:rsid w:val="00431777"/>
    <w:rsid w:val="004323E2"/>
    <w:rsid w:val="00432BF3"/>
    <w:rsid w:val="00433745"/>
    <w:rsid w:val="00435428"/>
    <w:rsid w:val="004358F3"/>
    <w:rsid w:val="004368E2"/>
    <w:rsid w:val="00437015"/>
    <w:rsid w:val="0043748B"/>
    <w:rsid w:val="00441927"/>
    <w:rsid w:val="00442434"/>
    <w:rsid w:val="00442A35"/>
    <w:rsid w:val="00443F83"/>
    <w:rsid w:val="004454DD"/>
    <w:rsid w:val="00445FC3"/>
    <w:rsid w:val="00447198"/>
    <w:rsid w:val="00451AC0"/>
    <w:rsid w:val="00454675"/>
    <w:rsid w:val="004546AC"/>
    <w:rsid w:val="004556EA"/>
    <w:rsid w:val="00455CCB"/>
    <w:rsid w:val="00456A50"/>
    <w:rsid w:val="00457084"/>
    <w:rsid w:val="004574DA"/>
    <w:rsid w:val="00461219"/>
    <w:rsid w:val="0046287A"/>
    <w:rsid w:val="00462962"/>
    <w:rsid w:val="00462997"/>
    <w:rsid w:val="00462AC6"/>
    <w:rsid w:val="00463D37"/>
    <w:rsid w:val="0046400E"/>
    <w:rsid w:val="00464282"/>
    <w:rsid w:val="0046513B"/>
    <w:rsid w:val="004652EC"/>
    <w:rsid w:val="00465AFB"/>
    <w:rsid w:val="00465F60"/>
    <w:rsid w:val="00466480"/>
    <w:rsid w:val="00466C03"/>
    <w:rsid w:val="00466EE7"/>
    <w:rsid w:val="004670EC"/>
    <w:rsid w:val="00467C0D"/>
    <w:rsid w:val="00470BA6"/>
    <w:rsid w:val="0047198A"/>
    <w:rsid w:val="0047311B"/>
    <w:rsid w:val="00473829"/>
    <w:rsid w:val="0047469C"/>
    <w:rsid w:val="00475277"/>
    <w:rsid w:val="00475DBD"/>
    <w:rsid w:val="004762EB"/>
    <w:rsid w:val="004803CE"/>
    <w:rsid w:val="00482CC2"/>
    <w:rsid w:val="00482FE0"/>
    <w:rsid w:val="00483049"/>
    <w:rsid w:val="00483219"/>
    <w:rsid w:val="00485280"/>
    <w:rsid w:val="004852C6"/>
    <w:rsid w:val="00485743"/>
    <w:rsid w:val="00485FA8"/>
    <w:rsid w:val="00490EC3"/>
    <w:rsid w:val="004913D9"/>
    <w:rsid w:val="004930C6"/>
    <w:rsid w:val="00493B8F"/>
    <w:rsid w:val="0049403E"/>
    <w:rsid w:val="004942A7"/>
    <w:rsid w:val="00494B9E"/>
    <w:rsid w:val="004950E6"/>
    <w:rsid w:val="0049511C"/>
    <w:rsid w:val="0049597B"/>
    <w:rsid w:val="00496348"/>
    <w:rsid w:val="00496448"/>
    <w:rsid w:val="00496506"/>
    <w:rsid w:val="004966D3"/>
    <w:rsid w:val="0049714B"/>
    <w:rsid w:val="00497805"/>
    <w:rsid w:val="004A0F1B"/>
    <w:rsid w:val="004A118D"/>
    <w:rsid w:val="004A281B"/>
    <w:rsid w:val="004A2DA7"/>
    <w:rsid w:val="004A2E2A"/>
    <w:rsid w:val="004A3478"/>
    <w:rsid w:val="004A465F"/>
    <w:rsid w:val="004A4CB3"/>
    <w:rsid w:val="004A5841"/>
    <w:rsid w:val="004A5F27"/>
    <w:rsid w:val="004A71ED"/>
    <w:rsid w:val="004B0E54"/>
    <w:rsid w:val="004B17BE"/>
    <w:rsid w:val="004B18DD"/>
    <w:rsid w:val="004B2191"/>
    <w:rsid w:val="004B32F8"/>
    <w:rsid w:val="004B3960"/>
    <w:rsid w:val="004B3FAF"/>
    <w:rsid w:val="004B5F64"/>
    <w:rsid w:val="004B6008"/>
    <w:rsid w:val="004B7D5F"/>
    <w:rsid w:val="004B7F57"/>
    <w:rsid w:val="004C0E3E"/>
    <w:rsid w:val="004C1D30"/>
    <w:rsid w:val="004C21E4"/>
    <w:rsid w:val="004C349A"/>
    <w:rsid w:val="004C3CF2"/>
    <w:rsid w:val="004C4627"/>
    <w:rsid w:val="004C4643"/>
    <w:rsid w:val="004C5414"/>
    <w:rsid w:val="004C571B"/>
    <w:rsid w:val="004C6E6C"/>
    <w:rsid w:val="004C763D"/>
    <w:rsid w:val="004D0F74"/>
    <w:rsid w:val="004D109B"/>
    <w:rsid w:val="004D15A1"/>
    <w:rsid w:val="004D1B14"/>
    <w:rsid w:val="004D5849"/>
    <w:rsid w:val="004D5DA1"/>
    <w:rsid w:val="004D5E7B"/>
    <w:rsid w:val="004D6B38"/>
    <w:rsid w:val="004D6D3E"/>
    <w:rsid w:val="004D74C1"/>
    <w:rsid w:val="004D77C7"/>
    <w:rsid w:val="004D78FC"/>
    <w:rsid w:val="004E12BF"/>
    <w:rsid w:val="004E2B29"/>
    <w:rsid w:val="004E30EE"/>
    <w:rsid w:val="004E386E"/>
    <w:rsid w:val="004E3DE4"/>
    <w:rsid w:val="004E3F04"/>
    <w:rsid w:val="004E456C"/>
    <w:rsid w:val="004E55B4"/>
    <w:rsid w:val="004E5669"/>
    <w:rsid w:val="004E5E53"/>
    <w:rsid w:val="004E76B4"/>
    <w:rsid w:val="004F0248"/>
    <w:rsid w:val="004F1156"/>
    <w:rsid w:val="004F1D40"/>
    <w:rsid w:val="004F1F46"/>
    <w:rsid w:val="004F484E"/>
    <w:rsid w:val="004F54D6"/>
    <w:rsid w:val="004F5779"/>
    <w:rsid w:val="004F5DA0"/>
    <w:rsid w:val="004F6AC2"/>
    <w:rsid w:val="004F6E29"/>
    <w:rsid w:val="004F6EC9"/>
    <w:rsid w:val="004F71E4"/>
    <w:rsid w:val="004F78AF"/>
    <w:rsid w:val="00500E20"/>
    <w:rsid w:val="00500E60"/>
    <w:rsid w:val="00500F14"/>
    <w:rsid w:val="00501751"/>
    <w:rsid w:val="00501C09"/>
    <w:rsid w:val="005026F2"/>
    <w:rsid w:val="0050399F"/>
    <w:rsid w:val="00504161"/>
    <w:rsid w:val="0050446A"/>
    <w:rsid w:val="00504973"/>
    <w:rsid w:val="00504B62"/>
    <w:rsid w:val="00505FEF"/>
    <w:rsid w:val="00512121"/>
    <w:rsid w:val="00513215"/>
    <w:rsid w:val="005146A5"/>
    <w:rsid w:val="0051531B"/>
    <w:rsid w:val="00516B58"/>
    <w:rsid w:val="00516C5E"/>
    <w:rsid w:val="00517252"/>
    <w:rsid w:val="00517A33"/>
    <w:rsid w:val="00517D34"/>
    <w:rsid w:val="00521B2F"/>
    <w:rsid w:val="005224B0"/>
    <w:rsid w:val="00522689"/>
    <w:rsid w:val="00523097"/>
    <w:rsid w:val="0052367D"/>
    <w:rsid w:val="0052419F"/>
    <w:rsid w:val="00526E5F"/>
    <w:rsid w:val="00530723"/>
    <w:rsid w:val="00531CD0"/>
    <w:rsid w:val="0053213B"/>
    <w:rsid w:val="00533105"/>
    <w:rsid w:val="00533A10"/>
    <w:rsid w:val="005345FE"/>
    <w:rsid w:val="00535A24"/>
    <w:rsid w:val="00535C10"/>
    <w:rsid w:val="00535E57"/>
    <w:rsid w:val="0053604D"/>
    <w:rsid w:val="00536CEC"/>
    <w:rsid w:val="00536CF6"/>
    <w:rsid w:val="00536D18"/>
    <w:rsid w:val="0053763E"/>
    <w:rsid w:val="00537B4E"/>
    <w:rsid w:val="00537C61"/>
    <w:rsid w:val="00537DFA"/>
    <w:rsid w:val="00540105"/>
    <w:rsid w:val="0054028B"/>
    <w:rsid w:val="00540624"/>
    <w:rsid w:val="0054070B"/>
    <w:rsid w:val="00540A94"/>
    <w:rsid w:val="00541375"/>
    <w:rsid w:val="00541C91"/>
    <w:rsid w:val="005426B6"/>
    <w:rsid w:val="00543D28"/>
    <w:rsid w:val="005444EB"/>
    <w:rsid w:val="00544E04"/>
    <w:rsid w:val="00544F4C"/>
    <w:rsid w:val="0054519A"/>
    <w:rsid w:val="005453B7"/>
    <w:rsid w:val="00545568"/>
    <w:rsid w:val="00545776"/>
    <w:rsid w:val="00545A65"/>
    <w:rsid w:val="00545A84"/>
    <w:rsid w:val="00545CE0"/>
    <w:rsid w:val="00545F60"/>
    <w:rsid w:val="0054678D"/>
    <w:rsid w:val="00547E9D"/>
    <w:rsid w:val="00547F07"/>
    <w:rsid w:val="005506B7"/>
    <w:rsid w:val="00550EE0"/>
    <w:rsid w:val="005510DC"/>
    <w:rsid w:val="00551240"/>
    <w:rsid w:val="0055363B"/>
    <w:rsid w:val="0055364C"/>
    <w:rsid w:val="00553FE0"/>
    <w:rsid w:val="005541AA"/>
    <w:rsid w:val="00555946"/>
    <w:rsid w:val="00556433"/>
    <w:rsid w:val="00556CEF"/>
    <w:rsid w:val="005574EE"/>
    <w:rsid w:val="00557A29"/>
    <w:rsid w:val="00560A9B"/>
    <w:rsid w:val="00560FAF"/>
    <w:rsid w:val="00561A54"/>
    <w:rsid w:val="005628E2"/>
    <w:rsid w:val="005629A1"/>
    <w:rsid w:val="005662A9"/>
    <w:rsid w:val="005662BA"/>
    <w:rsid w:val="00566CFB"/>
    <w:rsid w:val="0056763A"/>
    <w:rsid w:val="005678AF"/>
    <w:rsid w:val="005701DC"/>
    <w:rsid w:val="00570582"/>
    <w:rsid w:val="00571824"/>
    <w:rsid w:val="00571FAB"/>
    <w:rsid w:val="005722F8"/>
    <w:rsid w:val="00573347"/>
    <w:rsid w:val="00574978"/>
    <w:rsid w:val="00576133"/>
    <w:rsid w:val="00576D77"/>
    <w:rsid w:val="00576FD8"/>
    <w:rsid w:val="00577265"/>
    <w:rsid w:val="00577A86"/>
    <w:rsid w:val="00577DFA"/>
    <w:rsid w:val="0058096F"/>
    <w:rsid w:val="00580D40"/>
    <w:rsid w:val="005820D4"/>
    <w:rsid w:val="0058533B"/>
    <w:rsid w:val="00585574"/>
    <w:rsid w:val="005856BF"/>
    <w:rsid w:val="00586909"/>
    <w:rsid w:val="00586CA2"/>
    <w:rsid w:val="00587C53"/>
    <w:rsid w:val="00587F7F"/>
    <w:rsid w:val="00587FEF"/>
    <w:rsid w:val="005907CD"/>
    <w:rsid w:val="00591031"/>
    <w:rsid w:val="00594267"/>
    <w:rsid w:val="00594B54"/>
    <w:rsid w:val="00596A1E"/>
    <w:rsid w:val="00596FAE"/>
    <w:rsid w:val="00597609"/>
    <w:rsid w:val="005A05E5"/>
    <w:rsid w:val="005A0888"/>
    <w:rsid w:val="005A15ED"/>
    <w:rsid w:val="005A2333"/>
    <w:rsid w:val="005A2A68"/>
    <w:rsid w:val="005A3EF8"/>
    <w:rsid w:val="005A40E2"/>
    <w:rsid w:val="005A4CCA"/>
    <w:rsid w:val="005A5132"/>
    <w:rsid w:val="005A584C"/>
    <w:rsid w:val="005A6117"/>
    <w:rsid w:val="005A611A"/>
    <w:rsid w:val="005A70DD"/>
    <w:rsid w:val="005B040F"/>
    <w:rsid w:val="005B1CE5"/>
    <w:rsid w:val="005B21C2"/>
    <w:rsid w:val="005B2AA5"/>
    <w:rsid w:val="005B3843"/>
    <w:rsid w:val="005B3E2F"/>
    <w:rsid w:val="005B5320"/>
    <w:rsid w:val="005B53E5"/>
    <w:rsid w:val="005C161F"/>
    <w:rsid w:val="005C165E"/>
    <w:rsid w:val="005C1AF0"/>
    <w:rsid w:val="005C1E77"/>
    <w:rsid w:val="005C1F6D"/>
    <w:rsid w:val="005C2064"/>
    <w:rsid w:val="005C23CB"/>
    <w:rsid w:val="005C2B84"/>
    <w:rsid w:val="005C3F73"/>
    <w:rsid w:val="005C4B2F"/>
    <w:rsid w:val="005C4BB1"/>
    <w:rsid w:val="005C5E5E"/>
    <w:rsid w:val="005C5EA3"/>
    <w:rsid w:val="005C6A9D"/>
    <w:rsid w:val="005C6FAF"/>
    <w:rsid w:val="005C7EB5"/>
    <w:rsid w:val="005D0229"/>
    <w:rsid w:val="005D185E"/>
    <w:rsid w:val="005D1D93"/>
    <w:rsid w:val="005D2DDE"/>
    <w:rsid w:val="005D33DF"/>
    <w:rsid w:val="005D3527"/>
    <w:rsid w:val="005D3C10"/>
    <w:rsid w:val="005D3E26"/>
    <w:rsid w:val="005D4538"/>
    <w:rsid w:val="005D4D65"/>
    <w:rsid w:val="005D5986"/>
    <w:rsid w:val="005D5CD3"/>
    <w:rsid w:val="005D6283"/>
    <w:rsid w:val="005D6837"/>
    <w:rsid w:val="005D748E"/>
    <w:rsid w:val="005D7C5E"/>
    <w:rsid w:val="005E05F8"/>
    <w:rsid w:val="005E0FC8"/>
    <w:rsid w:val="005E12A7"/>
    <w:rsid w:val="005E35FA"/>
    <w:rsid w:val="005E4052"/>
    <w:rsid w:val="005E4171"/>
    <w:rsid w:val="005E4411"/>
    <w:rsid w:val="005E449B"/>
    <w:rsid w:val="005E4EB3"/>
    <w:rsid w:val="005E55F1"/>
    <w:rsid w:val="005E6C9E"/>
    <w:rsid w:val="005F0C90"/>
    <w:rsid w:val="005F0D52"/>
    <w:rsid w:val="005F2201"/>
    <w:rsid w:val="005F2AB2"/>
    <w:rsid w:val="005F2C01"/>
    <w:rsid w:val="005F2FB1"/>
    <w:rsid w:val="005F3C6F"/>
    <w:rsid w:val="005F46E8"/>
    <w:rsid w:val="005F4EE9"/>
    <w:rsid w:val="005F5418"/>
    <w:rsid w:val="005F6D82"/>
    <w:rsid w:val="006015CF"/>
    <w:rsid w:val="00602779"/>
    <w:rsid w:val="00602A7F"/>
    <w:rsid w:val="0060475A"/>
    <w:rsid w:val="006054B1"/>
    <w:rsid w:val="00605A11"/>
    <w:rsid w:val="00605A32"/>
    <w:rsid w:val="00605CDD"/>
    <w:rsid w:val="00606AAB"/>
    <w:rsid w:val="00606D7A"/>
    <w:rsid w:val="00607660"/>
    <w:rsid w:val="00607840"/>
    <w:rsid w:val="006078F5"/>
    <w:rsid w:val="00610BC3"/>
    <w:rsid w:val="0061197C"/>
    <w:rsid w:val="00611E45"/>
    <w:rsid w:val="0061291A"/>
    <w:rsid w:val="00613782"/>
    <w:rsid w:val="00613A49"/>
    <w:rsid w:val="00614207"/>
    <w:rsid w:val="00614A15"/>
    <w:rsid w:val="00614FB2"/>
    <w:rsid w:val="00616248"/>
    <w:rsid w:val="00617DB2"/>
    <w:rsid w:val="0062021C"/>
    <w:rsid w:val="00620F42"/>
    <w:rsid w:val="0062144B"/>
    <w:rsid w:val="00621A21"/>
    <w:rsid w:val="00621E2D"/>
    <w:rsid w:val="00622AFE"/>
    <w:rsid w:val="006237D0"/>
    <w:rsid w:val="006246F3"/>
    <w:rsid w:val="00624D46"/>
    <w:rsid w:val="00625FEC"/>
    <w:rsid w:val="006279C2"/>
    <w:rsid w:val="00631EEE"/>
    <w:rsid w:val="0063245B"/>
    <w:rsid w:val="00632834"/>
    <w:rsid w:val="00632909"/>
    <w:rsid w:val="00632B33"/>
    <w:rsid w:val="00632EF4"/>
    <w:rsid w:val="00633494"/>
    <w:rsid w:val="006334F1"/>
    <w:rsid w:val="00633C30"/>
    <w:rsid w:val="00635DA5"/>
    <w:rsid w:val="00636EA2"/>
    <w:rsid w:val="0064097D"/>
    <w:rsid w:val="006425D7"/>
    <w:rsid w:val="00642D44"/>
    <w:rsid w:val="0064398F"/>
    <w:rsid w:val="00644BAE"/>
    <w:rsid w:val="00645BD2"/>
    <w:rsid w:val="006466D3"/>
    <w:rsid w:val="006501CD"/>
    <w:rsid w:val="0065136E"/>
    <w:rsid w:val="00651389"/>
    <w:rsid w:val="00651541"/>
    <w:rsid w:val="006516F4"/>
    <w:rsid w:val="006517CD"/>
    <w:rsid w:val="00651BDA"/>
    <w:rsid w:val="0065248A"/>
    <w:rsid w:val="006531F0"/>
    <w:rsid w:val="00653337"/>
    <w:rsid w:val="00653E56"/>
    <w:rsid w:val="006543ED"/>
    <w:rsid w:val="0065452B"/>
    <w:rsid w:val="00655239"/>
    <w:rsid w:val="006558C1"/>
    <w:rsid w:val="006564EF"/>
    <w:rsid w:val="006567C2"/>
    <w:rsid w:val="00656B88"/>
    <w:rsid w:val="0065708B"/>
    <w:rsid w:val="00660284"/>
    <w:rsid w:val="00660638"/>
    <w:rsid w:val="00660745"/>
    <w:rsid w:val="00661666"/>
    <w:rsid w:val="006618D2"/>
    <w:rsid w:val="00661B83"/>
    <w:rsid w:val="00662540"/>
    <w:rsid w:val="00662C52"/>
    <w:rsid w:val="00662ED2"/>
    <w:rsid w:val="006630A0"/>
    <w:rsid w:val="0066385E"/>
    <w:rsid w:val="00664CD1"/>
    <w:rsid w:val="00664E3C"/>
    <w:rsid w:val="0066589B"/>
    <w:rsid w:val="00665EF3"/>
    <w:rsid w:val="00666126"/>
    <w:rsid w:val="00666DC2"/>
    <w:rsid w:val="0066706C"/>
    <w:rsid w:val="0066740F"/>
    <w:rsid w:val="0066794B"/>
    <w:rsid w:val="00667D5F"/>
    <w:rsid w:val="006708FB"/>
    <w:rsid w:val="00671F5E"/>
    <w:rsid w:val="0067240C"/>
    <w:rsid w:val="0067417D"/>
    <w:rsid w:val="0067511A"/>
    <w:rsid w:val="0067658F"/>
    <w:rsid w:val="00676A28"/>
    <w:rsid w:val="00676EF9"/>
    <w:rsid w:val="006775CC"/>
    <w:rsid w:val="00677F1F"/>
    <w:rsid w:val="006815EE"/>
    <w:rsid w:val="00681BCF"/>
    <w:rsid w:val="0068227D"/>
    <w:rsid w:val="00682615"/>
    <w:rsid w:val="00683315"/>
    <w:rsid w:val="00683B8A"/>
    <w:rsid w:val="006849E0"/>
    <w:rsid w:val="00685C9F"/>
    <w:rsid w:val="00685E74"/>
    <w:rsid w:val="006863BD"/>
    <w:rsid w:val="00686933"/>
    <w:rsid w:val="006870E3"/>
    <w:rsid w:val="0068766A"/>
    <w:rsid w:val="0068767D"/>
    <w:rsid w:val="00687AD9"/>
    <w:rsid w:val="00690555"/>
    <w:rsid w:val="0069102D"/>
    <w:rsid w:val="00691142"/>
    <w:rsid w:val="00691349"/>
    <w:rsid w:val="006915B4"/>
    <w:rsid w:val="00691D5F"/>
    <w:rsid w:val="00692CAF"/>
    <w:rsid w:val="00693502"/>
    <w:rsid w:val="00694FA7"/>
    <w:rsid w:val="006954F5"/>
    <w:rsid w:val="00696553"/>
    <w:rsid w:val="00697D90"/>
    <w:rsid w:val="006A008C"/>
    <w:rsid w:val="006A0D64"/>
    <w:rsid w:val="006A1484"/>
    <w:rsid w:val="006A315F"/>
    <w:rsid w:val="006A3319"/>
    <w:rsid w:val="006A43FD"/>
    <w:rsid w:val="006A50B0"/>
    <w:rsid w:val="006A55D5"/>
    <w:rsid w:val="006A7745"/>
    <w:rsid w:val="006A7E89"/>
    <w:rsid w:val="006B0EC7"/>
    <w:rsid w:val="006B2063"/>
    <w:rsid w:val="006B5A62"/>
    <w:rsid w:val="006B5BCD"/>
    <w:rsid w:val="006B5CD8"/>
    <w:rsid w:val="006B6629"/>
    <w:rsid w:val="006B781A"/>
    <w:rsid w:val="006B79B1"/>
    <w:rsid w:val="006C00F8"/>
    <w:rsid w:val="006C0514"/>
    <w:rsid w:val="006C0945"/>
    <w:rsid w:val="006C0BCE"/>
    <w:rsid w:val="006C1885"/>
    <w:rsid w:val="006C203B"/>
    <w:rsid w:val="006C396A"/>
    <w:rsid w:val="006C3BDD"/>
    <w:rsid w:val="006C4A62"/>
    <w:rsid w:val="006C51E1"/>
    <w:rsid w:val="006C538C"/>
    <w:rsid w:val="006C5658"/>
    <w:rsid w:val="006D046D"/>
    <w:rsid w:val="006D0A49"/>
    <w:rsid w:val="006D0C47"/>
    <w:rsid w:val="006D0CFD"/>
    <w:rsid w:val="006D1D8C"/>
    <w:rsid w:val="006D20BA"/>
    <w:rsid w:val="006D266E"/>
    <w:rsid w:val="006D276D"/>
    <w:rsid w:val="006D31C7"/>
    <w:rsid w:val="006D3BA1"/>
    <w:rsid w:val="006D4C25"/>
    <w:rsid w:val="006D4C88"/>
    <w:rsid w:val="006D4DBF"/>
    <w:rsid w:val="006D6D3C"/>
    <w:rsid w:val="006D72DF"/>
    <w:rsid w:val="006D78A4"/>
    <w:rsid w:val="006E1C57"/>
    <w:rsid w:val="006E2A28"/>
    <w:rsid w:val="006E2C88"/>
    <w:rsid w:val="006E3888"/>
    <w:rsid w:val="006E4133"/>
    <w:rsid w:val="006E4BB0"/>
    <w:rsid w:val="006E5B9E"/>
    <w:rsid w:val="006E7788"/>
    <w:rsid w:val="006E7DA6"/>
    <w:rsid w:val="006E7F94"/>
    <w:rsid w:val="006F0568"/>
    <w:rsid w:val="006F0891"/>
    <w:rsid w:val="006F14B6"/>
    <w:rsid w:val="006F1C38"/>
    <w:rsid w:val="006F1FE2"/>
    <w:rsid w:val="006F26FE"/>
    <w:rsid w:val="006F3B8A"/>
    <w:rsid w:val="006F3BD3"/>
    <w:rsid w:val="006F3D9F"/>
    <w:rsid w:val="006F411D"/>
    <w:rsid w:val="006F5C5E"/>
    <w:rsid w:val="006F5FD4"/>
    <w:rsid w:val="006F621B"/>
    <w:rsid w:val="006F69B6"/>
    <w:rsid w:val="006F7458"/>
    <w:rsid w:val="006F7E19"/>
    <w:rsid w:val="006F7E9E"/>
    <w:rsid w:val="00701C1A"/>
    <w:rsid w:val="00702038"/>
    <w:rsid w:val="007025A9"/>
    <w:rsid w:val="00702644"/>
    <w:rsid w:val="00702CDC"/>
    <w:rsid w:val="00702EE2"/>
    <w:rsid w:val="0070431C"/>
    <w:rsid w:val="00704997"/>
    <w:rsid w:val="00705E7C"/>
    <w:rsid w:val="007060A7"/>
    <w:rsid w:val="00710175"/>
    <w:rsid w:val="007106E0"/>
    <w:rsid w:val="00711190"/>
    <w:rsid w:val="0071213C"/>
    <w:rsid w:val="007125D3"/>
    <w:rsid w:val="00712AD1"/>
    <w:rsid w:val="00713C5F"/>
    <w:rsid w:val="00717723"/>
    <w:rsid w:val="00721457"/>
    <w:rsid w:val="00721706"/>
    <w:rsid w:val="007217C7"/>
    <w:rsid w:val="0072359F"/>
    <w:rsid w:val="00723F92"/>
    <w:rsid w:val="00723FAE"/>
    <w:rsid w:val="00724627"/>
    <w:rsid w:val="00724FB7"/>
    <w:rsid w:val="007252EA"/>
    <w:rsid w:val="00725451"/>
    <w:rsid w:val="00726EC5"/>
    <w:rsid w:val="00727733"/>
    <w:rsid w:val="0072797F"/>
    <w:rsid w:val="00727ABA"/>
    <w:rsid w:val="00727D70"/>
    <w:rsid w:val="00727DBB"/>
    <w:rsid w:val="00730341"/>
    <w:rsid w:val="00730B7B"/>
    <w:rsid w:val="00731224"/>
    <w:rsid w:val="00731249"/>
    <w:rsid w:val="00731576"/>
    <w:rsid w:val="007315D4"/>
    <w:rsid w:val="00731EDA"/>
    <w:rsid w:val="007323E2"/>
    <w:rsid w:val="00732CFF"/>
    <w:rsid w:val="00734F31"/>
    <w:rsid w:val="00735528"/>
    <w:rsid w:val="007375E6"/>
    <w:rsid w:val="00737CB1"/>
    <w:rsid w:val="00741A03"/>
    <w:rsid w:val="007424E4"/>
    <w:rsid w:val="007429A0"/>
    <w:rsid w:val="00744113"/>
    <w:rsid w:val="00744196"/>
    <w:rsid w:val="0074426F"/>
    <w:rsid w:val="00745408"/>
    <w:rsid w:val="0074574E"/>
    <w:rsid w:val="00747733"/>
    <w:rsid w:val="00747AC9"/>
    <w:rsid w:val="007505ED"/>
    <w:rsid w:val="0075174F"/>
    <w:rsid w:val="007517E5"/>
    <w:rsid w:val="00751DBF"/>
    <w:rsid w:val="007521C9"/>
    <w:rsid w:val="00754005"/>
    <w:rsid w:val="00755B71"/>
    <w:rsid w:val="00756CBF"/>
    <w:rsid w:val="00757E95"/>
    <w:rsid w:val="007600A4"/>
    <w:rsid w:val="00760578"/>
    <w:rsid w:val="00761ED7"/>
    <w:rsid w:val="00761EFE"/>
    <w:rsid w:val="00762587"/>
    <w:rsid w:val="0076339E"/>
    <w:rsid w:val="007636BA"/>
    <w:rsid w:val="00763D06"/>
    <w:rsid w:val="00765062"/>
    <w:rsid w:val="00765B91"/>
    <w:rsid w:val="007668D6"/>
    <w:rsid w:val="007678DC"/>
    <w:rsid w:val="0077094D"/>
    <w:rsid w:val="00770E65"/>
    <w:rsid w:val="007712B4"/>
    <w:rsid w:val="007716D2"/>
    <w:rsid w:val="0077195E"/>
    <w:rsid w:val="00771AA1"/>
    <w:rsid w:val="0077324D"/>
    <w:rsid w:val="00773552"/>
    <w:rsid w:val="007735FD"/>
    <w:rsid w:val="007738F3"/>
    <w:rsid w:val="00773DBA"/>
    <w:rsid w:val="0077414E"/>
    <w:rsid w:val="0077465B"/>
    <w:rsid w:val="00776A36"/>
    <w:rsid w:val="007771B5"/>
    <w:rsid w:val="0077793E"/>
    <w:rsid w:val="00777D3D"/>
    <w:rsid w:val="007816B9"/>
    <w:rsid w:val="00782014"/>
    <w:rsid w:val="007836DA"/>
    <w:rsid w:val="0078502D"/>
    <w:rsid w:val="00785EFF"/>
    <w:rsid w:val="00786C8F"/>
    <w:rsid w:val="00786FD2"/>
    <w:rsid w:val="007874CF"/>
    <w:rsid w:val="007875D2"/>
    <w:rsid w:val="00790184"/>
    <w:rsid w:val="00790567"/>
    <w:rsid w:val="0079093F"/>
    <w:rsid w:val="00790FD9"/>
    <w:rsid w:val="007918B0"/>
    <w:rsid w:val="00793C0C"/>
    <w:rsid w:val="007957FE"/>
    <w:rsid w:val="00795B80"/>
    <w:rsid w:val="00795C0C"/>
    <w:rsid w:val="00796B54"/>
    <w:rsid w:val="00797219"/>
    <w:rsid w:val="00797B41"/>
    <w:rsid w:val="007A11A0"/>
    <w:rsid w:val="007A128C"/>
    <w:rsid w:val="007A1764"/>
    <w:rsid w:val="007A17A6"/>
    <w:rsid w:val="007A1E23"/>
    <w:rsid w:val="007A2455"/>
    <w:rsid w:val="007A2768"/>
    <w:rsid w:val="007A2FAF"/>
    <w:rsid w:val="007A41D4"/>
    <w:rsid w:val="007A527D"/>
    <w:rsid w:val="007A6336"/>
    <w:rsid w:val="007A686B"/>
    <w:rsid w:val="007B01CD"/>
    <w:rsid w:val="007B1786"/>
    <w:rsid w:val="007B1A75"/>
    <w:rsid w:val="007B2355"/>
    <w:rsid w:val="007B2484"/>
    <w:rsid w:val="007B2997"/>
    <w:rsid w:val="007B2CA2"/>
    <w:rsid w:val="007B2EBD"/>
    <w:rsid w:val="007B347A"/>
    <w:rsid w:val="007B3E0A"/>
    <w:rsid w:val="007B523F"/>
    <w:rsid w:val="007B5B3A"/>
    <w:rsid w:val="007B5BA4"/>
    <w:rsid w:val="007B625D"/>
    <w:rsid w:val="007B714F"/>
    <w:rsid w:val="007B7759"/>
    <w:rsid w:val="007C2C90"/>
    <w:rsid w:val="007C2E1E"/>
    <w:rsid w:val="007C4EAF"/>
    <w:rsid w:val="007C50D8"/>
    <w:rsid w:val="007C51B5"/>
    <w:rsid w:val="007C5767"/>
    <w:rsid w:val="007C5F8C"/>
    <w:rsid w:val="007C7786"/>
    <w:rsid w:val="007C7D3A"/>
    <w:rsid w:val="007D0C94"/>
    <w:rsid w:val="007D0F82"/>
    <w:rsid w:val="007D0FA1"/>
    <w:rsid w:val="007D173F"/>
    <w:rsid w:val="007D251E"/>
    <w:rsid w:val="007D4407"/>
    <w:rsid w:val="007D52DA"/>
    <w:rsid w:val="007E00E7"/>
    <w:rsid w:val="007E10F9"/>
    <w:rsid w:val="007E1147"/>
    <w:rsid w:val="007E14E2"/>
    <w:rsid w:val="007E290E"/>
    <w:rsid w:val="007E317F"/>
    <w:rsid w:val="007E3942"/>
    <w:rsid w:val="007E404A"/>
    <w:rsid w:val="007E506B"/>
    <w:rsid w:val="007E55C8"/>
    <w:rsid w:val="007E725D"/>
    <w:rsid w:val="007E7327"/>
    <w:rsid w:val="007E7AC9"/>
    <w:rsid w:val="007E7E42"/>
    <w:rsid w:val="007E7F43"/>
    <w:rsid w:val="007F0AC2"/>
    <w:rsid w:val="007F0BAE"/>
    <w:rsid w:val="007F1924"/>
    <w:rsid w:val="007F4E6A"/>
    <w:rsid w:val="007F5E64"/>
    <w:rsid w:val="007F66F7"/>
    <w:rsid w:val="007F7961"/>
    <w:rsid w:val="007F7A6A"/>
    <w:rsid w:val="0080034A"/>
    <w:rsid w:val="008009DC"/>
    <w:rsid w:val="00801B0D"/>
    <w:rsid w:val="00801D1A"/>
    <w:rsid w:val="00801F2A"/>
    <w:rsid w:val="00802420"/>
    <w:rsid w:val="008027AC"/>
    <w:rsid w:val="00802F18"/>
    <w:rsid w:val="0080321A"/>
    <w:rsid w:val="008036C9"/>
    <w:rsid w:val="00805049"/>
    <w:rsid w:val="00805DD1"/>
    <w:rsid w:val="008062AE"/>
    <w:rsid w:val="008067FB"/>
    <w:rsid w:val="0081012D"/>
    <w:rsid w:val="00810C94"/>
    <w:rsid w:val="00810D79"/>
    <w:rsid w:val="00811022"/>
    <w:rsid w:val="008115F3"/>
    <w:rsid w:val="008125AC"/>
    <w:rsid w:val="00814616"/>
    <w:rsid w:val="008166F9"/>
    <w:rsid w:val="00816D72"/>
    <w:rsid w:val="00817747"/>
    <w:rsid w:val="008178A1"/>
    <w:rsid w:val="00817C4F"/>
    <w:rsid w:val="008213F8"/>
    <w:rsid w:val="008221FE"/>
    <w:rsid w:val="0082249A"/>
    <w:rsid w:val="00822991"/>
    <w:rsid w:val="00823503"/>
    <w:rsid w:val="00823673"/>
    <w:rsid w:val="00824906"/>
    <w:rsid w:val="00824AA3"/>
    <w:rsid w:val="008266FC"/>
    <w:rsid w:val="0082718A"/>
    <w:rsid w:val="00827F50"/>
    <w:rsid w:val="00830517"/>
    <w:rsid w:val="0083131F"/>
    <w:rsid w:val="00831449"/>
    <w:rsid w:val="008316E5"/>
    <w:rsid w:val="008320FC"/>
    <w:rsid w:val="00832191"/>
    <w:rsid w:val="00832E23"/>
    <w:rsid w:val="0083384C"/>
    <w:rsid w:val="0083408F"/>
    <w:rsid w:val="00835251"/>
    <w:rsid w:val="0083618B"/>
    <w:rsid w:val="00836AFE"/>
    <w:rsid w:val="00837A04"/>
    <w:rsid w:val="0084079B"/>
    <w:rsid w:val="00841568"/>
    <w:rsid w:val="00841897"/>
    <w:rsid w:val="008425E5"/>
    <w:rsid w:val="00842676"/>
    <w:rsid w:val="00842D1C"/>
    <w:rsid w:val="008431C3"/>
    <w:rsid w:val="00843B07"/>
    <w:rsid w:val="00846530"/>
    <w:rsid w:val="00846E51"/>
    <w:rsid w:val="00847A18"/>
    <w:rsid w:val="00852B17"/>
    <w:rsid w:val="00853384"/>
    <w:rsid w:val="008534D2"/>
    <w:rsid w:val="00853C51"/>
    <w:rsid w:val="00854459"/>
    <w:rsid w:val="0085559F"/>
    <w:rsid w:val="00856156"/>
    <w:rsid w:val="008565DB"/>
    <w:rsid w:val="0085681B"/>
    <w:rsid w:val="008569AA"/>
    <w:rsid w:val="00856CA7"/>
    <w:rsid w:val="00856D32"/>
    <w:rsid w:val="0085739F"/>
    <w:rsid w:val="00857E18"/>
    <w:rsid w:val="008605E8"/>
    <w:rsid w:val="008606DF"/>
    <w:rsid w:val="0086097F"/>
    <w:rsid w:val="00861147"/>
    <w:rsid w:val="008613EF"/>
    <w:rsid w:val="00862017"/>
    <w:rsid w:val="00863485"/>
    <w:rsid w:val="0086360F"/>
    <w:rsid w:val="00863F55"/>
    <w:rsid w:val="008641B6"/>
    <w:rsid w:val="008648D5"/>
    <w:rsid w:val="008651B7"/>
    <w:rsid w:val="008651C9"/>
    <w:rsid w:val="00866A10"/>
    <w:rsid w:val="00866DF5"/>
    <w:rsid w:val="00866E90"/>
    <w:rsid w:val="008672B4"/>
    <w:rsid w:val="008677B2"/>
    <w:rsid w:val="00867E12"/>
    <w:rsid w:val="008702F3"/>
    <w:rsid w:val="008709B8"/>
    <w:rsid w:val="00873EF9"/>
    <w:rsid w:val="008742F5"/>
    <w:rsid w:val="00876157"/>
    <w:rsid w:val="0087789E"/>
    <w:rsid w:val="00880954"/>
    <w:rsid w:val="0088213A"/>
    <w:rsid w:val="00882F5C"/>
    <w:rsid w:val="00883178"/>
    <w:rsid w:val="0088346C"/>
    <w:rsid w:val="0088436C"/>
    <w:rsid w:val="008857F1"/>
    <w:rsid w:val="00885A92"/>
    <w:rsid w:val="00886B73"/>
    <w:rsid w:val="0088794D"/>
    <w:rsid w:val="008905C0"/>
    <w:rsid w:val="00891E79"/>
    <w:rsid w:val="008935A6"/>
    <w:rsid w:val="00893F8F"/>
    <w:rsid w:val="008948AA"/>
    <w:rsid w:val="008948C8"/>
    <w:rsid w:val="008949C0"/>
    <w:rsid w:val="00895535"/>
    <w:rsid w:val="008977C1"/>
    <w:rsid w:val="00897C14"/>
    <w:rsid w:val="00897D62"/>
    <w:rsid w:val="008A015E"/>
    <w:rsid w:val="008A0336"/>
    <w:rsid w:val="008A0BA2"/>
    <w:rsid w:val="008A0D53"/>
    <w:rsid w:val="008A13D2"/>
    <w:rsid w:val="008A1C0C"/>
    <w:rsid w:val="008A1C29"/>
    <w:rsid w:val="008A26B6"/>
    <w:rsid w:val="008A30D9"/>
    <w:rsid w:val="008A32B2"/>
    <w:rsid w:val="008A4311"/>
    <w:rsid w:val="008A4A8D"/>
    <w:rsid w:val="008A686B"/>
    <w:rsid w:val="008A6BE1"/>
    <w:rsid w:val="008A7376"/>
    <w:rsid w:val="008A74B1"/>
    <w:rsid w:val="008A768A"/>
    <w:rsid w:val="008B1C30"/>
    <w:rsid w:val="008B2819"/>
    <w:rsid w:val="008B2C52"/>
    <w:rsid w:val="008B2D13"/>
    <w:rsid w:val="008B479F"/>
    <w:rsid w:val="008B4B32"/>
    <w:rsid w:val="008B5935"/>
    <w:rsid w:val="008B5D9D"/>
    <w:rsid w:val="008B6518"/>
    <w:rsid w:val="008B6AF6"/>
    <w:rsid w:val="008B6DAB"/>
    <w:rsid w:val="008B73BC"/>
    <w:rsid w:val="008B7619"/>
    <w:rsid w:val="008B7909"/>
    <w:rsid w:val="008C0A5F"/>
    <w:rsid w:val="008C109A"/>
    <w:rsid w:val="008C13DD"/>
    <w:rsid w:val="008C1D9F"/>
    <w:rsid w:val="008C344C"/>
    <w:rsid w:val="008C39C9"/>
    <w:rsid w:val="008C3D4B"/>
    <w:rsid w:val="008C4A19"/>
    <w:rsid w:val="008C532C"/>
    <w:rsid w:val="008C56B1"/>
    <w:rsid w:val="008C745F"/>
    <w:rsid w:val="008C75DF"/>
    <w:rsid w:val="008C7862"/>
    <w:rsid w:val="008C7D5A"/>
    <w:rsid w:val="008C7DF6"/>
    <w:rsid w:val="008D1795"/>
    <w:rsid w:val="008D18C5"/>
    <w:rsid w:val="008D387F"/>
    <w:rsid w:val="008D3E5A"/>
    <w:rsid w:val="008D3E89"/>
    <w:rsid w:val="008D41EF"/>
    <w:rsid w:val="008D4889"/>
    <w:rsid w:val="008D5210"/>
    <w:rsid w:val="008D7131"/>
    <w:rsid w:val="008D7453"/>
    <w:rsid w:val="008D7B9C"/>
    <w:rsid w:val="008E04B4"/>
    <w:rsid w:val="008E146B"/>
    <w:rsid w:val="008E2328"/>
    <w:rsid w:val="008E2880"/>
    <w:rsid w:val="008E29A8"/>
    <w:rsid w:val="008E2F0B"/>
    <w:rsid w:val="008E3D6B"/>
    <w:rsid w:val="008E3DA6"/>
    <w:rsid w:val="008E4135"/>
    <w:rsid w:val="008E41C3"/>
    <w:rsid w:val="008E4BA2"/>
    <w:rsid w:val="008E50B8"/>
    <w:rsid w:val="008E56C5"/>
    <w:rsid w:val="008E589B"/>
    <w:rsid w:val="008E6150"/>
    <w:rsid w:val="008E771F"/>
    <w:rsid w:val="008E7CD2"/>
    <w:rsid w:val="008E7F1D"/>
    <w:rsid w:val="008F1F40"/>
    <w:rsid w:val="008F2873"/>
    <w:rsid w:val="008F3B3E"/>
    <w:rsid w:val="008F5567"/>
    <w:rsid w:val="008F7643"/>
    <w:rsid w:val="008F77DC"/>
    <w:rsid w:val="008F7E6B"/>
    <w:rsid w:val="0090050F"/>
    <w:rsid w:val="00902F2B"/>
    <w:rsid w:val="009030E9"/>
    <w:rsid w:val="009032BB"/>
    <w:rsid w:val="0090380E"/>
    <w:rsid w:val="009047E2"/>
    <w:rsid w:val="00904919"/>
    <w:rsid w:val="00904DC8"/>
    <w:rsid w:val="00905172"/>
    <w:rsid w:val="009061AE"/>
    <w:rsid w:val="00906587"/>
    <w:rsid w:val="00910022"/>
    <w:rsid w:val="00910B18"/>
    <w:rsid w:val="00910FD6"/>
    <w:rsid w:val="00912E71"/>
    <w:rsid w:val="00913537"/>
    <w:rsid w:val="00914583"/>
    <w:rsid w:val="009149AC"/>
    <w:rsid w:val="00914C30"/>
    <w:rsid w:val="00916463"/>
    <w:rsid w:val="00916799"/>
    <w:rsid w:val="00916F6B"/>
    <w:rsid w:val="00916FEB"/>
    <w:rsid w:val="00917D6D"/>
    <w:rsid w:val="00920243"/>
    <w:rsid w:val="009203E0"/>
    <w:rsid w:val="00920ACC"/>
    <w:rsid w:val="0092285F"/>
    <w:rsid w:val="00923F62"/>
    <w:rsid w:val="00923F76"/>
    <w:rsid w:val="00924444"/>
    <w:rsid w:val="00924661"/>
    <w:rsid w:val="00925784"/>
    <w:rsid w:val="009259B9"/>
    <w:rsid w:val="00927A37"/>
    <w:rsid w:val="00930263"/>
    <w:rsid w:val="0093082B"/>
    <w:rsid w:val="00930B01"/>
    <w:rsid w:val="00931439"/>
    <w:rsid w:val="00931A3E"/>
    <w:rsid w:val="00932E15"/>
    <w:rsid w:val="00933307"/>
    <w:rsid w:val="009336DF"/>
    <w:rsid w:val="00934945"/>
    <w:rsid w:val="00934976"/>
    <w:rsid w:val="00934EDF"/>
    <w:rsid w:val="00935403"/>
    <w:rsid w:val="009357E9"/>
    <w:rsid w:val="009357FD"/>
    <w:rsid w:val="00935AA9"/>
    <w:rsid w:val="00936428"/>
    <w:rsid w:val="009364A7"/>
    <w:rsid w:val="009367B8"/>
    <w:rsid w:val="009368C2"/>
    <w:rsid w:val="00936F79"/>
    <w:rsid w:val="00937081"/>
    <w:rsid w:val="00937604"/>
    <w:rsid w:val="009404ED"/>
    <w:rsid w:val="00940672"/>
    <w:rsid w:val="0094117F"/>
    <w:rsid w:val="0094198A"/>
    <w:rsid w:val="0094439B"/>
    <w:rsid w:val="009444B2"/>
    <w:rsid w:val="009446EB"/>
    <w:rsid w:val="00945C22"/>
    <w:rsid w:val="009479AF"/>
    <w:rsid w:val="009479F6"/>
    <w:rsid w:val="009503BA"/>
    <w:rsid w:val="009505AD"/>
    <w:rsid w:val="00952A47"/>
    <w:rsid w:val="00953A11"/>
    <w:rsid w:val="00953A85"/>
    <w:rsid w:val="00953E35"/>
    <w:rsid w:val="0095446F"/>
    <w:rsid w:val="0095482B"/>
    <w:rsid w:val="00954E9A"/>
    <w:rsid w:val="00954FB7"/>
    <w:rsid w:val="00955FC8"/>
    <w:rsid w:val="009573F4"/>
    <w:rsid w:val="00957E31"/>
    <w:rsid w:val="00960338"/>
    <w:rsid w:val="00960764"/>
    <w:rsid w:val="00960B9A"/>
    <w:rsid w:val="00960BB1"/>
    <w:rsid w:val="00960C08"/>
    <w:rsid w:val="00960C78"/>
    <w:rsid w:val="00960E9E"/>
    <w:rsid w:val="00961A47"/>
    <w:rsid w:val="00961A7A"/>
    <w:rsid w:val="00961F01"/>
    <w:rsid w:val="009624CF"/>
    <w:rsid w:val="0096272C"/>
    <w:rsid w:val="00962C33"/>
    <w:rsid w:val="009638E8"/>
    <w:rsid w:val="009654F3"/>
    <w:rsid w:val="00965C53"/>
    <w:rsid w:val="00966300"/>
    <w:rsid w:val="00967933"/>
    <w:rsid w:val="00970E2F"/>
    <w:rsid w:val="00970F23"/>
    <w:rsid w:val="009710D0"/>
    <w:rsid w:val="009712A9"/>
    <w:rsid w:val="0097213F"/>
    <w:rsid w:val="00972755"/>
    <w:rsid w:val="00972B60"/>
    <w:rsid w:val="00973859"/>
    <w:rsid w:val="009743BC"/>
    <w:rsid w:val="009744EB"/>
    <w:rsid w:val="00974881"/>
    <w:rsid w:val="00974B58"/>
    <w:rsid w:val="00974CB1"/>
    <w:rsid w:val="00974CD0"/>
    <w:rsid w:val="00974E27"/>
    <w:rsid w:val="00974ED8"/>
    <w:rsid w:val="00975775"/>
    <w:rsid w:val="00975E67"/>
    <w:rsid w:val="00976BC5"/>
    <w:rsid w:val="0097732D"/>
    <w:rsid w:val="0097735D"/>
    <w:rsid w:val="009776D2"/>
    <w:rsid w:val="00977C7B"/>
    <w:rsid w:val="00981008"/>
    <w:rsid w:val="00981C1D"/>
    <w:rsid w:val="00982591"/>
    <w:rsid w:val="009825BA"/>
    <w:rsid w:val="009829D0"/>
    <w:rsid w:val="00982AF5"/>
    <w:rsid w:val="009832CD"/>
    <w:rsid w:val="009836CD"/>
    <w:rsid w:val="009858BC"/>
    <w:rsid w:val="009863B5"/>
    <w:rsid w:val="00986663"/>
    <w:rsid w:val="00986949"/>
    <w:rsid w:val="00987796"/>
    <w:rsid w:val="00987B56"/>
    <w:rsid w:val="0099055C"/>
    <w:rsid w:val="00990982"/>
    <w:rsid w:val="00990E79"/>
    <w:rsid w:val="009917E0"/>
    <w:rsid w:val="009933A1"/>
    <w:rsid w:val="009935B1"/>
    <w:rsid w:val="0099464B"/>
    <w:rsid w:val="00995577"/>
    <w:rsid w:val="009967F1"/>
    <w:rsid w:val="00997A72"/>
    <w:rsid w:val="009A07BC"/>
    <w:rsid w:val="009A0922"/>
    <w:rsid w:val="009A0D18"/>
    <w:rsid w:val="009A18EB"/>
    <w:rsid w:val="009A22FB"/>
    <w:rsid w:val="009A4971"/>
    <w:rsid w:val="009A4E40"/>
    <w:rsid w:val="009A6531"/>
    <w:rsid w:val="009A6662"/>
    <w:rsid w:val="009A6821"/>
    <w:rsid w:val="009A684F"/>
    <w:rsid w:val="009A6A85"/>
    <w:rsid w:val="009A6BCB"/>
    <w:rsid w:val="009A6CED"/>
    <w:rsid w:val="009A72CD"/>
    <w:rsid w:val="009A7567"/>
    <w:rsid w:val="009A7AB0"/>
    <w:rsid w:val="009B0088"/>
    <w:rsid w:val="009B0406"/>
    <w:rsid w:val="009B09CF"/>
    <w:rsid w:val="009B0B0C"/>
    <w:rsid w:val="009B0D4D"/>
    <w:rsid w:val="009B1046"/>
    <w:rsid w:val="009B1B27"/>
    <w:rsid w:val="009B1DDE"/>
    <w:rsid w:val="009B281F"/>
    <w:rsid w:val="009B2EEE"/>
    <w:rsid w:val="009B2F69"/>
    <w:rsid w:val="009B33A7"/>
    <w:rsid w:val="009B4863"/>
    <w:rsid w:val="009B5DC5"/>
    <w:rsid w:val="009B65E6"/>
    <w:rsid w:val="009B74C8"/>
    <w:rsid w:val="009B78F5"/>
    <w:rsid w:val="009B7900"/>
    <w:rsid w:val="009B7B2D"/>
    <w:rsid w:val="009B7C0B"/>
    <w:rsid w:val="009C0BF1"/>
    <w:rsid w:val="009C0F1C"/>
    <w:rsid w:val="009C0FDC"/>
    <w:rsid w:val="009C1110"/>
    <w:rsid w:val="009C1A83"/>
    <w:rsid w:val="009C25C8"/>
    <w:rsid w:val="009C2DD8"/>
    <w:rsid w:val="009C4050"/>
    <w:rsid w:val="009C458E"/>
    <w:rsid w:val="009C584C"/>
    <w:rsid w:val="009C6353"/>
    <w:rsid w:val="009C749C"/>
    <w:rsid w:val="009C7529"/>
    <w:rsid w:val="009D08AE"/>
    <w:rsid w:val="009D2A4B"/>
    <w:rsid w:val="009D2C21"/>
    <w:rsid w:val="009D3AE3"/>
    <w:rsid w:val="009D4213"/>
    <w:rsid w:val="009D471D"/>
    <w:rsid w:val="009D4A54"/>
    <w:rsid w:val="009D4CCD"/>
    <w:rsid w:val="009D4F6B"/>
    <w:rsid w:val="009D4F7B"/>
    <w:rsid w:val="009D513B"/>
    <w:rsid w:val="009D75BA"/>
    <w:rsid w:val="009D7CD4"/>
    <w:rsid w:val="009E013C"/>
    <w:rsid w:val="009E18BC"/>
    <w:rsid w:val="009E22B1"/>
    <w:rsid w:val="009E2F76"/>
    <w:rsid w:val="009E303F"/>
    <w:rsid w:val="009E3A2F"/>
    <w:rsid w:val="009E3F09"/>
    <w:rsid w:val="009E4057"/>
    <w:rsid w:val="009E4A63"/>
    <w:rsid w:val="009E4B74"/>
    <w:rsid w:val="009E5955"/>
    <w:rsid w:val="009E65FF"/>
    <w:rsid w:val="009E6F1C"/>
    <w:rsid w:val="009E6FC1"/>
    <w:rsid w:val="009E715C"/>
    <w:rsid w:val="009E75BB"/>
    <w:rsid w:val="009F1A68"/>
    <w:rsid w:val="009F1BCD"/>
    <w:rsid w:val="009F285D"/>
    <w:rsid w:val="009F405F"/>
    <w:rsid w:val="009F5E23"/>
    <w:rsid w:val="009F64F3"/>
    <w:rsid w:val="00A00BFF"/>
    <w:rsid w:val="00A0158D"/>
    <w:rsid w:val="00A023C7"/>
    <w:rsid w:val="00A02BC2"/>
    <w:rsid w:val="00A033DD"/>
    <w:rsid w:val="00A03F65"/>
    <w:rsid w:val="00A045FD"/>
    <w:rsid w:val="00A050F8"/>
    <w:rsid w:val="00A05613"/>
    <w:rsid w:val="00A05B77"/>
    <w:rsid w:val="00A06553"/>
    <w:rsid w:val="00A06860"/>
    <w:rsid w:val="00A07503"/>
    <w:rsid w:val="00A07B1A"/>
    <w:rsid w:val="00A10538"/>
    <w:rsid w:val="00A11A4D"/>
    <w:rsid w:val="00A13060"/>
    <w:rsid w:val="00A139A5"/>
    <w:rsid w:val="00A14D3F"/>
    <w:rsid w:val="00A163C3"/>
    <w:rsid w:val="00A16802"/>
    <w:rsid w:val="00A17315"/>
    <w:rsid w:val="00A20600"/>
    <w:rsid w:val="00A20FB3"/>
    <w:rsid w:val="00A23432"/>
    <w:rsid w:val="00A23549"/>
    <w:rsid w:val="00A239DD"/>
    <w:rsid w:val="00A253B8"/>
    <w:rsid w:val="00A26173"/>
    <w:rsid w:val="00A26BC7"/>
    <w:rsid w:val="00A26EE6"/>
    <w:rsid w:val="00A2792D"/>
    <w:rsid w:val="00A27D46"/>
    <w:rsid w:val="00A303EB"/>
    <w:rsid w:val="00A30539"/>
    <w:rsid w:val="00A32393"/>
    <w:rsid w:val="00A32C42"/>
    <w:rsid w:val="00A3411A"/>
    <w:rsid w:val="00A345D6"/>
    <w:rsid w:val="00A346AB"/>
    <w:rsid w:val="00A34B82"/>
    <w:rsid w:val="00A358F1"/>
    <w:rsid w:val="00A367BF"/>
    <w:rsid w:val="00A36B23"/>
    <w:rsid w:val="00A36C01"/>
    <w:rsid w:val="00A375B6"/>
    <w:rsid w:val="00A37C96"/>
    <w:rsid w:val="00A37F61"/>
    <w:rsid w:val="00A4021B"/>
    <w:rsid w:val="00A4113D"/>
    <w:rsid w:val="00A414EE"/>
    <w:rsid w:val="00A42B1F"/>
    <w:rsid w:val="00A437FC"/>
    <w:rsid w:val="00A45002"/>
    <w:rsid w:val="00A45AC3"/>
    <w:rsid w:val="00A473EF"/>
    <w:rsid w:val="00A4776E"/>
    <w:rsid w:val="00A47ABF"/>
    <w:rsid w:val="00A47B6A"/>
    <w:rsid w:val="00A50799"/>
    <w:rsid w:val="00A51370"/>
    <w:rsid w:val="00A554DB"/>
    <w:rsid w:val="00A56A7F"/>
    <w:rsid w:val="00A6151F"/>
    <w:rsid w:val="00A62158"/>
    <w:rsid w:val="00A62617"/>
    <w:rsid w:val="00A6340C"/>
    <w:rsid w:val="00A6342B"/>
    <w:rsid w:val="00A636FD"/>
    <w:rsid w:val="00A66D34"/>
    <w:rsid w:val="00A7087B"/>
    <w:rsid w:val="00A73241"/>
    <w:rsid w:val="00A7349E"/>
    <w:rsid w:val="00A73AF7"/>
    <w:rsid w:val="00A73D7F"/>
    <w:rsid w:val="00A7674D"/>
    <w:rsid w:val="00A801C7"/>
    <w:rsid w:val="00A80653"/>
    <w:rsid w:val="00A8078C"/>
    <w:rsid w:val="00A81486"/>
    <w:rsid w:val="00A820F6"/>
    <w:rsid w:val="00A83EA5"/>
    <w:rsid w:val="00A840A5"/>
    <w:rsid w:val="00A8708D"/>
    <w:rsid w:val="00A87907"/>
    <w:rsid w:val="00A87D09"/>
    <w:rsid w:val="00A909C4"/>
    <w:rsid w:val="00A90FE4"/>
    <w:rsid w:val="00A911DD"/>
    <w:rsid w:val="00A918B5"/>
    <w:rsid w:val="00A924CD"/>
    <w:rsid w:val="00A92CB0"/>
    <w:rsid w:val="00A93E81"/>
    <w:rsid w:val="00A94F89"/>
    <w:rsid w:val="00A955D6"/>
    <w:rsid w:val="00A95F3A"/>
    <w:rsid w:val="00A96292"/>
    <w:rsid w:val="00A96BEE"/>
    <w:rsid w:val="00A97416"/>
    <w:rsid w:val="00A97432"/>
    <w:rsid w:val="00A97549"/>
    <w:rsid w:val="00AA0518"/>
    <w:rsid w:val="00AA1427"/>
    <w:rsid w:val="00AA1832"/>
    <w:rsid w:val="00AA19D2"/>
    <w:rsid w:val="00AA1A8A"/>
    <w:rsid w:val="00AA1D51"/>
    <w:rsid w:val="00AA29A6"/>
    <w:rsid w:val="00AA36C5"/>
    <w:rsid w:val="00AA4746"/>
    <w:rsid w:val="00AA51FE"/>
    <w:rsid w:val="00AA5730"/>
    <w:rsid w:val="00AA60BD"/>
    <w:rsid w:val="00AA6146"/>
    <w:rsid w:val="00AA75F5"/>
    <w:rsid w:val="00AB0283"/>
    <w:rsid w:val="00AB03D0"/>
    <w:rsid w:val="00AB143D"/>
    <w:rsid w:val="00AB1648"/>
    <w:rsid w:val="00AB3072"/>
    <w:rsid w:val="00AB3931"/>
    <w:rsid w:val="00AB3EB5"/>
    <w:rsid w:val="00AB6096"/>
    <w:rsid w:val="00AB722E"/>
    <w:rsid w:val="00AB7A54"/>
    <w:rsid w:val="00AC02DA"/>
    <w:rsid w:val="00AC0E68"/>
    <w:rsid w:val="00AC2CB2"/>
    <w:rsid w:val="00AC2E39"/>
    <w:rsid w:val="00AC3BC2"/>
    <w:rsid w:val="00AC5243"/>
    <w:rsid w:val="00AC5F28"/>
    <w:rsid w:val="00AC64D1"/>
    <w:rsid w:val="00AC72FB"/>
    <w:rsid w:val="00AC7693"/>
    <w:rsid w:val="00AC7833"/>
    <w:rsid w:val="00AC7A80"/>
    <w:rsid w:val="00AC7ADD"/>
    <w:rsid w:val="00AD10AC"/>
    <w:rsid w:val="00AD19D6"/>
    <w:rsid w:val="00AD1A64"/>
    <w:rsid w:val="00AD1EB3"/>
    <w:rsid w:val="00AD2129"/>
    <w:rsid w:val="00AD2B9F"/>
    <w:rsid w:val="00AD45A8"/>
    <w:rsid w:val="00AD4E99"/>
    <w:rsid w:val="00AD5221"/>
    <w:rsid w:val="00AD52E2"/>
    <w:rsid w:val="00AD582E"/>
    <w:rsid w:val="00AD69B9"/>
    <w:rsid w:val="00AD755F"/>
    <w:rsid w:val="00AD7BA7"/>
    <w:rsid w:val="00AD7D24"/>
    <w:rsid w:val="00AD7F07"/>
    <w:rsid w:val="00AE009D"/>
    <w:rsid w:val="00AE1203"/>
    <w:rsid w:val="00AE1BEF"/>
    <w:rsid w:val="00AE1E78"/>
    <w:rsid w:val="00AE23BF"/>
    <w:rsid w:val="00AE3908"/>
    <w:rsid w:val="00AE444C"/>
    <w:rsid w:val="00AE4AA5"/>
    <w:rsid w:val="00AE50AF"/>
    <w:rsid w:val="00AE5C78"/>
    <w:rsid w:val="00AE5CD7"/>
    <w:rsid w:val="00AE5E9F"/>
    <w:rsid w:val="00AE696B"/>
    <w:rsid w:val="00AE7506"/>
    <w:rsid w:val="00AF204F"/>
    <w:rsid w:val="00AF23D3"/>
    <w:rsid w:val="00AF39F0"/>
    <w:rsid w:val="00AF506F"/>
    <w:rsid w:val="00AF555D"/>
    <w:rsid w:val="00AF5C0F"/>
    <w:rsid w:val="00AF62DE"/>
    <w:rsid w:val="00AF65BD"/>
    <w:rsid w:val="00AF667B"/>
    <w:rsid w:val="00AF72E8"/>
    <w:rsid w:val="00B00EEA"/>
    <w:rsid w:val="00B02EC4"/>
    <w:rsid w:val="00B02FB0"/>
    <w:rsid w:val="00B03B4F"/>
    <w:rsid w:val="00B03E55"/>
    <w:rsid w:val="00B0413E"/>
    <w:rsid w:val="00B0557F"/>
    <w:rsid w:val="00B0628A"/>
    <w:rsid w:val="00B067BF"/>
    <w:rsid w:val="00B0724D"/>
    <w:rsid w:val="00B07965"/>
    <w:rsid w:val="00B109BF"/>
    <w:rsid w:val="00B10A5B"/>
    <w:rsid w:val="00B10C36"/>
    <w:rsid w:val="00B111BB"/>
    <w:rsid w:val="00B1176C"/>
    <w:rsid w:val="00B127F4"/>
    <w:rsid w:val="00B13804"/>
    <w:rsid w:val="00B13D45"/>
    <w:rsid w:val="00B13E2A"/>
    <w:rsid w:val="00B15153"/>
    <w:rsid w:val="00B15A05"/>
    <w:rsid w:val="00B15C23"/>
    <w:rsid w:val="00B16F05"/>
    <w:rsid w:val="00B17116"/>
    <w:rsid w:val="00B2065B"/>
    <w:rsid w:val="00B20FF3"/>
    <w:rsid w:val="00B21E1D"/>
    <w:rsid w:val="00B22934"/>
    <w:rsid w:val="00B22B83"/>
    <w:rsid w:val="00B22C36"/>
    <w:rsid w:val="00B22F6E"/>
    <w:rsid w:val="00B23F5D"/>
    <w:rsid w:val="00B252B2"/>
    <w:rsid w:val="00B25AD1"/>
    <w:rsid w:val="00B25E5C"/>
    <w:rsid w:val="00B27554"/>
    <w:rsid w:val="00B27BED"/>
    <w:rsid w:val="00B30378"/>
    <w:rsid w:val="00B30642"/>
    <w:rsid w:val="00B31745"/>
    <w:rsid w:val="00B32201"/>
    <w:rsid w:val="00B3341B"/>
    <w:rsid w:val="00B33D8B"/>
    <w:rsid w:val="00B34ACA"/>
    <w:rsid w:val="00B34D38"/>
    <w:rsid w:val="00B3511C"/>
    <w:rsid w:val="00B35464"/>
    <w:rsid w:val="00B35E86"/>
    <w:rsid w:val="00B360B3"/>
    <w:rsid w:val="00B36393"/>
    <w:rsid w:val="00B3720C"/>
    <w:rsid w:val="00B40DFA"/>
    <w:rsid w:val="00B4173D"/>
    <w:rsid w:val="00B41CD2"/>
    <w:rsid w:val="00B42281"/>
    <w:rsid w:val="00B4393F"/>
    <w:rsid w:val="00B43D0F"/>
    <w:rsid w:val="00B4423E"/>
    <w:rsid w:val="00B4481A"/>
    <w:rsid w:val="00B450CB"/>
    <w:rsid w:val="00B452C5"/>
    <w:rsid w:val="00B45B67"/>
    <w:rsid w:val="00B45E6B"/>
    <w:rsid w:val="00B47614"/>
    <w:rsid w:val="00B47A34"/>
    <w:rsid w:val="00B500E6"/>
    <w:rsid w:val="00B50412"/>
    <w:rsid w:val="00B50D7E"/>
    <w:rsid w:val="00B51997"/>
    <w:rsid w:val="00B52058"/>
    <w:rsid w:val="00B5263D"/>
    <w:rsid w:val="00B52DDD"/>
    <w:rsid w:val="00B530E7"/>
    <w:rsid w:val="00B53D31"/>
    <w:rsid w:val="00B54740"/>
    <w:rsid w:val="00B547AD"/>
    <w:rsid w:val="00B5600C"/>
    <w:rsid w:val="00B57325"/>
    <w:rsid w:val="00B5764C"/>
    <w:rsid w:val="00B57B43"/>
    <w:rsid w:val="00B626EE"/>
    <w:rsid w:val="00B6410E"/>
    <w:rsid w:val="00B645D8"/>
    <w:rsid w:val="00B64BFB"/>
    <w:rsid w:val="00B6516D"/>
    <w:rsid w:val="00B6549C"/>
    <w:rsid w:val="00B65947"/>
    <w:rsid w:val="00B66B3F"/>
    <w:rsid w:val="00B66B65"/>
    <w:rsid w:val="00B7220A"/>
    <w:rsid w:val="00B72CFC"/>
    <w:rsid w:val="00B73CE8"/>
    <w:rsid w:val="00B73D27"/>
    <w:rsid w:val="00B7519E"/>
    <w:rsid w:val="00B75687"/>
    <w:rsid w:val="00B757F4"/>
    <w:rsid w:val="00B767D9"/>
    <w:rsid w:val="00B76B1B"/>
    <w:rsid w:val="00B819B8"/>
    <w:rsid w:val="00B8209E"/>
    <w:rsid w:val="00B82497"/>
    <w:rsid w:val="00B82B76"/>
    <w:rsid w:val="00B83814"/>
    <w:rsid w:val="00B83C1B"/>
    <w:rsid w:val="00B844C0"/>
    <w:rsid w:val="00B84B01"/>
    <w:rsid w:val="00B84B64"/>
    <w:rsid w:val="00B878AC"/>
    <w:rsid w:val="00B87DA1"/>
    <w:rsid w:val="00B90610"/>
    <w:rsid w:val="00B90F95"/>
    <w:rsid w:val="00B91C4C"/>
    <w:rsid w:val="00B94094"/>
    <w:rsid w:val="00B954AF"/>
    <w:rsid w:val="00B9654A"/>
    <w:rsid w:val="00B97B7F"/>
    <w:rsid w:val="00BA0388"/>
    <w:rsid w:val="00BA12C3"/>
    <w:rsid w:val="00BA135F"/>
    <w:rsid w:val="00BA15FD"/>
    <w:rsid w:val="00BA1B1B"/>
    <w:rsid w:val="00BA413F"/>
    <w:rsid w:val="00BA4D47"/>
    <w:rsid w:val="00BA5236"/>
    <w:rsid w:val="00BA58A7"/>
    <w:rsid w:val="00BA5911"/>
    <w:rsid w:val="00BA732D"/>
    <w:rsid w:val="00BA7EBA"/>
    <w:rsid w:val="00BB006F"/>
    <w:rsid w:val="00BB0538"/>
    <w:rsid w:val="00BB0764"/>
    <w:rsid w:val="00BB0D5A"/>
    <w:rsid w:val="00BB101C"/>
    <w:rsid w:val="00BB1638"/>
    <w:rsid w:val="00BB1D93"/>
    <w:rsid w:val="00BB235D"/>
    <w:rsid w:val="00BB2E31"/>
    <w:rsid w:val="00BB2EE5"/>
    <w:rsid w:val="00BB30BF"/>
    <w:rsid w:val="00BB33B0"/>
    <w:rsid w:val="00BB3A42"/>
    <w:rsid w:val="00BB425F"/>
    <w:rsid w:val="00BB510D"/>
    <w:rsid w:val="00BB56BE"/>
    <w:rsid w:val="00BB6650"/>
    <w:rsid w:val="00BB6E94"/>
    <w:rsid w:val="00BB7028"/>
    <w:rsid w:val="00BB71F1"/>
    <w:rsid w:val="00BB7D2B"/>
    <w:rsid w:val="00BC14B7"/>
    <w:rsid w:val="00BC1CC6"/>
    <w:rsid w:val="00BC2DD5"/>
    <w:rsid w:val="00BC3899"/>
    <w:rsid w:val="00BC3B5C"/>
    <w:rsid w:val="00BC440A"/>
    <w:rsid w:val="00BC46F5"/>
    <w:rsid w:val="00BC4797"/>
    <w:rsid w:val="00BC4D89"/>
    <w:rsid w:val="00BC777F"/>
    <w:rsid w:val="00BD07D8"/>
    <w:rsid w:val="00BD08C1"/>
    <w:rsid w:val="00BD0CC6"/>
    <w:rsid w:val="00BD21BC"/>
    <w:rsid w:val="00BD21C9"/>
    <w:rsid w:val="00BD24F3"/>
    <w:rsid w:val="00BD26BF"/>
    <w:rsid w:val="00BD38D6"/>
    <w:rsid w:val="00BD49DF"/>
    <w:rsid w:val="00BD4ACA"/>
    <w:rsid w:val="00BD4EE7"/>
    <w:rsid w:val="00BD5196"/>
    <w:rsid w:val="00BD5A7D"/>
    <w:rsid w:val="00BD641B"/>
    <w:rsid w:val="00BD6696"/>
    <w:rsid w:val="00BD6E3C"/>
    <w:rsid w:val="00BD702E"/>
    <w:rsid w:val="00BD7062"/>
    <w:rsid w:val="00BE0652"/>
    <w:rsid w:val="00BE0BCD"/>
    <w:rsid w:val="00BE113E"/>
    <w:rsid w:val="00BE1CD5"/>
    <w:rsid w:val="00BE2FD9"/>
    <w:rsid w:val="00BE343B"/>
    <w:rsid w:val="00BE34FB"/>
    <w:rsid w:val="00BE37CA"/>
    <w:rsid w:val="00BE3905"/>
    <w:rsid w:val="00BE3951"/>
    <w:rsid w:val="00BE40D9"/>
    <w:rsid w:val="00BE4C41"/>
    <w:rsid w:val="00BE57E1"/>
    <w:rsid w:val="00BE58D7"/>
    <w:rsid w:val="00BE5D96"/>
    <w:rsid w:val="00BE639C"/>
    <w:rsid w:val="00BE6BC7"/>
    <w:rsid w:val="00BF0845"/>
    <w:rsid w:val="00BF1B72"/>
    <w:rsid w:val="00BF1BA8"/>
    <w:rsid w:val="00BF3887"/>
    <w:rsid w:val="00BF4081"/>
    <w:rsid w:val="00BF4219"/>
    <w:rsid w:val="00BF44CF"/>
    <w:rsid w:val="00BF5184"/>
    <w:rsid w:val="00BF5EC9"/>
    <w:rsid w:val="00BF62FE"/>
    <w:rsid w:val="00BF6B49"/>
    <w:rsid w:val="00BF755C"/>
    <w:rsid w:val="00C01039"/>
    <w:rsid w:val="00C01408"/>
    <w:rsid w:val="00C01E37"/>
    <w:rsid w:val="00C020B8"/>
    <w:rsid w:val="00C02F59"/>
    <w:rsid w:val="00C0362F"/>
    <w:rsid w:val="00C03E28"/>
    <w:rsid w:val="00C04211"/>
    <w:rsid w:val="00C0427F"/>
    <w:rsid w:val="00C043B8"/>
    <w:rsid w:val="00C05F8E"/>
    <w:rsid w:val="00C06C68"/>
    <w:rsid w:val="00C07610"/>
    <w:rsid w:val="00C07696"/>
    <w:rsid w:val="00C10997"/>
    <w:rsid w:val="00C10B33"/>
    <w:rsid w:val="00C11B04"/>
    <w:rsid w:val="00C1206E"/>
    <w:rsid w:val="00C13DEE"/>
    <w:rsid w:val="00C1553A"/>
    <w:rsid w:val="00C15F26"/>
    <w:rsid w:val="00C1620B"/>
    <w:rsid w:val="00C1653B"/>
    <w:rsid w:val="00C167C5"/>
    <w:rsid w:val="00C170C7"/>
    <w:rsid w:val="00C17164"/>
    <w:rsid w:val="00C1731A"/>
    <w:rsid w:val="00C175FE"/>
    <w:rsid w:val="00C17DF9"/>
    <w:rsid w:val="00C209E5"/>
    <w:rsid w:val="00C21221"/>
    <w:rsid w:val="00C21C73"/>
    <w:rsid w:val="00C22714"/>
    <w:rsid w:val="00C22F4A"/>
    <w:rsid w:val="00C2386D"/>
    <w:rsid w:val="00C23BED"/>
    <w:rsid w:val="00C24E1D"/>
    <w:rsid w:val="00C251E9"/>
    <w:rsid w:val="00C2707B"/>
    <w:rsid w:val="00C2732D"/>
    <w:rsid w:val="00C278C2"/>
    <w:rsid w:val="00C2790B"/>
    <w:rsid w:val="00C27F5E"/>
    <w:rsid w:val="00C30FBA"/>
    <w:rsid w:val="00C315D6"/>
    <w:rsid w:val="00C318B8"/>
    <w:rsid w:val="00C31C24"/>
    <w:rsid w:val="00C32B8B"/>
    <w:rsid w:val="00C333AF"/>
    <w:rsid w:val="00C3375C"/>
    <w:rsid w:val="00C33EE9"/>
    <w:rsid w:val="00C341FF"/>
    <w:rsid w:val="00C346CA"/>
    <w:rsid w:val="00C34A62"/>
    <w:rsid w:val="00C34A74"/>
    <w:rsid w:val="00C351D0"/>
    <w:rsid w:val="00C3547C"/>
    <w:rsid w:val="00C364DA"/>
    <w:rsid w:val="00C36B60"/>
    <w:rsid w:val="00C36CD1"/>
    <w:rsid w:val="00C3746C"/>
    <w:rsid w:val="00C37477"/>
    <w:rsid w:val="00C37572"/>
    <w:rsid w:val="00C37C98"/>
    <w:rsid w:val="00C400BD"/>
    <w:rsid w:val="00C40775"/>
    <w:rsid w:val="00C40A13"/>
    <w:rsid w:val="00C411DC"/>
    <w:rsid w:val="00C41572"/>
    <w:rsid w:val="00C41843"/>
    <w:rsid w:val="00C4228E"/>
    <w:rsid w:val="00C42A8B"/>
    <w:rsid w:val="00C42B4A"/>
    <w:rsid w:val="00C43039"/>
    <w:rsid w:val="00C436DC"/>
    <w:rsid w:val="00C43DAD"/>
    <w:rsid w:val="00C4485C"/>
    <w:rsid w:val="00C46B0F"/>
    <w:rsid w:val="00C515F2"/>
    <w:rsid w:val="00C521C8"/>
    <w:rsid w:val="00C525E0"/>
    <w:rsid w:val="00C52B2C"/>
    <w:rsid w:val="00C52D4C"/>
    <w:rsid w:val="00C52D83"/>
    <w:rsid w:val="00C5418D"/>
    <w:rsid w:val="00C55331"/>
    <w:rsid w:val="00C60988"/>
    <w:rsid w:val="00C60DE4"/>
    <w:rsid w:val="00C6106A"/>
    <w:rsid w:val="00C610A4"/>
    <w:rsid w:val="00C62DDE"/>
    <w:rsid w:val="00C6392C"/>
    <w:rsid w:val="00C63B05"/>
    <w:rsid w:val="00C64169"/>
    <w:rsid w:val="00C64492"/>
    <w:rsid w:val="00C64D99"/>
    <w:rsid w:val="00C67BB2"/>
    <w:rsid w:val="00C70348"/>
    <w:rsid w:val="00C707EA"/>
    <w:rsid w:val="00C724C8"/>
    <w:rsid w:val="00C725AB"/>
    <w:rsid w:val="00C735BA"/>
    <w:rsid w:val="00C74B91"/>
    <w:rsid w:val="00C74DF2"/>
    <w:rsid w:val="00C75627"/>
    <w:rsid w:val="00C757D0"/>
    <w:rsid w:val="00C75ECC"/>
    <w:rsid w:val="00C760DF"/>
    <w:rsid w:val="00C76BF2"/>
    <w:rsid w:val="00C76BFE"/>
    <w:rsid w:val="00C76D54"/>
    <w:rsid w:val="00C76F66"/>
    <w:rsid w:val="00C80D1B"/>
    <w:rsid w:val="00C81047"/>
    <w:rsid w:val="00C81126"/>
    <w:rsid w:val="00C812E4"/>
    <w:rsid w:val="00C8196F"/>
    <w:rsid w:val="00C81BD5"/>
    <w:rsid w:val="00C81FDF"/>
    <w:rsid w:val="00C82B0B"/>
    <w:rsid w:val="00C83736"/>
    <w:rsid w:val="00C84AE2"/>
    <w:rsid w:val="00C87527"/>
    <w:rsid w:val="00C87702"/>
    <w:rsid w:val="00C87CF8"/>
    <w:rsid w:val="00C92880"/>
    <w:rsid w:val="00C92CFB"/>
    <w:rsid w:val="00C93885"/>
    <w:rsid w:val="00C9585B"/>
    <w:rsid w:val="00C96C8E"/>
    <w:rsid w:val="00C96D2A"/>
    <w:rsid w:val="00C97054"/>
    <w:rsid w:val="00C977BB"/>
    <w:rsid w:val="00C97F4E"/>
    <w:rsid w:val="00C97FEA"/>
    <w:rsid w:val="00CA12D1"/>
    <w:rsid w:val="00CA1902"/>
    <w:rsid w:val="00CA1E36"/>
    <w:rsid w:val="00CA30DB"/>
    <w:rsid w:val="00CA3563"/>
    <w:rsid w:val="00CA392B"/>
    <w:rsid w:val="00CA3FD1"/>
    <w:rsid w:val="00CA477C"/>
    <w:rsid w:val="00CA48D2"/>
    <w:rsid w:val="00CA4947"/>
    <w:rsid w:val="00CA6AB5"/>
    <w:rsid w:val="00CA6DEB"/>
    <w:rsid w:val="00CB0341"/>
    <w:rsid w:val="00CB03EF"/>
    <w:rsid w:val="00CB042A"/>
    <w:rsid w:val="00CB0623"/>
    <w:rsid w:val="00CB14D1"/>
    <w:rsid w:val="00CB16EA"/>
    <w:rsid w:val="00CB24C9"/>
    <w:rsid w:val="00CB4125"/>
    <w:rsid w:val="00CB41B1"/>
    <w:rsid w:val="00CB4BCD"/>
    <w:rsid w:val="00CB4E3C"/>
    <w:rsid w:val="00CB62A1"/>
    <w:rsid w:val="00CB6892"/>
    <w:rsid w:val="00CB70EA"/>
    <w:rsid w:val="00CB73B3"/>
    <w:rsid w:val="00CB7830"/>
    <w:rsid w:val="00CB7DA3"/>
    <w:rsid w:val="00CC0CF0"/>
    <w:rsid w:val="00CC2229"/>
    <w:rsid w:val="00CC2E6B"/>
    <w:rsid w:val="00CC3462"/>
    <w:rsid w:val="00CC38BF"/>
    <w:rsid w:val="00CC3A70"/>
    <w:rsid w:val="00CC3D49"/>
    <w:rsid w:val="00CC40FD"/>
    <w:rsid w:val="00CC6833"/>
    <w:rsid w:val="00CC6A51"/>
    <w:rsid w:val="00CC7327"/>
    <w:rsid w:val="00CD1278"/>
    <w:rsid w:val="00CD1670"/>
    <w:rsid w:val="00CD2368"/>
    <w:rsid w:val="00CD2C15"/>
    <w:rsid w:val="00CD3436"/>
    <w:rsid w:val="00CD5A4A"/>
    <w:rsid w:val="00CD5CAA"/>
    <w:rsid w:val="00CD5EE2"/>
    <w:rsid w:val="00CD6164"/>
    <w:rsid w:val="00CD62A2"/>
    <w:rsid w:val="00CD69FE"/>
    <w:rsid w:val="00CE1009"/>
    <w:rsid w:val="00CE1C58"/>
    <w:rsid w:val="00CE1DBF"/>
    <w:rsid w:val="00CE2B98"/>
    <w:rsid w:val="00CE345C"/>
    <w:rsid w:val="00CE447C"/>
    <w:rsid w:val="00CE53E4"/>
    <w:rsid w:val="00CE5869"/>
    <w:rsid w:val="00CE6392"/>
    <w:rsid w:val="00CE6896"/>
    <w:rsid w:val="00CE7113"/>
    <w:rsid w:val="00CE74AA"/>
    <w:rsid w:val="00CF0374"/>
    <w:rsid w:val="00CF0671"/>
    <w:rsid w:val="00CF10E7"/>
    <w:rsid w:val="00CF2609"/>
    <w:rsid w:val="00CF3B0A"/>
    <w:rsid w:val="00CF46BD"/>
    <w:rsid w:val="00CF6AFE"/>
    <w:rsid w:val="00CF6C83"/>
    <w:rsid w:val="00CF6C92"/>
    <w:rsid w:val="00CF6D8A"/>
    <w:rsid w:val="00CF7330"/>
    <w:rsid w:val="00CF774E"/>
    <w:rsid w:val="00D00A45"/>
    <w:rsid w:val="00D02088"/>
    <w:rsid w:val="00D02594"/>
    <w:rsid w:val="00D02C14"/>
    <w:rsid w:val="00D02EA9"/>
    <w:rsid w:val="00D030AF"/>
    <w:rsid w:val="00D0311B"/>
    <w:rsid w:val="00D03497"/>
    <w:rsid w:val="00D04B1A"/>
    <w:rsid w:val="00D0611D"/>
    <w:rsid w:val="00D06F97"/>
    <w:rsid w:val="00D10074"/>
    <w:rsid w:val="00D105A0"/>
    <w:rsid w:val="00D11E07"/>
    <w:rsid w:val="00D120A0"/>
    <w:rsid w:val="00D12B99"/>
    <w:rsid w:val="00D1305B"/>
    <w:rsid w:val="00D1450A"/>
    <w:rsid w:val="00D1459C"/>
    <w:rsid w:val="00D16077"/>
    <w:rsid w:val="00D17B81"/>
    <w:rsid w:val="00D20F68"/>
    <w:rsid w:val="00D2108D"/>
    <w:rsid w:val="00D213D6"/>
    <w:rsid w:val="00D21664"/>
    <w:rsid w:val="00D21968"/>
    <w:rsid w:val="00D22145"/>
    <w:rsid w:val="00D22485"/>
    <w:rsid w:val="00D23436"/>
    <w:rsid w:val="00D23606"/>
    <w:rsid w:val="00D24260"/>
    <w:rsid w:val="00D24BA6"/>
    <w:rsid w:val="00D255ED"/>
    <w:rsid w:val="00D258B5"/>
    <w:rsid w:val="00D258D9"/>
    <w:rsid w:val="00D26583"/>
    <w:rsid w:val="00D26885"/>
    <w:rsid w:val="00D308CC"/>
    <w:rsid w:val="00D3107A"/>
    <w:rsid w:val="00D31570"/>
    <w:rsid w:val="00D31BE6"/>
    <w:rsid w:val="00D321C2"/>
    <w:rsid w:val="00D32D04"/>
    <w:rsid w:val="00D33173"/>
    <w:rsid w:val="00D33C0D"/>
    <w:rsid w:val="00D33E0F"/>
    <w:rsid w:val="00D346B9"/>
    <w:rsid w:val="00D35D3D"/>
    <w:rsid w:val="00D36A38"/>
    <w:rsid w:val="00D36DF8"/>
    <w:rsid w:val="00D3795B"/>
    <w:rsid w:val="00D41639"/>
    <w:rsid w:val="00D42C1F"/>
    <w:rsid w:val="00D42C28"/>
    <w:rsid w:val="00D42D7C"/>
    <w:rsid w:val="00D432F0"/>
    <w:rsid w:val="00D44A14"/>
    <w:rsid w:val="00D457D9"/>
    <w:rsid w:val="00D4776E"/>
    <w:rsid w:val="00D47A8D"/>
    <w:rsid w:val="00D50925"/>
    <w:rsid w:val="00D5170C"/>
    <w:rsid w:val="00D51FFF"/>
    <w:rsid w:val="00D52980"/>
    <w:rsid w:val="00D53F39"/>
    <w:rsid w:val="00D54794"/>
    <w:rsid w:val="00D54F89"/>
    <w:rsid w:val="00D5640E"/>
    <w:rsid w:val="00D56D38"/>
    <w:rsid w:val="00D57D25"/>
    <w:rsid w:val="00D57F17"/>
    <w:rsid w:val="00D6064D"/>
    <w:rsid w:val="00D63221"/>
    <w:rsid w:val="00D63989"/>
    <w:rsid w:val="00D64177"/>
    <w:rsid w:val="00D706DE"/>
    <w:rsid w:val="00D70D41"/>
    <w:rsid w:val="00D71E5D"/>
    <w:rsid w:val="00D73851"/>
    <w:rsid w:val="00D74D5C"/>
    <w:rsid w:val="00D751BE"/>
    <w:rsid w:val="00D75FEB"/>
    <w:rsid w:val="00D761E6"/>
    <w:rsid w:val="00D76829"/>
    <w:rsid w:val="00D774D1"/>
    <w:rsid w:val="00D81339"/>
    <w:rsid w:val="00D81AEC"/>
    <w:rsid w:val="00D8273A"/>
    <w:rsid w:val="00D83048"/>
    <w:rsid w:val="00D84124"/>
    <w:rsid w:val="00D8640A"/>
    <w:rsid w:val="00D8668C"/>
    <w:rsid w:val="00D86779"/>
    <w:rsid w:val="00D876AE"/>
    <w:rsid w:val="00D87C7B"/>
    <w:rsid w:val="00D90B74"/>
    <w:rsid w:val="00D91172"/>
    <w:rsid w:val="00D92319"/>
    <w:rsid w:val="00D923E3"/>
    <w:rsid w:val="00D9330F"/>
    <w:rsid w:val="00D9517F"/>
    <w:rsid w:val="00D96179"/>
    <w:rsid w:val="00DA050A"/>
    <w:rsid w:val="00DA2280"/>
    <w:rsid w:val="00DA2726"/>
    <w:rsid w:val="00DA2D02"/>
    <w:rsid w:val="00DA309F"/>
    <w:rsid w:val="00DA4011"/>
    <w:rsid w:val="00DA4232"/>
    <w:rsid w:val="00DA5B5D"/>
    <w:rsid w:val="00DA5DE9"/>
    <w:rsid w:val="00DA694B"/>
    <w:rsid w:val="00DA6966"/>
    <w:rsid w:val="00DA6F60"/>
    <w:rsid w:val="00DA74A5"/>
    <w:rsid w:val="00DA773B"/>
    <w:rsid w:val="00DA779A"/>
    <w:rsid w:val="00DA7E04"/>
    <w:rsid w:val="00DB0712"/>
    <w:rsid w:val="00DB1013"/>
    <w:rsid w:val="00DB1128"/>
    <w:rsid w:val="00DB1867"/>
    <w:rsid w:val="00DB1B01"/>
    <w:rsid w:val="00DB1B60"/>
    <w:rsid w:val="00DB271B"/>
    <w:rsid w:val="00DB45B5"/>
    <w:rsid w:val="00DB46E7"/>
    <w:rsid w:val="00DB4710"/>
    <w:rsid w:val="00DB4CC0"/>
    <w:rsid w:val="00DB518E"/>
    <w:rsid w:val="00DB5B9F"/>
    <w:rsid w:val="00DB735F"/>
    <w:rsid w:val="00DB7D2D"/>
    <w:rsid w:val="00DC20E7"/>
    <w:rsid w:val="00DC417A"/>
    <w:rsid w:val="00DC4182"/>
    <w:rsid w:val="00DC4E35"/>
    <w:rsid w:val="00DC5564"/>
    <w:rsid w:val="00DC60AB"/>
    <w:rsid w:val="00DC6EEE"/>
    <w:rsid w:val="00DC7678"/>
    <w:rsid w:val="00DC7FDA"/>
    <w:rsid w:val="00DD0567"/>
    <w:rsid w:val="00DD092A"/>
    <w:rsid w:val="00DD0FAD"/>
    <w:rsid w:val="00DD23B6"/>
    <w:rsid w:val="00DD3189"/>
    <w:rsid w:val="00DD3615"/>
    <w:rsid w:val="00DD3A8E"/>
    <w:rsid w:val="00DD3D62"/>
    <w:rsid w:val="00DD3DC4"/>
    <w:rsid w:val="00DD4905"/>
    <w:rsid w:val="00DD5FB8"/>
    <w:rsid w:val="00DD6950"/>
    <w:rsid w:val="00DD6D0B"/>
    <w:rsid w:val="00DE0224"/>
    <w:rsid w:val="00DE082B"/>
    <w:rsid w:val="00DE0B17"/>
    <w:rsid w:val="00DE122D"/>
    <w:rsid w:val="00DE19A1"/>
    <w:rsid w:val="00DE2AF0"/>
    <w:rsid w:val="00DE2FF4"/>
    <w:rsid w:val="00DE4082"/>
    <w:rsid w:val="00DE4E2F"/>
    <w:rsid w:val="00DE613E"/>
    <w:rsid w:val="00DE678D"/>
    <w:rsid w:val="00DF0E6B"/>
    <w:rsid w:val="00DF0F89"/>
    <w:rsid w:val="00DF1BDA"/>
    <w:rsid w:val="00DF1C38"/>
    <w:rsid w:val="00DF399F"/>
    <w:rsid w:val="00DF5004"/>
    <w:rsid w:val="00DF56E6"/>
    <w:rsid w:val="00DF5700"/>
    <w:rsid w:val="00E010E7"/>
    <w:rsid w:val="00E01BB8"/>
    <w:rsid w:val="00E01E63"/>
    <w:rsid w:val="00E029DE"/>
    <w:rsid w:val="00E03267"/>
    <w:rsid w:val="00E035C7"/>
    <w:rsid w:val="00E03B65"/>
    <w:rsid w:val="00E057E7"/>
    <w:rsid w:val="00E057EB"/>
    <w:rsid w:val="00E06D17"/>
    <w:rsid w:val="00E06E6D"/>
    <w:rsid w:val="00E10D65"/>
    <w:rsid w:val="00E112DC"/>
    <w:rsid w:val="00E11BCD"/>
    <w:rsid w:val="00E149AF"/>
    <w:rsid w:val="00E14E43"/>
    <w:rsid w:val="00E154B4"/>
    <w:rsid w:val="00E170CD"/>
    <w:rsid w:val="00E176A7"/>
    <w:rsid w:val="00E17BEE"/>
    <w:rsid w:val="00E209CF"/>
    <w:rsid w:val="00E20B18"/>
    <w:rsid w:val="00E20DAE"/>
    <w:rsid w:val="00E20ED5"/>
    <w:rsid w:val="00E213B5"/>
    <w:rsid w:val="00E21416"/>
    <w:rsid w:val="00E22076"/>
    <w:rsid w:val="00E223A9"/>
    <w:rsid w:val="00E23CF9"/>
    <w:rsid w:val="00E2512A"/>
    <w:rsid w:val="00E259DD"/>
    <w:rsid w:val="00E25ABF"/>
    <w:rsid w:val="00E26CD5"/>
    <w:rsid w:val="00E27A4C"/>
    <w:rsid w:val="00E304C7"/>
    <w:rsid w:val="00E30E89"/>
    <w:rsid w:val="00E31074"/>
    <w:rsid w:val="00E310D2"/>
    <w:rsid w:val="00E31C2E"/>
    <w:rsid w:val="00E31D3A"/>
    <w:rsid w:val="00E320F3"/>
    <w:rsid w:val="00E33A39"/>
    <w:rsid w:val="00E33C45"/>
    <w:rsid w:val="00E33DCF"/>
    <w:rsid w:val="00E34508"/>
    <w:rsid w:val="00E3474B"/>
    <w:rsid w:val="00E34F5A"/>
    <w:rsid w:val="00E36191"/>
    <w:rsid w:val="00E3707D"/>
    <w:rsid w:val="00E37454"/>
    <w:rsid w:val="00E40747"/>
    <w:rsid w:val="00E40BCF"/>
    <w:rsid w:val="00E40C02"/>
    <w:rsid w:val="00E40C50"/>
    <w:rsid w:val="00E419CF"/>
    <w:rsid w:val="00E41F98"/>
    <w:rsid w:val="00E43208"/>
    <w:rsid w:val="00E43772"/>
    <w:rsid w:val="00E4378C"/>
    <w:rsid w:val="00E444E9"/>
    <w:rsid w:val="00E44D0D"/>
    <w:rsid w:val="00E4518B"/>
    <w:rsid w:val="00E45E6C"/>
    <w:rsid w:val="00E46F66"/>
    <w:rsid w:val="00E50266"/>
    <w:rsid w:val="00E5262B"/>
    <w:rsid w:val="00E5298D"/>
    <w:rsid w:val="00E52C7B"/>
    <w:rsid w:val="00E5358E"/>
    <w:rsid w:val="00E54339"/>
    <w:rsid w:val="00E5479C"/>
    <w:rsid w:val="00E554F1"/>
    <w:rsid w:val="00E5625D"/>
    <w:rsid w:val="00E5687D"/>
    <w:rsid w:val="00E568EC"/>
    <w:rsid w:val="00E56A28"/>
    <w:rsid w:val="00E575D7"/>
    <w:rsid w:val="00E57B0B"/>
    <w:rsid w:val="00E57DC1"/>
    <w:rsid w:val="00E609D2"/>
    <w:rsid w:val="00E60B33"/>
    <w:rsid w:val="00E61498"/>
    <w:rsid w:val="00E624BD"/>
    <w:rsid w:val="00E63651"/>
    <w:rsid w:val="00E63AE5"/>
    <w:rsid w:val="00E6444F"/>
    <w:rsid w:val="00E64489"/>
    <w:rsid w:val="00E667C1"/>
    <w:rsid w:val="00E66B14"/>
    <w:rsid w:val="00E66FD2"/>
    <w:rsid w:val="00E67530"/>
    <w:rsid w:val="00E675F4"/>
    <w:rsid w:val="00E7015D"/>
    <w:rsid w:val="00E710F9"/>
    <w:rsid w:val="00E71ECE"/>
    <w:rsid w:val="00E733C0"/>
    <w:rsid w:val="00E73746"/>
    <w:rsid w:val="00E75142"/>
    <w:rsid w:val="00E75729"/>
    <w:rsid w:val="00E766D2"/>
    <w:rsid w:val="00E80289"/>
    <w:rsid w:val="00E8145C"/>
    <w:rsid w:val="00E81909"/>
    <w:rsid w:val="00E82140"/>
    <w:rsid w:val="00E82AF8"/>
    <w:rsid w:val="00E83024"/>
    <w:rsid w:val="00E83812"/>
    <w:rsid w:val="00E839B7"/>
    <w:rsid w:val="00E83BFB"/>
    <w:rsid w:val="00E84784"/>
    <w:rsid w:val="00E848CF"/>
    <w:rsid w:val="00E85894"/>
    <w:rsid w:val="00E86413"/>
    <w:rsid w:val="00E87833"/>
    <w:rsid w:val="00E8794D"/>
    <w:rsid w:val="00E87C6E"/>
    <w:rsid w:val="00E904AD"/>
    <w:rsid w:val="00E91E59"/>
    <w:rsid w:val="00E91FE4"/>
    <w:rsid w:val="00E92071"/>
    <w:rsid w:val="00E9242D"/>
    <w:rsid w:val="00E955C8"/>
    <w:rsid w:val="00E95E9C"/>
    <w:rsid w:val="00E964F5"/>
    <w:rsid w:val="00E977A5"/>
    <w:rsid w:val="00E97E46"/>
    <w:rsid w:val="00E97F0E"/>
    <w:rsid w:val="00EA00D3"/>
    <w:rsid w:val="00EA021C"/>
    <w:rsid w:val="00EA0274"/>
    <w:rsid w:val="00EA0E85"/>
    <w:rsid w:val="00EA10E9"/>
    <w:rsid w:val="00EA1922"/>
    <w:rsid w:val="00EA1D5F"/>
    <w:rsid w:val="00EA2855"/>
    <w:rsid w:val="00EA3030"/>
    <w:rsid w:val="00EA52CB"/>
    <w:rsid w:val="00EA5AEB"/>
    <w:rsid w:val="00EA5B96"/>
    <w:rsid w:val="00EA6440"/>
    <w:rsid w:val="00EA69B0"/>
    <w:rsid w:val="00EB05E6"/>
    <w:rsid w:val="00EB0929"/>
    <w:rsid w:val="00EB0FC7"/>
    <w:rsid w:val="00EB16EB"/>
    <w:rsid w:val="00EB23AD"/>
    <w:rsid w:val="00EB2508"/>
    <w:rsid w:val="00EB2ECD"/>
    <w:rsid w:val="00EB3D28"/>
    <w:rsid w:val="00EB4637"/>
    <w:rsid w:val="00EB5283"/>
    <w:rsid w:val="00EB73BE"/>
    <w:rsid w:val="00EB776F"/>
    <w:rsid w:val="00EC062C"/>
    <w:rsid w:val="00EC0634"/>
    <w:rsid w:val="00EC0E01"/>
    <w:rsid w:val="00EC1B44"/>
    <w:rsid w:val="00EC329A"/>
    <w:rsid w:val="00EC37A3"/>
    <w:rsid w:val="00EC4BC7"/>
    <w:rsid w:val="00EC4C0C"/>
    <w:rsid w:val="00EC547D"/>
    <w:rsid w:val="00EC5744"/>
    <w:rsid w:val="00EC5B4C"/>
    <w:rsid w:val="00EC6904"/>
    <w:rsid w:val="00EC693C"/>
    <w:rsid w:val="00EC6967"/>
    <w:rsid w:val="00EC79C0"/>
    <w:rsid w:val="00ED0AED"/>
    <w:rsid w:val="00ED11BD"/>
    <w:rsid w:val="00ED197E"/>
    <w:rsid w:val="00ED212A"/>
    <w:rsid w:val="00ED2493"/>
    <w:rsid w:val="00ED3623"/>
    <w:rsid w:val="00ED4368"/>
    <w:rsid w:val="00ED52C7"/>
    <w:rsid w:val="00ED561E"/>
    <w:rsid w:val="00ED5924"/>
    <w:rsid w:val="00ED5B88"/>
    <w:rsid w:val="00ED6997"/>
    <w:rsid w:val="00ED70BD"/>
    <w:rsid w:val="00ED70FF"/>
    <w:rsid w:val="00ED73FC"/>
    <w:rsid w:val="00EE0935"/>
    <w:rsid w:val="00EE295D"/>
    <w:rsid w:val="00EE2AC7"/>
    <w:rsid w:val="00EE3EA0"/>
    <w:rsid w:val="00EE57E9"/>
    <w:rsid w:val="00EE58AD"/>
    <w:rsid w:val="00EE5EB1"/>
    <w:rsid w:val="00EE6A27"/>
    <w:rsid w:val="00EE7BE5"/>
    <w:rsid w:val="00EF1033"/>
    <w:rsid w:val="00EF19D6"/>
    <w:rsid w:val="00EF23CA"/>
    <w:rsid w:val="00EF274E"/>
    <w:rsid w:val="00EF5739"/>
    <w:rsid w:val="00EF5AF0"/>
    <w:rsid w:val="00EF5FFB"/>
    <w:rsid w:val="00EF79EB"/>
    <w:rsid w:val="00F0060C"/>
    <w:rsid w:val="00F00FAE"/>
    <w:rsid w:val="00F02362"/>
    <w:rsid w:val="00F02664"/>
    <w:rsid w:val="00F046E1"/>
    <w:rsid w:val="00F05519"/>
    <w:rsid w:val="00F057A8"/>
    <w:rsid w:val="00F05B9A"/>
    <w:rsid w:val="00F05FA3"/>
    <w:rsid w:val="00F05FF0"/>
    <w:rsid w:val="00F06556"/>
    <w:rsid w:val="00F06B05"/>
    <w:rsid w:val="00F07670"/>
    <w:rsid w:val="00F07D65"/>
    <w:rsid w:val="00F10E37"/>
    <w:rsid w:val="00F11144"/>
    <w:rsid w:val="00F11224"/>
    <w:rsid w:val="00F1131E"/>
    <w:rsid w:val="00F11556"/>
    <w:rsid w:val="00F116E3"/>
    <w:rsid w:val="00F11BB6"/>
    <w:rsid w:val="00F12018"/>
    <w:rsid w:val="00F130A6"/>
    <w:rsid w:val="00F14710"/>
    <w:rsid w:val="00F15212"/>
    <w:rsid w:val="00F1553A"/>
    <w:rsid w:val="00F15DA6"/>
    <w:rsid w:val="00F15E09"/>
    <w:rsid w:val="00F16FB8"/>
    <w:rsid w:val="00F17008"/>
    <w:rsid w:val="00F173E6"/>
    <w:rsid w:val="00F176F9"/>
    <w:rsid w:val="00F20AED"/>
    <w:rsid w:val="00F21230"/>
    <w:rsid w:val="00F21CE5"/>
    <w:rsid w:val="00F21E69"/>
    <w:rsid w:val="00F22497"/>
    <w:rsid w:val="00F2342F"/>
    <w:rsid w:val="00F25253"/>
    <w:rsid w:val="00F26167"/>
    <w:rsid w:val="00F2662A"/>
    <w:rsid w:val="00F3096B"/>
    <w:rsid w:val="00F30A66"/>
    <w:rsid w:val="00F30EF3"/>
    <w:rsid w:val="00F3139C"/>
    <w:rsid w:val="00F325A4"/>
    <w:rsid w:val="00F326F0"/>
    <w:rsid w:val="00F3376D"/>
    <w:rsid w:val="00F33A62"/>
    <w:rsid w:val="00F34001"/>
    <w:rsid w:val="00F344FA"/>
    <w:rsid w:val="00F34A51"/>
    <w:rsid w:val="00F352E2"/>
    <w:rsid w:val="00F36507"/>
    <w:rsid w:val="00F40420"/>
    <w:rsid w:val="00F407FC"/>
    <w:rsid w:val="00F40A02"/>
    <w:rsid w:val="00F4157C"/>
    <w:rsid w:val="00F417BF"/>
    <w:rsid w:val="00F42F82"/>
    <w:rsid w:val="00F4301C"/>
    <w:rsid w:val="00F43D20"/>
    <w:rsid w:val="00F43DEF"/>
    <w:rsid w:val="00F44430"/>
    <w:rsid w:val="00F4497C"/>
    <w:rsid w:val="00F44F5F"/>
    <w:rsid w:val="00F454E0"/>
    <w:rsid w:val="00F45A82"/>
    <w:rsid w:val="00F46025"/>
    <w:rsid w:val="00F466CD"/>
    <w:rsid w:val="00F46B02"/>
    <w:rsid w:val="00F47A85"/>
    <w:rsid w:val="00F51184"/>
    <w:rsid w:val="00F522D8"/>
    <w:rsid w:val="00F523E3"/>
    <w:rsid w:val="00F52E2D"/>
    <w:rsid w:val="00F53568"/>
    <w:rsid w:val="00F53CA6"/>
    <w:rsid w:val="00F53E69"/>
    <w:rsid w:val="00F5430B"/>
    <w:rsid w:val="00F54313"/>
    <w:rsid w:val="00F546AA"/>
    <w:rsid w:val="00F54F7B"/>
    <w:rsid w:val="00F54FEE"/>
    <w:rsid w:val="00F558E3"/>
    <w:rsid w:val="00F56F05"/>
    <w:rsid w:val="00F60357"/>
    <w:rsid w:val="00F61CEC"/>
    <w:rsid w:val="00F62DCD"/>
    <w:rsid w:val="00F62EC0"/>
    <w:rsid w:val="00F65E06"/>
    <w:rsid w:val="00F6708A"/>
    <w:rsid w:val="00F70E42"/>
    <w:rsid w:val="00F71527"/>
    <w:rsid w:val="00F72415"/>
    <w:rsid w:val="00F729FA"/>
    <w:rsid w:val="00F72A72"/>
    <w:rsid w:val="00F73316"/>
    <w:rsid w:val="00F73D62"/>
    <w:rsid w:val="00F74923"/>
    <w:rsid w:val="00F74964"/>
    <w:rsid w:val="00F749FA"/>
    <w:rsid w:val="00F75887"/>
    <w:rsid w:val="00F76347"/>
    <w:rsid w:val="00F76D17"/>
    <w:rsid w:val="00F77A00"/>
    <w:rsid w:val="00F80AE2"/>
    <w:rsid w:val="00F811A3"/>
    <w:rsid w:val="00F813D8"/>
    <w:rsid w:val="00F83570"/>
    <w:rsid w:val="00F83B37"/>
    <w:rsid w:val="00F841B0"/>
    <w:rsid w:val="00F84324"/>
    <w:rsid w:val="00F86C8E"/>
    <w:rsid w:val="00F87055"/>
    <w:rsid w:val="00F87617"/>
    <w:rsid w:val="00F9074D"/>
    <w:rsid w:val="00F90A9F"/>
    <w:rsid w:val="00F90CDC"/>
    <w:rsid w:val="00F91224"/>
    <w:rsid w:val="00F925AD"/>
    <w:rsid w:val="00F9504D"/>
    <w:rsid w:val="00F952B3"/>
    <w:rsid w:val="00F962CA"/>
    <w:rsid w:val="00F9639C"/>
    <w:rsid w:val="00F96D77"/>
    <w:rsid w:val="00F97422"/>
    <w:rsid w:val="00F977D3"/>
    <w:rsid w:val="00F97E37"/>
    <w:rsid w:val="00FA00E6"/>
    <w:rsid w:val="00FA0E7C"/>
    <w:rsid w:val="00FA17A9"/>
    <w:rsid w:val="00FA272A"/>
    <w:rsid w:val="00FA4DBB"/>
    <w:rsid w:val="00FA65DD"/>
    <w:rsid w:val="00FA774E"/>
    <w:rsid w:val="00FA7A00"/>
    <w:rsid w:val="00FA7A7B"/>
    <w:rsid w:val="00FB04C4"/>
    <w:rsid w:val="00FB0B4B"/>
    <w:rsid w:val="00FB4172"/>
    <w:rsid w:val="00FB4DF9"/>
    <w:rsid w:val="00FB7A66"/>
    <w:rsid w:val="00FC02C6"/>
    <w:rsid w:val="00FC03B8"/>
    <w:rsid w:val="00FC11ED"/>
    <w:rsid w:val="00FC1931"/>
    <w:rsid w:val="00FC2779"/>
    <w:rsid w:val="00FC3E06"/>
    <w:rsid w:val="00FC4840"/>
    <w:rsid w:val="00FC4D19"/>
    <w:rsid w:val="00FC60FD"/>
    <w:rsid w:val="00FD20EE"/>
    <w:rsid w:val="00FD3C1A"/>
    <w:rsid w:val="00FD468A"/>
    <w:rsid w:val="00FD52F3"/>
    <w:rsid w:val="00FD56C7"/>
    <w:rsid w:val="00FD58EC"/>
    <w:rsid w:val="00FD625A"/>
    <w:rsid w:val="00FD671F"/>
    <w:rsid w:val="00FD723B"/>
    <w:rsid w:val="00FD7338"/>
    <w:rsid w:val="00FD73D2"/>
    <w:rsid w:val="00FD75F3"/>
    <w:rsid w:val="00FD7E70"/>
    <w:rsid w:val="00FE0DCA"/>
    <w:rsid w:val="00FE0EC7"/>
    <w:rsid w:val="00FE0FAB"/>
    <w:rsid w:val="00FE1C60"/>
    <w:rsid w:val="00FE2A3C"/>
    <w:rsid w:val="00FE304B"/>
    <w:rsid w:val="00FE430D"/>
    <w:rsid w:val="00FE4421"/>
    <w:rsid w:val="00FE496C"/>
    <w:rsid w:val="00FE508B"/>
    <w:rsid w:val="00FE584A"/>
    <w:rsid w:val="00FE595B"/>
    <w:rsid w:val="00FE618B"/>
    <w:rsid w:val="00FE6797"/>
    <w:rsid w:val="00FE6AF1"/>
    <w:rsid w:val="00FE6D7F"/>
    <w:rsid w:val="00FE735D"/>
    <w:rsid w:val="00FE78B5"/>
    <w:rsid w:val="00FE7D78"/>
    <w:rsid w:val="00FF01E3"/>
    <w:rsid w:val="00FF2862"/>
    <w:rsid w:val="00FF4194"/>
    <w:rsid w:val="00FF473B"/>
    <w:rsid w:val="00FF5B11"/>
    <w:rsid w:val="00FF5E4D"/>
    <w:rsid w:val="00FF6014"/>
    <w:rsid w:val="00FF6CD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4FAE3A5"/>
  <w15:docId w15:val="{3C4B9BB7-9462-40D0-8791-98E2581FD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ZA" w:eastAsia="en-ZA" w:bidi="ar-EG"/>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3A33DC"/>
    <w:pPr>
      <w:bidi/>
    </w:pPr>
  </w:style>
  <w:style w:type="paragraph" w:styleId="Heading1">
    <w:name w:val="heading 1"/>
    <w:basedOn w:val="Normal"/>
    <w:next w:val="Normal"/>
    <w:link w:val="Heading1Char"/>
    <w:qFormat/>
    <w:rsid w:val="00B00EEA"/>
    <w:pPr>
      <w:keepNext/>
      <w:keepLines/>
      <w:spacing w:before="360" w:after="360"/>
      <w:outlineLvl w:val="0"/>
    </w:pPr>
    <w:rPr>
      <w:rFonts w:ascii="Arial" w:eastAsiaTheme="majorEastAsia" w:hAnsi="Arial" w:cs="Arial"/>
      <w:b/>
      <w:bCs/>
      <w:color w:val="0070C0"/>
      <w:sz w:val="26"/>
      <w:szCs w:val="28"/>
    </w:rPr>
  </w:style>
  <w:style w:type="paragraph" w:styleId="Heading2">
    <w:name w:val="heading 2"/>
    <w:basedOn w:val="Normal"/>
    <w:link w:val="Heading2Char"/>
    <w:uiPriority w:val="9"/>
    <w:qFormat/>
    <w:rsid w:val="00E22076"/>
    <w:pPr>
      <w:shd w:val="clear" w:color="auto" w:fill="1F497D" w:themeFill="text2"/>
      <w:spacing w:after="0" w:line="240" w:lineRule="auto"/>
      <w:outlineLvl w:val="1"/>
    </w:pPr>
    <w:rPr>
      <w:rFonts w:ascii="Arial" w:eastAsia="Times New Roman" w:hAnsi="Arial" w:cs="Arial"/>
      <w:b/>
      <w:bCs/>
      <w:color w:val="FFFFFF" w:themeColor="background1"/>
      <w:sz w:val="24"/>
      <w:szCs w:val="24"/>
    </w:rPr>
  </w:style>
  <w:style w:type="paragraph" w:styleId="Heading3">
    <w:name w:val="heading 3"/>
    <w:aliases w:val="Tom 1"/>
    <w:basedOn w:val="Normal"/>
    <w:next w:val="Normal"/>
    <w:link w:val="Heading3Char"/>
    <w:uiPriority w:val="9"/>
    <w:unhideWhenUsed/>
    <w:qFormat/>
    <w:rsid w:val="00F15212"/>
    <w:pPr>
      <w:keepNext/>
      <w:keepLines/>
      <w:spacing w:before="200" w:after="360" w:line="240" w:lineRule="auto"/>
      <w:outlineLvl w:val="2"/>
    </w:pPr>
    <w:rPr>
      <w:rFonts w:ascii="Arial" w:eastAsiaTheme="minorHAnsi" w:hAnsi="Arial" w:cs="Arial"/>
      <w:b/>
      <w:bCs/>
      <w:color w:val="0070C0"/>
      <w:sz w:val="28"/>
      <w:szCs w:val="28"/>
      <w:lang w:val="en-US" w:eastAsia="en-US"/>
    </w:rPr>
  </w:style>
  <w:style w:type="paragraph" w:styleId="Heading7">
    <w:name w:val="heading 7"/>
    <w:basedOn w:val="Normal"/>
    <w:next w:val="Normal"/>
    <w:link w:val="Heading7Char"/>
    <w:uiPriority w:val="9"/>
    <w:semiHidden/>
    <w:unhideWhenUsed/>
    <w:qFormat/>
    <w:rsid w:val="00C9585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801C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0EEA"/>
    <w:rPr>
      <w:rFonts w:ascii="Arial" w:eastAsiaTheme="majorEastAsia" w:hAnsi="Arial" w:cs="Arial"/>
      <w:b/>
      <w:bCs/>
      <w:color w:val="0070C0"/>
      <w:sz w:val="26"/>
      <w:szCs w:val="28"/>
    </w:rPr>
  </w:style>
  <w:style w:type="character" w:customStyle="1" w:styleId="Heading2Char">
    <w:name w:val="Heading 2 Char"/>
    <w:basedOn w:val="DefaultParagraphFont"/>
    <w:link w:val="Heading2"/>
    <w:uiPriority w:val="9"/>
    <w:rsid w:val="00E22076"/>
    <w:rPr>
      <w:rFonts w:ascii="Arial" w:eastAsia="Times New Roman" w:hAnsi="Arial" w:cs="Arial"/>
      <w:b/>
      <w:bCs/>
      <w:color w:val="FFFFFF" w:themeColor="background1"/>
      <w:sz w:val="24"/>
      <w:szCs w:val="24"/>
      <w:shd w:val="clear" w:color="auto" w:fill="1F497D" w:themeFill="text2"/>
    </w:rPr>
  </w:style>
  <w:style w:type="character" w:customStyle="1" w:styleId="Heading3Char">
    <w:name w:val="Heading 3 Char"/>
    <w:aliases w:val="Tom 1 Char"/>
    <w:basedOn w:val="DefaultParagraphFont"/>
    <w:link w:val="Heading3"/>
    <w:uiPriority w:val="9"/>
    <w:rsid w:val="00F15212"/>
    <w:rPr>
      <w:rFonts w:ascii="Arial" w:eastAsiaTheme="minorHAnsi" w:hAnsi="Arial" w:cs="Arial"/>
      <w:b/>
      <w:bCs/>
      <w:color w:val="0070C0"/>
      <w:sz w:val="28"/>
      <w:szCs w:val="28"/>
      <w:lang w:val="en-US" w:eastAsia="en-US"/>
    </w:rPr>
  </w:style>
  <w:style w:type="character" w:customStyle="1" w:styleId="Heading7Char">
    <w:name w:val="Heading 7 Char"/>
    <w:basedOn w:val="DefaultParagraphFont"/>
    <w:link w:val="Heading7"/>
    <w:uiPriority w:val="9"/>
    <w:semiHidden/>
    <w:rsid w:val="00C958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801C7"/>
    <w:rPr>
      <w:rFonts w:asciiTheme="majorHAnsi" w:eastAsiaTheme="majorEastAsia" w:hAnsiTheme="majorHAnsi" w:cstheme="majorBidi"/>
      <w:color w:val="404040" w:themeColor="text1" w:themeTint="BF"/>
      <w:sz w:val="20"/>
      <w:szCs w:val="20"/>
    </w:rPr>
  </w:style>
  <w:style w:type="character" w:styleId="Hyperlink">
    <w:name w:val="Hyperlink"/>
    <w:basedOn w:val="DefaultParagraphFont"/>
    <w:uiPriority w:val="99"/>
    <w:rsid w:val="00140E88"/>
    <w:rPr>
      <w:color w:val="0000FF"/>
      <w:u w:val="single"/>
    </w:rPr>
  </w:style>
  <w:style w:type="character" w:customStyle="1" w:styleId="FootnoteTextChar">
    <w:name w:val="Footnote Text Char"/>
    <w:aliases w:val="Footnote ak Char"/>
    <w:basedOn w:val="DefaultParagraphFont"/>
    <w:link w:val="FootnoteText"/>
    <w:uiPriority w:val="99"/>
    <w:rsid w:val="00140E88"/>
    <w:rPr>
      <w:sz w:val="20"/>
    </w:rPr>
  </w:style>
  <w:style w:type="paragraph" w:styleId="FootnoteText">
    <w:name w:val="footnote text"/>
    <w:aliases w:val="Footnote ak"/>
    <w:basedOn w:val="Normal"/>
    <w:link w:val="FootnoteTextChar"/>
    <w:rsid w:val="00140E88"/>
    <w:pPr>
      <w:spacing w:after="0" w:line="240" w:lineRule="auto"/>
    </w:pPr>
    <w:rPr>
      <w:sz w:val="20"/>
    </w:rPr>
  </w:style>
  <w:style w:type="table" w:styleId="TableGrid">
    <w:name w:val="Table Grid"/>
    <w:basedOn w:val="TableNormal"/>
    <w:uiPriority w:val="59"/>
    <w:rsid w:val="00140E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rsid w:val="00140E88"/>
    <w:rPr>
      <w:vertAlign w:val="superscript"/>
    </w:rPr>
  </w:style>
  <w:style w:type="character" w:styleId="FootnoteReference">
    <w:name w:val="footnote reference"/>
    <w:basedOn w:val="DefaultParagraphFont"/>
    <w:rsid w:val="00140E88"/>
    <w:rPr>
      <w:vertAlign w:val="superscript"/>
    </w:rPr>
  </w:style>
  <w:style w:type="paragraph" w:styleId="BalloonText">
    <w:name w:val="Balloon Text"/>
    <w:basedOn w:val="Normal"/>
    <w:link w:val="BalloonTextChar"/>
    <w:uiPriority w:val="99"/>
    <w:semiHidden/>
    <w:unhideWhenUsed/>
    <w:rsid w:val="008A4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311"/>
    <w:rPr>
      <w:rFonts w:ascii="Tahoma" w:hAnsi="Tahoma" w:cs="Tahoma"/>
      <w:sz w:val="16"/>
      <w:szCs w:val="16"/>
    </w:rPr>
  </w:style>
  <w:style w:type="paragraph" w:styleId="ListParagraph">
    <w:name w:val="List Paragraph"/>
    <w:basedOn w:val="Normal"/>
    <w:uiPriority w:val="34"/>
    <w:qFormat/>
    <w:rsid w:val="009D513B"/>
    <w:pPr>
      <w:ind w:left="720"/>
      <w:contextualSpacing/>
    </w:pPr>
  </w:style>
  <w:style w:type="character" w:customStyle="1" w:styleId="EmailStyle24">
    <w:name w:val="EmailStyle24"/>
    <w:basedOn w:val="DefaultParagraphFont"/>
    <w:semiHidden/>
    <w:rsid w:val="00EE2AC7"/>
    <w:rPr>
      <w:rFonts w:ascii="Arial" w:hAnsi="Arial" w:cs="Arial"/>
      <w:color w:val="000080"/>
      <w:sz w:val="20"/>
      <w:szCs w:val="20"/>
    </w:rPr>
  </w:style>
  <w:style w:type="paragraph" w:styleId="NormalWeb">
    <w:name w:val="Normal (Web)"/>
    <w:basedOn w:val="Normal"/>
    <w:unhideWhenUsed/>
    <w:rsid w:val="003852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ofDoc">
    <w:name w:val="Title of Doc"/>
    <w:basedOn w:val="Normal"/>
    <w:next w:val="Normal"/>
    <w:uiPriority w:val="99"/>
    <w:rsid w:val="00C92CFB"/>
    <w:pPr>
      <w:autoSpaceDE w:val="0"/>
      <w:autoSpaceDN w:val="0"/>
      <w:adjustRightInd w:val="0"/>
      <w:spacing w:after="0" w:line="240" w:lineRule="auto"/>
    </w:pPr>
    <w:rPr>
      <w:rFonts w:ascii="MPCELD+TimesNewRoman,Bold" w:hAnsi="MPCELD+TimesNewRoman,Bold"/>
      <w:sz w:val="24"/>
      <w:szCs w:val="24"/>
    </w:rPr>
  </w:style>
  <w:style w:type="paragraph" w:customStyle="1" w:styleId="Default">
    <w:name w:val="Default"/>
    <w:rsid w:val="00EB2ECD"/>
    <w:pPr>
      <w:autoSpaceDE w:val="0"/>
      <w:autoSpaceDN w:val="0"/>
      <w:adjustRightInd w:val="0"/>
      <w:spacing w:after="0" w:line="240" w:lineRule="auto"/>
    </w:pPr>
    <w:rPr>
      <w:rFonts w:ascii="Arial" w:hAnsi="Arial" w:cs="Arial"/>
      <w:color w:val="000000"/>
      <w:sz w:val="24"/>
      <w:szCs w:val="24"/>
    </w:rPr>
  </w:style>
  <w:style w:type="paragraph" w:customStyle="1" w:styleId="CM13">
    <w:name w:val="CM13"/>
    <w:basedOn w:val="Default"/>
    <w:next w:val="Default"/>
    <w:uiPriority w:val="99"/>
    <w:rsid w:val="00516B58"/>
    <w:pPr>
      <w:spacing w:line="240" w:lineRule="atLeast"/>
    </w:pPr>
    <w:rPr>
      <w:rFonts w:ascii="ALPFM O+ Times" w:hAnsi="ALPFM O+ Times" w:cstheme="minorBidi"/>
      <w:color w:val="auto"/>
    </w:rPr>
  </w:style>
  <w:style w:type="paragraph" w:customStyle="1" w:styleId="CM20">
    <w:name w:val="CM20"/>
    <w:basedOn w:val="Default"/>
    <w:next w:val="Default"/>
    <w:uiPriority w:val="99"/>
    <w:rsid w:val="00516B58"/>
    <w:pPr>
      <w:spacing w:line="240" w:lineRule="atLeast"/>
    </w:pPr>
    <w:rPr>
      <w:rFonts w:ascii="ALPFM O+ Times" w:hAnsi="ALPFM O+ Times" w:cstheme="minorBidi"/>
      <w:color w:val="auto"/>
    </w:rPr>
  </w:style>
  <w:style w:type="paragraph" w:customStyle="1" w:styleId="CM43">
    <w:name w:val="CM43"/>
    <w:basedOn w:val="Default"/>
    <w:next w:val="Default"/>
    <w:uiPriority w:val="99"/>
    <w:rsid w:val="00B52058"/>
    <w:rPr>
      <w:rFonts w:ascii="Times New Roman" w:hAnsi="Times New Roman" w:cs="Times New Roman"/>
      <w:color w:val="auto"/>
    </w:rPr>
  </w:style>
  <w:style w:type="paragraph" w:customStyle="1" w:styleId="CM4">
    <w:name w:val="CM4"/>
    <w:basedOn w:val="Default"/>
    <w:next w:val="Default"/>
    <w:uiPriority w:val="99"/>
    <w:rsid w:val="00B52058"/>
    <w:pPr>
      <w:spacing w:line="260" w:lineRule="atLeast"/>
    </w:pPr>
    <w:rPr>
      <w:rFonts w:ascii="Times New Roman" w:hAnsi="Times New Roman" w:cs="Times New Roman"/>
      <w:color w:val="auto"/>
    </w:rPr>
  </w:style>
  <w:style w:type="paragraph" w:customStyle="1" w:styleId="CM44">
    <w:name w:val="CM44"/>
    <w:basedOn w:val="Default"/>
    <w:next w:val="Default"/>
    <w:uiPriority w:val="99"/>
    <w:rsid w:val="00B52058"/>
    <w:rPr>
      <w:rFonts w:ascii="Times New Roman" w:hAnsi="Times New Roman" w:cs="Times New Roman"/>
      <w:color w:val="auto"/>
    </w:rPr>
  </w:style>
  <w:style w:type="paragraph" w:customStyle="1" w:styleId="CM35">
    <w:name w:val="CM35"/>
    <w:basedOn w:val="Default"/>
    <w:next w:val="Default"/>
    <w:uiPriority w:val="99"/>
    <w:rsid w:val="00B52058"/>
    <w:pPr>
      <w:spacing w:line="256" w:lineRule="atLeast"/>
    </w:pPr>
    <w:rPr>
      <w:rFonts w:ascii="Times New Roman" w:hAnsi="Times New Roman" w:cs="Times New Roman"/>
      <w:color w:val="auto"/>
    </w:rPr>
  </w:style>
  <w:style w:type="paragraph" w:customStyle="1" w:styleId="CM45">
    <w:name w:val="CM45"/>
    <w:basedOn w:val="Default"/>
    <w:next w:val="Default"/>
    <w:uiPriority w:val="99"/>
    <w:rsid w:val="00B52058"/>
    <w:rPr>
      <w:rFonts w:ascii="Times New Roman" w:hAnsi="Times New Roman" w:cs="Times New Roman"/>
      <w:color w:val="auto"/>
    </w:rPr>
  </w:style>
  <w:style w:type="paragraph" w:customStyle="1" w:styleId="CM36">
    <w:name w:val="CM36"/>
    <w:basedOn w:val="Default"/>
    <w:next w:val="Default"/>
    <w:uiPriority w:val="99"/>
    <w:rsid w:val="00B52058"/>
    <w:pPr>
      <w:spacing w:line="266" w:lineRule="atLeast"/>
    </w:pPr>
    <w:rPr>
      <w:rFonts w:ascii="Times New Roman" w:hAnsi="Times New Roman" w:cs="Times New Roman"/>
      <w:color w:val="auto"/>
    </w:rPr>
  </w:style>
  <w:style w:type="paragraph" w:customStyle="1" w:styleId="CM53">
    <w:name w:val="CM53"/>
    <w:basedOn w:val="Default"/>
    <w:next w:val="Default"/>
    <w:uiPriority w:val="99"/>
    <w:rsid w:val="00D52980"/>
    <w:rPr>
      <w:rFonts w:ascii="Times New Roman" w:hAnsi="Times New Roman" w:cs="Times New Roman"/>
      <w:color w:val="auto"/>
    </w:rPr>
  </w:style>
  <w:style w:type="paragraph" w:customStyle="1" w:styleId="CM68">
    <w:name w:val="CM68"/>
    <w:basedOn w:val="Default"/>
    <w:next w:val="Default"/>
    <w:uiPriority w:val="99"/>
    <w:rsid w:val="00D52980"/>
    <w:rPr>
      <w:rFonts w:ascii="Times New Roman" w:hAnsi="Times New Roman" w:cs="Times New Roman"/>
      <w:color w:val="auto"/>
    </w:rPr>
  </w:style>
  <w:style w:type="paragraph" w:customStyle="1" w:styleId="CM55">
    <w:name w:val="CM55"/>
    <w:basedOn w:val="Default"/>
    <w:next w:val="Default"/>
    <w:uiPriority w:val="99"/>
    <w:rsid w:val="00D52980"/>
    <w:rPr>
      <w:rFonts w:ascii="Times New Roman" w:hAnsi="Times New Roman" w:cs="Times New Roman"/>
      <w:color w:val="auto"/>
    </w:rPr>
  </w:style>
  <w:style w:type="character" w:customStyle="1" w:styleId="notranslate">
    <w:name w:val="notranslate"/>
    <w:basedOn w:val="DefaultParagraphFont"/>
    <w:rsid w:val="00D52980"/>
  </w:style>
  <w:style w:type="paragraph" w:styleId="Header">
    <w:name w:val="header"/>
    <w:basedOn w:val="Normal"/>
    <w:link w:val="HeaderChar"/>
    <w:unhideWhenUsed/>
    <w:rsid w:val="009663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300"/>
  </w:style>
  <w:style w:type="paragraph" w:styleId="Footer">
    <w:name w:val="footer"/>
    <w:basedOn w:val="Normal"/>
    <w:link w:val="FooterChar"/>
    <w:unhideWhenUsed/>
    <w:rsid w:val="009663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300"/>
  </w:style>
  <w:style w:type="paragraph" w:customStyle="1" w:styleId="CM21">
    <w:name w:val="CM21"/>
    <w:basedOn w:val="Default"/>
    <w:next w:val="Default"/>
    <w:uiPriority w:val="99"/>
    <w:rsid w:val="00811022"/>
    <w:pPr>
      <w:spacing w:line="240" w:lineRule="atLeast"/>
    </w:pPr>
    <w:rPr>
      <w:rFonts w:ascii="ALPEM D+ Times" w:hAnsi="ALPEM D+ Times" w:cstheme="minorBidi"/>
      <w:color w:val="auto"/>
    </w:rPr>
  </w:style>
  <w:style w:type="character" w:customStyle="1" w:styleId="FootnoteTe1">
    <w:name w:val="Footnote Te1"/>
    <w:rsid w:val="008C532C"/>
    <w:rPr>
      <w:lang w:val="en-GB"/>
    </w:rPr>
  </w:style>
  <w:style w:type="character" w:styleId="Emphasis">
    <w:name w:val="Emphasis"/>
    <w:basedOn w:val="DefaultParagraphFont"/>
    <w:uiPriority w:val="20"/>
    <w:qFormat/>
    <w:rsid w:val="008C532C"/>
    <w:rPr>
      <w:b/>
      <w:bCs/>
      <w:i w:val="0"/>
      <w:iCs w:val="0"/>
    </w:rPr>
  </w:style>
  <w:style w:type="character" w:customStyle="1" w:styleId="st">
    <w:name w:val="st"/>
    <w:basedOn w:val="DefaultParagraphFont"/>
    <w:rsid w:val="008C532C"/>
  </w:style>
  <w:style w:type="paragraph" w:styleId="TOC1">
    <w:name w:val="toc 1"/>
    <w:basedOn w:val="Normal"/>
    <w:next w:val="Normal"/>
    <w:autoRedefine/>
    <w:uiPriority w:val="39"/>
    <w:qFormat/>
    <w:rsid w:val="003A33DC"/>
    <w:pPr>
      <w:tabs>
        <w:tab w:val="right" w:leader="dot" w:pos="9000"/>
      </w:tabs>
      <w:spacing w:before="60" w:after="60" w:line="360" w:lineRule="auto"/>
      <w:ind w:left="709" w:hanging="709"/>
    </w:pPr>
    <w:rPr>
      <w:rFonts w:ascii="Arial" w:eastAsiaTheme="minorHAnsi" w:hAnsi="Arial" w:cs="Arial"/>
      <w:b/>
      <w:noProof/>
      <w:lang w:eastAsia="en-US"/>
    </w:rPr>
  </w:style>
  <w:style w:type="character" w:styleId="PageNumber">
    <w:name w:val="page number"/>
    <w:basedOn w:val="DefaultParagraphFont"/>
    <w:rsid w:val="008A015E"/>
  </w:style>
  <w:style w:type="character" w:styleId="HTMLCite">
    <w:name w:val="HTML Cite"/>
    <w:basedOn w:val="DefaultParagraphFont"/>
    <w:unhideWhenUsed/>
    <w:rsid w:val="00606AAB"/>
    <w:rPr>
      <w:i/>
      <w:iCs/>
    </w:rPr>
  </w:style>
  <w:style w:type="paragraph" w:customStyle="1" w:styleId="subsection">
    <w:name w:val="subsection"/>
    <w:basedOn w:val="Normal"/>
    <w:rsid w:val="007A2F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7A2F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17">
    <w:name w:val="CM17"/>
    <w:basedOn w:val="Default"/>
    <w:next w:val="Default"/>
    <w:uiPriority w:val="99"/>
    <w:rsid w:val="00000F47"/>
    <w:pPr>
      <w:spacing w:line="256" w:lineRule="atLeast"/>
    </w:pPr>
    <w:rPr>
      <w:rFonts w:ascii="Times New Roman" w:hAnsi="Times New Roman" w:cs="Times New Roman"/>
      <w:color w:val="auto"/>
    </w:rPr>
  </w:style>
  <w:style w:type="character" w:customStyle="1" w:styleId="highlight">
    <w:name w:val="highlight"/>
    <w:basedOn w:val="DefaultParagraphFont"/>
    <w:rsid w:val="00DB0712"/>
  </w:style>
  <w:style w:type="paragraph" w:styleId="TOCHeading">
    <w:name w:val="TOC Heading"/>
    <w:basedOn w:val="Heading1"/>
    <w:next w:val="Normal"/>
    <w:uiPriority w:val="39"/>
    <w:unhideWhenUsed/>
    <w:qFormat/>
    <w:rsid w:val="00C42A8B"/>
    <w:pPr>
      <w:outlineLvl w:val="9"/>
    </w:pPr>
    <w:rPr>
      <w:lang w:val="en-US" w:eastAsia="ja-JP"/>
    </w:rPr>
  </w:style>
  <w:style w:type="character" w:styleId="CommentReference">
    <w:name w:val="annotation reference"/>
    <w:basedOn w:val="DefaultParagraphFont"/>
    <w:uiPriority w:val="99"/>
    <w:semiHidden/>
    <w:unhideWhenUsed/>
    <w:rsid w:val="009858BC"/>
    <w:rPr>
      <w:sz w:val="16"/>
      <w:szCs w:val="16"/>
    </w:rPr>
  </w:style>
  <w:style w:type="paragraph" w:styleId="CommentText">
    <w:name w:val="annotation text"/>
    <w:basedOn w:val="Normal"/>
    <w:link w:val="CommentTextChar"/>
    <w:uiPriority w:val="99"/>
    <w:unhideWhenUsed/>
    <w:rsid w:val="009858BC"/>
    <w:pPr>
      <w:spacing w:after="120" w:line="240" w:lineRule="auto"/>
    </w:pPr>
    <w:rPr>
      <w:sz w:val="20"/>
      <w:szCs w:val="20"/>
      <w:lang w:val="en-GB" w:eastAsia="en-US"/>
    </w:rPr>
  </w:style>
  <w:style w:type="character" w:customStyle="1" w:styleId="CommentTextChar">
    <w:name w:val="Comment Text Char"/>
    <w:basedOn w:val="DefaultParagraphFont"/>
    <w:link w:val="CommentText"/>
    <w:uiPriority w:val="99"/>
    <w:rsid w:val="009858BC"/>
    <w:rPr>
      <w:sz w:val="20"/>
      <w:szCs w:val="20"/>
      <w:lang w:val="en-GB" w:eastAsia="en-US"/>
    </w:rPr>
  </w:style>
  <w:style w:type="character" w:styleId="Strong">
    <w:name w:val="Strong"/>
    <w:basedOn w:val="DefaultParagraphFont"/>
    <w:uiPriority w:val="22"/>
    <w:qFormat/>
    <w:rsid w:val="00C74B91"/>
    <w:rPr>
      <w:b/>
      <w:bCs/>
    </w:rPr>
  </w:style>
  <w:style w:type="paragraph" w:styleId="CommentSubject">
    <w:name w:val="annotation subject"/>
    <w:basedOn w:val="CommentText"/>
    <w:next w:val="CommentText"/>
    <w:link w:val="CommentSubjectChar"/>
    <w:uiPriority w:val="99"/>
    <w:semiHidden/>
    <w:unhideWhenUsed/>
    <w:rsid w:val="00CC3462"/>
    <w:pPr>
      <w:spacing w:after="200"/>
    </w:pPr>
    <w:rPr>
      <w:b/>
      <w:bCs/>
      <w:lang w:val="en-ZA" w:eastAsia="en-ZA"/>
    </w:rPr>
  </w:style>
  <w:style w:type="character" w:customStyle="1" w:styleId="CommentSubjectChar">
    <w:name w:val="Comment Subject Char"/>
    <w:basedOn w:val="CommentTextChar"/>
    <w:link w:val="CommentSubject"/>
    <w:uiPriority w:val="99"/>
    <w:semiHidden/>
    <w:rsid w:val="00CC3462"/>
    <w:rPr>
      <w:b/>
      <w:bCs/>
      <w:sz w:val="20"/>
      <w:szCs w:val="20"/>
      <w:lang w:val="en-GB" w:eastAsia="en-US"/>
    </w:rPr>
  </w:style>
  <w:style w:type="paragraph" w:styleId="Revision">
    <w:name w:val="Revision"/>
    <w:hidden/>
    <w:uiPriority w:val="99"/>
    <w:semiHidden/>
    <w:rsid w:val="00613A49"/>
    <w:pPr>
      <w:spacing w:after="0" w:line="240" w:lineRule="auto"/>
    </w:pPr>
  </w:style>
  <w:style w:type="paragraph" w:styleId="EndnoteText">
    <w:name w:val="endnote text"/>
    <w:basedOn w:val="Normal"/>
    <w:link w:val="EndnoteTextChar"/>
    <w:uiPriority w:val="99"/>
    <w:semiHidden/>
    <w:unhideWhenUsed/>
    <w:rsid w:val="009C11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C1110"/>
    <w:rPr>
      <w:sz w:val="20"/>
      <w:szCs w:val="20"/>
    </w:rPr>
  </w:style>
  <w:style w:type="character" w:customStyle="1" w:styleId="tw4winMark">
    <w:name w:val="tw4winMark"/>
    <w:rsid w:val="00B0557F"/>
    <w:rPr>
      <w:rFonts w:ascii="Times New Roman" w:hAnsi="Times New Roman" w:cs="Times New Roman"/>
      <w:vanish/>
      <w:color w:val="800080"/>
      <w:sz w:val="24"/>
      <w:szCs w:val="24"/>
      <w:vertAlign w:val="subscript"/>
    </w:rPr>
  </w:style>
  <w:style w:type="paragraph" w:customStyle="1" w:styleId="Maintitle">
    <w:name w:val="Main title"/>
    <w:basedOn w:val="Normal"/>
    <w:link w:val="MaintitleChar"/>
    <w:qFormat/>
    <w:rsid w:val="001165FC"/>
    <w:pPr>
      <w:numPr>
        <w:numId w:val="1"/>
      </w:numPr>
      <w:autoSpaceDE w:val="0"/>
      <w:autoSpaceDN w:val="0"/>
      <w:adjustRightInd w:val="0"/>
      <w:spacing w:after="0" w:line="240" w:lineRule="auto"/>
      <w:jc w:val="both"/>
    </w:pPr>
    <w:rPr>
      <w:rFonts w:ascii="Times New Roman" w:eastAsia="Times New Roman" w:hAnsi="Times New Roman" w:cs="Times New Roman"/>
      <w:b/>
      <w:bCs/>
      <w:noProof/>
      <w:sz w:val="24"/>
      <w:szCs w:val="26"/>
      <w:lang w:val="en-US" w:eastAsia="en-US"/>
    </w:rPr>
  </w:style>
  <w:style w:type="character" w:customStyle="1" w:styleId="MaintitleChar">
    <w:name w:val="Main title Char"/>
    <w:link w:val="Maintitle"/>
    <w:rsid w:val="001165FC"/>
    <w:rPr>
      <w:rFonts w:ascii="Times New Roman" w:eastAsia="Times New Roman" w:hAnsi="Times New Roman" w:cs="Times New Roman"/>
      <w:b/>
      <w:bCs/>
      <w:noProof/>
      <w:sz w:val="24"/>
      <w:szCs w:val="26"/>
      <w:lang w:val="en-US" w:eastAsia="en-US"/>
    </w:rPr>
  </w:style>
  <w:style w:type="character" w:styleId="FollowedHyperlink">
    <w:name w:val="FollowedHyperlink"/>
    <w:basedOn w:val="DefaultParagraphFont"/>
    <w:uiPriority w:val="99"/>
    <w:semiHidden/>
    <w:unhideWhenUsed/>
    <w:rsid w:val="00D432F0"/>
    <w:rPr>
      <w:color w:val="800080" w:themeColor="followedHyperlink"/>
      <w:u w:val="single"/>
    </w:rPr>
  </w:style>
  <w:style w:type="paragraph" w:customStyle="1" w:styleId="Pa52">
    <w:name w:val="Pa5+2"/>
    <w:basedOn w:val="Default"/>
    <w:next w:val="Default"/>
    <w:uiPriority w:val="99"/>
    <w:rsid w:val="00E964F5"/>
    <w:pPr>
      <w:spacing w:line="211" w:lineRule="atLeast"/>
    </w:pPr>
    <w:rPr>
      <w:rFonts w:ascii="Adobe Garamond Pro" w:hAnsi="Adobe Garamond Pro" w:cstheme="minorBidi"/>
      <w:color w:val="auto"/>
      <w:lang w:val="en-US"/>
    </w:rPr>
  </w:style>
  <w:style w:type="paragraph" w:customStyle="1" w:styleId="Pa22">
    <w:name w:val="Pa2+2"/>
    <w:basedOn w:val="Default"/>
    <w:next w:val="Default"/>
    <w:uiPriority w:val="99"/>
    <w:rsid w:val="000A1395"/>
    <w:pPr>
      <w:spacing w:line="181" w:lineRule="atLeast"/>
    </w:pPr>
    <w:rPr>
      <w:rFonts w:ascii="Frutiger 45 Light" w:hAnsi="Frutiger 45 Light" w:cstheme="minorBidi"/>
      <w:color w:val="auto"/>
      <w:lang w:val="en-US"/>
    </w:rPr>
  </w:style>
  <w:style w:type="paragraph" w:customStyle="1" w:styleId="gmail-m3642427114626180628m-6534600210048553051m-6637656318762905898gmail-msotoc1">
    <w:name w:val="gmail-m_3642427114626180628m_-6534600210048553051m_-6637656318762905898gmail-msotoc1"/>
    <w:basedOn w:val="Normal"/>
    <w:rsid w:val="00494B9E"/>
    <w:pPr>
      <w:spacing w:before="100" w:beforeAutospacing="1" w:after="100" w:afterAutospacing="1" w:line="240" w:lineRule="auto"/>
    </w:pPr>
    <w:rPr>
      <w:rFonts w:ascii="Times New Roman" w:eastAsiaTheme="minorHAnsi" w:hAnsi="Times New Roman" w:cs="Times New Roman"/>
      <w:sz w:val="24"/>
      <w:szCs w:val="24"/>
      <w:lang w:val="en-US" w:eastAsia="en-US"/>
    </w:rPr>
  </w:style>
  <w:style w:type="paragraph" w:styleId="NoSpacing">
    <w:name w:val="No Spacing"/>
    <w:uiPriority w:val="1"/>
    <w:qFormat/>
    <w:rsid w:val="000C5552"/>
    <w:pPr>
      <w:spacing w:after="0" w:line="240" w:lineRule="auto"/>
    </w:pPr>
    <w:rPr>
      <w:rFonts w:eastAsiaTheme="minorHAnsi"/>
      <w:lang w:val="pl-PL" w:eastAsia="en-US"/>
    </w:rPr>
  </w:style>
  <w:style w:type="character" w:customStyle="1" w:styleId="headlinenews1">
    <w:name w:val="headline_news1"/>
    <w:basedOn w:val="DefaultParagraphFont"/>
    <w:rsid w:val="00347704"/>
    <w:rPr>
      <w:b w:val="0"/>
      <w:bCs w:val="0"/>
      <w:color w:val="4D6A9D"/>
      <w:sz w:val="33"/>
      <w:szCs w:val="33"/>
    </w:rPr>
  </w:style>
  <w:style w:type="character" w:customStyle="1" w:styleId="A21">
    <w:name w:val="A2+1"/>
    <w:uiPriority w:val="99"/>
    <w:rsid w:val="008672B4"/>
    <w:rPr>
      <w:rFonts w:cs="Frutiger 45 Light"/>
      <w:color w:val="000000"/>
      <w:sz w:val="20"/>
      <w:szCs w:val="20"/>
    </w:rPr>
  </w:style>
  <w:style w:type="paragraph" w:customStyle="1" w:styleId="StyleJustified">
    <w:name w:val="Style Justified"/>
    <w:basedOn w:val="Normal"/>
    <w:rsid w:val="000E0A05"/>
    <w:pPr>
      <w:widowControl w:val="0"/>
      <w:adjustRightInd w:val="0"/>
      <w:spacing w:after="0" w:line="360" w:lineRule="atLeast"/>
      <w:jc w:val="both"/>
      <w:textAlignment w:val="baseline"/>
    </w:pPr>
    <w:rPr>
      <w:rFonts w:ascii="Times New Roman" w:eastAsia="Times New Roman" w:hAnsi="Times New Roman" w:cs="Times New Roman"/>
      <w:sz w:val="24"/>
      <w:szCs w:val="20"/>
      <w:lang w:val="en-US" w:eastAsia="en-US"/>
    </w:rPr>
  </w:style>
  <w:style w:type="character" w:customStyle="1" w:styleId="st1">
    <w:name w:val="st1"/>
    <w:basedOn w:val="DefaultParagraphFont"/>
    <w:rsid w:val="005F2FB1"/>
  </w:style>
  <w:style w:type="character" w:customStyle="1" w:styleId="sr-only1">
    <w:name w:val="sr-only1"/>
    <w:basedOn w:val="DefaultParagraphFont"/>
    <w:rsid w:val="0058533B"/>
    <w:rPr>
      <w:bdr w:val="none" w:sz="0" w:space="0" w:color="auto" w:frame="1"/>
    </w:rPr>
  </w:style>
  <w:style w:type="paragraph" w:styleId="TOC2">
    <w:name w:val="toc 2"/>
    <w:basedOn w:val="Normal"/>
    <w:next w:val="Normal"/>
    <w:autoRedefine/>
    <w:uiPriority w:val="39"/>
    <w:unhideWhenUsed/>
    <w:qFormat/>
    <w:rsid w:val="00B50412"/>
    <w:pPr>
      <w:spacing w:after="100"/>
      <w:ind w:left="220"/>
    </w:pPr>
  </w:style>
  <w:style w:type="paragraph" w:styleId="TOC3">
    <w:name w:val="toc 3"/>
    <w:basedOn w:val="Normal"/>
    <w:next w:val="Normal"/>
    <w:autoRedefine/>
    <w:uiPriority w:val="39"/>
    <w:unhideWhenUsed/>
    <w:qFormat/>
    <w:rsid w:val="000017C6"/>
    <w:pPr>
      <w:tabs>
        <w:tab w:val="right" w:leader="dot" w:pos="9356"/>
      </w:tabs>
      <w:spacing w:after="100"/>
    </w:pPr>
  </w:style>
  <w:style w:type="character" w:customStyle="1" w:styleId="patentscopemark">
    <w:name w:val="patentscopemark"/>
    <w:basedOn w:val="DefaultParagraphFont"/>
    <w:rsid w:val="00F43DEF"/>
  </w:style>
  <w:style w:type="paragraph" w:customStyle="1" w:styleId="Pa2">
    <w:name w:val="Pa2"/>
    <w:basedOn w:val="Default"/>
    <w:next w:val="Default"/>
    <w:uiPriority w:val="99"/>
    <w:rsid w:val="005E449B"/>
    <w:pPr>
      <w:spacing w:line="241" w:lineRule="atLeast"/>
    </w:pPr>
    <w:rPr>
      <w:rFonts w:ascii="Weidemann IT Cby BT" w:hAnsi="Weidemann IT Cby BT" w:cstheme="minorBidi"/>
      <w:color w:val="auto"/>
      <w:lang w:val="en-US"/>
    </w:rPr>
  </w:style>
  <w:style w:type="character" w:customStyle="1" w:styleId="A4">
    <w:name w:val="A4"/>
    <w:uiPriority w:val="99"/>
    <w:rsid w:val="005E449B"/>
    <w:rPr>
      <w:rFonts w:cs="Weidemann IT Cby BT"/>
      <w:color w:val="000000"/>
      <w:sz w:val="21"/>
      <w:szCs w:val="21"/>
    </w:rPr>
  </w:style>
  <w:style w:type="character" w:customStyle="1" w:styleId="tgc">
    <w:name w:val="_tgc"/>
    <w:basedOn w:val="DefaultParagraphFont"/>
    <w:rsid w:val="00165818"/>
  </w:style>
  <w:style w:type="character" w:customStyle="1" w:styleId="UnresolvedMention1">
    <w:name w:val="Unresolved Mention1"/>
    <w:basedOn w:val="DefaultParagraphFont"/>
    <w:uiPriority w:val="99"/>
    <w:semiHidden/>
    <w:unhideWhenUsed/>
    <w:rsid w:val="002660BE"/>
    <w:rPr>
      <w:color w:val="808080"/>
      <w:shd w:val="clear" w:color="auto" w:fill="E6E6E6"/>
    </w:rPr>
  </w:style>
  <w:style w:type="paragraph" w:customStyle="1" w:styleId="gmail-msolistparagraph">
    <w:name w:val="gmail-msolistparagraph"/>
    <w:basedOn w:val="Normal"/>
    <w:rsid w:val="00961F01"/>
    <w:pPr>
      <w:spacing w:before="100" w:beforeAutospacing="1" w:after="100" w:afterAutospacing="1" w:line="240" w:lineRule="auto"/>
    </w:pPr>
    <w:rPr>
      <w:rFonts w:ascii="Times New Roman" w:eastAsiaTheme="minorHAnsi" w:hAnsi="Times New Roman" w:cs="Times New Roman"/>
      <w:sz w:val="24"/>
      <w:szCs w:val="24"/>
      <w:lang w:val="en-US" w:eastAsia="en-US"/>
    </w:rPr>
  </w:style>
  <w:style w:type="character" w:customStyle="1" w:styleId="field-content6">
    <w:name w:val="field-content6"/>
    <w:basedOn w:val="DefaultParagraphFont"/>
    <w:rsid w:val="004D1B14"/>
  </w:style>
  <w:style w:type="character" w:customStyle="1" w:styleId="addmd1">
    <w:name w:val="addmd1"/>
    <w:basedOn w:val="DefaultParagraphFont"/>
    <w:rsid w:val="00A45002"/>
    <w:rPr>
      <w:sz w:val="20"/>
      <w:szCs w:val="20"/>
    </w:rPr>
  </w:style>
  <w:style w:type="paragraph" w:customStyle="1" w:styleId="Style2">
    <w:name w:val="Style 2"/>
    <w:uiPriority w:val="99"/>
    <w:rsid w:val="0095482B"/>
    <w:pPr>
      <w:widowControl w:val="0"/>
      <w:autoSpaceDE w:val="0"/>
      <w:autoSpaceDN w:val="0"/>
      <w:spacing w:after="0" w:line="240" w:lineRule="auto"/>
      <w:ind w:left="360"/>
    </w:pPr>
    <w:rPr>
      <w:rFonts w:ascii="Times New Roman" w:eastAsia="Times New Roman" w:hAnsi="Times New Roman" w:cs="Times New Roman"/>
      <w:sz w:val="20"/>
      <w:szCs w:val="20"/>
      <w:lang w:val="en-US" w:eastAsia="en-US"/>
    </w:rPr>
  </w:style>
  <w:style w:type="character" w:customStyle="1" w:styleId="CharacterStyle1">
    <w:name w:val="Character Style 1"/>
    <w:uiPriority w:val="99"/>
    <w:rsid w:val="0095482B"/>
    <w:rPr>
      <w:sz w:val="20"/>
    </w:rPr>
  </w:style>
  <w:style w:type="character" w:customStyle="1" w:styleId="element-citation">
    <w:name w:val="element-citation"/>
    <w:basedOn w:val="DefaultParagraphFont"/>
    <w:rsid w:val="00334F1B"/>
  </w:style>
  <w:style w:type="character" w:customStyle="1" w:styleId="A13">
    <w:name w:val="A1+3"/>
    <w:uiPriority w:val="99"/>
    <w:rsid w:val="00334F1B"/>
    <w:rPr>
      <w:rFonts w:cs="HelveticaNeueLT Std Cn"/>
      <w:color w:val="000000"/>
      <w:sz w:val="18"/>
      <w:szCs w:val="18"/>
    </w:rPr>
  </w:style>
  <w:style w:type="paragraph" w:customStyle="1" w:styleId="Pa1">
    <w:name w:val="Pa1"/>
    <w:basedOn w:val="Default"/>
    <w:next w:val="Default"/>
    <w:uiPriority w:val="99"/>
    <w:rsid w:val="00B3341B"/>
    <w:pPr>
      <w:spacing w:line="211" w:lineRule="atLeast"/>
    </w:pPr>
    <w:rPr>
      <w:rFonts w:ascii="Adobe Garamond Pro" w:hAnsi="Adobe Garamond Pro" w:cstheme="minorBidi"/>
      <w:color w:val="auto"/>
      <w:lang w:val="en-US"/>
    </w:rPr>
  </w:style>
  <w:style w:type="table" w:customStyle="1" w:styleId="LightShading-Accent11">
    <w:name w:val="Light Shading - Accent 11"/>
    <w:basedOn w:val="TableNormal"/>
    <w:uiPriority w:val="60"/>
    <w:rsid w:val="004B3FAF"/>
    <w:pPr>
      <w:spacing w:after="0" w:line="240" w:lineRule="auto"/>
    </w:pPr>
    <w:rPr>
      <w:rFonts w:eastAsiaTheme="minorHAnsi"/>
      <w:color w:val="365F91" w:themeColor="accent1" w:themeShade="BF"/>
      <w:lang w:val="en-GB"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3">
    <w:name w:val="Pa3"/>
    <w:basedOn w:val="Default"/>
    <w:next w:val="Default"/>
    <w:uiPriority w:val="99"/>
    <w:rsid w:val="00D33E0F"/>
    <w:pPr>
      <w:spacing w:line="181" w:lineRule="atLeast"/>
    </w:pPr>
    <w:rPr>
      <w:color w:val="auto"/>
      <w:lang w:val="en-US"/>
    </w:rPr>
  </w:style>
  <w:style w:type="character" w:customStyle="1" w:styleId="A5">
    <w:name w:val="A5"/>
    <w:uiPriority w:val="99"/>
    <w:rsid w:val="00D33E0F"/>
    <w:rPr>
      <w:color w:val="000000"/>
      <w:sz w:val="18"/>
      <w:szCs w:val="18"/>
    </w:rPr>
  </w:style>
  <w:style w:type="character" w:customStyle="1" w:styleId="element-invisible">
    <w:name w:val="element-invisible"/>
    <w:basedOn w:val="DefaultParagraphFont"/>
    <w:rsid w:val="00E568EC"/>
  </w:style>
  <w:style w:type="character" w:customStyle="1" w:styleId="a">
    <w:name w:val="_"/>
    <w:basedOn w:val="DefaultParagraphFont"/>
    <w:rsid w:val="001B700C"/>
  </w:style>
  <w:style w:type="character" w:customStyle="1" w:styleId="ff9">
    <w:name w:val="ff9"/>
    <w:basedOn w:val="DefaultParagraphFont"/>
    <w:rsid w:val="001B700C"/>
  </w:style>
  <w:style w:type="character" w:customStyle="1" w:styleId="ls48">
    <w:name w:val="ls48"/>
    <w:basedOn w:val="DefaultParagraphFont"/>
    <w:rsid w:val="001B700C"/>
  </w:style>
  <w:style w:type="character" w:customStyle="1" w:styleId="ff3">
    <w:name w:val="ff3"/>
    <w:basedOn w:val="DefaultParagraphFont"/>
    <w:rsid w:val="001B700C"/>
  </w:style>
  <w:style w:type="character" w:customStyle="1" w:styleId="ff8">
    <w:name w:val="ff8"/>
    <w:basedOn w:val="DefaultParagraphFont"/>
    <w:rsid w:val="00425C10"/>
  </w:style>
  <w:style w:type="character" w:customStyle="1" w:styleId="ls8">
    <w:name w:val="ls8"/>
    <w:basedOn w:val="DefaultParagraphFont"/>
    <w:rsid w:val="00425C10"/>
  </w:style>
  <w:style w:type="character" w:customStyle="1" w:styleId="ls4b">
    <w:name w:val="ls4b"/>
    <w:basedOn w:val="DefaultParagraphFont"/>
    <w:rsid w:val="00425C10"/>
  </w:style>
  <w:style w:type="character" w:customStyle="1" w:styleId="ls1c">
    <w:name w:val="ls1c"/>
    <w:basedOn w:val="DefaultParagraphFont"/>
    <w:rsid w:val="00425C10"/>
  </w:style>
  <w:style w:type="character" w:customStyle="1" w:styleId="ls37">
    <w:name w:val="ls37"/>
    <w:basedOn w:val="DefaultParagraphFont"/>
    <w:rsid w:val="00425C10"/>
  </w:style>
  <w:style w:type="character" w:customStyle="1" w:styleId="ls51">
    <w:name w:val="ls51"/>
    <w:basedOn w:val="DefaultParagraphFont"/>
    <w:rsid w:val="00425C10"/>
  </w:style>
  <w:style w:type="character" w:customStyle="1" w:styleId="ls50">
    <w:name w:val="ls50"/>
    <w:basedOn w:val="DefaultParagraphFont"/>
    <w:rsid w:val="00EF5739"/>
  </w:style>
  <w:style w:type="character" w:customStyle="1" w:styleId="lsb">
    <w:name w:val="lsb"/>
    <w:basedOn w:val="DefaultParagraphFont"/>
    <w:rsid w:val="00EF5739"/>
  </w:style>
  <w:style w:type="character" w:customStyle="1" w:styleId="ls55">
    <w:name w:val="ls55"/>
    <w:basedOn w:val="DefaultParagraphFont"/>
    <w:rsid w:val="00EF5739"/>
  </w:style>
  <w:style w:type="paragraph" w:customStyle="1" w:styleId="Pa62">
    <w:name w:val="Pa6+2"/>
    <w:basedOn w:val="Default"/>
    <w:next w:val="Default"/>
    <w:uiPriority w:val="99"/>
    <w:rsid w:val="00BF5184"/>
    <w:pPr>
      <w:spacing w:line="181" w:lineRule="atLeast"/>
    </w:pPr>
    <w:rPr>
      <w:rFonts w:ascii="HelveticaNeueLT Std" w:hAnsi="HelveticaNeueLT Std" w:cstheme="minorBidi"/>
      <w:color w:val="auto"/>
      <w:lang w:val="en-US"/>
    </w:rPr>
  </w:style>
  <w:style w:type="character" w:customStyle="1" w:styleId="FootnoteTextChar1">
    <w:name w:val="Footnote Text Char1"/>
    <w:locked/>
    <w:rsid w:val="00C2707B"/>
    <w:rPr>
      <w:rFonts w:ascii="Arial" w:hAnsi="Arial"/>
      <w:lang w:val="en-US" w:eastAsia="en-US" w:bidi="ar-EG"/>
    </w:rPr>
  </w:style>
  <w:style w:type="character" w:styleId="UnresolvedMention">
    <w:name w:val="Unresolved Mention"/>
    <w:basedOn w:val="DefaultParagraphFont"/>
    <w:uiPriority w:val="99"/>
    <w:semiHidden/>
    <w:unhideWhenUsed/>
    <w:rsid w:val="003A33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83451">
      <w:bodyDiv w:val="1"/>
      <w:marLeft w:val="0"/>
      <w:marRight w:val="0"/>
      <w:marTop w:val="0"/>
      <w:marBottom w:val="0"/>
      <w:divBdr>
        <w:top w:val="none" w:sz="0" w:space="0" w:color="auto"/>
        <w:left w:val="none" w:sz="0" w:space="0" w:color="auto"/>
        <w:bottom w:val="none" w:sz="0" w:space="0" w:color="auto"/>
        <w:right w:val="none" w:sz="0" w:space="0" w:color="auto"/>
      </w:divBdr>
    </w:div>
    <w:div w:id="18438290">
      <w:bodyDiv w:val="1"/>
      <w:marLeft w:val="0"/>
      <w:marRight w:val="0"/>
      <w:marTop w:val="0"/>
      <w:marBottom w:val="0"/>
      <w:divBdr>
        <w:top w:val="none" w:sz="0" w:space="0" w:color="auto"/>
        <w:left w:val="none" w:sz="0" w:space="0" w:color="auto"/>
        <w:bottom w:val="none" w:sz="0" w:space="0" w:color="auto"/>
        <w:right w:val="none" w:sz="0" w:space="0" w:color="auto"/>
      </w:divBdr>
      <w:divsChild>
        <w:div w:id="1553692156">
          <w:marLeft w:val="0"/>
          <w:marRight w:val="0"/>
          <w:marTop w:val="0"/>
          <w:marBottom w:val="0"/>
          <w:divBdr>
            <w:top w:val="none" w:sz="0" w:space="0" w:color="auto"/>
            <w:left w:val="none" w:sz="0" w:space="0" w:color="auto"/>
            <w:bottom w:val="none" w:sz="0" w:space="0" w:color="auto"/>
            <w:right w:val="none" w:sz="0" w:space="0" w:color="auto"/>
          </w:divBdr>
          <w:divsChild>
            <w:div w:id="413742159">
              <w:marLeft w:val="0"/>
              <w:marRight w:val="0"/>
              <w:marTop w:val="0"/>
              <w:marBottom w:val="0"/>
              <w:divBdr>
                <w:top w:val="none" w:sz="0" w:space="0" w:color="auto"/>
                <w:left w:val="none" w:sz="0" w:space="0" w:color="auto"/>
                <w:bottom w:val="none" w:sz="0" w:space="0" w:color="auto"/>
                <w:right w:val="none" w:sz="0" w:space="0" w:color="auto"/>
              </w:divBdr>
              <w:divsChild>
                <w:div w:id="1258054774">
                  <w:marLeft w:val="0"/>
                  <w:marRight w:val="0"/>
                  <w:marTop w:val="0"/>
                  <w:marBottom w:val="0"/>
                  <w:divBdr>
                    <w:top w:val="none" w:sz="0" w:space="0" w:color="auto"/>
                    <w:left w:val="none" w:sz="0" w:space="0" w:color="auto"/>
                    <w:bottom w:val="none" w:sz="0" w:space="0" w:color="auto"/>
                    <w:right w:val="none" w:sz="0" w:space="0" w:color="auto"/>
                  </w:divBdr>
                  <w:divsChild>
                    <w:div w:id="13305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49040">
      <w:bodyDiv w:val="1"/>
      <w:marLeft w:val="0"/>
      <w:marRight w:val="0"/>
      <w:marTop w:val="0"/>
      <w:marBottom w:val="0"/>
      <w:divBdr>
        <w:top w:val="none" w:sz="0" w:space="0" w:color="auto"/>
        <w:left w:val="none" w:sz="0" w:space="0" w:color="auto"/>
        <w:bottom w:val="none" w:sz="0" w:space="0" w:color="auto"/>
        <w:right w:val="none" w:sz="0" w:space="0" w:color="auto"/>
      </w:divBdr>
      <w:divsChild>
        <w:div w:id="1561285384">
          <w:marLeft w:val="0"/>
          <w:marRight w:val="0"/>
          <w:marTop w:val="0"/>
          <w:marBottom w:val="0"/>
          <w:divBdr>
            <w:top w:val="none" w:sz="0" w:space="0" w:color="auto"/>
            <w:left w:val="none" w:sz="0" w:space="0" w:color="auto"/>
            <w:bottom w:val="none" w:sz="0" w:space="0" w:color="auto"/>
            <w:right w:val="none" w:sz="0" w:space="0" w:color="auto"/>
          </w:divBdr>
          <w:divsChild>
            <w:div w:id="142239960">
              <w:marLeft w:val="0"/>
              <w:marRight w:val="0"/>
              <w:marTop w:val="0"/>
              <w:marBottom w:val="0"/>
              <w:divBdr>
                <w:top w:val="none" w:sz="0" w:space="0" w:color="auto"/>
                <w:left w:val="none" w:sz="0" w:space="0" w:color="auto"/>
                <w:bottom w:val="none" w:sz="0" w:space="0" w:color="auto"/>
                <w:right w:val="none" w:sz="0" w:space="0" w:color="auto"/>
              </w:divBdr>
              <w:divsChild>
                <w:div w:id="1396469047">
                  <w:marLeft w:val="2"/>
                  <w:marRight w:val="0"/>
                  <w:marTop w:val="0"/>
                  <w:marBottom w:val="0"/>
                  <w:divBdr>
                    <w:top w:val="none" w:sz="0" w:space="0" w:color="auto"/>
                    <w:left w:val="none" w:sz="0" w:space="0" w:color="auto"/>
                    <w:bottom w:val="none" w:sz="0" w:space="0" w:color="auto"/>
                    <w:right w:val="none" w:sz="0" w:space="0" w:color="auto"/>
                  </w:divBdr>
                  <w:divsChild>
                    <w:div w:id="9055343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4831181">
      <w:bodyDiv w:val="1"/>
      <w:marLeft w:val="0"/>
      <w:marRight w:val="0"/>
      <w:marTop w:val="0"/>
      <w:marBottom w:val="0"/>
      <w:divBdr>
        <w:top w:val="none" w:sz="0" w:space="0" w:color="auto"/>
        <w:left w:val="none" w:sz="0" w:space="0" w:color="auto"/>
        <w:bottom w:val="none" w:sz="0" w:space="0" w:color="auto"/>
        <w:right w:val="none" w:sz="0" w:space="0" w:color="auto"/>
      </w:divBdr>
      <w:divsChild>
        <w:div w:id="1845431263">
          <w:marLeft w:val="0"/>
          <w:marRight w:val="0"/>
          <w:marTop w:val="0"/>
          <w:marBottom w:val="0"/>
          <w:divBdr>
            <w:top w:val="none" w:sz="0" w:space="0" w:color="auto"/>
            <w:left w:val="none" w:sz="0" w:space="0" w:color="auto"/>
            <w:bottom w:val="none" w:sz="0" w:space="0" w:color="auto"/>
            <w:right w:val="none" w:sz="0" w:space="0" w:color="auto"/>
          </w:divBdr>
          <w:divsChild>
            <w:div w:id="1705132233">
              <w:marLeft w:val="0"/>
              <w:marRight w:val="0"/>
              <w:marTop w:val="0"/>
              <w:marBottom w:val="0"/>
              <w:divBdr>
                <w:top w:val="none" w:sz="0" w:space="0" w:color="auto"/>
                <w:left w:val="none" w:sz="0" w:space="0" w:color="auto"/>
                <w:bottom w:val="none" w:sz="0" w:space="0" w:color="auto"/>
                <w:right w:val="none" w:sz="0" w:space="0" w:color="auto"/>
              </w:divBdr>
              <w:divsChild>
                <w:div w:id="284119969">
                  <w:marLeft w:val="0"/>
                  <w:marRight w:val="0"/>
                  <w:marTop w:val="0"/>
                  <w:marBottom w:val="0"/>
                  <w:divBdr>
                    <w:top w:val="none" w:sz="0" w:space="0" w:color="auto"/>
                    <w:left w:val="none" w:sz="0" w:space="0" w:color="auto"/>
                    <w:bottom w:val="none" w:sz="0" w:space="0" w:color="auto"/>
                    <w:right w:val="none" w:sz="0" w:space="0" w:color="auto"/>
                  </w:divBdr>
                  <w:divsChild>
                    <w:div w:id="1373577702">
                      <w:marLeft w:val="0"/>
                      <w:marRight w:val="0"/>
                      <w:marTop w:val="0"/>
                      <w:marBottom w:val="0"/>
                      <w:divBdr>
                        <w:top w:val="none" w:sz="0" w:space="0" w:color="auto"/>
                        <w:left w:val="none" w:sz="0" w:space="0" w:color="auto"/>
                        <w:bottom w:val="none" w:sz="0" w:space="0" w:color="auto"/>
                        <w:right w:val="none" w:sz="0" w:space="0" w:color="auto"/>
                      </w:divBdr>
                      <w:divsChild>
                        <w:div w:id="1101147565">
                          <w:marLeft w:val="0"/>
                          <w:marRight w:val="0"/>
                          <w:marTop w:val="0"/>
                          <w:marBottom w:val="0"/>
                          <w:divBdr>
                            <w:top w:val="none" w:sz="0" w:space="0" w:color="auto"/>
                            <w:left w:val="none" w:sz="0" w:space="0" w:color="auto"/>
                            <w:bottom w:val="none" w:sz="0" w:space="0" w:color="auto"/>
                            <w:right w:val="none" w:sz="0" w:space="0" w:color="auto"/>
                          </w:divBdr>
                          <w:divsChild>
                            <w:div w:id="1823309444">
                              <w:marLeft w:val="0"/>
                              <w:marRight w:val="0"/>
                              <w:marTop w:val="0"/>
                              <w:marBottom w:val="0"/>
                              <w:divBdr>
                                <w:top w:val="none" w:sz="0" w:space="0" w:color="auto"/>
                                <w:left w:val="none" w:sz="0" w:space="0" w:color="auto"/>
                                <w:bottom w:val="none" w:sz="0" w:space="0" w:color="auto"/>
                                <w:right w:val="none" w:sz="0" w:space="0" w:color="auto"/>
                              </w:divBdr>
                              <w:divsChild>
                                <w:div w:id="951285060">
                                  <w:marLeft w:val="0"/>
                                  <w:marRight w:val="0"/>
                                  <w:marTop w:val="0"/>
                                  <w:marBottom w:val="0"/>
                                  <w:divBdr>
                                    <w:top w:val="none" w:sz="0" w:space="0" w:color="auto"/>
                                    <w:left w:val="none" w:sz="0" w:space="0" w:color="auto"/>
                                    <w:bottom w:val="none" w:sz="0" w:space="0" w:color="auto"/>
                                    <w:right w:val="none" w:sz="0" w:space="0" w:color="auto"/>
                                  </w:divBdr>
                                  <w:divsChild>
                                    <w:div w:id="284582797">
                                      <w:marLeft w:val="0"/>
                                      <w:marRight w:val="0"/>
                                      <w:marTop w:val="0"/>
                                      <w:marBottom w:val="0"/>
                                      <w:divBdr>
                                        <w:top w:val="none" w:sz="0" w:space="0" w:color="auto"/>
                                        <w:left w:val="none" w:sz="0" w:space="0" w:color="auto"/>
                                        <w:bottom w:val="none" w:sz="0" w:space="0" w:color="auto"/>
                                        <w:right w:val="none" w:sz="0" w:space="0" w:color="auto"/>
                                      </w:divBdr>
                                      <w:divsChild>
                                        <w:div w:id="1510873814">
                                          <w:marLeft w:val="0"/>
                                          <w:marRight w:val="0"/>
                                          <w:marTop w:val="150"/>
                                          <w:marBottom w:val="0"/>
                                          <w:divBdr>
                                            <w:top w:val="none" w:sz="0" w:space="0" w:color="auto"/>
                                            <w:left w:val="none" w:sz="0" w:space="0" w:color="auto"/>
                                            <w:bottom w:val="none" w:sz="0" w:space="0" w:color="auto"/>
                                            <w:right w:val="none" w:sz="0" w:space="0" w:color="auto"/>
                                          </w:divBdr>
                                          <w:divsChild>
                                            <w:div w:id="1021130498">
                                              <w:marLeft w:val="0"/>
                                              <w:marRight w:val="0"/>
                                              <w:marTop w:val="0"/>
                                              <w:marBottom w:val="0"/>
                                              <w:divBdr>
                                                <w:top w:val="none" w:sz="0" w:space="0" w:color="auto"/>
                                                <w:left w:val="none" w:sz="0" w:space="0" w:color="auto"/>
                                                <w:bottom w:val="none" w:sz="0" w:space="0" w:color="auto"/>
                                                <w:right w:val="none" w:sz="0" w:space="0" w:color="auto"/>
                                              </w:divBdr>
                                              <w:divsChild>
                                                <w:div w:id="118956042">
                                                  <w:marLeft w:val="0"/>
                                                  <w:marRight w:val="0"/>
                                                  <w:marTop w:val="150"/>
                                                  <w:marBottom w:val="0"/>
                                                  <w:divBdr>
                                                    <w:top w:val="none" w:sz="0" w:space="0" w:color="auto"/>
                                                    <w:left w:val="none" w:sz="0" w:space="0" w:color="auto"/>
                                                    <w:bottom w:val="none" w:sz="0" w:space="0" w:color="auto"/>
                                                    <w:right w:val="none" w:sz="0" w:space="0" w:color="auto"/>
                                                  </w:divBdr>
                                                  <w:divsChild>
                                                    <w:div w:id="687608169">
                                                      <w:marLeft w:val="0"/>
                                                      <w:marRight w:val="0"/>
                                                      <w:marTop w:val="0"/>
                                                      <w:marBottom w:val="0"/>
                                                      <w:divBdr>
                                                        <w:top w:val="none" w:sz="0" w:space="0" w:color="auto"/>
                                                        <w:left w:val="none" w:sz="0" w:space="0" w:color="auto"/>
                                                        <w:bottom w:val="none" w:sz="0" w:space="0" w:color="auto"/>
                                                        <w:right w:val="none" w:sz="0" w:space="0" w:color="auto"/>
                                                      </w:divBdr>
                                                      <w:divsChild>
                                                        <w:div w:id="1193107510">
                                                          <w:marLeft w:val="0"/>
                                                          <w:marRight w:val="0"/>
                                                          <w:marTop w:val="0"/>
                                                          <w:marBottom w:val="0"/>
                                                          <w:divBdr>
                                                            <w:top w:val="none" w:sz="0" w:space="0" w:color="auto"/>
                                                            <w:left w:val="none" w:sz="0" w:space="0" w:color="auto"/>
                                                            <w:bottom w:val="none" w:sz="0" w:space="0" w:color="auto"/>
                                                            <w:right w:val="none" w:sz="0" w:space="0" w:color="auto"/>
                                                          </w:divBdr>
                                                          <w:divsChild>
                                                            <w:div w:id="71439099">
                                                              <w:marLeft w:val="0"/>
                                                              <w:marRight w:val="0"/>
                                                              <w:marTop w:val="0"/>
                                                              <w:marBottom w:val="0"/>
                                                              <w:divBdr>
                                                                <w:top w:val="none" w:sz="0" w:space="0" w:color="auto"/>
                                                                <w:left w:val="none" w:sz="0" w:space="0" w:color="auto"/>
                                                                <w:bottom w:val="none" w:sz="0" w:space="0" w:color="auto"/>
                                                                <w:right w:val="none" w:sz="0" w:space="0" w:color="auto"/>
                                                              </w:divBdr>
                                                              <w:divsChild>
                                                                <w:div w:id="69824479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946002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6961821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7547137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1340657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431975">
      <w:bodyDiv w:val="1"/>
      <w:marLeft w:val="0"/>
      <w:marRight w:val="0"/>
      <w:marTop w:val="0"/>
      <w:marBottom w:val="0"/>
      <w:divBdr>
        <w:top w:val="none" w:sz="0" w:space="0" w:color="auto"/>
        <w:left w:val="none" w:sz="0" w:space="0" w:color="auto"/>
        <w:bottom w:val="none" w:sz="0" w:space="0" w:color="auto"/>
        <w:right w:val="none" w:sz="0" w:space="0" w:color="auto"/>
      </w:divBdr>
      <w:divsChild>
        <w:div w:id="283198030">
          <w:marLeft w:val="1440"/>
          <w:marRight w:val="0"/>
          <w:marTop w:val="144"/>
          <w:marBottom w:val="0"/>
          <w:divBdr>
            <w:top w:val="none" w:sz="0" w:space="0" w:color="auto"/>
            <w:left w:val="none" w:sz="0" w:space="0" w:color="auto"/>
            <w:bottom w:val="none" w:sz="0" w:space="0" w:color="auto"/>
            <w:right w:val="none" w:sz="0" w:space="0" w:color="auto"/>
          </w:divBdr>
        </w:div>
        <w:div w:id="1150558107">
          <w:marLeft w:val="1440"/>
          <w:marRight w:val="0"/>
          <w:marTop w:val="144"/>
          <w:marBottom w:val="0"/>
          <w:divBdr>
            <w:top w:val="none" w:sz="0" w:space="0" w:color="auto"/>
            <w:left w:val="none" w:sz="0" w:space="0" w:color="auto"/>
            <w:bottom w:val="none" w:sz="0" w:space="0" w:color="auto"/>
            <w:right w:val="none" w:sz="0" w:space="0" w:color="auto"/>
          </w:divBdr>
        </w:div>
        <w:div w:id="1356080725">
          <w:marLeft w:val="1440"/>
          <w:marRight w:val="0"/>
          <w:marTop w:val="144"/>
          <w:marBottom w:val="0"/>
          <w:divBdr>
            <w:top w:val="none" w:sz="0" w:space="0" w:color="auto"/>
            <w:left w:val="none" w:sz="0" w:space="0" w:color="auto"/>
            <w:bottom w:val="none" w:sz="0" w:space="0" w:color="auto"/>
            <w:right w:val="none" w:sz="0" w:space="0" w:color="auto"/>
          </w:divBdr>
        </w:div>
      </w:divsChild>
    </w:div>
    <w:div w:id="148326665">
      <w:bodyDiv w:val="1"/>
      <w:marLeft w:val="0"/>
      <w:marRight w:val="0"/>
      <w:marTop w:val="0"/>
      <w:marBottom w:val="0"/>
      <w:divBdr>
        <w:top w:val="none" w:sz="0" w:space="0" w:color="auto"/>
        <w:left w:val="none" w:sz="0" w:space="0" w:color="auto"/>
        <w:bottom w:val="none" w:sz="0" w:space="0" w:color="auto"/>
        <w:right w:val="none" w:sz="0" w:space="0" w:color="auto"/>
      </w:divBdr>
      <w:divsChild>
        <w:div w:id="1010451711">
          <w:marLeft w:val="0"/>
          <w:marRight w:val="0"/>
          <w:marTop w:val="0"/>
          <w:marBottom w:val="0"/>
          <w:divBdr>
            <w:top w:val="none" w:sz="0" w:space="0" w:color="auto"/>
            <w:left w:val="none" w:sz="0" w:space="0" w:color="auto"/>
            <w:bottom w:val="none" w:sz="0" w:space="0" w:color="auto"/>
            <w:right w:val="none" w:sz="0" w:space="0" w:color="auto"/>
          </w:divBdr>
          <w:divsChild>
            <w:div w:id="1096830106">
              <w:marLeft w:val="0"/>
              <w:marRight w:val="0"/>
              <w:marTop w:val="0"/>
              <w:marBottom w:val="0"/>
              <w:divBdr>
                <w:top w:val="none" w:sz="0" w:space="0" w:color="auto"/>
                <w:left w:val="none" w:sz="0" w:space="0" w:color="auto"/>
                <w:bottom w:val="none" w:sz="0" w:space="0" w:color="auto"/>
                <w:right w:val="none" w:sz="0" w:space="0" w:color="auto"/>
              </w:divBdr>
              <w:divsChild>
                <w:div w:id="2030524907">
                  <w:marLeft w:val="0"/>
                  <w:marRight w:val="0"/>
                  <w:marTop w:val="0"/>
                  <w:marBottom w:val="0"/>
                  <w:divBdr>
                    <w:top w:val="none" w:sz="0" w:space="0" w:color="auto"/>
                    <w:left w:val="none" w:sz="0" w:space="0" w:color="auto"/>
                    <w:bottom w:val="none" w:sz="0" w:space="0" w:color="auto"/>
                    <w:right w:val="none" w:sz="0" w:space="0" w:color="auto"/>
                  </w:divBdr>
                  <w:divsChild>
                    <w:div w:id="12050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32229">
      <w:bodyDiv w:val="1"/>
      <w:marLeft w:val="0"/>
      <w:marRight w:val="0"/>
      <w:marTop w:val="0"/>
      <w:marBottom w:val="0"/>
      <w:divBdr>
        <w:top w:val="none" w:sz="0" w:space="0" w:color="auto"/>
        <w:left w:val="none" w:sz="0" w:space="0" w:color="auto"/>
        <w:bottom w:val="none" w:sz="0" w:space="0" w:color="auto"/>
        <w:right w:val="none" w:sz="0" w:space="0" w:color="auto"/>
      </w:divBdr>
      <w:divsChild>
        <w:div w:id="1245913988">
          <w:marLeft w:val="1440"/>
          <w:marRight w:val="0"/>
          <w:marTop w:val="96"/>
          <w:marBottom w:val="0"/>
          <w:divBdr>
            <w:top w:val="none" w:sz="0" w:space="0" w:color="auto"/>
            <w:left w:val="none" w:sz="0" w:space="0" w:color="auto"/>
            <w:bottom w:val="none" w:sz="0" w:space="0" w:color="auto"/>
            <w:right w:val="none" w:sz="0" w:space="0" w:color="auto"/>
          </w:divBdr>
        </w:div>
      </w:divsChild>
    </w:div>
    <w:div w:id="247616880">
      <w:bodyDiv w:val="1"/>
      <w:marLeft w:val="0"/>
      <w:marRight w:val="0"/>
      <w:marTop w:val="0"/>
      <w:marBottom w:val="0"/>
      <w:divBdr>
        <w:top w:val="none" w:sz="0" w:space="0" w:color="auto"/>
        <w:left w:val="none" w:sz="0" w:space="0" w:color="auto"/>
        <w:bottom w:val="none" w:sz="0" w:space="0" w:color="auto"/>
        <w:right w:val="none" w:sz="0" w:space="0" w:color="auto"/>
      </w:divBdr>
      <w:divsChild>
        <w:div w:id="1683702452">
          <w:marLeft w:val="0"/>
          <w:marRight w:val="0"/>
          <w:marTop w:val="0"/>
          <w:marBottom w:val="0"/>
          <w:divBdr>
            <w:top w:val="none" w:sz="0" w:space="0" w:color="auto"/>
            <w:left w:val="none" w:sz="0" w:space="0" w:color="auto"/>
            <w:bottom w:val="none" w:sz="0" w:space="0" w:color="auto"/>
            <w:right w:val="none" w:sz="0" w:space="0" w:color="auto"/>
          </w:divBdr>
          <w:divsChild>
            <w:div w:id="174618448">
              <w:marLeft w:val="0"/>
              <w:marRight w:val="0"/>
              <w:marTop w:val="0"/>
              <w:marBottom w:val="0"/>
              <w:divBdr>
                <w:top w:val="none" w:sz="0" w:space="0" w:color="auto"/>
                <w:left w:val="none" w:sz="0" w:space="0" w:color="auto"/>
                <w:bottom w:val="none" w:sz="0" w:space="0" w:color="auto"/>
                <w:right w:val="none" w:sz="0" w:space="0" w:color="auto"/>
              </w:divBdr>
              <w:divsChild>
                <w:div w:id="831674718">
                  <w:marLeft w:val="0"/>
                  <w:marRight w:val="0"/>
                  <w:marTop w:val="960"/>
                  <w:marBottom w:val="0"/>
                  <w:divBdr>
                    <w:top w:val="none" w:sz="0" w:space="0" w:color="auto"/>
                    <w:left w:val="none" w:sz="0" w:space="0" w:color="auto"/>
                    <w:bottom w:val="none" w:sz="0" w:space="0" w:color="auto"/>
                    <w:right w:val="none" w:sz="0" w:space="0" w:color="auto"/>
                  </w:divBdr>
                  <w:divsChild>
                    <w:div w:id="331957404">
                      <w:marLeft w:val="0"/>
                      <w:marRight w:val="0"/>
                      <w:marTop w:val="0"/>
                      <w:marBottom w:val="0"/>
                      <w:divBdr>
                        <w:top w:val="none" w:sz="0" w:space="0" w:color="auto"/>
                        <w:left w:val="none" w:sz="0" w:space="0" w:color="auto"/>
                        <w:bottom w:val="none" w:sz="0" w:space="0" w:color="auto"/>
                        <w:right w:val="none" w:sz="0" w:space="0" w:color="auto"/>
                      </w:divBdr>
                      <w:divsChild>
                        <w:div w:id="1297182631">
                          <w:marLeft w:val="0"/>
                          <w:marRight w:val="0"/>
                          <w:marTop w:val="0"/>
                          <w:marBottom w:val="0"/>
                          <w:divBdr>
                            <w:top w:val="none" w:sz="0" w:space="0" w:color="auto"/>
                            <w:left w:val="none" w:sz="0" w:space="0" w:color="auto"/>
                            <w:bottom w:val="none" w:sz="0" w:space="0" w:color="auto"/>
                            <w:right w:val="none" w:sz="0" w:space="0" w:color="auto"/>
                          </w:divBdr>
                          <w:divsChild>
                            <w:div w:id="513375543">
                              <w:marLeft w:val="0"/>
                              <w:marRight w:val="0"/>
                              <w:marTop w:val="0"/>
                              <w:marBottom w:val="0"/>
                              <w:divBdr>
                                <w:top w:val="none" w:sz="0" w:space="0" w:color="auto"/>
                                <w:left w:val="none" w:sz="0" w:space="0" w:color="auto"/>
                                <w:bottom w:val="none" w:sz="0" w:space="0" w:color="auto"/>
                                <w:right w:val="none" w:sz="0" w:space="0" w:color="auto"/>
                              </w:divBdr>
                              <w:divsChild>
                                <w:div w:id="1078599906">
                                  <w:marLeft w:val="0"/>
                                  <w:marRight w:val="0"/>
                                  <w:marTop w:val="0"/>
                                  <w:marBottom w:val="0"/>
                                  <w:divBdr>
                                    <w:top w:val="none" w:sz="0" w:space="0" w:color="auto"/>
                                    <w:left w:val="none" w:sz="0" w:space="0" w:color="auto"/>
                                    <w:bottom w:val="none" w:sz="0" w:space="0" w:color="auto"/>
                                    <w:right w:val="none" w:sz="0" w:space="0" w:color="auto"/>
                                  </w:divBdr>
                                  <w:divsChild>
                                    <w:div w:id="1732658663">
                                      <w:marLeft w:val="0"/>
                                      <w:marRight w:val="0"/>
                                      <w:marTop w:val="0"/>
                                      <w:marBottom w:val="0"/>
                                      <w:divBdr>
                                        <w:top w:val="none" w:sz="0" w:space="0" w:color="auto"/>
                                        <w:left w:val="none" w:sz="0" w:space="0" w:color="auto"/>
                                        <w:bottom w:val="none" w:sz="0" w:space="0" w:color="auto"/>
                                        <w:right w:val="none" w:sz="0" w:space="0" w:color="auto"/>
                                      </w:divBdr>
                                      <w:divsChild>
                                        <w:div w:id="557211046">
                                          <w:marLeft w:val="0"/>
                                          <w:marRight w:val="0"/>
                                          <w:marTop w:val="0"/>
                                          <w:marBottom w:val="0"/>
                                          <w:divBdr>
                                            <w:top w:val="none" w:sz="0" w:space="0" w:color="auto"/>
                                            <w:left w:val="none" w:sz="0" w:space="0" w:color="auto"/>
                                            <w:bottom w:val="none" w:sz="0" w:space="0" w:color="auto"/>
                                            <w:right w:val="none" w:sz="0" w:space="0" w:color="auto"/>
                                          </w:divBdr>
                                        </w:div>
                                        <w:div w:id="1182165716">
                                          <w:marLeft w:val="0"/>
                                          <w:marRight w:val="0"/>
                                          <w:marTop w:val="0"/>
                                          <w:marBottom w:val="0"/>
                                          <w:divBdr>
                                            <w:top w:val="none" w:sz="0" w:space="0" w:color="auto"/>
                                            <w:left w:val="none" w:sz="0" w:space="0" w:color="auto"/>
                                            <w:bottom w:val="none" w:sz="0" w:space="0" w:color="auto"/>
                                            <w:right w:val="none" w:sz="0" w:space="0" w:color="auto"/>
                                          </w:divBdr>
                                        </w:div>
                                        <w:div w:id="1285190601">
                                          <w:marLeft w:val="0"/>
                                          <w:marRight w:val="0"/>
                                          <w:marTop w:val="0"/>
                                          <w:marBottom w:val="0"/>
                                          <w:divBdr>
                                            <w:top w:val="none" w:sz="0" w:space="0" w:color="auto"/>
                                            <w:left w:val="none" w:sz="0" w:space="0" w:color="auto"/>
                                            <w:bottom w:val="none" w:sz="0" w:space="0" w:color="auto"/>
                                            <w:right w:val="none" w:sz="0" w:space="0" w:color="auto"/>
                                          </w:divBdr>
                                        </w:div>
                                        <w:div w:id="159693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693913">
      <w:bodyDiv w:val="1"/>
      <w:marLeft w:val="0"/>
      <w:marRight w:val="0"/>
      <w:marTop w:val="0"/>
      <w:marBottom w:val="0"/>
      <w:divBdr>
        <w:top w:val="none" w:sz="0" w:space="0" w:color="auto"/>
        <w:left w:val="none" w:sz="0" w:space="0" w:color="auto"/>
        <w:bottom w:val="none" w:sz="0" w:space="0" w:color="auto"/>
        <w:right w:val="none" w:sz="0" w:space="0" w:color="auto"/>
      </w:divBdr>
    </w:div>
    <w:div w:id="280455170">
      <w:bodyDiv w:val="1"/>
      <w:marLeft w:val="0"/>
      <w:marRight w:val="0"/>
      <w:marTop w:val="0"/>
      <w:marBottom w:val="0"/>
      <w:divBdr>
        <w:top w:val="none" w:sz="0" w:space="0" w:color="auto"/>
        <w:left w:val="none" w:sz="0" w:space="0" w:color="auto"/>
        <w:bottom w:val="none" w:sz="0" w:space="0" w:color="auto"/>
        <w:right w:val="none" w:sz="0" w:space="0" w:color="auto"/>
      </w:divBdr>
    </w:div>
    <w:div w:id="295068536">
      <w:bodyDiv w:val="1"/>
      <w:marLeft w:val="0"/>
      <w:marRight w:val="0"/>
      <w:marTop w:val="0"/>
      <w:marBottom w:val="0"/>
      <w:divBdr>
        <w:top w:val="none" w:sz="0" w:space="0" w:color="auto"/>
        <w:left w:val="none" w:sz="0" w:space="0" w:color="auto"/>
        <w:bottom w:val="none" w:sz="0" w:space="0" w:color="auto"/>
        <w:right w:val="none" w:sz="0" w:space="0" w:color="auto"/>
      </w:divBdr>
      <w:divsChild>
        <w:div w:id="20011251">
          <w:marLeft w:val="0"/>
          <w:marRight w:val="0"/>
          <w:marTop w:val="0"/>
          <w:marBottom w:val="0"/>
          <w:divBdr>
            <w:top w:val="none" w:sz="0" w:space="0" w:color="auto"/>
            <w:left w:val="none" w:sz="0" w:space="0" w:color="auto"/>
            <w:bottom w:val="none" w:sz="0" w:space="0" w:color="auto"/>
            <w:right w:val="none" w:sz="0" w:space="0" w:color="auto"/>
          </w:divBdr>
          <w:divsChild>
            <w:div w:id="1353412989">
              <w:marLeft w:val="0"/>
              <w:marRight w:val="0"/>
              <w:marTop w:val="0"/>
              <w:marBottom w:val="0"/>
              <w:divBdr>
                <w:top w:val="none" w:sz="0" w:space="0" w:color="auto"/>
                <w:left w:val="none" w:sz="0" w:space="0" w:color="auto"/>
                <w:bottom w:val="none" w:sz="0" w:space="0" w:color="auto"/>
                <w:right w:val="none" w:sz="0" w:space="0" w:color="auto"/>
              </w:divBdr>
              <w:divsChild>
                <w:div w:id="1060401722">
                  <w:marLeft w:val="2"/>
                  <w:marRight w:val="0"/>
                  <w:marTop w:val="0"/>
                  <w:marBottom w:val="0"/>
                  <w:divBdr>
                    <w:top w:val="none" w:sz="0" w:space="0" w:color="auto"/>
                    <w:left w:val="none" w:sz="0" w:space="0" w:color="auto"/>
                    <w:bottom w:val="none" w:sz="0" w:space="0" w:color="auto"/>
                    <w:right w:val="none" w:sz="0" w:space="0" w:color="auto"/>
                  </w:divBdr>
                  <w:divsChild>
                    <w:div w:id="18474021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03393658">
      <w:bodyDiv w:val="1"/>
      <w:marLeft w:val="0"/>
      <w:marRight w:val="0"/>
      <w:marTop w:val="0"/>
      <w:marBottom w:val="0"/>
      <w:divBdr>
        <w:top w:val="none" w:sz="0" w:space="0" w:color="auto"/>
        <w:left w:val="none" w:sz="0" w:space="0" w:color="auto"/>
        <w:bottom w:val="none" w:sz="0" w:space="0" w:color="auto"/>
        <w:right w:val="none" w:sz="0" w:space="0" w:color="auto"/>
      </w:divBdr>
      <w:divsChild>
        <w:div w:id="1749228756">
          <w:marLeft w:val="0"/>
          <w:marRight w:val="0"/>
          <w:marTop w:val="0"/>
          <w:marBottom w:val="0"/>
          <w:divBdr>
            <w:top w:val="none" w:sz="0" w:space="0" w:color="auto"/>
            <w:left w:val="none" w:sz="0" w:space="0" w:color="auto"/>
            <w:bottom w:val="none" w:sz="0" w:space="0" w:color="auto"/>
            <w:right w:val="none" w:sz="0" w:space="0" w:color="auto"/>
          </w:divBdr>
          <w:divsChild>
            <w:div w:id="999389021">
              <w:marLeft w:val="0"/>
              <w:marRight w:val="0"/>
              <w:marTop w:val="0"/>
              <w:marBottom w:val="0"/>
              <w:divBdr>
                <w:top w:val="none" w:sz="0" w:space="0" w:color="auto"/>
                <w:left w:val="none" w:sz="0" w:space="0" w:color="auto"/>
                <w:bottom w:val="none" w:sz="0" w:space="0" w:color="auto"/>
                <w:right w:val="none" w:sz="0" w:space="0" w:color="auto"/>
              </w:divBdr>
              <w:divsChild>
                <w:div w:id="103426880">
                  <w:marLeft w:val="0"/>
                  <w:marRight w:val="0"/>
                  <w:marTop w:val="0"/>
                  <w:marBottom w:val="0"/>
                  <w:divBdr>
                    <w:top w:val="none" w:sz="0" w:space="0" w:color="auto"/>
                    <w:left w:val="none" w:sz="0" w:space="0" w:color="auto"/>
                    <w:bottom w:val="none" w:sz="0" w:space="0" w:color="auto"/>
                    <w:right w:val="none" w:sz="0" w:space="0" w:color="auto"/>
                  </w:divBdr>
                  <w:divsChild>
                    <w:div w:id="1042557952">
                      <w:marLeft w:val="0"/>
                      <w:marRight w:val="0"/>
                      <w:marTop w:val="0"/>
                      <w:marBottom w:val="0"/>
                      <w:divBdr>
                        <w:top w:val="none" w:sz="0" w:space="0" w:color="auto"/>
                        <w:left w:val="none" w:sz="0" w:space="0" w:color="auto"/>
                        <w:bottom w:val="none" w:sz="0" w:space="0" w:color="auto"/>
                        <w:right w:val="none" w:sz="0" w:space="0" w:color="auto"/>
                      </w:divBdr>
                      <w:divsChild>
                        <w:div w:id="177430393">
                          <w:marLeft w:val="0"/>
                          <w:marRight w:val="0"/>
                          <w:marTop w:val="0"/>
                          <w:marBottom w:val="0"/>
                          <w:divBdr>
                            <w:top w:val="none" w:sz="0" w:space="0" w:color="auto"/>
                            <w:left w:val="none" w:sz="0" w:space="0" w:color="auto"/>
                            <w:bottom w:val="none" w:sz="0" w:space="0" w:color="auto"/>
                            <w:right w:val="none" w:sz="0" w:space="0" w:color="auto"/>
                          </w:divBdr>
                          <w:divsChild>
                            <w:div w:id="1243880166">
                              <w:marLeft w:val="0"/>
                              <w:marRight w:val="0"/>
                              <w:marTop w:val="0"/>
                              <w:marBottom w:val="0"/>
                              <w:divBdr>
                                <w:top w:val="none" w:sz="0" w:space="0" w:color="auto"/>
                                <w:left w:val="none" w:sz="0" w:space="0" w:color="auto"/>
                                <w:bottom w:val="none" w:sz="0" w:space="0" w:color="auto"/>
                                <w:right w:val="none" w:sz="0" w:space="0" w:color="auto"/>
                              </w:divBdr>
                              <w:divsChild>
                                <w:div w:id="505095686">
                                  <w:marLeft w:val="0"/>
                                  <w:marRight w:val="0"/>
                                  <w:marTop w:val="0"/>
                                  <w:marBottom w:val="0"/>
                                  <w:divBdr>
                                    <w:top w:val="none" w:sz="0" w:space="0" w:color="auto"/>
                                    <w:left w:val="none" w:sz="0" w:space="0" w:color="auto"/>
                                    <w:bottom w:val="none" w:sz="0" w:space="0" w:color="auto"/>
                                    <w:right w:val="none" w:sz="0" w:space="0" w:color="auto"/>
                                  </w:divBdr>
                                  <w:divsChild>
                                    <w:div w:id="1386373007">
                                      <w:marLeft w:val="0"/>
                                      <w:marRight w:val="0"/>
                                      <w:marTop w:val="0"/>
                                      <w:marBottom w:val="0"/>
                                      <w:divBdr>
                                        <w:top w:val="none" w:sz="0" w:space="0" w:color="auto"/>
                                        <w:left w:val="none" w:sz="0" w:space="0" w:color="auto"/>
                                        <w:bottom w:val="none" w:sz="0" w:space="0" w:color="auto"/>
                                        <w:right w:val="none" w:sz="0" w:space="0" w:color="auto"/>
                                      </w:divBdr>
                                      <w:divsChild>
                                        <w:div w:id="578486591">
                                          <w:marLeft w:val="0"/>
                                          <w:marRight w:val="0"/>
                                          <w:marTop w:val="0"/>
                                          <w:marBottom w:val="0"/>
                                          <w:divBdr>
                                            <w:top w:val="none" w:sz="0" w:space="0" w:color="auto"/>
                                            <w:left w:val="none" w:sz="0" w:space="0" w:color="auto"/>
                                            <w:bottom w:val="none" w:sz="0" w:space="0" w:color="auto"/>
                                            <w:right w:val="none" w:sz="0" w:space="0" w:color="auto"/>
                                          </w:divBdr>
                                          <w:divsChild>
                                            <w:div w:id="843125655">
                                              <w:marLeft w:val="0"/>
                                              <w:marRight w:val="0"/>
                                              <w:marTop w:val="0"/>
                                              <w:marBottom w:val="0"/>
                                              <w:divBdr>
                                                <w:top w:val="none" w:sz="0" w:space="0" w:color="auto"/>
                                                <w:left w:val="none" w:sz="0" w:space="0" w:color="auto"/>
                                                <w:bottom w:val="none" w:sz="0" w:space="0" w:color="auto"/>
                                                <w:right w:val="none" w:sz="0" w:space="0" w:color="auto"/>
                                              </w:divBdr>
                                              <w:divsChild>
                                                <w:div w:id="1274746643">
                                                  <w:marLeft w:val="0"/>
                                                  <w:marRight w:val="0"/>
                                                  <w:marTop w:val="0"/>
                                                  <w:marBottom w:val="0"/>
                                                  <w:divBdr>
                                                    <w:top w:val="none" w:sz="0" w:space="0" w:color="auto"/>
                                                    <w:left w:val="none" w:sz="0" w:space="0" w:color="auto"/>
                                                    <w:bottom w:val="none" w:sz="0" w:space="0" w:color="auto"/>
                                                    <w:right w:val="none" w:sz="0" w:space="0" w:color="auto"/>
                                                  </w:divBdr>
                                                  <w:divsChild>
                                                    <w:div w:id="1318337806">
                                                      <w:marLeft w:val="0"/>
                                                      <w:marRight w:val="0"/>
                                                      <w:marTop w:val="0"/>
                                                      <w:marBottom w:val="0"/>
                                                      <w:divBdr>
                                                        <w:top w:val="none" w:sz="0" w:space="0" w:color="auto"/>
                                                        <w:left w:val="none" w:sz="0" w:space="0" w:color="auto"/>
                                                        <w:bottom w:val="none" w:sz="0" w:space="0" w:color="auto"/>
                                                        <w:right w:val="none" w:sz="0" w:space="0" w:color="auto"/>
                                                      </w:divBdr>
                                                      <w:divsChild>
                                                        <w:div w:id="1809585973">
                                                          <w:marLeft w:val="0"/>
                                                          <w:marRight w:val="0"/>
                                                          <w:marTop w:val="0"/>
                                                          <w:marBottom w:val="0"/>
                                                          <w:divBdr>
                                                            <w:top w:val="none" w:sz="0" w:space="0" w:color="auto"/>
                                                            <w:left w:val="none" w:sz="0" w:space="0" w:color="auto"/>
                                                            <w:bottom w:val="none" w:sz="0" w:space="0" w:color="auto"/>
                                                            <w:right w:val="none" w:sz="0" w:space="0" w:color="auto"/>
                                                          </w:divBdr>
                                                          <w:divsChild>
                                                            <w:div w:id="1594045146">
                                                              <w:marLeft w:val="0"/>
                                                              <w:marRight w:val="0"/>
                                                              <w:marTop w:val="0"/>
                                                              <w:marBottom w:val="0"/>
                                                              <w:divBdr>
                                                                <w:top w:val="none" w:sz="0" w:space="0" w:color="auto"/>
                                                                <w:left w:val="none" w:sz="0" w:space="0" w:color="auto"/>
                                                                <w:bottom w:val="none" w:sz="0" w:space="0" w:color="auto"/>
                                                                <w:right w:val="none" w:sz="0" w:space="0" w:color="auto"/>
                                                              </w:divBdr>
                                                              <w:divsChild>
                                                                <w:div w:id="825126395">
                                                                  <w:marLeft w:val="0"/>
                                                                  <w:marRight w:val="0"/>
                                                                  <w:marTop w:val="0"/>
                                                                  <w:marBottom w:val="240"/>
                                                                  <w:divBdr>
                                                                    <w:top w:val="none" w:sz="0" w:space="0" w:color="auto"/>
                                                                    <w:left w:val="none" w:sz="0" w:space="0" w:color="auto"/>
                                                                    <w:bottom w:val="single" w:sz="6" w:space="0" w:color="D3D7D9"/>
                                                                    <w:right w:val="none" w:sz="0" w:space="0" w:color="auto"/>
                                                                  </w:divBdr>
                                                                  <w:divsChild>
                                                                    <w:div w:id="667055981">
                                                                      <w:marLeft w:val="0"/>
                                                                      <w:marRight w:val="0"/>
                                                                      <w:marTop w:val="0"/>
                                                                      <w:marBottom w:val="0"/>
                                                                      <w:divBdr>
                                                                        <w:top w:val="none" w:sz="0" w:space="0" w:color="auto"/>
                                                                        <w:left w:val="none" w:sz="0" w:space="0" w:color="auto"/>
                                                                        <w:bottom w:val="none" w:sz="0" w:space="0" w:color="auto"/>
                                                                        <w:right w:val="none" w:sz="0" w:space="0" w:color="auto"/>
                                                                      </w:divBdr>
                                                                      <w:divsChild>
                                                                        <w:div w:id="2069912857">
                                                                          <w:marLeft w:val="0"/>
                                                                          <w:marRight w:val="0"/>
                                                                          <w:marTop w:val="0"/>
                                                                          <w:marBottom w:val="0"/>
                                                                          <w:divBdr>
                                                                            <w:top w:val="none" w:sz="0" w:space="0" w:color="auto"/>
                                                                            <w:left w:val="none" w:sz="0" w:space="0" w:color="auto"/>
                                                                            <w:bottom w:val="none" w:sz="0" w:space="0" w:color="auto"/>
                                                                            <w:right w:val="none" w:sz="0" w:space="0" w:color="auto"/>
                                                                          </w:divBdr>
                                                                          <w:divsChild>
                                                                            <w:div w:id="2105222894">
                                                                              <w:marLeft w:val="0"/>
                                                                              <w:marRight w:val="0"/>
                                                                              <w:marTop w:val="0"/>
                                                                              <w:marBottom w:val="0"/>
                                                                              <w:divBdr>
                                                                                <w:top w:val="none" w:sz="0" w:space="0" w:color="auto"/>
                                                                                <w:left w:val="none" w:sz="0" w:space="0" w:color="auto"/>
                                                                                <w:bottom w:val="none" w:sz="0" w:space="0" w:color="auto"/>
                                                                                <w:right w:val="none" w:sz="0" w:space="0" w:color="auto"/>
                                                                              </w:divBdr>
                                                                              <w:divsChild>
                                                                                <w:div w:id="138084398">
                                                                                  <w:marLeft w:val="240"/>
                                                                                  <w:marRight w:val="240"/>
                                                                                  <w:marTop w:val="0"/>
                                                                                  <w:marBottom w:val="0"/>
                                                                                  <w:divBdr>
                                                                                    <w:top w:val="none" w:sz="0" w:space="0" w:color="auto"/>
                                                                                    <w:left w:val="none" w:sz="0" w:space="0" w:color="auto"/>
                                                                                    <w:bottom w:val="dotted" w:sz="6" w:space="4" w:color="D3D7D9"/>
                                                                                    <w:right w:val="none" w:sz="0" w:space="0" w:color="auto"/>
                                                                                  </w:divBdr>
                                                                                  <w:divsChild>
                                                                                    <w:div w:id="1621645532">
                                                                                      <w:marLeft w:val="0"/>
                                                                                      <w:marRight w:val="0"/>
                                                                                      <w:marTop w:val="0"/>
                                                                                      <w:marBottom w:val="0"/>
                                                                                      <w:divBdr>
                                                                                        <w:top w:val="none" w:sz="0" w:space="0" w:color="auto"/>
                                                                                        <w:left w:val="none" w:sz="0" w:space="0" w:color="auto"/>
                                                                                        <w:bottom w:val="none" w:sz="0" w:space="0" w:color="auto"/>
                                                                                        <w:right w:val="none" w:sz="0" w:space="0" w:color="auto"/>
                                                                                      </w:divBdr>
                                                                                      <w:divsChild>
                                                                                        <w:div w:id="1868789380">
                                                                                          <w:marLeft w:val="0"/>
                                                                                          <w:marRight w:val="0"/>
                                                                                          <w:marTop w:val="0"/>
                                                                                          <w:marBottom w:val="0"/>
                                                                                          <w:divBdr>
                                                                                            <w:top w:val="none" w:sz="0" w:space="0" w:color="auto"/>
                                                                                            <w:left w:val="none" w:sz="0" w:space="0" w:color="auto"/>
                                                                                            <w:bottom w:val="none" w:sz="0" w:space="0" w:color="auto"/>
                                                                                            <w:right w:val="none" w:sz="0" w:space="0" w:color="auto"/>
                                                                                          </w:divBdr>
                                                                                          <w:divsChild>
                                                                                            <w:div w:id="497385043">
                                                                                              <w:marLeft w:val="0"/>
                                                                                              <w:marRight w:val="0"/>
                                                                                              <w:marTop w:val="0"/>
                                                                                              <w:marBottom w:val="0"/>
                                                                                              <w:divBdr>
                                                                                                <w:top w:val="none" w:sz="0" w:space="0" w:color="auto"/>
                                                                                                <w:left w:val="none" w:sz="0" w:space="0" w:color="auto"/>
                                                                                                <w:bottom w:val="none" w:sz="0" w:space="0" w:color="auto"/>
                                                                                                <w:right w:val="none" w:sz="0" w:space="0" w:color="auto"/>
                                                                                              </w:divBdr>
                                                                                              <w:divsChild>
                                                                                                <w:div w:id="1203980931">
                                                                                                  <w:marLeft w:val="0"/>
                                                                                                  <w:marRight w:val="0"/>
                                                                                                  <w:marTop w:val="0"/>
                                                                                                  <w:marBottom w:val="0"/>
                                                                                                  <w:divBdr>
                                                                                                    <w:top w:val="none" w:sz="0" w:space="0" w:color="auto"/>
                                                                                                    <w:left w:val="none" w:sz="0" w:space="0" w:color="auto"/>
                                                                                                    <w:bottom w:val="none" w:sz="0" w:space="0" w:color="auto"/>
                                                                                                    <w:right w:val="none" w:sz="0" w:space="0" w:color="auto"/>
                                                                                                  </w:divBdr>
                                                                                                  <w:divsChild>
                                                                                                    <w:div w:id="777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4050843">
      <w:bodyDiv w:val="1"/>
      <w:marLeft w:val="0"/>
      <w:marRight w:val="0"/>
      <w:marTop w:val="0"/>
      <w:marBottom w:val="0"/>
      <w:divBdr>
        <w:top w:val="none" w:sz="0" w:space="0" w:color="auto"/>
        <w:left w:val="none" w:sz="0" w:space="0" w:color="auto"/>
        <w:bottom w:val="none" w:sz="0" w:space="0" w:color="auto"/>
        <w:right w:val="none" w:sz="0" w:space="0" w:color="auto"/>
      </w:divBdr>
    </w:div>
    <w:div w:id="395856185">
      <w:bodyDiv w:val="1"/>
      <w:marLeft w:val="0"/>
      <w:marRight w:val="0"/>
      <w:marTop w:val="0"/>
      <w:marBottom w:val="0"/>
      <w:divBdr>
        <w:top w:val="none" w:sz="0" w:space="0" w:color="auto"/>
        <w:left w:val="none" w:sz="0" w:space="0" w:color="auto"/>
        <w:bottom w:val="none" w:sz="0" w:space="0" w:color="auto"/>
        <w:right w:val="none" w:sz="0" w:space="0" w:color="auto"/>
      </w:divBdr>
      <w:divsChild>
        <w:div w:id="643973358">
          <w:marLeft w:val="0"/>
          <w:marRight w:val="0"/>
          <w:marTop w:val="0"/>
          <w:marBottom w:val="0"/>
          <w:divBdr>
            <w:top w:val="none" w:sz="0" w:space="0" w:color="auto"/>
            <w:left w:val="none" w:sz="0" w:space="0" w:color="auto"/>
            <w:bottom w:val="none" w:sz="0" w:space="0" w:color="auto"/>
            <w:right w:val="none" w:sz="0" w:space="0" w:color="auto"/>
          </w:divBdr>
          <w:divsChild>
            <w:div w:id="1545019735">
              <w:marLeft w:val="0"/>
              <w:marRight w:val="0"/>
              <w:marTop w:val="0"/>
              <w:marBottom w:val="0"/>
              <w:divBdr>
                <w:top w:val="none" w:sz="0" w:space="0" w:color="auto"/>
                <w:left w:val="none" w:sz="0" w:space="0" w:color="auto"/>
                <w:bottom w:val="none" w:sz="0" w:space="0" w:color="auto"/>
                <w:right w:val="none" w:sz="0" w:space="0" w:color="auto"/>
              </w:divBdr>
              <w:divsChild>
                <w:div w:id="604507569">
                  <w:marLeft w:val="0"/>
                  <w:marRight w:val="0"/>
                  <w:marTop w:val="0"/>
                  <w:marBottom w:val="0"/>
                  <w:divBdr>
                    <w:top w:val="none" w:sz="0" w:space="0" w:color="auto"/>
                    <w:left w:val="none" w:sz="0" w:space="0" w:color="auto"/>
                    <w:bottom w:val="none" w:sz="0" w:space="0" w:color="auto"/>
                    <w:right w:val="none" w:sz="0" w:space="0" w:color="auto"/>
                  </w:divBdr>
                  <w:divsChild>
                    <w:div w:id="1450977280">
                      <w:marLeft w:val="0"/>
                      <w:marRight w:val="0"/>
                      <w:marTop w:val="0"/>
                      <w:marBottom w:val="0"/>
                      <w:divBdr>
                        <w:top w:val="none" w:sz="0" w:space="0" w:color="auto"/>
                        <w:left w:val="none" w:sz="0" w:space="0" w:color="auto"/>
                        <w:bottom w:val="none" w:sz="0" w:space="0" w:color="auto"/>
                        <w:right w:val="none" w:sz="0" w:space="0" w:color="auto"/>
                      </w:divBdr>
                      <w:divsChild>
                        <w:div w:id="806970147">
                          <w:marLeft w:val="0"/>
                          <w:marRight w:val="0"/>
                          <w:marTop w:val="0"/>
                          <w:marBottom w:val="240"/>
                          <w:divBdr>
                            <w:top w:val="none" w:sz="0" w:space="0" w:color="auto"/>
                            <w:left w:val="none" w:sz="0" w:space="0" w:color="auto"/>
                            <w:bottom w:val="none" w:sz="0" w:space="0" w:color="auto"/>
                            <w:right w:val="none" w:sz="0" w:space="0" w:color="auto"/>
                          </w:divBdr>
                          <w:divsChild>
                            <w:div w:id="815877013">
                              <w:marLeft w:val="0"/>
                              <w:marRight w:val="0"/>
                              <w:marTop w:val="0"/>
                              <w:marBottom w:val="0"/>
                              <w:divBdr>
                                <w:top w:val="none" w:sz="0" w:space="0" w:color="auto"/>
                                <w:left w:val="none" w:sz="0" w:space="0" w:color="auto"/>
                                <w:bottom w:val="none" w:sz="0" w:space="0" w:color="auto"/>
                                <w:right w:val="none" w:sz="0" w:space="0" w:color="auto"/>
                              </w:divBdr>
                              <w:divsChild>
                                <w:div w:id="2124153263">
                                  <w:marLeft w:val="0"/>
                                  <w:marRight w:val="0"/>
                                  <w:marTop w:val="0"/>
                                  <w:marBottom w:val="0"/>
                                  <w:divBdr>
                                    <w:top w:val="none" w:sz="0" w:space="0" w:color="auto"/>
                                    <w:left w:val="none" w:sz="0" w:space="0" w:color="auto"/>
                                    <w:bottom w:val="none" w:sz="0" w:space="0" w:color="auto"/>
                                    <w:right w:val="none" w:sz="0" w:space="0" w:color="auto"/>
                                  </w:divBdr>
                                  <w:divsChild>
                                    <w:div w:id="414206714">
                                      <w:marLeft w:val="0"/>
                                      <w:marRight w:val="0"/>
                                      <w:marTop w:val="0"/>
                                      <w:marBottom w:val="480"/>
                                      <w:divBdr>
                                        <w:top w:val="none" w:sz="0" w:space="0" w:color="auto"/>
                                        <w:left w:val="none" w:sz="0" w:space="0" w:color="auto"/>
                                        <w:bottom w:val="none" w:sz="0" w:space="0" w:color="auto"/>
                                        <w:right w:val="none" w:sz="0" w:space="0" w:color="auto"/>
                                      </w:divBdr>
                                      <w:divsChild>
                                        <w:div w:id="18126730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8310123">
      <w:bodyDiv w:val="1"/>
      <w:marLeft w:val="0"/>
      <w:marRight w:val="0"/>
      <w:marTop w:val="0"/>
      <w:marBottom w:val="0"/>
      <w:divBdr>
        <w:top w:val="none" w:sz="0" w:space="0" w:color="auto"/>
        <w:left w:val="none" w:sz="0" w:space="0" w:color="auto"/>
        <w:bottom w:val="none" w:sz="0" w:space="0" w:color="auto"/>
        <w:right w:val="none" w:sz="0" w:space="0" w:color="auto"/>
      </w:divBdr>
      <w:divsChild>
        <w:div w:id="1253199878">
          <w:marLeft w:val="0"/>
          <w:marRight w:val="0"/>
          <w:marTop w:val="0"/>
          <w:marBottom w:val="0"/>
          <w:divBdr>
            <w:top w:val="none" w:sz="0" w:space="0" w:color="auto"/>
            <w:left w:val="none" w:sz="0" w:space="0" w:color="auto"/>
            <w:bottom w:val="none" w:sz="0" w:space="0" w:color="auto"/>
            <w:right w:val="none" w:sz="0" w:space="0" w:color="auto"/>
          </w:divBdr>
          <w:divsChild>
            <w:div w:id="1874422870">
              <w:marLeft w:val="0"/>
              <w:marRight w:val="0"/>
              <w:marTop w:val="0"/>
              <w:marBottom w:val="0"/>
              <w:divBdr>
                <w:top w:val="none" w:sz="0" w:space="0" w:color="auto"/>
                <w:left w:val="none" w:sz="0" w:space="0" w:color="auto"/>
                <w:bottom w:val="none" w:sz="0" w:space="0" w:color="auto"/>
                <w:right w:val="none" w:sz="0" w:space="0" w:color="auto"/>
              </w:divBdr>
              <w:divsChild>
                <w:div w:id="169688011">
                  <w:marLeft w:val="0"/>
                  <w:marRight w:val="0"/>
                  <w:marTop w:val="0"/>
                  <w:marBottom w:val="0"/>
                  <w:divBdr>
                    <w:top w:val="none" w:sz="0" w:space="0" w:color="auto"/>
                    <w:left w:val="none" w:sz="0" w:space="0" w:color="auto"/>
                    <w:bottom w:val="none" w:sz="0" w:space="0" w:color="auto"/>
                    <w:right w:val="none" w:sz="0" w:space="0" w:color="auto"/>
                  </w:divBdr>
                  <w:divsChild>
                    <w:div w:id="1959339815">
                      <w:marLeft w:val="0"/>
                      <w:marRight w:val="0"/>
                      <w:marTop w:val="0"/>
                      <w:marBottom w:val="0"/>
                      <w:divBdr>
                        <w:top w:val="none" w:sz="0" w:space="0" w:color="auto"/>
                        <w:left w:val="none" w:sz="0" w:space="0" w:color="auto"/>
                        <w:bottom w:val="none" w:sz="0" w:space="0" w:color="auto"/>
                        <w:right w:val="none" w:sz="0" w:space="0" w:color="auto"/>
                      </w:divBdr>
                      <w:divsChild>
                        <w:div w:id="2036081593">
                          <w:marLeft w:val="0"/>
                          <w:marRight w:val="0"/>
                          <w:marTop w:val="0"/>
                          <w:marBottom w:val="0"/>
                          <w:divBdr>
                            <w:top w:val="none" w:sz="0" w:space="0" w:color="auto"/>
                            <w:left w:val="none" w:sz="0" w:space="0" w:color="auto"/>
                            <w:bottom w:val="none" w:sz="0" w:space="0" w:color="auto"/>
                            <w:right w:val="none" w:sz="0" w:space="0" w:color="auto"/>
                          </w:divBdr>
                          <w:divsChild>
                            <w:div w:id="519973203">
                              <w:marLeft w:val="0"/>
                              <w:marRight w:val="0"/>
                              <w:marTop w:val="0"/>
                              <w:marBottom w:val="0"/>
                              <w:divBdr>
                                <w:top w:val="none" w:sz="0" w:space="0" w:color="auto"/>
                                <w:left w:val="none" w:sz="0" w:space="0" w:color="auto"/>
                                <w:bottom w:val="none" w:sz="0" w:space="0" w:color="auto"/>
                                <w:right w:val="none" w:sz="0" w:space="0" w:color="auto"/>
                              </w:divBdr>
                              <w:divsChild>
                                <w:div w:id="1099791583">
                                  <w:marLeft w:val="0"/>
                                  <w:marRight w:val="0"/>
                                  <w:marTop w:val="0"/>
                                  <w:marBottom w:val="0"/>
                                  <w:divBdr>
                                    <w:top w:val="none" w:sz="0" w:space="0" w:color="auto"/>
                                    <w:left w:val="none" w:sz="0" w:space="0" w:color="auto"/>
                                    <w:bottom w:val="none" w:sz="0" w:space="0" w:color="auto"/>
                                    <w:right w:val="none" w:sz="0" w:space="0" w:color="auto"/>
                                  </w:divBdr>
                                  <w:divsChild>
                                    <w:div w:id="408617522">
                                      <w:marLeft w:val="60"/>
                                      <w:marRight w:val="0"/>
                                      <w:marTop w:val="0"/>
                                      <w:marBottom w:val="0"/>
                                      <w:divBdr>
                                        <w:top w:val="none" w:sz="0" w:space="0" w:color="auto"/>
                                        <w:left w:val="none" w:sz="0" w:space="0" w:color="auto"/>
                                        <w:bottom w:val="none" w:sz="0" w:space="0" w:color="auto"/>
                                        <w:right w:val="none" w:sz="0" w:space="0" w:color="auto"/>
                                      </w:divBdr>
                                      <w:divsChild>
                                        <w:div w:id="1651858569">
                                          <w:marLeft w:val="0"/>
                                          <w:marRight w:val="0"/>
                                          <w:marTop w:val="0"/>
                                          <w:marBottom w:val="0"/>
                                          <w:divBdr>
                                            <w:top w:val="none" w:sz="0" w:space="0" w:color="auto"/>
                                            <w:left w:val="none" w:sz="0" w:space="0" w:color="auto"/>
                                            <w:bottom w:val="none" w:sz="0" w:space="0" w:color="auto"/>
                                            <w:right w:val="none" w:sz="0" w:space="0" w:color="auto"/>
                                          </w:divBdr>
                                          <w:divsChild>
                                            <w:div w:id="503009678">
                                              <w:marLeft w:val="0"/>
                                              <w:marRight w:val="0"/>
                                              <w:marTop w:val="0"/>
                                              <w:marBottom w:val="120"/>
                                              <w:divBdr>
                                                <w:top w:val="single" w:sz="6" w:space="0" w:color="F5F5F5"/>
                                                <w:left w:val="single" w:sz="6" w:space="0" w:color="F5F5F5"/>
                                                <w:bottom w:val="single" w:sz="6" w:space="0" w:color="F5F5F5"/>
                                                <w:right w:val="single" w:sz="6" w:space="0" w:color="F5F5F5"/>
                                              </w:divBdr>
                                              <w:divsChild>
                                                <w:div w:id="243611793">
                                                  <w:marLeft w:val="0"/>
                                                  <w:marRight w:val="0"/>
                                                  <w:marTop w:val="0"/>
                                                  <w:marBottom w:val="0"/>
                                                  <w:divBdr>
                                                    <w:top w:val="none" w:sz="0" w:space="0" w:color="auto"/>
                                                    <w:left w:val="none" w:sz="0" w:space="0" w:color="auto"/>
                                                    <w:bottom w:val="none" w:sz="0" w:space="0" w:color="auto"/>
                                                    <w:right w:val="none" w:sz="0" w:space="0" w:color="auto"/>
                                                  </w:divBdr>
                                                  <w:divsChild>
                                                    <w:div w:id="89497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2530280">
      <w:bodyDiv w:val="1"/>
      <w:marLeft w:val="0"/>
      <w:marRight w:val="0"/>
      <w:marTop w:val="0"/>
      <w:marBottom w:val="0"/>
      <w:divBdr>
        <w:top w:val="none" w:sz="0" w:space="0" w:color="auto"/>
        <w:left w:val="none" w:sz="0" w:space="0" w:color="auto"/>
        <w:bottom w:val="none" w:sz="0" w:space="0" w:color="auto"/>
        <w:right w:val="none" w:sz="0" w:space="0" w:color="auto"/>
      </w:divBdr>
      <w:divsChild>
        <w:div w:id="985551013">
          <w:marLeft w:val="1440"/>
          <w:marRight w:val="0"/>
          <w:marTop w:val="106"/>
          <w:marBottom w:val="0"/>
          <w:divBdr>
            <w:top w:val="none" w:sz="0" w:space="0" w:color="auto"/>
            <w:left w:val="none" w:sz="0" w:space="0" w:color="auto"/>
            <w:bottom w:val="none" w:sz="0" w:space="0" w:color="auto"/>
            <w:right w:val="none" w:sz="0" w:space="0" w:color="auto"/>
          </w:divBdr>
        </w:div>
        <w:div w:id="1442994696">
          <w:marLeft w:val="1440"/>
          <w:marRight w:val="0"/>
          <w:marTop w:val="106"/>
          <w:marBottom w:val="0"/>
          <w:divBdr>
            <w:top w:val="none" w:sz="0" w:space="0" w:color="auto"/>
            <w:left w:val="none" w:sz="0" w:space="0" w:color="auto"/>
            <w:bottom w:val="none" w:sz="0" w:space="0" w:color="auto"/>
            <w:right w:val="none" w:sz="0" w:space="0" w:color="auto"/>
          </w:divBdr>
        </w:div>
        <w:div w:id="1574662919">
          <w:marLeft w:val="720"/>
          <w:marRight w:val="0"/>
          <w:marTop w:val="120"/>
          <w:marBottom w:val="0"/>
          <w:divBdr>
            <w:top w:val="none" w:sz="0" w:space="0" w:color="auto"/>
            <w:left w:val="none" w:sz="0" w:space="0" w:color="auto"/>
            <w:bottom w:val="none" w:sz="0" w:space="0" w:color="auto"/>
            <w:right w:val="none" w:sz="0" w:space="0" w:color="auto"/>
          </w:divBdr>
        </w:div>
        <w:div w:id="1713923113">
          <w:marLeft w:val="1440"/>
          <w:marRight w:val="0"/>
          <w:marTop w:val="106"/>
          <w:marBottom w:val="0"/>
          <w:divBdr>
            <w:top w:val="none" w:sz="0" w:space="0" w:color="auto"/>
            <w:left w:val="none" w:sz="0" w:space="0" w:color="auto"/>
            <w:bottom w:val="none" w:sz="0" w:space="0" w:color="auto"/>
            <w:right w:val="none" w:sz="0" w:space="0" w:color="auto"/>
          </w:divBdr>
        </w:div>
      </w:divsChild>
    </w:div>
    <w:div w:id="472917237">
      <w:bodyDiv w:val="1"/>
      <w:marLeft w:val="0"/>
      <w:marRight w:val="0"/>
      <w:marTop w:val="0"/>
      <w:marBottom w:val="0"/>
      <w:divBdr>
        <w:top w:val="none" w:sz="0" w:space="0" w:color="auto"/>
        <w:left w:val="none" w:sz="0" w:space="0" w:color="auto"/>
        <w:bottom w:val="none" w:sz="0" w:space="0" w:color="auto"/>
        <w:right w:val="none" w:sz="0" w:space="0" w:color="auto"/>
      </w:divBdr>
      <w:divsChild>
        <w:div w:id="1578979945">
          <w:marLeft w:val="1440"/>
          <w:marRight w:val="0"/>
          <w:marTop w:val="96"/>
          <w:marBottom w:val="0"/>
          <w:divBdr>
            <w:top w:val="none" w:sz="0" w:space="0" w:color="auto"/>
            <w:left w:val="none" w:sz="0" w:space="0" w:color="auto"/>
            <w:bottom w:val="none" w:sz="0" w:space="0" w:color="auto"/>
            <w:right w:val="none" w:sz="0" w:space="0" w:color="auto"/>
          </w:divBdr>
        </w:div>
      </w:divsChild>
    </w:div>
    <w:div w:id="482695900">
      <w:bodyDiv w:val="1"/>
      <w:marLeft w:val="0"/>
      <w:marRight w:val="0"/>
      <w:marTop w:val="0"/>
      <w:marBottom w:val="0"/>
      <w:divBdr>
        <w:top w:val="none" w:sz="0" w:space="0" w:color="auto"/>
        <w:left w:val="none" w:sz="0" w:space="0" w:color="auto"/>
        <w:bottom w:val="none" w:sz="0" w:space="0" w:color="auto"/>
        <w:right w:val="none" w:sz="0" w:space="0" w:color="auto"/>
      </w:divBdr>
    </w:div>
    <w:div w:id="499783639">
      <w:bodyDiv w:val="1"/>
      <w:marLeft w:val="0"/>
      <w:marRight w:val="0"/>
      <w:marTop w:val="0"/>
      <w:marBottom w:val="0"/>
      <w:divBdr>
        <w:top w:val="none" w:sz="0" w:space="0" w:color="auto"/>
        <w:left w:val="none" w:sz="0" w:space="0" w:color="auto"/>
        <w:bottom w:val="none" w:sz="0" w:space="0" w:color="auto"/>
        <w:right w:val="none" w:sz="0" w:space="0" w:color="auto"/>
      </w:divBdr>
      <w:divsChild>
        <w:div w:id="1983920626">
          <w:marLeft w:val="0"/>
          <w:marRight w:val="0"/>
          <w:marTop w:val="0"/>
          <w:marBottom w:val="0"/>
          <w:divBdr>
            <w:top w:val="none" w:sz="0" w:space="0" w:color="auto"/>
            <w:left w:val="none" w:sz="0" w:space="0" w:color="auto"/>
            <w:bottom w:val="none" w:sz="0" w:space="0" w:color="auto"/>
            <w:right w:val="none" w:sz="0" w:space="0" w:color="auto"/>
          </w:divBdr>
          <w:divsChild>
            <w:div w:id="1837838349">
              <w:marLeft w:val="150"/>
              <w:marRight w:val="0"/>
              <w:marTop w:val="0"/>
              <w:marBottom w:val="0"/>
              <w:divBdr>
                <w:top w:val="none" w:sz="0" w:space="0" w:color="auto"/>
                <w:left w:val="none" w:sz="0" w:space="0" w:color="auto"/>
                <w:bottom w:val="none" w:sz="0" w:space="0" w:color="auto"/>
                <w:right w:val="none" w:sz="0" w:space="0" w:color="auto"/>
              </w:divBdr>
              <w:divsChild>
                <w:div w:id="1298534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00436918">
      <w:bodyDiv w:val="1"/>
      <w:marLeft w:val="0"/>
      <w:marRight w:val="0"/>
      <w:marTop w:val="0"/>
      <w:marBottom w:val="0"/>
      <w:divBdr>
        <w:top w:val="none" w:sz="0" w:space="0" w:color="auto"/>
        <w:left w:val="none" w:sz="0" w:space="0" w:color="auto"/>
        <w:bottom w:val="none" w:sz="0" w:space="0" w:color="auto"/>
        <w:right w:val="none" w:sz="0" w:space="0" w:color="auto"/>
      </w:divBdr>
      <w:divsChild>
        <w:div w:id="208153774">
          <w:marLeft w:val="0"/>
          <w:marRight w:val="0"/>
          <w:marTop w:val="0"/>
          <w:marBottom w:val="0"/>
          <w:divBdr>
            <w:top w:val="none" w:sz="0" w:space="0" w:color="auto"/>
            <w:left w:val="none" w:sz="0" w:space="0" w:color="auto"/>
            <w:bottom w:val="none" w:sz="0" w:space="0" w:color="auto"/>
            <w:right w:val="none" w:sz="0" w:space="0" w:color="auto"/>
          </w:divBdr>
          <w:divsChild>
            <w:div w:id="1120344379">
              <w:marLeft w:val="0"/>
              <w:marRight w:val="0"/>
              <w:marTop w:val="0"/>
              <w:marBottom w:val="0"/>
              <w:divBdr>
                <w:top w:val="none" w:sz="0" w:space="0" w:color="auto"/>
                <w:left w:val="none" w:sz="0" w:space="0" w:color="auto"/>
                <w:bottom w:val="none" w:sz="0" w:space="0" w:color="auto"/>
                <w:right w:val="none" w:sz="0" w:space="0" w:color="auto"/>
              </w:divBdr>
              <w:divsChild>
                <w:div w:id="1931160657">
                  <w:marLeft w:val="0"/>
                  <w:marRight w:val="0"/>
                  <w:marTop w:val="960"/>
                  <w:marBottom w:val="0"/>
                  <w:divBdr>
                    <w:top w:val="none" w:sz="0" w:space="0" w:color="auto"/>
                    <w:left w:val="none" w:sz="0" w:space="0" w:color="auto"/>
                    <w:bottom w:val="none" w:sz="0" w:space="0" w:color="auto"/>
                    <w:right w:val="none" w:sz="0" w:space="0" w:color="auto"/>
                  </w:divBdr>
                  <w:divsChild>
                    <w:div w:id="285620798">
                      <w:marLeft w:val="0"/>
                      <w:marRight w:val="0"/>
                      <w:marTop w:val="0"/>
                      <w:marBottom w:val="0"/>
                      <w:divBdr>
                        <w:top w:val="none" w:sz="0" w:space="0" w:color="auto"/>
                        <w:left w:val="none" w:sz="0" w:space="0" w:color="auto"/>
                        <w:bottom w:val="none" w:sz="0" w:space="0" w:color="auto"/>
                        <w:right w:val="none" w:sz="0" w:space="0" w:color="auto"/>
                      </w:divBdr>
                      <w:divsChild>
                        <w:div w:id="473839744">
                          <w:marLeft w:val="0"/>
                          <w:marRight w:val="0"/>
                          <w:marTop w:val="0"/>
                          <w:marBottom w:val="0"/>
                          <w:divBdr>
                            <w:top w:val="none" w:sz="0" w:space="0" w:color="auto"/>
                            <w:left w:val="none" w:sz="0" w:space="0" w:color="auto"/>
                            <w:bottom w:val="none" w:sz="0" w:space="0" w:color="auto"/>
                            <w:right w:val="none" w:sz="0" w:space="0" w:color="auto"/>
                          </w:divBdr>
                          <w:divsChild>
                            <w:div w:id="94058554">
                              <w:marLeft w:val="0"/>
                              <w:marRight w:val="0"/>
                              <w:marTop w:val="0"/>
                              <w:marBottom w:val="0"/>
                              <w:divBdr>
                                <w:top w:val="none" w:sz="0" w:space="0" w:color="auto"/>
                                <w:left w:val="none" w:sz="0" w:space="0" w:color="auto"/>
                                <w:bottom w:val="none" w:sz="0" w:space="0" w:color="auto"/>
                                <w:right w:val="none" w:sz="0" w:space="0" w:color="auto"/>
                              </w:divBdr>
                              <w:divsChild>
                                <w:div w:id="155265114">
                                  <w:marLeft w:val="0"/>
                                  <w:marRight w:val="0"/>
                                  <w:marTop w:val="0"/>
                                  <w:marBottom w:val="0"/>
                                  <w:divBdr>
                                    <w:top w:val="none" w:sz="0" w:space="0" w:color="auto"/>
                                    <w:left w:val="none" w:sz="0" w:space="0" w:color="auto"/>
                                    <w:bottom w:val="none" w:sz="0" w:space="0" w:color="auto"/>
                                    <w:right w:val="none" w:sz="0" w:space="0" w:color="auto"/>
                                  </w:divBdr>
                                  <w:divsChild>
                                    <w:div w:id="755590722">
                                      <w:marLeft w:val="0"/>
                                      <w:marRight w:val="0"/>
                                      <w:marTop w:val="0"/>
                                      <w:marBottom w:val="0"/>
                                      <w:divBdr>
                                        <w:top w:val="none" w:sz="0" w:space="0" w:color="auto"/>
                                        <w:left w:val="none" w:sz="0" w:space="0" w:color="auto"/>
                                        <w:bottom w:val="none" w:sz="0" w:space="0" w:color="auto"/>
                                        <w:right w:val="none" w:sz="0" w:space="0" w:color="auto"/>
                                      </w:divBdr>
                                      <w:divsChild>
                                        <w:div w:id="277446416">
                                          <w:marLeft w:val="0"/>
                                          <w:marRight w:val="0"/>
                                          <w:marTop w:val="0"/>
                                          <w:marBottom w:val="0"/>
                                          <w:divBdr>
                                            <w:top w:val="none" w:sz="0" w:space="0" w:color="auto"/>
                                            <w:left w:val="none" w:sz="0" w:space="0" w:color="auto"/>
                                            <w:bottom w:val="none" w:sz="0" w:space="0" w:color="auto"/>
                                            <w:right w:val="none" w:sz="0" w:space="0" w:color="auto"/>
                                          </w:divBdr>
                                        </w:div>
                                        <w:div w:id="63086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8838805">
      <w:bodyDiv w:val="1"/>
      <w:marLeft w:val="0"/>
      <w:marRight w:val="0"/>
      <w:marTop w:val="0"/>
      <w:marBottom w:val="0"/>
      <w:divBdr>
        <w:top w:val="none" w:sz="0" w:space="0" w:color="auto"/>
        <w:left w:val="none" w:sz="0" w:space="0" w:color="auto"/>
        <w:bottom w:val="none" w:sz="0" w:space="0" w:color="auto"/>
        <w:right w:val="none" w:sz="0" w:space="0" w:color="auto"/>
      </w:divBdr>
    </w:div>
    <w:div w:id="558175514">
      <w:bodyDiv w:val="1"/>
      <w:marLeft w:val="0"/>
      <w:marRight w:val="0"/>
      <w:marTop w:val="0"/>
      <w:marBottom w:val="0"/>
      <w:divBdr>
        <w:top w:val="none" w:sz="0" w:space="0" w:color="auto"/>
        <w:left w:val="none" w:sz="0" w:space="0" w:color="auto"/>
        <w:bottom w:val="none" w:sz="0" w:space="0" w:color="auto"/>
        <w:right w:val="none" w:sz="0" w:space="0" w:color="auto"/>
      </w:divBdr>
    </w:div>
    <w:div w:id="589851874">
      <w:bodyDiv w:val="1"/>
      <w:marLeft w:val="0"/>
      <w:marRight w:val="0"/>
      <w:marTop w:val="0"/>
      <w:marBottom w:val="0"/>
      <w:divBdr>
        <w:top w:val="none" w:sz="0" w:space="0" w:color="auto"/>
        <w:left w:val="none" w:sz="0" w:space="0" w:color="auto"/>
        <w:bottom w:val="none" w:sz="0" w:space="0" w:color="auto"/>
        <w:right w:val="none" w:sz="0" w:space="0" w:color="auto"/>
      </w:divBdr>
      <w:divsChild>
        <w:div w:id="2140997446">
          <w:marLeft w:val="0"/>
          <w:marRight w:val="0"/>
          <w:marTop w:val="0"/>
          <w:marBottom w:val="0"/>
          <w:divBdr>
            <w:top w:val="none" w:sz="0" w:space="0" w:color="auto"/>
            <w:left w:val="none" w:sz="0" w:space="0" w:color="auto"/>
            <w:bottom w:val="none" w:sz="0" w:space="0" w:color="auto"/>
            <w:right w:val="none" w:sz="0" w:space="0" w:color="auto"/>
          </w:divBdr>
          <w:divsChild>
            <w:div w:id="1846624137">
              <w:marLeft w:val="0"/>
              <w:marRight w:val="0"/>
              <w:marTop w:val="0"/>
              <w:marBottom w:val="0"/>
              <w:divBdr>
                <w:top w:val="none" w:sz="0" w:space="0" w:color="auto"/>
                <w:left w:val="none" w:sz="0" w:space="0" w:color="auto"/>
                <w:bottom w:val="none" w:sz="0" w:space="0" w:color="auto"/>
                <w:right w:val="none" w:sz="0" w:space="0" w:color="auto"/>
              </w:divBdr>
              <w:divsChild>
                <w:div w:id="964891058">
                  <w:marLeft w:val="0"/>
                  <w:marRight w:val="0"/>
                  <w:marTop w:val="0"/>
                  <w:marBottom w:val="0"/>
                  <w:divBdr>
                    <w:top w:val="none" w:sz="0" w:space="0" w:color="auto"/>
                    <w:left w:val="none" w:sz="0" w:space="0" w:color="auto"/>
                    <w:bottom w:val="none" w:sz="0" w:space="0" w:color="auto"/>
                    <w:right w:val="none" w:sz="0" w:space="0" w:color="auto"/>
                  </w:divBdr>
                  <w:divsChild>
                    <w:div w:id="49310922">
                      <w:marLeft w:val="150"/>
                      <w:marRight w:val="150"/>
                      <w:marTop w:val="0"/>
                      <w:marBottom w:val="525"/>
                      <w:divBdr>
                        <w:top w:val="none" w:sz="0" w:space="0" w:color="auto"/>
                        <w:left w:val="none" w:sz="0" w:space="0" w:color="auto"/>
                        <w:bottom w:val="none" w:sz="0" w:space="0" w:color="auto"/>
                        <w:right w:val="none" w:sz="0" w:space="0" w:color="auto"/>
                      </w:divBdr>
                      <w:divsChild>
                        <w:div w:id="832256297">
                          <w:marLeft w:val="0"/>
                          <w:marRight w:val="0"/>
                          <w:marTop w:val="0"/>
                          <w:marBottom w:val="450"/>
                          <w:divBdr>
                            <w:top w:val="none" w:sz="0" w:space="0" w:color="auto"/>
                            <w:left w:val="none" w:sz="0" w:space="0" w:color="auto"/>
                            <w:bottom w:val="none" w:sz="0" w:space="0" w:color="auto"/>
                            <w:right w:val="none" w:sz="0" w:space="0" w:color="auto"/>
                          </w:divBdr>
                          <w:divsChild>
                            <w:div w:id="819267169">
                              <w:marLeft w:val="0"/>
                              <w:marRight w:val="0"/>
                              <w:marTop w:val="0"/>
                              <w:marBottom w:val="0"/>
                              <w:divBdr>
                                <w:top w:val="none" w:sz="0" w:space="0" w:color="auto"/>
                                <w:left w:val="none" w:sz="0" w:space="0" w:color="auto"/>
                                <w:bottom w:val="none" w:sz="0" w:space="0" w:color="auto"/>
                                <w:right w:val="none" w:sz="0" w:space="0" w:color="auto"/>
                              </w:divBdr>
                              <w:divsChild>
                                <w:div w:id="1260874087">
                                  <w:marLeft w:val="0"/>
                                  <w:marRight w:val="0"/>
                                  <w:marTop w:val="0"/>
                                  <w:marBottom w:val="0"/>
                                  <w:divBdr>
                                    <w:top w:val="none" w:sz="0" w:space="0" w:color="auto"/>
                                    <w:left w:val="none" w:sz="0" w:space="0" w:color="auto"/>
                                    <w:bottom w:val="none" w:sz="0" w:space="0" w:color="auto"/>
                                    <w:right w:val="none" w:sz="0" w:space="0" w:color="auto"/>
                                  </w:divBdr>
                                  <w:divsChild>
                                    <w:div w:id="829716941">
                                      <w:marLeft w:val="0"/>
                                      <w:marRight w:val="0"/>
                                      <w:marTop w:val="0"/>
                                      <w:marBottom w:val="0"/>
                                      <w:divBdr>
                                        <w:top w:val="none" w:sz="0" w:space="0" w:color="auto"/>
                                        <w:left w:val="none" w:sz="0" w:space="0" w:color="auto"/>
                                        <w:bottom w:val="none" w:sz="0" w:space="0" w:color="auto"/>
                                        <w:right w:val="none" w:sz="0" w:space="0" w:color="auto"/>
                                      </w:divBdr>
                                      <w:divsChild>
                                        <w:div w:id="2070878951">
                                          <w:marLeft w:val="0"/>
                                          <w:marRight w:val="0"/>
                                          <w:marTop w:val="0"/>
                                          <w:marBottom w:val="0"/>
                                          <w:divBdr>
                                            <w:top w:val="none" w:sz="0" w:space="0" w:color="auto"/>
                                            <w:left w:val="none" w:sz="0" w:space="0" w:color="auto"/>
                                            <w:bottom w:val="none" w:sz="0" w:space="0" w:color="auto"/>
                                            <w:right w:val="none" w:sz="0" w:space="0" w:color="auto"/>
                                          </w:divBdr>
                                          <w:divsChild>
                                            <w:div w:id="921644919">
                                              <w:marLeft w:val="0"/>
                                              <w:marRight w:val="0"/>
                                              <w:marTop w:val="0"/>
                                              <w:marBottom w:val="0"/>
                                              <w:divBdr>
                                                <w:top w:val="none" w:sz="0" w:space="0" w:color="auto"/>
                                                <w:left w:val="none" w:sz="0" w:space="0" w:color="auto"/>
                                                <w:bottom w:val="none" w:sz="0" w:space="0" w:color="auto"/>
                                                <w:right w:val="none" w:sz="0" w:space="0" w:color="auto"/>
                                              </w:divBdr>
                                              <w:divsChild>
                                                <w:div w:id="38867287">
                                                  <w:marLeft w:val="0"/>
                                                  <w:marRight w:val="0"/>
                                                  <w:marTop w:val="0"/>
                                                  <w:marBottom w:val="0"/>
                                                  <w:divBdr>
                                                    <w:top w:val="none" w:sz="0" w:space="0" w:color="auto"/>
                                                    <w:left w:val="none" w:sz="0" w:space="0" w:color="auto"/>
                                                    <w:bottom w:val="none" w:sz="0" w:space="0" w:color="auto"/>
                                                    <w:right w:val="none" w:sz="0" w:space="0" w:color="auto"/>
                                                  </w:divBdr>
                                                  <w:divsChild>
                                                    <w:div w:id="187014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8391906">
      <w:bodyDiv w:val="1"/>
      <w:marLeft w:val="0"/>
      <w:marRight w:val="0"/>
      <w:marTop w:val="0"/>
      <w:marBottom w:val="0"/>
      <w:divBdr>
        <w:top w:val="none" w:sz="0" w:space="0" w:color="auto"/>
        <w:left w:val="none" w:sz="0" w:space="0" w:color="auto"/>
        <w:bottom w:val="none" w:sz="0" w:space="0" w:color="auto"/>
        <w:right w:val="none" w:sz="0" w:space="0" w:color="auto"/>
      </w:divBdr>
      <w:divsChild>
        <w:div w:id="672952175">
          <w:marLeft w:val="1166"/>
          <w:marRight w:val="0"/>
          <w:marTop w:val="96"/>
          <w:marBottom w:val="0"/>
          <w:divBdr>
            <w:top w:val="none" w:sz="0" w:space="0" w:color="auto"/>
            <w:left w:val="none" w:sz="0" w:space="0" w:color="auto"/>
            <w:bottom w:val="none" w:sz="0" w:space="0" w:color="auto"/>
            <w:right w:val="none" w:sz="0" w:space="0" w:color="auto"/>
          </w:divBdr>
        </w:div>
      </w:divsChild>
    </w:div>
    <w:div w:id="655763843">
      <w:bodyDiv w:val="1"/>
      <w:marLeft w:val="0"/>
      <w:marRight w:val="0"/>
      <w:marTop w:val="0"/>
      <w:marBottom w:val="0"/>
      <w:divBdr>
        <w:top w:val="none" w:sz="0" w:space="0" w:color="auto"/>
        <w:left w:val="none" w:sz="0" w:space="0" w:color="auto"/>
        <w:bottom w:val="none" w:sz="0" w:space="0" w:color="auto"/>
        <w:right w:val="none" w:sz="0" w:space="0" w:color="auto"/>
      </w:divBdr>
    </w:div>
    <w:div w:id="668558692">
      <w:bodyDiv w:val="1"/>
      <w:marLeft w:val="0"/>
      <w:marRight w:val="0"/>
      <w:marTop w:val="0"/>
      <w:marBottom w:val="0"/>
      <w:divBdr>
        <w:top w:val="none" w:sz="0" w:space="0" w:color="auto"/>
        <w:left w:val="none" w:sz="0" w:space="0" w:color="auto"/>
        <w:bottom w:val="none" w:sz="0" w:space="0" w:color="auto"/>
        <w:right w:val="none" w:sz="0" w:space="0" w:color="auto"/>
      </w:divBdr>
      <w:divsChild>
        <w:div w:id="1636788372">
          <w:marLeft w:val="0"/>
          <w:marRight w:val="0"/>
          <w:marTop w:val="0"/>
          <w:marBottom w:val="0"/>
          <w:divBdr>
            <w:top w:val="none" w:sz="0" w:space="0" w:color="auto"/>
            <w:left w:val="none" w:sz="0" w:space="0" w:color="auto"/>
            <w:bottom w:val="none" w:sz="0" w:space="0" w:color="auto"/>
            <w:right w:val="none" w:sz="0" w:space="0" w:color="auto"/>
          </w:divBdr>
          <w:divsChild>
            <w:div w:id="1083453342">
              <w:marLeft w:val="0"/>
              <w:marRight w:val="0"/>
              <w:marTop w:val="0"/>
              <w:marBottom w:val="0"/>
              <w:divBdr>
                <w:top w:val="none" w:sz="0" w:space="0" w:color="auto"/>
                <w:left w:val="none" w:sz="0" w:space="0" w:color="auto"/>
                <w:bottom w:val="none" w:sz="0" w:space="0" w:color="auto"/>
                <w:right w:val="none" w:sz="0" w:space="0" w:color="auto"/>
              </w:divBdr>
              <w:divsChild>
                <w:div w:id="769856982">
                  <w:marLeft w:val="0"/>
                  <w:marRight w:val="0"/>
                  <w:marTop w:val="960"/>
                  <w:marBottom w:val="0"/>
                  <w:divBdr>
                    <w:top w:val="none" w:sz="0" w:space="0" w:color="auto"/>
                    <w:left w:val="none" w:sz="0" w:space="0" w:color="auto"/>
                    <w:bottom w:val="none" w:sz="0" w:space="0" w:color="auto"/>
                    <w:right w:val="none" w:sz="0" w:space="0" w:color="auto"/>
                  </w:divBdr>
                  <w:divsChild>
                    <w:div w:id="42145705">
                      <w:marLeft w:val="0"/>
                      <w:marRight w:val="0"/>
                      <w:marTop w:val="0"/>
                      <w:marBottom w:val="0"/>
                      <w:divBdr>
                        <w:top w:val="none" w:sz="0" w:space="0" w:color="auto"/>
                        <w:left w:val="none" w:sz="0" w:space="0" w:color="auto"/>
                        <w:bottom w:val="none" w:sz="0" w:space="0" w:color="auto"/>
                        <w:right w:val="none" w:sz="0" w:space="0" w:color="auto"/>
                      </w:divBdr>
                      <w:divsChild>
                        <w:div w:id="86662024">
                          <w:marLeft w:val="0"/>
                          <w:marRight w:val="0"/>
                          <w:marTop w:val="0"/>
                          <w:marBottom w:val="0"/>
                          <w:divBdr>
                            <w:top w:val="none" w:sz="0" w:space="0" w:color="auto"/>
                            <w:left w:val="none" w:sz="0" w:space="0" w:color="auto"/>
                            <w:bottom w:val="none" w:sz="0" w:space="0" w:color="auto"/>
                            <w:right w:val="none" w:sz="0" w:space="0" w:color="auto"/>
                          </w:divBdr>
                          <w:divsChild>
                            <w:div w:id="438379873">
                              <w:marLeft w:val="0"/>
                              <w:marRight w:val="0"/>
                              <w:marTop w:val="0"/>
                              <w:marBottom w:val="0"/>
                              <w:divBdr>
                                <w:top w:val="none" w:sz="0" w:space="0" w:color="auto"/>
                                <w:left w:val="none" w:sz="0" w:space="0" w:color="auto"/>
                                <w:bottom w:val="none" w:sz="0" w:space="0" w:color="auto"/>
                                <w:right w:val="none" w:sz="0" w:space="0" w:color="auto"/>
                              </w:divBdr>
                              <w:divsChild>
                                <w:div w:id="1210917581">
                                  <w:marLeft w:val="0"/>
                                  <w:marRight w:val="0"/>
                                  <w:marTop w:val="0"/>
                                  <w:marBottom w:val="0"/>
                                  <w:divBdr>
                                    <w:top w:val="none" w:sz="0" w:space="0" w:color="auto"/>
                                    <w:left w:val="none" w:sz="0" w:space="0" w:color="auto"/>
                                    <w:bottom w:val="none" w:sz="0" w:space="0" w:color="auto"/>
                                    <w:right w:val="none" w:sz="0" w:space="0" w:color="auto"/>
                                  </w:divBdr>
                                  <w:divsChild>
                                    <w:div w:id="332991978">
                                      <w:marLeft w:val="0"/>
                                      <w:marRight w:val="0"/>
                                      <w:marTop w:val="0"/>
                                      <w:marBottom w:val="0"/>
                                      <w:divBdr>
                                        <w:top w:val="none" w:sz="0" w:space="0" w:color="auto"/>
                                        <w:left w:val="none" w:sz="0" w:space="0" w:color="auto"/>
                                        <w:bottom w:val="none" w:sz="0" w:space="0" w:color="auto"/>
                                        <w:right w:val="none" w:sz="0" w:space="0" w:color="auto"/>
                                      </w:divBdr>
                                      <w:divsChild>
                                        <w:div w:id="1070662406">
                                          <w:marLeft w:val="0"/>
                                          <w:marRight w:val="0"/>
                                          <w:marTop w:val="0"/>
                                          <w:marBottom w:val="0"/>
                                          <w:divBdr>
                                            <w:top w:val="none" w:sz="0" w:space="0" w:color="auto"/>
                                            <w:left w:val="none" w:sz="0" w:space="0" w:color="auto"/>
                                            <w:bottom w:val="none" w:sz="0" w:space="0" w:color="auto"/>
                                            <w:right w:val="none" w:sz="0" w:space="0" w:color="auto"/>
                                          </w:divBdr>
                                        </w:div>
                                        <w:div w:id="1915121172">
                                          <w:marLeft w:val="0"/>
                                          <w:marRight w:val="0"/>
                                          <w:marTop w:val="0"/>
                                          <w:marBottom w:val="0"/>
                                          <w:divBdr>
                                            <w:top w:val="none" w:sz="0" w:space="0" w:color="auto"/>
                                            <w:left w:val="none" w:sz="0" w:space="0" w:color="auto"/>
                                            <w:bottom w:val="none" w:sz="0" w:space="0" w:color="auto"/>
                                            <w:right w:val="none" w:sz="0" w:space="0" w:color="auto"/>
                                          </w:divBdr>
                                        </w:div>
                                        <w:div w:id="20553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841820">
      <w:bodyDiv w:val="1"/>
      <w:marLeft w:val="0"/>
      <w:marRight w:val="0"/>
      <w:marTop w:val="0"/>
      <w:marBottom w:val="0"/>
      <w:divBdr>
        <w:top w:val="none" w:sz="0" w:space="0" w:color="auto"/>
        <w:left w:val="none" w:sz="0" w:space="0" w:color="auto"/>
        <w:bottom w:val="none" w:sz="0" w:space="0" w:color="auto"/>
        <w:right w:val="none" w:sz="0" w:space="0" w:color="auto"/>
      </w:divBdr>
      <w:divsChild>
        <w:div w:id="396561597">
          <w:marLeft w:val="0"/>
          <w:marRight w:val="0"/>
          <w:marTop w:val="0"/>
          <w:marBottom w:val="0"/>
          <w:divBdr>
            <w:top w:val="none" w:sz="0" w:space="0" w:color="auto"/>
            <w:left w:val="none" w:sz="0" w:space="0" w:color="auto"/>
            <w:bottom w:val="none" w:sz="0" w:space="0" w:color="auto"/>
            <w:right w:val="none" w:sz="0" w:space="0" w:color="auto"/>
          </w:divBdr>
          <w:divsChild>
            <w:div w:id="2113276359">
              <w:marLeft w:val="0"/>
              <w:marRight w:val="0"/>
              <w:marTop w:val="0"/>
              <w:marBottom w:val="0"/>
              <w:divBdr>
                <w:top w:val="none" w:sz="0" w:space="0" w:color="auto"/>
                <w:left w:val="none" w:sz="0" w:space="0" w:color="auto"/>
                <w:bottom w:val="none" w:sz="0" w:space="0" w:color="auto"/>
                <w:right w:val="none" w:sz="0" w:space="0" w:color="auto"/>
              </w:divBdr>
              <w:divsChild>
                <w:div w:id="526263111">
                  <w:marLeft w:val="0"/>
                  <w:marRight w:val="0"/>
                  <w:marTop w:val="0"/>
                  <w:marBottom w:val="0"/>
                  <w:divBdr>
                    <w:top w:val="none" w:sz="0" w:space="0" w:color="auto"/>
                    <w:left w:val="none" w:sz="0" w:space="0" w:color="auto"/>
                    <w:bottom w:val="none" w:sz="0" w:space="0" w:color="auto"/>
                    <w:right w:val="none" w:sz="0" w:space="0" w:color="auto"/>
                  </w:divBdr>
                  <w:divsChild>
                    <w:div w:id="1500194005">
                      <w:marLeft w:val="-225"/>
                      <w:marRight w:val="-225"/>
                      <w:marTop w:val="0"/>
                      <w:marBottom w:val="0"/>
                      <w:divBdr>
                        <w:top w:val="none" w:sz="0" w:space="0" w:color="auto"/>
                        <w:left w:val="none" w:sz="0" w:space="0" w:color="auto"/>
                        <w:bottom w:val="none" w:sz="0" w:space="0" w:color="auto"/>
                        <w:right w:val="none" w:sz="0" w:space="0" w:color="auto"/>
                      </w:divBdr>
                      <w:divsChild>
                        <w:div w:id="1372805686">
                          <w:marLeft w:val="0"/>
                          <w:marRight w:val="0"/>
                          <w:marTop w:val="0"/>
                          <w:marBottom w:val="0"/>
                          <w:divBdr>
                            <w:top w:val="none" w:sz="0" w:space="0" w:color="auto"/>
                            <w:left w:val="none" w:sz="0" w:space="0" w:color="auto"/>
                            <w:bottom w:val="none" w:sz="0" w:space="0" w:color="auto"/>
                            <w:right w:val="none" w:sz="0" w:space="0" w:color="auto"/>
                          </w:divBdr>
                          <w:divsChild>
                            <w:div w:id="1801874218">
                              <w:marLeft w:val="0"/>
                              <w:marRight w:val="0"/>
                              <w:marTop w:val="0"/>
                              <w:marBottom w:val="0"/>
                              <w:divBdr>
                                <w:top w:val="none" w:sz="0" w:space="0" w:color="auto"/>
                                <w:left w:val="none" w:sz="0" w:space="0" w:color="auto"/>
                                <w:bottom w:val="none" w:sz="0" w:space="0" w:color="auto"/>
                                <w:right w:val="none" w:sz="0" w:space="0" w:color="auto"/>
                              </w:divBdr>
                              <w:divsChild>
                                <w:div w:id="781732859">
                                  <w:marLeft w:val="-225"/>
                                  <w:marRight w:val="-225"/>
                                  <w:marTop w:val="0"/>
                                  <w:marBottom w:val="0"/>
                                  <w:divBdr>
                                    <w:top w:val="none" w:sz="0" w:space="0" w:color="auto"/>
                                    <w:left w:val="none" w:sz="0" w:space="0" w:color="auto"/>
                                    <w:bottom w:val="none" w:sz="0" w:space="0" w:color="auto"/>
                                    <w:right w:val="none" w:sz="0" w:space="0" w:color="auto"/>
                                  </w:divBdr>
                                  <w:divsChild>
                                    <w:div w:id="130503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828767">
      <w:marLeft w:val="0"/>
      <w:marRight w:val="0"/>
      <w:marTop w:val="0"/>
      <w:marBottom w:val="0"/>
      <w:divBdr>
        <w:top w:val="none" w:sz="0" w:space="0" w:color="auto"/>
        <w:left w:val="none" w:sz="0" w:space="0" w:color="auto"/>
        <w:bottom w:val="none" w:sz="0" w:space="0" w:color="auto"/>
        <w:right w:val="none" w:sz="0" w:space="0" w:color="auto"/>
      </w:divBdr>
    </w:div>
    <w:div w:id="721828915">
      <w:bodyDiv w:val="1"/>
      <w:marLeft w:val="0"/>
      <w:marRight w:val="0"/>
      <w:marTop w:val="0"/>
      <w:marBottom w:val="0"/>
      <w:divBdr>
        <w:top w:val="none" w:sz="0" w:space="0" w:color="auto"/>
        <w:left w:val="none" w:sz="0" w:space="0" w:color="auto"/>
        <w:bottom w:val="none" w:sz="0" w:space="0" w:color="auto"/>
        <w:right w:val="none" w:sz="0" w:space="0" w:color="auto"/>
      </w:divBdr>
      <w:divsChild>
        <w:div w:id="2006591272">
          <w:marLeft w:val="0"/>
          <w:marRight w:val="0"/>
          <w:marTop w:val="0"/>
          <w:marBottom w:val="225"/>
          <w:divBdr>
            <w:top w:val="none" w:sz="0" w:space="0" w:color="auto"/>
            <w:left w:val="none" w:sz="0" w:space="0" w:color="auto"/>
            <w:bottom w:val="none" w:sz="0" w:space="0" w:color="auto"/>
            <w:right w:val="none" w:sz="0" w:space="0" w:color="auto"/>
          </w:divBdr>
          <w:divsChild>
            <w:div w:id="879321738">
              <w:marLeft w:val="0"/>
              <w:marRight w:val="0"/>
              <w:marTop w:val="0"/>
              <w:marBottom w:val="0"/>
              <w:divBdr>
                <w:top w:val="none" w:sz="0" w:space="0" w:color="auto"/>
                <w:left w:val="none" w:sz="0" w:space="0" w:color="auto"/>
                <w:bottom w:val="none" w:sz="0" w:space="0" w:color="auto"/>
                <w:right w:val="none" w:sz="0" w:space="0" w:color="auto"/>
              </w:divBdr>
              <w:divsChild>
                <w:div w:id="837620178">
                  <w:marLeft w:val="0"/>
                  <w:marRight w:val="0"/>
                  <w:marTop w:val="0"/>
                  <w:marBottom w:val="0"/>
                  <w:divBdr>
                    <w:top w:val="none" w:sz="0" w:space="0" w:color="auto"/>
                    <w:left w:val="none" w:sz="0" w:space="0" w:color="auto"/>
                    <w:bottom w:val="none" w:sz="0" w:space="0" w:color="auto"/>
                    <w:right w:val="none" w:sz="0" w:space="0" w:color="auto"/>
                  </w:divBdr>
                  <w:divsChild>
                    <w:div w:id="1405227497">
                      <w:marLeft w:val="0"/>
                      <w:marRight w:val="4"/>
                      <w:marTop w:val="0"/>
                      <w:marBottom w:val="0"/>
                      <w:divBdr>
                        <w:top w:val="none" w:sz="0" w:space="0" w:color="auto"/>
                        <w:left w:val="none" w:sz="0" w:space="0" w:color="auto"/>
                        <w:bottom w:val="none" w:sz="0" w:space="0" w:color="auto"/>
                        <w:right w:val="none" w:sz="0" w:space="0" w:color="auto"/>
                      </w:divBdr>
                      <w:divsChild>
                        <w:div w:id="121642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677607">
      <w:bodyDiv w:val="1"/>
      <w:marLeft w:val="0"/>
      <w:marRight w:val="0"/>
      <w:marTop w:val="0"/>
      <w:marBottom w:val="0"/>
      <w:divBdr>
        <w:top w:val="none" w:sz="0" w:space="0" w:color="auto"/>
        <w:left w:val="none" w:sz="0" w:space="0" w:color="auto"/>
        <w:bottom w:val="none" w:sz="0" w:space="0" w:color="auto"/>
        <w:right w:val="none" w:sz="0" w:space="0" w:color="auto"/>
      </w:divBdr>
      <w:divsChild>
        <w:div w:id="894924556">
          <w:marLeft w:val="0"/>
          <w:marRight w:val="0"/>
          <w:marTop w:val="0"/>
          <w:marBottom w:val="0"/>
          <w:divBdr>
            <w:top w:val="none" w:sz="0" w:space="0" w:color="auto"/>
            <w:left w:val="none" w:sz="0" w:space="0" w:color="auto"/>
            <w:bottom w:val="none" w:sz="0" w:space="0" w:color="auto"/>
            <w:right w:val="none" w:sz="0" w:space="0" w:color="auto"/>
          </w:divBdr>
          <w:divsChild>
            <w:div w:id="1365211760">
              <w:marLeft w:val="0"/>
              <w:marRight w:val="0"/>
              <w:marTop w:val="0"/>
              <w:marBottom w:val="0"/>
              <w:divBdr>
                <w:top w:val="none" w:sz="0" w:space="0" w:color="auto"/>
                <w:left w:val="none" w:sz="0" w:space="0" w:color="auto"/>
                <w:bottom w:val="none" w:sz="0" w:space="0" w:color="auto"/>
                <w:right w:val="none" w:sz="0" w:space="0" w:color="auto"/>
              </w:divBdr>
              <w:divsChild>
                <w:div w:id="662464621">
                  <w:marLeft w:val="0"/>
                  <w:marRight w:val="0"/>
                  <w:marTop w:val="0"/>
                  <w:marBottom w:val="0"/>
                  <w:divBdr>
                    <w:top w:val="none" w:sz="0" w:space="0" w:color="auto"/>
                    <w:left w:val="none" w:sz="0" w:space="0" w:color="auto"/>
                    <w:bottom w:val="none" w:sz="0" w:space="0" w:color="auto"/>
                    <w:right w:val="none" w:sz="0" w:space="0" w:color="auto"/>
                  </w:divBdr>
                  <w:divsChild>
                    <w:div w:id="994800369">
                      <w:marLeft w:val="0"/>
                      <w:marRight w:val="0"/>
                      <w:marTop w:val="0"/>
                      <w:marBottom w:val="0"/>
                      <w:divBdr>
                        <w:top w:val="none" w:sz="0" w:space="0" w:color="auto"/>
                        <w:left w:val="none" w:sz="0" w:space="0" w:color="auto"/>
                        <w:bottom w:val="none" w:sz="0" w:space="0" w:color="auto"/>
                        <w:right w:val="none" w:sz="0" w:space="0" w:color="auto"/>
                      </w:divBdr>
                      <w:divsChild>
                        <w:div w:id="1464421299">
                          <w:marLeft w:val="0"/>
                          <w:marRight w:val="0"/>
                          <w:marTop w:val="0"/>
                          <w:marBottom w:val="240"/>
                          <w:divBdr>
                            <w:top w:val="none" w:sz="0" w:space="0" w:color="auto"/>
                            <w:left w:val="none" w:sz="0" w:space="0" w:color="auto"/>
                            <w:bottom w:val="none" w:sz="0" w:space="0" w:color="auto"/>
                            <w:right w:val="none" w:sz="0" w:space="0" w:color="auto"/>
                          </w:divBdr>
                          <w:divsChild>
                            <w:div w:id="620914204">
                              <w:marLeft w:val="0"/>
                              <w:marRight w:val="0"/>
                              <w:marTop w:val="0"/>
                              <w:marBottom w:val="0"/>
                              <w:divBdr>
                                <w:top w:val="none" w:sz="0" w:space="0" w:color="auto"/>
                                <w:left w:val="none" w:sz="0" w:space="0" w:color="auto"/>
                                <w:bottom w:val="none" w:sz="0" w:space="0" w:color="auto"/>
                                <w:right w:val="none" w:sz="0" w:space="0" w:color="auto"/>
                              </w:divBdr>
                              <w:divsChild>
                                <w:div w:id="409351696">
                                  <w:marLeft w:val="0"/>
                                  <w:marRight w:val="0"/>
                                  <w:marTop w:val="0"/>
                                  <w:marBottom w:val="0"/>
                                  <w:divBdr>
                                    <w:top w:val="none" w:sz="0" w:space="0" w:color="auto"/>
                                    <w:left w:val="none" w:sz="0" w:space="0" w:color="auto"/>
                                    <w:bottom w:val="none" w:sz="0" w:space="0" w:color="auto"/>
                                    <w:right w:val="none" w:sz="0" w:space="0" w:color="auto"/>
                                  </w:divBdr>
                                  <w:divsChild>
                                    <w:div w:id="131946279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431522">
      <w:bodyDiv w:val="1"/>
      <w:marLeft w:val="0"/>
      <w:marRight w:val="0"/>
      <w:marTop w:val="0"/>
      <w:marBottom w:val="0"/>
      <w:divBdr>
        <w:top w:val="none" w:sz="0" w:space="0" w:color="auto"/>
        <w:left w:val="none" w:sz="0" w:space="0" w:color="auto"/>
        <w:bottom w:val="none" w:sz="0" w:space="0" w:color="auto"/>
        <w:right w:val="none" w:sz="0" w:space="0" w:color="auto"/>
      </w:divBdr>
    </w:div>
    <w:div w:id="767307802">
      <w:bodyDiv w:val="1"/>
      <w:marLeft w:val="0"/>
      <w:marRight w:val="0"/>
      <w:marTop w:val="0"/>
      <w:marBottom w:val="0"/>
      <w:divBdr>
        <w:top w:val="none" w:sz="0" w:space="0" w:color="auto"/>
        <w:left w:val="none" w:sz="0" w:space="0" w:color="auto"/>
        <w:bottom w:val="none" w:sz="0" w:space="0" w:color="auto"/>
        <w:right w:val="none" w:sz="0" w:space="0" w:color="auto"/>
      </w:divBdr>
      <w:divsChild>
        <w:div w:id="2122797550">
          <w:marLeft w:val="0"/>
          <w:marRight w:val="0"/>
          <w:marTop w:val="0"/>
          <w:marBottom w:val="0"/>
          <w:divBdr>
            <w:top w:val="none" w:sz="0" w:space="0" w:color="auto"/>
            <w:left w:val="none" w:sz="0" w:space="0" w:color="auto"/>
            <w:bottom w:val="none" w:sz="0" w:space="0" w:color="auto"/>
            <w:right w:val="none" w:sz="0" w:space="0" w:color="auto"/>
          </w:divBdr>
          <w:divsChild>
            <w:div w:id="687174437">
              <w:marLeft w:val="0"/>
              <w:marRight w:val="0"/>
              <w:marTop w:val="0"/>
              <w:marBottom w:val="0"/>
              <w:divBdr>
                <w:top w:val="none" w:sz="0" w:space="0" w:color="auto"/>
                <w:left w:val="none" w:sz="0" w:space="0" w:color="auto"/>
                <w:bottom w:val="none" w:sz="0" w:space="0" w:color="auto"/>
                <w:right w:val="none" w:sz="0" w:space="0" w:color="auto"/>
              </w:divBdr>
              <w:divsChild>
                <w:div w:id="970746048">
                  <w:marLeft w:val="0"/>
                  <w:marRight w:val="300"/>
                  <w:marTop w:val="0"/>
                  <w:marBottom w:val="0"/>
                  <w:divBdr>
                    <w:top w:val="none" w:sz="0" w:space="0" w:color="auto"/>
                    <w:left w:val="none" w:sz="0" w:space="0" w:color="auto"/>
                    <w:bottom w:val="none" w:sz="0" w:space="0" w:color="auto"/>
                    <w:right w:val="none" w:sz="0" w:space="0" w:color="auto"/>
                  </w:divBdr>
                  <w:divsChild>
                    <w:div w:id="444471693">
                      <w:marLeft w:val="0"/>
                      <w:marRight w:val="0"/>
                      <w:marTop w:val="0"/>
                      <w:marBottom w:val="0"/>
                      <w:divBdr>
                        <w:top w:val="none" w:sz="0" w:space="0" w:color="auto"/>
                        <w:left w:val="none" w:sz="0" w:space="0" w:color="auto"/>
                        <w:bottom w:val="none" w:sz="0" w:space="0" w:color="auto"/>
                        <w:right w:val="none" w:sz="0" w:space="0" w:color="auto"/>
                      </w:divBdr>
                      <w:divsChild>
                        <w:div w:id="678778186">
                          <w:marLeft w:val="0"/>
                          <w:marRight w:val="0"/>
                          <w:marTop w:val="0"/>
                          <w:marBottom w:val="0"/>
                          <w:divBdr>
                            <w:top w:val="none" w:sz="0" w:space="0" w:color="auto"/>
                            <w:left w:val="none" w:sz="0" w:space="0" w:color="auto"/>
                            <w:bottom w:val="none" w:sz="0" w:space="0" w:color="auto"/>
                            <w:right w:val="none" w:sz="0" w:space="0" w:color="auto"/>
                          </w:divBdr>
                          <w:divsChild>
                            <w:div w:id="885795577">
                              <w:marLeft w:val="0"/>
                              <w:marRight w:val="0"/>
                              <w:marTop w:val="0"/>
                              <w:marBottom w:val="0"/>
                              <w:divBdr>
                                <w:top w:val="none" w:sz="0" w:space="0" w:color="auto"/>
                                <w:left w:val="none" w:sz="0" w:space="0" w:color="auto"/>
                                <w:bottom w:val="none" w:sz="0" w:space="0" w:color="auto"/>
                                <w:right w:val="none" w:sz="0" w:space="0" w:color="auto"/>
                              </w:divBdr>
                              <w:divsChild>
                                <w:div w:id="1872568343">
                                  <w:marLeft w:val="0"/>
                                  <w:marRight w:val="0"/>
                                  <w:marTop w:val="0"/>
                                  <w:marBottom w:val="0"/>
                                  <w:divBdr>
                                    <w:top w:val="none" w:sz="0" w:space="0" w:color="auto"/>
                                    <w:left w:val="none" w:sz="0" w:space="0" w:color="auto"/>
                                    <w:bottom w:val="none" w:sz="0" w:space="0" w:color="auto"/>
                                    <w:right w:val="none" w:sz="0" w:space="0" w:color="auto"/>
                                  </w:divBdr>
                                  <w:divsChild>
                                    <w:div w:id="2729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688218">
      <w:bodyDiv w:val="1"/>
      <w:marLeft w:val="0"/>
      <w:marRight w:val="0"/>
      <w:marTop w:val="0"/>
      <w:marBottom w:val="0"/>
      <w:divBdr>
        <w:top w:val="none" w:sz="0" w:space="0" w:color="auto"/>
        <w:left w:val="none" w:sz="0" w:space="0" w:color="auto"/>
        <w:bottom w:val="none" w:sz="0" w:space="0" w:color="auto"/>
        <w:right w:val="none" w:sz="0" w:space="0" w:color="auto"/>
      </w:divBdr>
    </w:div>
    <w:div w:id="891307656">
      <w:bodyDiv w:val="1"/>
      <w:marLeft w:val="0"/>
      <w:marRight w:val="0"/>
      <w:marTop w:val="0"/>
      <w:marBottom w:val="0"/>
      <w:divBdr>
        <w:top w:val="none" w:sz="0" w:space="0" w:color="auto"/>
        <w:left w:val="none" w:sz="0" w:space="0" w:color="auto"/>
        <w:bottom w:val="none" w:sz="0" w:space="0" w:color="auto"/>
        <w:right w:val="none" w:sz="0" w:space="0" w:color="auto"/>
      </w:divBdr>
      <w:divsChild>
        <w:div w:id="396828985">
          <w:marLeft w:val="0"/>
          <w:marRight w:val="0"/>
          <w:marTop w:val="0"/>
          <w:marBottom w:val="0"/>
          <w:divBdr>
            <w:top w:val="none" w:sz="0" w:space="0" w:color="auto"/>
            <w:left w:val="none" w:sz="0" w:space="0" w:color="auto"/>
            <w:bottom w:val="none" w:sz="0" w:space="0" w:color="auto"/>
            <w:right w:val="none" w:sz="0" w:space="0" w:color="auto"/>
          </w:divBdr>
        </w:div>
      </w:divsChild>
    </w:div>
    <w:div w:id="897741128">
      <w:bodyDiv w:val="1"/>
      <w:marLeft w:val="0"/>
      <w:marRight w:val="0"/>
      <w:marTop w:val="0"/>
      <w:marBottom w:val="0"/>
      <w:divBdr>
        <w:top w:val="none" w:sz="0" w:space="0" w:color="auto"/>
        <w:left w:val="none" w:sz="0" w:space="0" w:color="auto"/>
        <w:bottom w:val="none" w:sz="0" w:space="0" w:color="auto"/>
        <w:right w:val="none" w:sz="0" w:space="0" w:color="auto"/>
      </w:divBdr>
      <w:divsChild>
        <w:div w:id="111218193">
          <w:marLeft w:val="0"/>
          <w:marRight w:val="0"/>
          <w:marTop w:val="0"/>
          <w:marBottom w:val="0"/>
          <w:divBdr>
            <w:top w:val="none" w:sz="0" w:space="0" w:color="auto"/>
            <w:left w:val="none" w:sz="0" w:space="0" w:color="auto"/>
            <w:bottom w:val="none" w:sz="0" w:space="0" w:color="auto"/>
            <w:right w:val="none" w:sz="0" w:space="0" w:color="auto"/>
          </w:divBdr>
          <w:divsChild>
            <w:div w:id="463350193">
              <w:marLeft w:val="0"/>
              <w:marRight w:val="0"/>
              <w:marTop w:val="0"/>
              <w:marBottom w:val="0"/>
              <w:divBdr>
                <w:top w:val="none" w:sz="0" w:space="0" w:color="auto"/>
                <w:left w:val="none" w:sz="0" w:space="0" w:color="auto"/>
                <w:bottom w:val="none" w:sz="0" w:space="0" w:color="auto"/>
                <w:right w:val="none" w:sz="0" w:space="0" w:color="auto"/>
              </w:divBdr>
              <w:divsChild>
                <w:div w:id="208297798">
                  <w:marLeft w:val="0"/>
                  <w:marRight w:val="0"/>
                  <w:marTop w:val="0"/>
                  <w:marBottom w:val="0"/>
                  <w:divBdr>
                    <w:top w:val="none" w:sz="0" w:space="0" w:color="auto"/>
                    <w:left w:val="none" w:sz="0" w:space="0" w:color="auto"/>
                    <w:bottom w:val="none" w:sz="0" w:space="0" w:color="auto"/>
                    <w:right w:val="none" w:sz="0" w:space="0" w:color="auto"/>
                  </w:divBdr>
                  <w:divsChild>
                    <w:div w:id="183555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06187">
      <w:bodyDiv w:val="1"/>
      <w:marLeft w:val="0"/>
      <w:marRight w:val="0"/>
      <w:marTop w:val="0"/>
      <w:marBottom w:val="0"/>
      <w:divBdr>
        <w:top w:val="none" w:sz="0" w:space="0" w:color="auto"/>
        <w:left w:val="none" w:sz="0" w:space="0" w:color="auto"/>
        <w:bottom w:val="none" w:sz="0" w:space="0" w:color="auto"/>
        <w:right w:val="none" w:sz="0" w:space="0" w:color="auto"/>
      </w:divBdr>
      <w:divsChild>
        <w:div w:id="355810696">
          <w:marLeft w:val="720"/>
          <w:marRight w:val="0"/>
          <w:marTop w:val="125"/>
          <w:marBottom w:val="0"/>
          <w:divBdr>
            <w:top w:val="none" w:sz="0" w:space="0" w:color="auto"/>
            <w:left w:val="none" w:sz="0" w:space="0" w:color="auto"/>
            <w:bottom w:val="none" w:sz="0" w:space="0" w:color="auto"/>
            <w:right w:val="none" w:sz="0" w:space="0" w:color="auto"/>
          </w:divBdr>
        </w:div>
        <w:div w:id="459569430">
          <w:marLeft w:val="720"/>
          <w:marRight w:val="0"/>
          <w:marTop w:val="125"/>
          <w:marBottom w:val="0"/>
          <w:divBdr>
            <w:top w:val="none" w:sz="0" w:space="0" w:color="auto"/>
            <w:left w:val="none" w:sz="0" w:space="0" w:color="auto"/>
            <w:bottom w:val="none" w:sz="0" w:space="0" w:color="auto"/>
            <w:right w:val="none" w:sz="0" w:space="0" w:color="auto"/>
          </w:divBdr>
        </w:div>
        <w:div w:id="479541628">
          <w:marLeft w:val="720"/>
          <w:marRight w:val="0"/>
          <w:marTop w:val="125"/>
          <w:marBottom w:val="0"/>
          <w:divBdr>
            <w:top w:val="none" w:sz="0" w:space="0" w:color="auto"/>
            <w:left w:val="none" w:sz="0" w:space="0" w:color="auto"/>
            <w:bottom w:val="none" w:sz="0" w:space="0" w:color="auto"/>
            <w:right w:val="none" w:sz="0" w:space="0" w:color="auto"/>
          </w:divBdr>
        </w:div>
        <w:div w:id="1216238986">
          <w:marLeft w:val="720"/>
          <w:marRight w:val="0"/>
          <w:marTop w:val="125"/>
          <w:marBottom w:val="0"/>
          <w:divBdr>
            <w:top w:val="none" w:sz="0" w:space="0" w:color="auto"/>
            <w:left w:val="none" w:sz="0" w:space="0" w:color="auto"/>
            <w:bottom w:val="none" w:sz="0" w:space="0" w:color="auto"/>
            <w:right w:val="none" w:sz="0" w:space="0" w:color="auto"/>
          </w:divBdr>
        </w:div>
        <w:div w:id="1857452238">
          <w:marLeft w:val="720"/>
          <w:marRight w:val="0"/>
          <w:marTop w:val="125"/>
          <w:marBottom w:val="0"/>
          <w:divBdr>
            <w:top w:val="none" w:sz="0" w:space="0" w:color="auto"/>
            <w:left w:val="none" w:sz="0" w:space="0" w:color="auto"/>
            <w:bottom w:val="none" w:sz="0" w:space="0" w:color="auto"/>
            <w:right w:val="none" w:sz="0" w:space="0" w:color="auto"/>
          </w:divBdr>
        </w:div>
        <w:div w:id="2017727792">
          <w:marLeft w:val="720"/>
          <w:marRight w:val="0"/>
          <w:marTop w:val="125"/>
          <w:marBottom w:val="0"/>
          <w:divBdr>
            <w:top w:val="none" w:sz="0" w:space="0" w:color="auto"/>
            <w:left w:val="none" w:sz="0" w:space="0" w:color="auto"/>
            <w:bottom w:val="none" w:sz="0" w:space="0" w:color="auto"/>
            <w:right w:val="none" w:sz="0" w:space="0" w:color="auto"/>
          </w:divBdr>
        </w:div>
      </w:divsChild>
    </w:div>
    <w:div w:id="1058289277">
      <w:bodyDiv w:val="1"/>
      <w:marLeft w:val="0"/>
      <w:marRight w:val="0"/>
      <w:marTop w:val="0"/>
      <w:marBottom w:val="0"/>
      <w:divBdr>
        <w:top w:val="none" w:sz="0" w:space="0" w:color="auto"/>
        <w:left w:val="none" w:sz="0" w:space="0" w:color="auto"/>
        <w:bottom w:val="none" w:sz="0" w:space="0" w:color="auto"/>
        <w:right w:val="none" w:sz="0" w:space="0" w:color="auto"/>
      </w:divBdr>
      <w:divsChild>
        <w:div w:id="1054550237">
          <w:marLeft w:val="0"/>
          <w:marRight w:val="0"/>
          <w:marTop w:val="0"/>
          <w:marBottom w:val="0"/>
          <w:divBdr>
            <w:top w:val="none" w:sz="0" w:space="0" w:color="auto"/>
            <w:left w:val="none" w:sz="0" w:space="0" w:color="auto"/>
            <w:bottom w:val="none" w:sz="0" w:space="0" w:color="auto"/>
            <w:right w:val="none" w:sz="0" w:space="0" w:color="auto"/>
          </w:divBdr>
          <w:divsChild>
            <w:div w:id="2039816149">
              <w:marLeft w:val="0"/>
              <w:marRight w:val="0"/>
              <w:marTop w:val="0"/>
              <w:marBottom w:val="0"/>
              <w:divBdr>
                <w:top w:val="none" w:sz="0" w:space="0" w:color="auto"/>
                <w:left w:val="none" w:sz="0" w:space="0" w:color="auto"/>
                <w:bottom w:val="none" w:sz="0" w:space="0" w:color="auto"/>
                <w:right w:val="none" w:sz="0" w:space="0" w:color="auto"/>
              </w:divBdr>
              <w:divsChild>
                <w:div w:id="548998842">
                  <w:marLeft w:val="0"/>
                  <w:marRight w:val="0"/>
                  <w:marTop w:val="960"/>
                  <w:marBottom w:val="0"/>
                  <w:divBdr>
                    <w:top w:val="none" w:sz="0" w:space="0" w:color="auto"/>
                    <w:left w:val="none" w:sz="0" w:space="0" w:color="auto"/>
                    <w:bottom w:val="none" w:sz="0" w:space="0" w:color="auto"/>
                    <w:right w:val="none" w:sz="0" w:space="0" w:color="auto"/>
                  </w:divBdr>
                  <w:divsChild>
                    <w:div w:id="854612879">
                      <w:marLeft w:val="0"/>
                      <w:marRight w:val="0"/>
                      <w:marTop w:val="0"/>
                      <w:marBottom w:val="0"/>
                      <w:divBdr>
                        <w:top w:val="none" w:sz="0" w:space="0" w:color="auto"/>
                        <w:left w:val="none" w:sz="0" w:space="0" w:color="auto"/>
                        <w:bottom w:val="none" w:sz="0" w:space="0" w:color="auto"/>
                        <w:right w:val="none" w:sz="0" w:space="0" w:color="auto"/>
                      </w:divBdr>
                      <w:divsChild>
                        <w:div w:id="1468936380">
                          <w:marLeft w:val="0"/>
                          <w:marRight w:val="0"/>
                          <w:marTop w:val="0"/>
                          <w:marBottom w:val="0"/>
                          <w:divBdr>
                            <w:top w:val="none" w:sz="0" w:space="0" w:color="auto"/>
                            <w:left w:val="none" w:sz="0" w:space="0" w:color="auto"/>
                            <w:bottom w:val="none" w:sz="0" w:space="0" w:color="auto"/>
                            <w:right w:val="none" w:sz="0" w:space="0" w:color="auto"/>
                          </w:divBdr>
                          <w:divsChild>
                            <w:div w:id="117384517">
                              <w:marLeft w:val="0"/>
                              <w:marRight w:val="0"/>
                              <w:marTop w:val="0"/>
                              <w:marBottom w:val="0"/>
                              <w:divBdr>
                                <w:top w:val="none" w:sz="0" w:space="0" w:color="auto"/>
                                <w:left w:val="none" w:sz="0" w:space="0" w:color="auto"/>
                                <w:bottom w:val="none" w:sz="0" w:space="0" w:color="auto"/>
                                <w:right w:val="none" w:sz="0" w:space="0" w:color="auto"/>
                              </w:divBdr>
                              <w:divsChild>
                                <w:div w:id="1465393728">
                                  <w:marLeft w:val="0"/>
                                  <w:marRight w:val="0"/>
                                  <w:marTop w:val="0"/>
                                  <w:marBottom w:val="0"/>
                                  <w:divBdr>
                                    <w:top w:val="none" w:sz="0" w:space="0" w:color="auto"/>
                                    <w:left w:val="none" w:sz="0" w:space="0" w:color="auto"/>
                                    <w:bottom w:val="none" w:sz="0" w:space="0" w:color="auto"/>
                                    <w:right w:val="none" w:sz="0" w:space="0" w:color="auto"/>
                                  </w:divBdr>
                                  <w:divsChild>
                                    <w:div w:id="1523282761">
                                      <w:marLeft w:val="0"/>
                                      <w:marRight w:val="0"/>
                                      <w:marTop w:val="0"/>
                                      <w:marBottom w:val="0"/>
                                      <w:divBdr>
                                        <w:top w:val="none" w:sz="0" w:space="0" w:color="auto"/>
                                        <w:left w:val="none" w:sz="0" w:space="0" w:color="auto"/>
                                        <w:bottom w:val="none" w:sz="0" w:space="0" w:color="auto"/>
                                        <w:right w:val="none" w:sz="0" w:space="0" w:color="auto"/>
                                      </w:divBdr>
                                      <w:divsChild>
                                        <w:div w:id="674648993">
                                          <w:marLeft w:val="0"/>
                                          <w:marRight w:val="0"/>
                                          <w:marTop w:val="0"/>
                                          <w:marBottom w:val="0"/>
                                          <w:divBdr>
                                            <w:top w:val="none" w:sz="0" w:space="0" w:color="auto"/>
                                            <w:left w:val="none" w:sz="0" w:space="0" w:color="auto"/>
                                            <w:bottom w:val="none" w:sz="0" w:space="0" w:color="auto"/>
                                            <w:right w:val="none" w:sz="0" w:space="0" w:color="auto"/>
                                          </w:divBdr>
                                        </w:div>
                                        <w:div w:id="939484620">
                                          <w:marLeft w:val="0"/>
                                          <w:marRight w:val="0"/>
                                          <w:marTop w:val="0"/>
                                          <w:marBottom w:val="0"/>
                                          <w:divBdr>
                                            <w:top w:val="none" w:sz="0" w:space="0" w:color="auto"/>
                                            <w:left w:val="none" w:sz="0" w:space="0" w:color="auto"/>
                                            <w:bottom w:val="none" w:sz="0" w:space="0" w:color="auto"/>
                                            <w:right w:val="none" w:sz="0" w:space="0" w:color="auto"/>
                                          </w:divBdr>
                                        </w:div>
                                        <w:div w:id="1387027110">
                                          <w:marLeft w:val="0"/>
                                          <w:marRight w:val="0"/>
                                          <w:marTop w:val="0"/>
                                          <w:marBottom w:val="0"/>
                                          <w:divBdr>
                                            <w:top w:val="none" w:sz="0" w:space="0" w:color="auto"/>
                                            <w:left w:val="none" w:sz="0" w:space="0" w:color="auto"/>
                                            <w:bottom w:val="none" w:sz="0" w:space="0" w:color="auto"/>
                                            <w:right w:val="none" w:sz="0" w:space="0" w:color="auto"/>
                                          </w:divBdr>
                                        </w:div>
                                        <w:div w:id="1633903007">
                                          <w:marLeft w:val="0"/>
                                          <w:marRight w:val="0"/>
                                          <w:marTop w:val="0"/>
                                          <w:marBottom w:val="0"/>
                                          <w:divBdr>
                                            <w:top w:val="none" w:sz="0" w:space="0" w:color="auto"/>
                                            <w:left w:val="none" w:sz="0" w:space="0" w:color="auto"/>
                                            <w:bottom w:val="none" w:sz="0" w:space="0" w:color="auto"/>
                                            <w:right w:val="none" w:sz="0" w:space="0" w:color="auto"/>
                                          </w:divBdr>
                                        </w:div>
                                        <w:div w:id="1738624121">
                                          <w:marLeft w:val="0"/>
                                          <w:marRight w:val="0"/>
                                          <w:marTop w:val="0"/>
                                          <w:marBottom w:val="0"/>
                                          <w:divBdr>
                                            <w:top w:val="none" w:sz="0" w:space="0" w:color="auto"/>
                                            <w:left w:val="none" w:sz="0" w:space="0" w:color="auto"/>
                                            <w:bottom w:val="none" w:sz="0" w:space="0" w:color="auto"/>
                                            <w:right w:val="none" w:sz="0" w:space="0" w:color="auto"/>
                                          </w:divBdr>
                                        </w:div>
                                        <w:div w:id="196368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363786">
      <w:bodyDiv w:val="1"/>
      <w:marLeft w:val="0"/>
      <w:marRight w:val="0"/>
      <w:marTop w:val="0"/>
      <w:marBottom w:val="0"/>
      <w:divBdr>
        <w:top w:val="none" w:sz="0" w:space="0" w:color="auto"/>
        <w:left w:val="none" w:sz="0" w:space="0" w:color="auto"/>
        <w:bottom w:val="none" w:sz="0" w:space="0" w:color="auto"/>
        <w:right w:val="none" w:sz="0" w:space="0" w:color="auto"/>
      </w:divBdr>
      <w:divsChild>
        <w:div w:id="1266109290">
          <w:marLeft w:val="0"/>
          <w:marRight w:val="0"/>
          <w:marTop w:val="0"/>
          <w:marBottom w:val="0"/>
          <w:divBdr>
            <w:top w:val="none" w:sz="0" w:space="0" w:color="auto"/>
            <w:left w:val="none" w:sz="0" w:space="0" w:color="auto"/>
            <w:bottom w:val="none" w:sz="0" w:space="0" w:color="auto"/>
            <w:right w:val="none" w:sz="0" w:space="0" w:color="auto"/>
          </w:divBdr>
          <w:divsChild>
            <w:div w:id="1510826666">
              <w:marLeft w:val="0"/>
              <w:marRight w:val="0"/>
              <w:marTop w:val="0"/>
              <w:marBottom w:val="0"/>
              <w:divBdr>
                <w:top w:val="none" w:sz="0" w:space="0" w:color="auto"/>
                <w:left w:val="none" w:sz="0" w:space="0" w:color="auto"/>
                <w:bottom w:val="none" w:sz="0" w:space="0" w:color="auto"/>
                <w:right w:val="none" w:sz="0" w:space="0" w:color="auto"/>
              </w:divBdr>
              <w:divsChild>
                <w:div w:id="124171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26142">
      <w:bodyDiv w:val="1"/>
      <w:marLeft w:val="0"/>
      <w:marRight w:val="0"/>
      <w:marTop w:val="0"/>
      <w:marBottom w:val="0"/>
      <w:divBdr>
        <w:top w:val="none" w:sz="0" w:space="0" w:color="auto"/>
        <w:left w:val="none" w:sz="0" w:space="0" w:color="auto"/>
        <w:bottom w:val="none" w:sz="0" w:space="0" w:color="auto"/>
        <w:right w:val="none" w:sz="0" w:space="0" w:color="auto"/>
      </w:divBdr>
    </w:div>
    <w:div w:id="1088580464">
      <w:bodyDiv w:val="1"/>
      <w:marLeft w:val="0"/>
      <w:marRight w:val="0"/>
      <w:marTop w:val="0"/>
      <w:marBottom w:val="0"/>
      <w:divBdr>
        <w:top w:val="none" w:sz="0" w:space="0" w:color="auto"/>
        <w:left w:val="none" w:sz="0" w:space="0" w:color="auto"/>
        <w:bottom w:val="none" w:sz="0" w:space="0" w:color="auto"/>
        <w:right w:val="none" w:sz="0" w:space="0" w:color="auto"/>
      </w:divBdr>
      <w:divsChild>
        <w:div w:id="588925285">
          <w:marLeft w:val="547"/>
          <w:marRight w:val="0"/>
          <w:marTop w:val="77"/>
          <w:marBottom w:val="0"/>
          <w:divBdr>
            <w:top w:val="none" w:sz="0" w:space="0" w:color="auto"/>
            <w:left w:val="none" w:sz="0" w:space="0" w:color="auto"/>
            <w:bottom w:val="none" w:sz="0" w:space="0" w:color="auto"/>
            <w:right w:val="none" w:sz="0" w:space="0" w:color="auto"/>
          </w:divBdr>
        </w:div>
        <w:div w:id="1358895025">
          <w:marLeft w:val="547"/>
          <w:marRight w:val="0"/>
          <w:marTop w:val="77"/>
          <w:marBottom w:val="0"/>
          <w:divBdr>
            <w:top w:val="none" w:sz="0" w:space="0" w:color="auto"/>
            <w:left w:val="none" w:sz="0" w:space="0" w:color="auto"/>
            <w:bottom w:val="none" w:sz="0" w:space="0" w:color="auto"/>
            <w:right w:val="none" w:sz="0" w:space="0" w:color="auto"/>
          </w:divBdr>
        </w:div>
        <w:div w:id="1454515473">
          <w:marLeft w:val="547"/>
          <w:marRight w:val="0"/>
          <w:marTop w:val="77"/>
          <w:marBottom w:val="0"/>
          <w:divBdr>
            <w:top w:val="none" w:sz="0" w:space="0" w:color="auto"/>
            <w:left w:val="none" w:sz="0" w:space="0" w:color="auto"/>
            <w:bottom w:val="none" w:sz="0" w:space="0" w:color="auto"/>
            <w:right w:val="none" w:sz="0" w:space="0" w:color="auto"/>
          </w:divBdr>
        </w:div>
        <w:div w:id="1695304405">
          <w:marLeft w:val="547"/>
          <w:marRight w:val="0"/>
          <w:marTop w:val="77"/>
          <w:marBottom w:val="0"/>
          <w:divBdr>
            <w:top w:val="none" w:sz="0" w:space="0" w:color="auto"/>
            <w:left w:val="none" w:sz="0" w:space="0" w:color="auto"/>
            <w:bottom w:val="none" w:sz="0" w:space="0" w:color="auto"/>
            <w:right w:val="none" w:sz="0" w:space="0" w:color="auto"/>
          </w:divBdr>
        </w:div>
        <w:div w:id="1988825024">
          <w:marLeft w:val="547"/>
          <w:marRight w:val="0"/>
          <w:marTop w:val="77"/>
          <w:marBottom w:val="0"/>
          <w:divBdr>
            <w:top w:val="none" w:sz="0" w:space="0" w:color="auto"/>
            <w:left w:val="none" w:sz="0" w:space="0" w:color="auto"/>
            <w:bottom w:val="none" w:sz="0" w:space="0" w:color="auto"/>
            <w:right w:val="none" w:sz="0" w:space="0" w:color="auto"/>
          </w:divBdr>
        </w:div>
      </w:divsChild>
    </w:div>
    <w:div w:id="1122461124">
      <w:bodyDiv w:val="1"/>
      <w:marLeft w:val="0"/>
      <w:marRight w:val="0"/>
      <w:marTop w:val="0"/>
      <w:marBottom w:val="0"/>
      <w:divBdr>
        <w:top w:val="none" w:sz="0" w:space="0" w:color="auto"/>
        <w:left w:val="none" w:sz="0" w:space="0" w:color="auto"/>
        <w:bottom w:val="none" w:sz="0" w:space="0" w:color="auto"/>
        <w:right w:val="none" w:sz="0" w:space="0" w:color="auto"/>
      </w:divBdr>
      <w:divsChild>
        <w:div w:id="383992294">
          <w:marLeft w:val="0"/>
          <w:marRight w:val="0"/>
          <w:marTop w:val="0"/>
          <w:marBottom w:val="0"/>
          <w:divBdr>
            <w:top w:val="none" w:sz="0" w:space="0" w:color="auto"/>
            <w:left w:val="none" w:sz="0" w:space="0" w:color="auto"/>
            <w:bottom w:val="none" w:sz="0" w:space="0" w:color="auto"/>
            <w:right w:val="none" w:sz="0" w:space="0" w:color="auto"/>
          </w:divBdr>
          <w:divsChild>
            <w:div w:id="1787263779">
              <w:marLeft w:val="0"/>
              <w:marRight w:val="0"/>
              <w:marTop w:val="0"/>
              <w:marBottom w:val="0"/>
              <w:divBdr>
                <w:top w:val="none" w:sz="0" w:space="0" w:color="auto"/>
                <w:left w:val="none" w:sz="0" w:space="0" w:color="auto"/>
                <w:bottom w:val="none" w:sz="0" w:space="0" w:color="auto"/>
                <w:right w:val="none" w:sz="0" w:space="0" w:color="auto"/>
              </w:divBdr>
              <w:divsChild>
                <w:div w:id="355733321">
                  <w:marLeft w:val="0"/>
                  <w:marRight w:val="0"/>
                  <w:marTop w:val="960"/>
                  <w:marBottom w:val="0"/>
                  <w:divBdr>
                    <w:top w:val="none" w:sz="0" w:space="0" w:color="auto"/>
                    <w:left w:val="none" w:sz="0" w:space="0" w:color="auto"/>
                    <w:bottom w:val="none" w:sz="0" w:space="0" w:color="auto"/>
                    <w:right w:val="none" w:sz="0" w:space="0" w:color="auto"/>
                  </w:divBdr>
                  <w:divsChild>
                    <w:div w:id="1395347582">
                      <w:marLeft w:val="0"/>
                      <w:marRight w:val="0"/>
                      <w:marTop w:val="0"/>
                      <w:marBottom w:val="0"/>
                      <w:divBdr>
                        <w:top w:val="none" w:sz="0" w:space="0" w:color="auto"/>
                        <w:left w:val="none" w:sz="0" w:space="0" w:color="auto"/>
                        <w:bottom w:val="none" w:sz="0" w:space="0" w:color="auto"/>
                        <w:right w:val="none" w:sz="0" w:space="0" w:color="auto"/>
                      </w:divBdr>
                      <w:divsChild>
                        <w:div w:id="1794790865">
                          <w:marLeft w:val="0"/>
                          <w:marRight w:val="0"/>
                          <w:marTop w:val="0"/>
                          <w:marBottom w:val="0"/>
                          <w:divBdr>
                            <w:top w:val="none" w:sz="0" w:space="0" w:color="auto"/>
                            <w:left w:val="none" w:sz="0" w:space="0" w:color="auto"/>
                            <w:bottom w:val="none" w:sz="0" w:space="0" w:color="auto"/>
                            <w:right w:val="none" w:sz="0" w:space="0" w:color="auto"/>
                          </w:divBdr>
                          <w:divsChild>
                            <w:div w:id="329525884">
                              <w:marLeft w:val="0"/>
                              <w:marRight w:val="0"/>
                              <w:marTop w:val="0"/>
                              <w:marBottom w:val="0"/>
                              <w:divBdr>
                                <w:top w:val="none" w:sz="0" w:space="0" w:color="auto"/>
                                <w:left w:val="none" w:sz="0" w:space="0" w:color="auto"/>
                                <w:bottom w:val="none" w:sz="0" w:space="0" w:color="auto"/>
                                <w:right w:val="none" w:sz="0" w:space="0" w:color="auto"/>
                              </w:divBdr>
                              <w:divsChild>
                                <w:div w:id="1861553463">
                                  <w:marLeft w:val="0"/>
                                  <w:marRight w:val="0"/>
                                  <w:marTop w:val="0"/>
                                  <w:marBottom w:val="0"/>
                                  <w:divBdr>
                                    <w:top w:val="none" w:sz="0" w:space="0" w:color="auto"/>
                                    <w:left w:val="none" w:sz="0" w:space="0" w:color="auto"/>
                                    <w:bottom w:val="none" w:sz="0" w:space="0" w:color="auto"/>
                                    <w:right w:val="none" w:sz="0" w:space="0" w:color="auto"/>
                                  </w:divBdr>
                                  <w:divsChild>
                                    <w:div w:id="1243248881">
                                      <w:marLeft w:val="0"/>
                                      <w:marRight w:val="0"/>
                                      <w:marTop w:val="0"/>
                                      <w:marBottom w:val="0"/>
                                      <w:divBdr>
                                        <w:top w:val="none" w:sz="0" w:space="0" w:color="auto"/>
                                        <w:left w:val="none" w:sz="0" w:space="0" w:color="auto"/>
                                        <w:bottom w:val="none" w:sz="0" w:space="0" w:color="auto"/>
                                        <w:right w:val="none" w:sz="0" w:space="0" w:color="auto"/>
                                      </w:divBdr>
                                      <w:divsChild>
                                        <w:div w:id="228460910">
                                          <w:marLeft w:val="0"/>
                                          <w:marRight w:val="0"/>
                                          <w:marTop w:val="0"/>
                                          <w:marBottom w:val="0"/>
                                          <w:divBdr>
                                            <w:top w:val="none" w:sz="0" w:space="0" w:color="auto"/>
                                            <w:left w:val="none" w:sz="0" w:space="0" w:color="auto"/>
                                            <w:bottom w:val="none" w:sz="0" w:space="0" w:color="auto"/>
                                            <w:right w:val="none" w:sz="0" w:space="0" w:color="auto"/>
                                          </w:divBdr>
                                        </w:div>
                                        <w:div w:id="408505957">
                                          <w:marLeft w:val="0"/>
                                          <w:marRight w:val="0"/>
                                          <w:marTop w:val="0"/>
                                          <w:marBottom w:val="0"/>
                                          <w:divBdr>
                                            <w:top w:val="none" w:sz="0" w:space="0" w:color="auto"/>
                                            <w:left w:val="none" w:sz="0" w:space="0" w:color="auto"/>
                                            <w:bottom w:val="none" w:sz="0" w:space="0" w:color="auto"/>
                                            <w:right w:val="none" w:sz="0" w:space="0" w:color="auto"/>
                                          </w:divBdr>
                                        </w:div>
                                        <w:div w:id="505485326">
                                          <w:marLeft w:val="0"/>
                                          <w:marRight w:val="0"/>
                                          <w:marTop w:val="0"/>
                                          <w:marBottom w:val="0"/>
                                          <w:divBdr>
                                            <w:top w:val="none" w:sz="0" w:space="0" w:color="auto"/>
                                            <w:left w:val="none" w:sz="0" w:space="0" w:color="auto"/>
                                            <w:bottom w:val="none" w:sz="0" w:space="0" w:color="auto"/>
                                            <w:right w:val="none" w:sz="0" w:space="0" w:color="auto"/>
                                          </w:divBdr>
                                        </w:div>
                                        <w:div w:id="1006790496">
                                          <w:marLeft w:val="0"/>
                                          <w:marRight w:val="0"/>
                                          <w:marTop w:val="0"/>
                                          <w:marBottom w:val="0"/>
                                          <w:divBdr>
                                            <w:top w:val="none" w:sz="0" w:space="0" w:color="auto"/>
                                            <w:left w:val="none" w:sz="0" w:space="0" w:color="auto"/>
                                            <w:bottom w:val="none" w:sz="0" w:space="0" w:color="auto"/>
                                            <w:right w:val="none" w:sz="0" w:space="0" w:color="auto"/>
                                          </w:divBdr>
                                        </w:div>
                                        <w:div w:id="1348285929">
                                          <w:marLeft w:val="0"/>
                                          <w:marRight w:val="0"/>
                                          <w:marTop w:val="0"/>
                                          <w:marBottom w:val="0"/>
                                          <w:divBdr>
                                            <w:top w:val="none" w:sz="0" w:space="0" w:color="auto"/>
                                            <w:left w:val="none" w:sz="0" w:space="0" w:color="auto"/>
                                            <w:bottom w:val="none" w:sz="0" w:space="0" w:color="auto"/>
                                            <w:right w:val="none" w:sz="0" w:space="0" w:color="auto"/>
                                          </w:divBdr>
                                        </w:div>
                                        <w:div w:id="16732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6579503">
      <w:bodyDiv w:val="1"/>
      <w:marLeft w:val="0"/>
      <w:marRight w:val="0"/>
      <w:marTop w:val="0"/>
      <w:marBottom w:val="0"/>
      <w:divBdr>
        <w:top w:val="none" w:sz="0" w:space="0" w:color="auto"/>
        <w:left w:val="none" w:sz="0" w:space="0" w:color="auto"/>
        <w:bottom w:val="none" w:sz="0" w:space="0" w:color="auto"/>
        <w:right w:val="none" w:sz="0" w:space="0" w:color="auto"/>
      </w:divBdr>
      <w:divsChild>
        <w:div w:id="186843641">
          <w:marLeft w:val="0"/>
          <w:marRight w:val="0"/>
          <w:marTop w:val="0"/>
          <w:marBottom w:val="0"/>
          <w:divBdr>
            <w:top w:val="none" w:sz="0" w:space="0" w:color="auto"/>
            <w:left w:val="none" w:sz="0" w:space="0" w:color="auto"/>
            <w:bottom w:val="none" w:sz="0" w:space="0" w:color="auto"/>
            <w:right w:val="none" w:sz="0" w:space="0" w:color="auto"/>
          </w:divBdr>
          <w:divsChild>
            <w:div w:id="1924876337">
              <w:marLeft w:val="0"/>
              <w:marRight w:val="0"/>
              <w:marTop w:val="0"/>
              <w:marBottom w:val="0"/>
              <w:divBdr>
                <w:top w:val="none" w:sz="0" w:space="0" w:color="auto"/>
                <w:left w:val="none" w:sz="0" w:space="0" w:color="auto"/>
                <w:bottom w:val="none" w:sz="0" w:space="0" w:color="auto"/>
                <w:right w:val="none" w:sz="0" w:space="0" w:color="auto"/>
              </w:divBdr>
              <w:divsChild>
                <w:div w:id="1336032967">
                  <w:marLeft w:val="0"/>
                  <w:marRight w:val="0"/>
                  <w:marTop w:val="960"/>
                  <w:marBottom w:val="0"/>
                  <w:divBdr>
                    <w:top w:val="none" w:sz="0" w:space="0" w:color="auto"/>
                    <w:left w:val="none" w:sz="0" w:space="0" w:color="auto"/>
                    <w:bottom w:val="none" w:sz="0" w:space="0" w:color="auto"/>
                    <w:right w:val="none" w:sz="0" w:space="0" w:color="auto"/>
                  </w:divBdr>
                  <w:divsChild>
                    <w:div w:id="1092049882">
                      <w:marLeft w:val="0"/>
                      <w:marRight w:val="0"/>
                      <w:marTop w:val="0"/>
                      <w:marBottom w:val="0"/>
                      <w:divBdr>
                        <w:top w:val="none" w:sz="0" w:space="0" w:color="auto"/>
                        <w:left w:val="none" w:sz="0" w:space="0" w:color="auto"/>
                        <w:bottom w:val="none" w:sz="0" w:space="0" w:color="auto"/>
                        <w:right w:val="none" w:sz="0" w:space="0" w:color="auto"/>
                      </w:divBdr>
                      <w:divsChild>
                        <w:div w:id="27417421">
                          <w:marLeft w:val="0"/>
                          <w:marRight w:val="0"/>
                          <w:marTop w:val="0"/>
                          <w:marBottom w:val="0"/>
                          <w:divBdr>
                            <w:top w:val="none" w:sz="0" w:space="0" w:color="auto"/>
                            <w:left w:val="none" w:sz="0" w:space="0" w:color="auto"/>
                            <w:bottom w:val="none" w:sz="0" w:space="0" w:color="auto"/>
                            <w:right w:val="none" w:sz="0" w:space="0" w:color="auto"/>
                          </w:divBdr>
                          <w:divsChild>
                            <w:div w:id="1977254">
                              <w:marLeft w:val="0"/>
                              <w:marRight w:val="0"/>
                              <w:marTop w:val="0"/>
                              <w:marBottom w:val="0"/>
                              <w:divBdr>
                                <w:top w:val="none" w:sz="0" w:space="0" w:color="auto"/>
                                <w:left w:val="none" w:sz="0" w:space="0" w:color="auto"/>
                                <w:bottom w:val="none" w:sz="0" w:space="0" w:color="auto"/>
                                <w:right w:val="none" w:sz="0" w:space="0" w:color="auto"/>
                              </w:divBdr>
                              <w:divsChild>
                                <w:div w:id="1191840171">
                                  <w:marLeft w:val="0"/>
                                  <w:marRight w:val="0"/>
                                  <w:marTop w:val="0"/>
                                  <w:marBottom w:val="0"/>
                                  <w:divBdr>
                                    <w:top w:val="none" w:sz="0" w:space="0" w:color="auto"/>
                                    <w:left w:val="none" w:sz="0" w:space="0" w:color="auto"/>
                                    <w:bottom w:val="none" w:sz="0" w:space="0" w:color="auto"/>
                                    <w:right w:val="none" w:sz="0" w:space="0" w:color="auto"/>
                                  </w:divBdr>
                                  <w:divsChild>
                                    <w:div w:id="1642660522">
                                      <w:marLeft w:val="0"/>
                                      <w:marRight w:val="0"/>
                                      <w:marTop w:val="0"/>
                                      <w:marBottom w:val="0"/>
                                      <w:divBdr>
                                        <w:top w:val="none" w:sz="0" w:space="0" w:color="auto"/>
                                        <w:left w:val="none" w:sz="0" w:space="0" w:color="auto"/>
                                        <w:bottom w:val="none" w:sz="0" w:space="0" w:color="auto"/>
                                        <w:right w:val="none" w:sz="0" w:space="0" w:color="auto"/>
                                      </w:divBdr>
                                      <w:divsChild>
                                        <w:div w:id="181013337">
                                          <w:marLeft w:val="0"/>
                                          <w:marRight w:val="0"/>
                                          <w:marTop w:val="0"/>
                                          <w:marBottom w:val="0"/>
                                          <w:divBdr>
                                            <w:top w:val="none" w:sz="0" w:space="0" w:color="auto"/>
                                            <w:left w:val="none" w:sz="0" w:space="0" w:color="auto"/>
                                            <w:bottom w:val="none" w:sz="0" w:space="0" w:color="auto"/>
                                            <w:right w:val="none" w:sz="0" w:space="0" w:color="auto"/>
                                          </w:divBdr>
                                        </w:div>
                                        <w:div w:id="445660427">
                                          <w:marLeft w:val="0"/>
                                          <w:marRight w:val="0"/>
                                          <w:marTop w:val="0"/>
                                          <w:marBottom w:val="0"/>
                                          <w:divBdr>
                                            <w:top w:val="none" w:sz="0" w:space="0" w:color="auto"/>
                                            <w:left w:val="none" w:sz="0" w:space="0" w:color="auto"/>
                                            <w:bottom w:val="none" w:sz="0" w:space="0" w:color="auto"/>
                                            <w:right w:val="none" w:sz="0" w:space="0" w:color="auto"/>
                                          </w:divBdr>
                                        </w:div>
                                        <w:div w:id="687295020">
                                          <w:marLeft w:val="0"/>
                                          <w:marRight w:val="0"/>
                                          <w:marTop w:val="0"/>
                                          <w:marBottom w:val="0"/>
                                          <w:divBdr>
                                            <w:top w:val="none" w:sz="0" w:space="0" w:color="auto"/>
                                            <w:left w:val="none" w:sz="0" w:space="0" w:color="auto"/>
                                            <w:bottom w:val="none" w:sz="0" w:space="0" w:color="auto"/>
                                            <w:right w:val="none" w:sz="0" w:space="0" w:color="auto"/>
                                          </w:divBdr>
                                        </w:div>
                                        <w:div w:id="1833257969">
                                          <w:marLeft w:val="0"/>
                                          <w:marRight w:val="0"/>
                                          <w:marTop w:val="0"/>
                                          <w:marBottom w:val="0"/>
                                          <w:divBdr>
                                            <w:top w:val="none" w:sz="0" w:space="0" w:color="auto"/>
                                            <w:left w:val="none" w:sz="0" w:space="0" w:color="auto"/>
                                            <w:bottom w:val="none" w:sz="0" w:space="0" w:color="auto"/>
                                            <w:right w:val="none" w:sz="0" w:space="0" w:color="auto"/>
                                          </w:divBdr>
                                        </w:div>
                                        <w:div w:id="194819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4977544">
      <w:bodyDiv w:val="1"/>
      <w:marLeft w:val="0"/>
      <w:marRight w:val="0"/>
      <w:marTop w:val="0"/>
      <w:marBottom w:val="0"/>
      <w:divBdr>
        <w:top w:val="none" w:sz="0" w:space="0" w:color="auto"/>
        <w:left w:val="none" w:sz="0" w:space="0" w:color="auto"/>
        <w:bottom w:val="none" w:sz="0" w:space="0" w:color="auto"/>
        <w:right w:val="none" w:sz="0" w:space="0" w:color="auto"/>
      </w:divBdr>
      <w:divsChild>
        <w:div w:id="1621451391">
          <w:marLeft w:val="0"/>
          <w:marRight w:val="0"/>
          <w:marTop w:val="0"/>
          <w:marBottom w:val="0"/>
          <w:divBdr>
            <w:top w:val="none" w:sz="0" w:space="0" w:color="auto"/>
            <w:left w:val="none" w:sz="0" w:space="0" w:color="auto"/>
            <w:bottom w:val="none" w:sz="0" w:space="0" w:color="auto"/>
            <w:right w:val="none" w:sz="0" w:space="0" w:color="auto"/>
          </w:divBdr>
          <w:divsChild>
            <w:div w:id="869760592">
              <w:marLeft w:val="0"/>
              <w:marRight w:val="0"/>
              <w:marTop w:val="0"/>
              <w:marBottom w:val="0"/>
              <w:divBdr>
                <w:top w:val="none" w:sz="0" w:space="0" w:color="auto"/>
                <w:left w:val="none" w:sz="0" w:space="0" w:color="auto"/>
                <w:bottom w:val="none" w:sz="0" w:space="0" w:color="auto"/>
                <w:right w:val="none" w:sz="0" w:space="0" w:color="auto"/>
              </w:divBdr>
              <w:divsChild>
                <w:div w:id="412121511">
                  <w:marLeft w:val="0"/>
                  <w:marRight w:val="0"/>
                  <w:marTop w:val="0"/>
                  <w:marBottom w:val="0"/>
                  <w:divBdr>
                    <w:top w:val="none" w:sz="0" w:space="0" w:color="auto"/>
                    <w:left w:val="none" w:sz="0" w:space="0" w:color="auto"/>
                    <w:bottom w:val="none" w:sz="0" w:space="0" w:color="auto"/>
                    <w:right w:val="none" w:sz="0" w:space="0" w:color="auto"/>
                  </w:divBdr>
                  <w:divsChild>
                    <w:div w:id="1634094780">
                      <w:marLeft w:val="-225"/>
                      <w:marRight w:val="-225"/>
                      <w:marTop w:val="0"/>
                      <w:marBottom w:val="0"/>
                      <w:divBdr>
                        <w:top w:val="none" w:sz="0" w:space="0" w:color="auto"/>
                        <w:left w:val="none" w:sz="0" w:space="0" w:color="auto"/>
                        <w:bottom w:val="none" w:sz="0" w:space="0" w:color="auto"/>
                        <w:right w:val="none" w:sz="0" w:space="0" w:color="auto"/>
                      </w:divBdr>
                      <w:divsChild>
                        <w:div w:id="1400447681">
                          <w:marLeft w:val="0"/>
                          <w:marRight w:val="0"/>
                          <w:marTop w:val="0"/>
                          <w:marBottom w:val="0"/>
                          <w:divBdr>
                            <w:top w:val="none" w:sz="0" w:space="0" w:color="auto"/>
                            <w:left w:val="none" w:sz="0" w:space="0" w:color="auto"/>
                            <w:bottom w:val="none" w:sz="0" w:space="0" w:color="auto"/>
                            <w:right w:val="none" w:sz="0" w:space="0" w:color="auto"/>
                          </w:divBdr>
                          <w:divsChild>
                            <w:div w:id="223222795">
                              <w:marLeft w:val="0"/>
                              <w:marRight w:val="0"/>
                              <w:marTop w:val="0"/>
                              <w:marBottom w:val="0"/>
                              <w:divBdr>
                                <w:top w:val="none" w:sz="0" w:space="0" w:color="auto"/>
                                <w:left w:val="none" w:sz="0" w:space="0" w:color="auto"/>
                                <w:bottom w:val="none" w:sz="0" w:space="0" w:color="auto"/>
                                <w:right w:val="none" w:sz="0" w:space="0" w:color="auto"/>
                              </w:divBdr>
                              <w:divsChild>
                                <w:div w:id="235241418">
                                  <w:marLeft w:val="-225"/>
                                  <w:marRight w:val="-225"/>
                                  <w:marTop w:val="0"/>
                                  <w:marBottom w:val="0"/>
                                  <w:divBdr>
                                    <w:top w:val="none" w:sz="0" w:space="0" w:color="auto"/>
                                    <w:left w:val="none" w:sz="0" w:space="0" w:color="auto"/>
                                    <w:bottom w:val="none" w:sz="0" w:space="0" w:color="auto"/>
                                    <w:right w:val="none" w:sz="0" w:space="0" w:color="auto"/>
                                  </w:divBdr>
                                  <w:divsChild>
                                    <w:div w:id="5499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9759990">
      <w:bodyDiv w:val="1"/>
      <w:marLeft w:val="0"/>
      <w:marRight w:val="0"/>
      <w:marTop w:val="0"/>
      <w:marBottom w:val="0"/>
      <w:divBdr>
        <w:top w:val="none" w:sz="0" w:space="0" w:color="auto"/>
        <w:left w:val="none" w:sz="0" w:space="0" w:color="auto"/>
        <w:bottom w:val="none" w:sz="0" w:space="0" w:color="auto"/>
        <w:right w:val="none" w:sz="0" w:space="0" w:color="auto"/>
      </w:divBdr>
      <w:divsChild>
        <w:div w:id="212083306">
          <w:marLeft w:val="0"/>
          <w:marRight w:val="0"/>
          <w:marTop w:val="0"/>
          <w:marBottom w:val="0"/>
          <w:divBdr>
            <w:top w:val="none" w:sz="0" w:space="0" w:color="auto"/>
            <w:left w:val="none" w:sz="0" w:space="0" w:color="auto"/>
            <w:bottom w:val="none" w:sz="0" w:space="0" w:color="auto"/>
            <w:right w:val="none" w:sz="0" w:space="0" w:color="auto"/>
          </w:divBdr>
          <w:divsChild>
            <w:div w:id="1093552514">
              <w:marLeft w:val="0"/>
              <w:marRight w:val="0"/>
              <w:marTop w:val="0"/>
              <w:marBottom w:val="0"/>
              <w:divBdr>
                <w:top w:val="none" w:sz="0" w:space="0" w:color="auto"/>
                <w:left w:val="none" w:sz="0" w:space="0" w:color="auto"/>
                <w:bottom w:val="none" w:sz="0" w:space="0" w:color="auto"/>
                <w:right w:val="none" w:sz="0" w:space="0" w:color="auto"/>
              </w:divBdr>
              <w:divsChild>
                <w:div w:id="999698127">
                  <w:marLeft w:val="0"/>
                  <w:marRight w:val="0"/>
                  <w:marTop w:val="0"/>
                  <w:marBottom w:val="0"/>
                  <w:divBdr>
                    <w:top w:val="none" w:sz="0" w:space="0" w:color="auto"/>
                    <w:left w:val="none" w:sz="0" w:space="0" w:color="auto"/>
                    <w:bottom w:val="none" w:sz="0" w:space="0" w:color="auto"/>
                    <w:right w:val="none" w:sz="0" w:space="0" w:color="auto"/>
                  </w:divBdr>
                  <w:divsChild>
                    <w:div w:id="5566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58906">
      <w:bodyDiv w:val="1"/>
      <w:marLeft w:val="0"/>
      <w:marRight w:val="0"/>
      <w:marTop w:val="0"/>
      <w:marBottom w:val="0"/>
      <w:divBdr>
        <w:top w:val="none" w:sz="0" w:space="0" w:color="auto"/>
        <w:left w:val="none" w:sz="0" w:space="0" w:color="auto"/>
        <w:bottom w:val="none" w:sz="0" w:space="0" w:color="auto"/>
        <w:right w:val="none" w:sz="0" w:space="0" w:color="auto"/>
      </w:divBdr>
      <w:divsChild>
        <w:div w:id="1244685134">
          <w:marLeft w:val="0"/>
          <w:marRight w:val="0"/>
          <w:marTop w:val="0"/>
          <w:marBottom w:val="0"/>
          <w:divBdr>
            <w:top w:val="single" w:sz="6" w:space="0" w:color="EBEBEB"/>
            <w:left w:val="none" w:sz="0" w:space="0" w:color="auto"/>
            <w:bottom w:val="none" w:sz="0" w:space="0" w:color="auto"/>
            <w:right w:val="none" w:sz="0" w:space="0" w:color="auto"/>
          </w:divBdr>
          <w:divsChild>
            <w:div w:id="1351494164">
              <w:marLeft w:val="0"/>
              <w:marRight w:val="0"/>
              <w:marTop w:val="0"/>
              <w:marBottom w:val="0"/>
              <w:divBdr>
                <w:top w:val="none" w:sz="0" w:space="0" w:color="auto"/>
                <w:left w:val="none" w:sz="0" w:space="0" w:color="auto"/>
                <w:bottom w:val="none" w:sz="0" w:space="0" w:color="auto"/>
                <w:right w:val="none" w:sz="0" w:space="0" w:color="auto"/>
              </w:divBdr>
              <w:divsChild>
                <w:div w:id="1999074191">
                  <w:marLeft w:val="0"/>
                  <w:marRight w:val="0"/>
                  <w:marTop w:val="0"/>
                  <w:marBottom w:val="0"/>
                  <w:divBdr>
                    <w:top w:val="none" w:sz="0" w:space="0" w:color="auto"/>
                    <w:left w:val="none" w:sz="0" w:space="0" w:color="auto"/>
                    <w:bottom w:val="none" w:sz="0" w:space="0" w:color="auto"/>
                    <w:right w:val="none" w:sz="0" w:space="0" w:color="auto"/>
                  </w:divBdr>
                  <w:divsChild>
                    <w:div w:id="1125387558">
                      <w:marLeft w:val="0"/>
                      <w:marRight w:val="0"/>
                      <w:marTop w:val="630"/>
                      <w:marBottom w:val="0"/>
                      <w:divBdr>
                        <w:top w:val="none" w:sz="0" w:space="0" w:color="auto"/>
                        <w:left w:val="none" w:sz="0" w:space="0" w:color="auto"/>
                        <w:bottom w:val="none" w:sz="0" w:space="0" w:color="auto"/>
                        <w:right w:val="none" w:sz="0" w:space="0" w:color="auto"/>
                      </w:divBdr>
                      <w:divsChild>
                        <w:div w:id="1131441722">
                          <w:marLeft w:val="0"/>
                          <w:marRight w:val="0"/>
                          <w:marTop w:val="0"/>
                          <w:marBottom w:val="0"/>
                          <w:divBdr>
                            <w:top w:val="none" w:sz="0" w:space="0" w:color="auto"/>
                            <w:left w:val="none" w:sz="0" w:space="0" w:color="auto"/>
                            <w:bottom w:val="none" w:sz="0" w:space="0" w:color="auto"/>
                            <w:right w:val="none" w:sz="0" w:space="0" w:color="auto"/>
                          </w:divBdr>
                          <w:divsChild>
                            <w:div w:id="1847623360">
                              <w:marLeft w:val="0"/>
                              <w:marRight w:val="150"/>
                              <w:marTop w:val="0"/>
                              <w:marBottom w:val="90"/>
                              <w:divBdr>
                                <w:top w:val="none" w:sz="0" w:space="0" w:color="auto"/>
                                <w:left w:val="none" w:sz="0" w:space="0" w:color="auto"/>
                                <w:bottom w:val="none" w:sz="0" w:space="0" w:color="auto"/>
                                <w:right w:val="none" w:sz="0" w:space="0" w:color="auto"/>
                              </w:divBdr>
                              <w:divsChild>
                                <w:div w:id="182867133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000204">
      <w:bodyDiv w:val="1"/>
      <w:marLeft w:val="0"/>
      <w:marRight w:val="0"/>
      <w:marTop w:val="0"/>
      <w:marBottom w:val="0"/>
      <w:divBdr>
        <w:top w:val="none" w:sz="0" w:space="0" w:color="auto"/>
        <w:left w:val="none" w:sz="0" w:space="0" w:color="auto"/>
        <w:bottom w:val="none" w:sz="0" w:space="0" w:color="auto"/>
        <w:right w:val="none" w:sz="0" w:space="0" w:color="auto"/>
      </w:divBdr>
    </w:div>
    <w:div w:id="1430275285">
      <w:bodyDiv w:val="1"/>
      <w:marLeft w:val="0"/>
      <w:marRight w:val="0"/>
      <w:marTop w:val="0"/>
      <w:marBottom w:val="0"/>
      <w:divBdr>
        <w:top w:val="none" w:sz="0" w:space="0" w:color="auto"/>
        <w:left w:val="none" w:sz="0" w:space="0" w:color="auto"/>
        <w:bottom w:val="none" w:sz="0" w:space="0" w:color="auto"/>
        <w:right w:val="none" w:sz="0" w:space="0" w:color="auto"/>
      </w:divBdr>
      <w:divsChild>
        <w:div w:id="682902108">
          <w:marLeft w:val="0"/>
          <w:marRight w:val="0"/>
          <w:marTop w:val="0"/>
          <w:marBottom w:val="0"/>
          <w:divBdr>
            <w:top w:val="none" w:sz="0" w:space="0" w:color="auto"/>
            <w:left w:val="none" w:sz="0" w:space="0" w:color="auto"/>
            <w:bottom w:val="none" w:sz="0" w:space="0" w:color="auto"/>
            <w:right w:val="none" w:sz="0" w:space="0" w:color="auto"/>
          </w:divBdr>
          <w:divsChild>
            <w:div w:id="1849977598">
              <w:marLeft w:val="0"/>
              <w:marRight w:val="0"/>
              <w:marTop w:val="0"/>
              <w:marBottom w:val="0"/>
              <w:divBdr>
                <w:top w:val="none" w:sz="0" w:space="0" w:color="auto"/>
                <w:left w:val="none" w:sz="0" w:space="0" w:color="auto"/>
                <w:bottom w:val="none" w:sz="0" w:space="0" w:color="auto"/>
                <w:right w:val="none" w:sz="0" w:space="0" w:color="auto"/>
              </w:divBdr>
              <w:divsChild>
                <w:div w:id="274363616">
                  <w:marLeft w:val="0"/>
                  <w:marRight w:val="0"/>
                  <w:marTop w:val="0"/>
                  <w:marBottom w:val="0"/>
                  <w:divBdr>
                    <w:top w:val="none" w:sz="0" w:space="0" w:color="auto"/>
                    <w:left w:val="none" w:sz="0" w:space="0" w:color="auto"/>
                    <w:bottom w:val="none" w:sz="0" w:space="0" w:color="auto"/>
                    <w:right w:val="none" w:sz="0" w:space="0" w:color="auto"/>
                  </w:divBdr>
                  <w:divsChild>
                    <w:div w:id="1033963034">
                      <w:marLeft w:val="0"/>
                      <w:marRight w:val="0"/>
                      <w:marTop w:val="0"/>
                      <w:marBottom w:val="0"/>
                      <w:divBdr>
                        <w:top w:val="none" w:sz="0" w:space="0" w:color="auto"/>
                        <w:left w:val="none" w:sz="0" w:space="0" w:color="auto"/>
                        <w:bottom w:val="none" w:sz="0" w:space="0" w:color="auto"/>
                        <w:right w:val="none" w:sz="0" w:space="0" w:color="auto"/>
                      </w:divBdr>
                      <w:divsChild>
                        <w:div w:id="628317135">
                          <w:marLeft w:val="0"/>
                          <w:marRight w:val="0"/>
                          <w:marTop w:val="0"/>
                          <w:marBottom w:val="0"/>
                          <w:divBdr>
                            <w:top w:val="none" w:sz="0" w:space="0" w:color="auto"/>
                            <w:left w:val="none" w:sz="0" w:space="0" w:color="auto"/>
                            <w:bottom w:val="none" w:sz="0" w:space="0" w:color="auto"/>
                            <w:right w:val="none" w:sz="0" w:space="0" w:color="auto"/>
                          </w:divBdr>
                          <w:divsChild>
                            <w:div w:id="175970523">
                              <w:marLeft w:val="0"/>
                              <w:marRight w:val="0"/>
                              <w:marTop w:val="0"/>
                              <w:marBottom w:val="0"/>
                              <w:divBdr>
                                <w:top w:val="none" w:sz="0" w:space="0" w:color="auto"/>
                                <w:left w:val="none" w:sz="0" w:space="0" w:color="auto"/>
                                <w:bottom w:val="none" w:sz="0" w:space="0" w:color="auto"/>
                                <w:right w:val="none" w:sz="0" w:space="0" w:color="auto"/>
                              </w:divBdr>
                              <w:divsChild>
                                <w:div w:id="1269971212">
                                  <w:marLeft w:val="0"/>
                                  <w:marRight w:val="0"/>
                                  <w:marTop w:val="0"/>
                                  <w:marBottom w:val="0"/>
                                  <w:divBdr>
                                    <w:top w:val="none" w:sz="0" w:space="0" w:color="auto"/>
                                    <w:left w:val="none" w:sz="0" w:space="0" w:color="auto"/>
                                    <w:bottom w:val="none" w:sz="0" w:space="0" w:color="auto"/>
                                    <w:right w:val="none" w:sz="0" w:space="0" w:color="auto"/>
                                  </w:divBdr>
                                  <w:divsChild>
                                    <w:div w:id="855003257">
                                      <w:marLeft w:val="0"/>
                                      <w:marRight w:val="0"/>
                                      <w:marTop w:val="0"/>
                                      <w:marBottom w:val="0"/>
                                      <w:divBdr>
                                        <w:top w:val="none" w:sz="0" w:space="0" w:color="auto"/>
                                        <w:left w:val="none" w:sz="0" w:space="0" w:color="auto"/>
                                        <w:bottom w:val="none" w:sz="0" w:space="0" w:color="auto"/>
                                        <w:right w:val="none" w:sz="0" w:space="0" w:color="auto"/>
                                      </w:divBdr>
                                      <w:divsChild>
                                        <w:div w:id="914241047">
                                          <w:marLeft w:val="0"/>
                                          <w:marRight w:val="0"/>
                                          <w:marTop w:val="0"/>
                                          <w:marBottom w:val="0"/>
                                          <w:divBdr>
                                            <w:top w:val="none" w:sz="0" w:space="0" w:color="auto"/>
                                            <w:left w:val="none" w:sz="0" w:space="0" w:color="auto"/>
                                            <w:bottom w:val="none" w:sz="0" w:space="0" w:color="auto"/>
                                            <w:right w:val="none" w:sz="0" w:space="0" w:color="auto"/>
                                          </w:divBdr>
                                          <w:divsChild>
                                            <w:div w:id="1724131986">
                                              <w:marLeft w:val="0"/>
                                              <w:marRight w:val="0"/>
                                              <w:marTop w:val="0"/>
                                              <w:marBottom w:val="0"/>
                                              <w:divBdr>
                                                <w:top w:val="none" w:sz="0" w:space="0" w:color="auto"/>
                                                <w:left w:val="none" w:sz="0" w:space="0" w:color="auto"/>
                                                <w:bottom w:val="none" w:sz="0" w:space="0" w:color="auto"/>
                                                <w:right w:val="none" w:sz="0" w:space="0" w:color="auto"/>
                                              </w:divBdr>
                                              <w:divsChild>
                                                <w:div w:id="1930962472">
                                                  <w:marLeft w:val="0"/>
                                                  <w:marRight w:val="0"/>
                                                  <w:marTop w:val="0"/>
                                                  <w:marBottom w:val="0"/>
                                                  <w:divBdr>
                                                    <w:top w:val="none" w:sz="0" w:space="0" w:color="auto"/>
                                                    <w:left w:val="none" w:sz="0" w:space="0" w:color="auto"/>
                                                    <w:bottom w:val="none" w:sz="0" w:space="0" w:color="auto"/>
                                                    <w:right w:val="none" w:sz="0" w:space="0" w:color="auto"/>
                                                  </w:divBdr>
                                                  <w:divsChild>
                                                    <w:div w:id="465514556">
                                                      <w:marLeft w:val="0"/>
                                                      <w:marRight w:val="0"/>
                                                      <w:marTop w:val="0"/>
                                                      <w:marBottom w:val="0"/>
                                                      <w:divBdr>
                                                        <w:top w:val="none" w:sz="0" w:space="0" w:color="auto"/>
                                                        <w:left w:val="none" w:sz="0" w:space="0" w:color="auto"/>
                                                        <w:bottom w:val="none" w:sz="0" w:space="0" w:color="auto"/>
                                                        <w:right w:val="none" w:sz="0" w:space="0" w:color="auto"/>
                                                      </w:divBdr>
                                                      <w:divsChild>
                                                        <w:div w:id="60641460">
                                                          <w:marLeft w:val="0"/>
                                                          <w:marRight w:val="0"/>
                                                          <w:marTop w:val="0"/>
                                                          <w:marBottom w:val="0"/>
                                                          <w:divBdr>
                                                            <w:top w:val="none" w:sz="0" w:space="0" w:color="auto"/>
                                                            <w:left w:val="none" w:sz="0" w:space="0" w:color="auto"/>
                                                            <w:bottom w:val="none" w:sz="0" w:space="0" w:color="auto"/>
                                                            <w:right w:val="none" w:sz="0" w:space="0" w:color="auto"/>
                                                          </w:divBdr>
                                                          <w:divsChild>
                                                            <w:div w:id="125198369">
                                                              <w:marLeft w:val="0"/>
                                                              <w:marRight w:val="0"/>
                                                              <w:marTop w:val="0"/>
                                                              <w:marBottom w:val="0"/>
                                                              <w:divBdr>
                                                                <w:top w:val="none" w:sz="0" w:space="0" w:color="auto"/>
                                                                <w:left w:val="none" w:sz="0" w:space="0" w:color="auto"/>
                                                                <w:bottom w:val="none" w:sz="0" w:space="0" w:color="auto"/>
                                                                <w:right w:val="none" w:sz="0" w:space="0" w:color="auto"/>
                                                              </w:divBdr>
                                                              <w:divsChild>
                                                                <w:div w:id="80219737">
                                                                  <w:marLeft w:val="0"/>
                                                                  <w:marRight w:val="0"/>
                                                                  <w:marTop w:val="0"/>
                                                                  <w:marBottom w:val="240"/>
                                                                  <w:divBdr>
                                                                    <w:top w:val="none" w:sz="0" w:space="0" w:color="auto"/>
                                                                    <w:left w:val="none" w:sz="0" w:space="0" w:color="auto"/>
                                                                    <w:bottom w:val="single" w:sz="6" w:space="0" w:color="D3D7D9"/>
                                                                    <w:right w:val="none" w:sz="0" w:space="0" w:color="auto"/>
                                                                  </w:divBdr>
                                                                  <w:divsChild>
                                                                    <w:div w:id="1385905523">
                                                                      <w:marLeft w:val="0"/>
                                                                      <w:marRight w:val="0"/>
                                                                      <w:marTop w:val="0"/>
                                                                      <w:marBottom w:val="0"/>
                                                                      <w:divBdr>
                                                                        <w:top w:val="none" w:sz="0" w:space="0" w:color="auto"/>
                                                                        <w:left w:val="none" w:sz="0" w:space="0" w:color="auto"/>
                                                                        <w:bottom w:val="none" w:sz="0" w:space="0" w:color="auto"/>
                                                                        <w:right w:val="none" w:sz="0" w:space="0" w:color="auto"/>
                                                                      </w:divBdr>
                                                                      <w:divsChild>
                                                                        <w:div w:id="2089420529">
                                                                          <w:marLeft w:val="0"/>
                                                                          <w:marRight w:val="0"/>
                                                                          <w:marTop w:val="0"/>
                                                                          <w:marBottom w:val="0"/>
                                                                          <w:divBdr>
                                                                            <w:top w:val="none" w:sz="0" w:space="0" w:color="auto"/>
                                                                            <w:left w:val="none" w:sz="0" w:space="0" w:color="auto"/>
                                                                            <w:bottom w:val="none" w:sz="0" w:space="0" w:color="auto"/>
                                                                            <w:right w:val="none" w:sz="0" w:space="0" w:color="auto"/>
                                                                          </w:divBdr>
                                                                          <w:divsChild>
                                                                            <w:div w:id="1533153945">
                                                                              <w:marLeft w:val="0"/>
                                                                              <w:marRight w:val="0"/>
                                                                              <w:marTop w:val="0"/>
                                                                              <w:marBottom w:val="0"/>
                                                                              <w:divBdr>
                                                                                <w:top w:val="none" w:sz="0" w:space="0" w:color="auto"/>
                                                                                <w:left w:val="none" w:sz="0" w:space="0" w:color="auto"/>
                                                                                <w:bottom w:val="none" w:sz="0" w:space="0" w:color="auto"/>
                                                                                <w:right w:val="none" w:sz="0" w:space="0" w:color="auto"/>
                                                                              </w:divBdr>
                                                                              <w:divsChild>
                                                                                <w:div w:id="760375222">
                                                                                  <w:marLeft w:val="240"/>
                                                                                  <w:marRight w:val="240"/>
                                                                                  <w:marTop w:val="0"/>
                                                                                  <w:marBottom w:val="0"/>
                                                                                  <w:divBdr>
                                                                                    <w:top w:val="none" w:sz="0" w:space="0" w:color="auto"/>
                                                                                    <w:left w:val="none" w:sz="0" w:space="0" w:color="auto"/>
                                                                                    <w:bottom w:val="dotted" w:sz="6" w:space="4" w:color="D3D7D9"/>
                                                                                    <w:right w:val="none" w:sz="0" w:space="0" w:color="auto"/>
                                                                                  </w:divBdr>
                                                                                  <w:divsChild>
                                                                                    <w:div w:id="21906281">
                                                                                      <w:marLeft w:val="0"/>
                                                                                      <w:marRight w:val="0"/>
                                                                                      <w:marTop w:val="0"/>
                                                                                      <w:marBottom w:val="0"/>
                                                                                      <w:divBdr>
                                                                                        <w:top w:val="none" w:sz="0" w:space="0" w:color="auto"/>
                                                                                        <w:left w:val="none" w:sz="0" w:space="0" w:color="auto"/>
                                                                                        <w:bottom w:val="none" w:sz="0" w:space="0" w:color="auto"/>
                                                                                        <w:right w:val="none" w:sz="0" w:space="0" w:color="auto"/>
                                                                                      </w:divBdr>
                                                                                      <w:divsChild>
                                                                                        <w:div w:id="931863577">
                                                                                          <w:marLeft w:val="0"/>
                                                                                          <w:marRight w:val="0"/>
                                                                                          <w:marTop w:val="0"/>
                                                                                          <w:marBottom w:val="0"/>
                                                                                          <w:divBdr>
                                                                                            <w:top w:val="none" w:sz="0" w:space="0" w:color="auto"/>
                                                                                            <w:left w:val="none" w:sz="0" w:space="0" w:color="auto"/>
                                                                                            <w:bottom w:val="none" w:sz="0" w:space="0" w:color="auto"/>
                                                                                            <w:right w:val="none" w:sz="0" w:space="0" w:color="auto"/>
                                                                                          </w:divBdr>
                                                                                          <w:divsChild>
                                                                                            <w:div w:id="240455445">
                                                                                              <w:marLeft w:val="0"/>
                                                                                              <w:marRight w:val="0"/>
                                                                                              <w:marTop w:val="0"/>
                                                                                              <w:marBottom w:val="0"/>
                                                                                              <w:divBdr>
                                                                                                <w:top w:val="none" w:sz="0" w:space="0" w:color="auto"/>
                                                                                                <w:left w:val="none" w:sz="0" w:space="0" w:color="auto"/>
                                                                                                <w:bottom w:val="none" w:sz="0" w:space="0" w:color="auto"/>
                                                                                                <w:right w:val="none" w:sz="0" w:space="0" w:color="auto"/>
                                                                                              </w:divBdr>
                                                                                              <w:divsChild>
                                                                                                <w:div w:id="829296775">
                                                                                                  <w:marLeft w:val="0"/>
                                                                                                  <w:marRight w:val="0"/>
                                                                                                  <w:marTop w:val="0"/>
                                                                                                  <w:marBottom w:val="0"/>
                                                                                                  <w:divBdr>
                                                                                                    <w:top w:val="none" w:sz="0" w:space="0" w:color="auto"/>
                                                                                                    <w:left w:val="none" w:sz="0" w:space="0" w:color="auto"/>
                                                                                                    <w:bottom w:val="none" w:sz="0" w:space="0" w:color="auto"/>
                                                                                                    <w:right w:val="none" w:sz="0" w:space="0" w:color="auto"/>
                                                                                                  </w:divBdr>
                                                                                                  <w:divsChild>
                                                                                                    <w:div w:id="19632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406410">
      <w:bodyDiv w:val="1"/>
      <w:marLeft w:val="0"/>
      <w:marRight w:val="0"/>
      <w:marTop w:val="0"/>
      <w:marBottom w:val="0"/>
      <w:divBdr>
        <w:top w:val="none" w:sz="0" w:space="0" w:color="auto"/>
        <w:left w:val="none" w:sz="0" w:space="0" w:color="auto"/>
        <w:bottom w:val="none" w:sz="0" w:space="0" w:color="auto"/>
        <w:right w:val="none" w:sz="0" w:space="0" w:color="auto"/>
      </w:divBdr>
      <w:divsChild>
        <w:div w:id="1327972709">
          <w:marLeft w:val="0"/>
          <w:marRight w:val="0"/>
          <w:marTop w:val="0"/>
          <w:marBottom w:val="0"/>
          <w:divBdr>
            <w:top w:val="none" w:sz="0" w:space="0" w:color="auto"/>
            <w:left w:val="none" w:sz="0" w:space="0" w:color="auto"/>
            <w:bottom w:val="none" w:sz="0" w:space="0" w:color="auto"/>
            <w:right w:val="none" w:sz="0" w:space="0" w:color="auto"/>
          </w:divBdr>
          <w:divsChild>
            <w:div w:id="1811244375">
              <w:marLeft w:val="0"/>
              <w:marRight w:val="0"/>
              <w:marTop w:val="0"/>
              <w:marBottom w:val="0"/>
              <w:divBdr>
                <w:top w:val="none" w:sz="0" w:space="0" w:color="auto"/>
                <w:left w:val="none" w:sz="0" w:space="0" w:color="auto"/>
                <w:bottom w:val="none" w:sz="0" w:space="0" w:color="auto"/>
                <w:right w:val="none" w:sz="0" w:space="0" w:color="auto"/>
              </w:divBdr>
              <w:divsChild>
                <w:div w:id="550272328">
                  <w:marLeft w:val="0"/>
                  <w:marRight w:val="0"/>
                  <w:marTop w:val="960"/>
                  <w:marBottom w:val="0"/>
                  <w:divBdr>
                    <w:top w:val="none" w:sz="0" w:space="0" w:color="auto"/>
                    <w:left w:val="none" w:sz="0" w:space="0" w:color="auto"/>
                    <w:bottom w:val="none" w:sz="0" w:space="0" w:color="auto"/>
                    <w:right w:val="none" w:sz="0" w:space="0" w:color="auto"/>
                  </w:divBdr>
                  <w:divsChild>
                    <w:div w:id="2115317544">
                      <w:marLeft w:val="0"/>
                      <w:marRight w:val="0"/>
                      <w:marTop w:val="0"/>
                      <w:marBottom w:val="0"/>
                      <w:divBdr>
                        <w:top w:val="none" w:sz="0" w:space="0" w:color="auto"/>
                        <w:left w:val="none" w:sz="0" w:space="0" w:color="auto"/>
                        <w:bottom w:val="none" w:sz="0" w:space="0" w:color="auto"/>
                        <w:right w:val="none" w:sz="0" w:space="0" w:color="auto"/>
                      </w:divBdr>
                      <w:divsChild>
                        <w:div w:id="43607013">
                          <w:marLeft w:val="0"/>
                          <w:marRight w:val="0"/>
                          <w:marTop w:val="0"/>
                          <w:marBottom w:val="0"/>
                          <w:divBdr>
                            <w:top w:val="none" w:sz="0" w:space="0" w:color="auto"/>
                            <w:left w:val="none" w:sz="0" w:space="0" w:color="auto"/>
                            <w:bottom w:val="none" w:sz="0" w:space="0" w:color="auto"/>
                            <w:right w:val="none" w:sz="0" w:space="0" w:color="auto"/>
                          </w:divBdr>
                          <w:divsChild>
                            <w:div w:id="724139737">
                              <w:marLeft w:val="0"/>
                              <w:marRight w:val="0"/>
                              <w:marTop w:val="0"/>
                              <w:marBottom w:val="0"/>
                              <w:divBdr>
                                <w:top w:val="none" w:sz="0" w:space="0" w:color="auto"/>
                                <w:left w:val="none" w:sz="0" w:space="0" w:color="auto"/>
                                <w:bottom w:val="none" w:sz="0" w:space="0" w:color="auto"/>
                                <w:right w:val="none" w:sz="0" w:space="0" w:color="auto"/>
                              </w:divBdr>
                              <w:divsChild>
                                <w:div w:id="1241789651">
                                  <w:marLeft w:val="0"/>
                                  <w:marRight w:val="0"/>
                                  <w:marTop w:val="0"/>
                                  <w:marBottom w:val="0"/>
                                  <w:divBdr>
                                    <w:top w:val="none" w:sz="0" w:space="0" w:color="auto"/>
                                    <w:left w:val="none" w:sz="0" w:space="0" w:color="auto"/>
                                    <w:bottom w:val="none" w:sz="0" w:space="0" w:color="auto"/>
                                    <w:right w:val="none" w:sz="0" w:space="0" w:color="auto"/>
                                  </w:divBdr>
                                  <w:divsChild>
                                    <w:div w:id="1352217555">
                                      <w:marLeft w:val="0"/>
                                      <w:marRight w:val="0"/>
                                      <w:marTop w:val="0"/>
                                      <w:marBottom w:val="0"/>
                                      <w:divBdr>
                                        <w:top w:val="none" w:sz="0" w:space="0" w:color="auto"/>
                                        <w:left w:val="none" w:sz="0" w:space="0" w:color="auto"/>
                                        <w:bottom w:val="none" w:sz="0" w:space="0" w:color="auto"/>
                                        <w:right w:val="none" w:sz="0" w:space="0" w:color="auto"/>
                                      </w:divBdr>
                                      <w:divsChild>
                                        <w:div w:id="258493337">
                                          <w:marLeft w:val="0"/>
                                          <w:marRight w:val="0"/>
                                          <w:marTop w:val="0"/>
                                          <w:marBottom w:val="0"/>
                                          <w:divBdr>
                                            <w:top w:val="none" w:sz="0" w:space="0" w:color="auto"/>
                                            <w:left w:val="none" w:sz="0" w:space="0" w:color="auto"/>
                                            <w:bottom w:val="none" w:sz="0" w:space="0" w:color="auto"/>
                                            <w:right w:val="none" w:sz="0" w:space="0" w:color="auto"/>
                                          </w:divBdr>
                                        </w:div>
                                        <w:div w:id="439959238">
                                          <w:marLeft w:val="0"/>
                                          <w:marRight w:val="0"/>
                                          <w:marTop w:val="0"/>
                                          <w:marBottom w:val="0"/>
                                          <w:divBdr>
                                            <w:top w:val="none" w:sz="0" w:space="0" w:color="auto"/>
                                            <w:left w:val="none" w:sz="0" w:space="0" w:color="auto"/>
                                            <w:bottom w:val="none" w:sz="0" w:space="0" w:color="auto"/>
                                            <w:right w:val="none" w:sz="0" w:space="0" w:color="auto"/>
                                          </w:divBdr>
                                        </w:div>
                                        <w:div w:id="1280334653">
                                          <w:marLeft w:val="0"/>
                                          <w:marRight w:val="0"/>
                                          <w:marTop w:val="0"/>
                                          <w:marBottom w:val="0"/>
                                          <w:divBdr>
                                            <w:top w:val="none" w:sz="0" w:space="0" w:color="auto"/>
                                            <w:left w:val="none" w:sz="0" w:space="0" w:color="auto"/>
                                            <w:bottom w:val="none" w:sz="0" w:space="0" w:color="auto"/>
                                            <w:right w:val="none" w:sz="0" w:space="0" w:color="auto"/>
                                          </w:divBdr>
                                        </w:div>
                                        <w:div w:id="1302614182">
                                          <w:marLeft w:val="0"/>
                                          <w:marRight w:val="0"/>
                                          <w:marTop w:val="0"/>
                                          <w:marBottom w:val="0"/>
                                          <w:divBdr>
                                            <w:top w:val="none" w:sz="0" w:space="0" w:color="auto"/>
                                            <w:left w:val="none" w:sz="0" w:space="0" w:color="auto"/>
                                            <w:bottom w:val="none" w:sz="0" w:space="0" w:color="auto"/>
                                            <w:right w:val="none" w:sz="0" w:space="0" w:color="auto"/>
                                          </w:divBdr>
                                        </w:div>
                                        <w:div w:id="141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333720">
      <w:bodyDiv w:val="1"/>
      <w:marLeft w:val="0"/>
      <w:marRight w:val="0"/>
      <w:marTop w:val="0"/>
      <w:marBottom w:val="0"/>
      <w:divBdr>
        <w:top w:val="none" w:sz="0" w:space="0" w:color="auto"/>
        <w:left w:val="none" w:sz="0" w:space="0" w:color="auto"/>
        <w:bottom w:val="none" w:sz="0" w:space="0" w:color="auto"/>
        <w:right w:val="none" w:sz="0" w:space="0" w:color="auto"/>
      </w:divBdr>
      <w:divsChild>
        <w:div w:id="857502714">
          <w:marLeft w:val="0"/>
          <w:marRight w:val="0"/>
          <w:marTop w:val="0"/>
          <w:marBottom w:val="0"/>
          <w:divBdr>
            <w:top w:val="none" w:sz="0" w:space="0" w:color="auto"/>
            <w:left w:val="none" w:sz="0" w:space="0" w:color="auto"/>
            <w:bottom w:val="none" w:sz="0" w:space="0" w:color="auto"/>
            <w:right w:val="none" w:sz="0" w:space="0" w:color="auto"/>
          </w:divBdr>
          <w:divsChild>
            <w:div w:id="1075006080">
              <w:marLeft w:val="0"/>
              <w:marRight w:val="0"/>
              <w:marTop w:val="0"/>
              <w:marBottom w:val="0"/>
              <w:divBdr>
                <w:top w:val="none" w:sz="0" w:space="0" w:color="auto"/>
                <w:left w:val="none" w:sz="0" w:space="0" w:color="auto"/>
                <w:bottom w:val="none" w:sz="0" w:space="0" w:color="auto"/>
                <w:right w:val="none" w:sz="0" w:space="0" w:color="auto"/>
              </w:divBdr>
              <w:divsChild>
                <w:div w:id="511147836">
                  <w:marLeft w:val="-225"/>
                  <w:marRight w:val="-225"/>
                  <w:marTop w:val="0"/>
                  <w:marBottom w:val="0"/>
                  <w:divBdr>
                    <w:top w:val="none" w:sz="0" w:space="0" w:color="auto"/>
                    <w:left w:val="none" w:sz="0" w:space="0" w:color="auto"/>
                    <w:bottom w:val="none" w:sz="0" w:space="0" w:color="auto"/>
                    <w:right w:val="none" w:sz="0" w:space="0" w:color="auto"/>
                  </w:divBdr>
                  <w:divsChild>
                    <w:div w:id="1218319138">
                      <w:marLeft w:val="0"/>
                      <w:marRight w:val="0"/>
                      <w:marTop w:val="0"/>
                      <w:marBottom w:val="0"/>
                      <w:divBdr>
                        <w:top w:val="none" w:sz="0" w:space="0" w:color="auto"/>
                        <w:left w:val="none" w:sz="0" w:space="0" w:color="auto"/>
                        <w:bottom w:val="none" w:sz="0" w:space="0" w:color="auto"/>
                        <w:right w:val="none" w:sz="0" w:space="0" w:color="auto"/>
                      </w:divBdr>
                      <w:divsChild>
                        <w:div w:id="1124226429">
                          <w:marLeft w:val="0"/>
                          <w:marRight w:val="0"/>
                          <w:marTop w:val="0"/>
                          <w:marBottom w:val="0"/>
                          <w:divBdr>
                            <w:top w:val="none" w:sz="0" w:space="0" w:color="auto"/>
                            <w:left w:val="none" w:sz="0" w:space="0" w:color="auto"/>
                            <w:bottom w:val="none" w:sz="0" w:space="0" w:color="auto"/>
                            <w:right w:val="none" w:sz="0" w:space="0" w:color="auto"/>
                          </w:divBdr>
                          <w:divsChild>
                            <w:div w:id="12989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002724">
      <w:bodyDiv w:val="1"/>
      <w:marLeft w:val="0"/>
      <w:marRight w:val="0"/>
      <w:marTop w:val="0"/>
      <w:marBottom w:val="0"/>
      <w:divBdr>
        <w:top w:val="none" w:sz="0" w:space="0" w:color="auto"/>
        <w:left w:val="none" w:sz="0" w:space="0" w:color="auto"/>
        <w:bottom w:val="none" w:sz="0" w:space="0" w:color="auto"/>
        <w:right w:val="none" w:sz="0" w:space="0" w:color="auto"/>
      </w:divBdr>
      <w:divsChild>
        <w:div w:id="1322008806">
          <w:marLeft w:val="0"/>
          <w:marRight w:val="0"/>
          <w:marTop w:val="0"/>
          <w:marBottom w:val="0"/>
          <w:divBdr>
            <w:top w:val="none" w:sz="0" w:space="0" w:color="auto"/>
            <w:left w:val="none" w:sz="0" w:space="0" w:color="auto"/>
            <w:bottom w:val="none" w:sz="0" w:space="0" w:color="auto"/>
            <w:right w:val="none" w:sz="0" w:space="0" w:color="auto"/>
          </w:divBdr>
          <w:divsChild>
            <w:div w:id="596136711">
              <w:marLeft w:val="0"/>
              <w:marRight w:val="0"/>
              <w:marTop w:val="0"/>
              <w:marBottom w:val="0"/>
              <w:divBdr>
                <w:top w:val="none" w:sz="0" w:space="0" w:color="auto"/>
                <w:left w:val="none" w:sz="0" w:space="0" w:color="auto"/>
                <w:bottom w:val="none" w:sz="0" w:space="0" w:color="auto"/>
                <w:right w:val="none" w:sz="0" w:space="0" w:color="auto"/>
              </w:divBdr>
              <w:divsChild>
                <w:div w:id="827403772">
                  <w:marLeft w:val="0"/>
                  <w:marRight w:val="0"/>
                  <w:marTop w:val="0"/>
                  <w:marBottom w:val="0"/>
                  <w:divBdr>
                    <w:top w:val="none" w:sz="0" w:space="0" w:color="auto"/>
                    <w:left w:val="none" w:sz="0" w:space="0" w:color="auto"/>
                    <w:bottom w:val="none" w:sz="0" w:space="0" w:color="auto"/>
                    <w:right w:val="none" w:sz="0" w:space="0" w:color="auto"/>
                  </w:divBdr>
                  <w:divsChild>
                    <w:div w:id="859005683">
                      <w:marLeft w:val="0"/>
                      <w:marRight w:val="0"/>
                      <w:marTop w:val="0"/>
                      <w:marBottom w:val="0"/>
                      <w:divBdr>
                        <w:top w:val="none" w:sz="0" w:space="0" w:color="auto"/>
                        <w:left w:val="none" w:sz="0" w:space="0" w:color="auto"/>
                        <w:bottom w:val="none" w:sz="0" w:space="0" w:color="auto"/>
                        <w:right w:val="none" w:sz="0" w:space="0" w:color="auto"/>
                      </w:divBdr>
                      <w:divsChild>
                        <w:div w:id="708919145">
                          <w:marLeft w:val="0"/>
                          <w:marRight w:val="0"/>
                          <w:marTop w:val="45"/>
                          <w:marBottom w:val="0"/>
                          <w:divBdr>
                            <w:top w:val="none" w:sz="0" w:space="0" w:color="auto"/>
                            <w:left w:val="none" w:sz="0" w:space="0" w:color="auto"/>
                            <w:bottom w:val="none" w:sz="0" w:space="0" w:color="auto"/>
                            <w:right w:val="none" w:sz="0" w:space="0" w:color="auto"/>
                          </w:divBdr>
                          <w:divsChild>
                            <w:div w:id="1594164325">
                              <w:marLeft w:val="0"/>
                              <w:marRight w:val="0"/>
                              <w:marTop w:val="0"/>
                              <w:marBottom w:val="0"/>
                              <w:divBdr>
                                <w:top w:val="none" w:sz="0" w:space="0" w:color="auto"/>
                                <w:left w:val="none" w:sz="0" w:space="0" w:color="auto"/>
                                <w:bottom w:val="none" w:sz="0" w:space="0" w:color="auto"/>
                                <w:right w:val="none" w:sz="0" w:space="0" w:color="auto"/>
                              </w:divBdr>
                              <w:divsChild>
                                <w:div w:id="565342475">
                                  <w:marLeft w:val="2070"/>
                                  <w:marRight w:val="3810"/>
                                  <w:marTop w:val="0"/>
                                  <w:marBottom w:val="0"/>
                                  <w:divBdr>
                                    <w:top w:val="none" w:sz="0" w:space="0" w:color="auto"/>
                                    <w:left w:val="none" w:sz="0" w:space="0" w:color="auto"/>
                                    <w:bottom w:val="none" w:sz="0" w:space="0" w:color="auto"/>
                                    <w:right w:val="none" w:sz="0" w:space="0" w:color="auto"/>
                                  </w:divBdr>
                                  <w:divsChild>
                                    <w:div w:id="611786254">
                                      <w:marLeft w:val="0"/>
                                      <w:marRight w:val="0"/>
                                      <w:marTop w:val="0"/>
                                      <w:marBottom w:val="0"/>
                                      <w:divBdr>
                                        <w:top w:val="none" w:sz="0" w:space="0" w:color="auto"/>
                                        <w:left w:val="none" w:sz="0" w:space="0" w:color="auto"/>
                                        <w:bottom w:val="none" w:sz="0" w:space="0" w:color="auto"/>
                                        <w:right w:val="none" w:sz="0" w:space="0" w:color="auto"/>
                                      </w:divBdr>
                                      <w:divsChild>
                                        <w:div w:id="1640259385">
                                          <w:marLeft w:val="0"/>
                                          <w:marRight w:val="0"/>
                                          <w:marTop w:val="0"/>
                                          <w:marBottom w:val="0"/>
                                          <w:divBdr>
                                            <w:top w:val="none" w:sz="0" w:space="0" w:color="auto"/>
                                            <w:left w:val="none" w:sz="0" w:space="0" w:color="auto"/>
                                            <w:bottom w:val="none" w:sz="0" w:space="0" w:color="auto"/>
                                            <w:right w:val="none" w:sz="0" w:space="0" w:color="auto"/>
                                          </w:divBdr>
                                          <w:divsChild>
                                            <w:div w:id="1008676196">
                                              <w:marLeft w:val="0"/>
                                              <w:marRight w:val="0"/>
                                              <w:marTop w:val="0"/>
                                              <w:marBottom w:val="0"/>
                                              <w:divBdr>
                                                <w:top w:val="none" w:sz="0" w:space="0" w:color="auto"/>
                                                <w:left w:val="none" w:sz="0" w:space="0" w:color="auto"/>
                                                <w:bottom w:val="none" w:sz="0" w:space="0" w:color="auto"/>
                                                <w:right w:val="none" w:sz="0" w:space="0" w:color="auto"/>
                                              </w:divBdr>
                                              <w:divsChild>
                                                <w:div w:id="1507330300">
                                                  <w:marLeft w:val="0"/>
                                                  <w:marRight w:val="0"/>
                                                  <w:marTop w:val="0"/>
                                                  <w:marBottom w:val="0"/>
                                                  <w:divBdr>
                                                    <w:top w:val="none" w:sz="0" w:space="0" w:color="auto"/>
                                                    <w:left w:val="none" w:sz="0" w:space="0" w:color="auto"/>
                                                    <w:bottom w:val="none" w:sz="0" w:space="0" w:color="auto"/>
                                                    <w:right w:val="none" w:sz="0" w:space="0" w:color="auto"/>
                                                  </w:divBdr>
                                                  <w:divsChild>
                                                    <w:div w:id="1437141268">
                                                      <w:marLeft w:val="0"/>
                                                      <w:marRight w:val="0"/>
                                                      <w:marTop w:val="0"/>
                                                      <w:marBottom w:val="0"/>
                                                      <w:divBdr>
                                                        <w:top w:val="none" w:sz="0" w:space="0" w:color="auto"/>
                                                        <w:left w:val="none" w:sz="0" w:space="0" w:color="auto"/>
                                                        <w:bottom w:val="none" w:sz="0" w:space="0" w:color="auto"/>
                                                        <w:right w:val="none" w:sz="0" w:space="0" w:color="auto"/>
                                                      </w:divBdr>
                                                      <w:divsChild>
                                                        <w:div w:id="1289966920">
                                                          <w:marLeft w:val="0"/>
                                                          <w:marRight w:val="0"/>
                                                          <w:marTop w:val="0"/>
                                                          <w:marBottom w:val="0"/>
                                                          <w:divBdr>
                                                            <w:top w:val="none" w:sz="0" w:space="0" w:color="auto"/>
                                                            <w:left w:val="none" w:sz="0" w:space="0" w:color="auto"/>
                                                            <w:bottom w:val="none" w:sz="0" w:space="0" w:color="auto"/>
                                                            <w:right w:val="none" w:sz="0" w:space="0" w:color="auto"/>
                                                          </w:divBdr>
                                                          <w:divsChild>
                                                            <w:div w:id="218056778">
                                                              <w:marLeft w:val="0"/>
                                                              <w:marRight w:val="0"/>
                                                              <w:marTop w:val="0"/>
                                                              <w:marBottom w:val="345"/>
                                                              <w:divBdr>
                                                                <w:top w:val="none" w:sz="0" w:space="0" w:color="auto"/>
                                                                <w:left w:val="none" w:sz="0" w:space="0" w:color="auto"/>
                                                                <w:bottom w:val="none" w:sz="0" w:space="0" w:color="auto"/>
                                                                <w:right w:val="none" w:sz="0" w:space="0" w:color="auto"/>
                                                              </w:divBdr>
                                                              <w:divsChild>
                                                                <w:div w:id="128666576">
                                                                  <w:marLeft w:val="0"/>
                                                                  <w:marRight w:val="0"/>
                                                                  <w:marTop w:val="0"/>
                                                                  <w:marBottom w:val="0"/>
                                                                  <w:divBdr>
                                                                    <w:top w:val="none" w:sz="0" w:space="0" w:color="auto"/>
                                                                    <w:left w:val="none" w:sz="0" w:space="0" w:color="auto"/>
                                                                    <w:bottom w:val="none" w:sz="0" w:space="0" w:color="auto"/>
                                                                    <w:right w:val="none" w:sz="0" w:space="0" w:color="auto"/>
                                                                  </w:divBdr>
                                                                  <w:divsChild>
                                                                    <w:div w:id="1703482666">
                                                                      <w:marLeft w:val="0"/>
                                                                      <w:marRight w:val="0"/>
                                                                      <w:marTop w:val="0"/>
                                                                      <w:marBottom w:val="0"/>
                                                                      <w:divBdr>
                                                                        <w:top w:val="none" w:sz="0" w:space="0" w:color="auto"/>
                                                                        <w:left w:val="none" w:sz="0" w:space="0" w:color="auto"/>
                                                                        <w:bottom w:val="none" w:sz="0" w:space="0" w:color="auto"/>
                                                                        <w:right w:val="none" w:sz="0" w:space="0" w:color="auto"/>
                                                                      </w:divBdr>
                                                                      <w:divsChild>
                                                                        <w:div w:id="1260286990">
                                                                          <w:marLeft w:val="0"/>
                                                                          <w:marRight w:val="0"/>
                                                                          <w:marTop w:val="0"/>
                                                                          <w:marBottom w:val="0"/>
                                                                          <w:divBdr>
                                                                            <w:top w:val="none" w:sz="0" w:space="0" w:color="auto"/>
                                                                            <w:left w:val="none" w:sz="0" w:space="0" w:color="auto"/>
                                                                            <w:bottom w:val="none" w:sz="0" w:space="0" w:color="auto"/>
                                                                            <w:right w:val="none" w:sz="0" w:space="0" w:color="auto"/>
                                                                          </w:divBdr>
                                                                          <w:divsChild>
                                                                            <w:div w:id="172262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6456952">
      <w:bodyDiv w:val="1"/>
      <w:marLeft w:val="0"/>
      <w:marRight w:val="0"/>
      <w:marTop w:val="0"/>
      <w:marBottom w:val="0"/>
      <w:divBdr>
        <w:top w:val="none" w:sz="0" w:space="0" w:color="auto"/>
        <w:left w:val="none" w:sz="0" w:space="0" w:color="auto"/>
        <w:bottom w:val="none" w:sz="0" w:space="0" w:color="auto"/>
        <w:right w:val="none" w:sz="0" w:space="0" w:color="auto"/>
      </w:divBdr>
    </w:div>
    <w:div w:id="1557663157">
      <w:bodyDiv w:val="1"/>
      <w:marLeft w:val="0"/>
      <w:marRight w:val="0"/>
      <w:marTop w:val="0"/>
      <w:marBottom w:val="0"/>
      <w:divBdr>
        <w:top w:val="none" w:sz="0" w:space="0" w:color="auto"/>
        <w:left w:val="none" w:sz="0" w:space="0" w:color="auto"/>
        <w:bottom w:val="none" w:sz="0" w:space="0" w:color="auto"/>
        <w:right w:val="none" w:sz="0" w:space="0" w:color="auto"/>
      </w:divBdr>
    </w:div>
    <w:div w:id="1566179901">
      <w:bodyDiv w:val="1"/>
      <w:marLeft w:val="0"/>
      <w:marRight w:val="0"/>
      <w:marTop w:val="0"/>
      <w:marBottom w:val="0"/>
      <w:divBdr>
        <w:top w:val="none" w:sz="0" w:space="0" w:color="auto"/>
        <w:left w:val="none" w:sz="0" w:space="0" w:color="auto"/>
        <w:bottom w:val="none" w:sz="0" w:space="0" w:color="auto"/>
        <w:right w:val="none" w:sz="0" w:space="0" w:color="auto"/>
      </w:divBdr>
      <w:divsChild>
        <w:div w:id="1853377527">
          <w:marLeft w:val="0"/>
          <w:marRight w:val="0"/>
          <w:marTop w:val="0"/>
          <w:marBottom w:val="0"/>
          <w:divBdr>
            <w:top w:val="none" w:sz="0" w:space="0" w:color="auto"/>
            <w:left w:val="none" w:sz="0" w:space="0" w:color="auto"/>
            <w:bottom w:val="none" w:sz="0" w:space="0" w:color="auto"/>
            <w:right w:val="none" w:sz="0" w:space="0" w:color="auto"/>
          </w:divBdr>
          <w:divsChild>
            <w:div w:id="849216949">
              <w:marLeft w:val="150"/>
              <w:marRight w:val="0"/>
              <w:marTop w:val="0"/>
              <w:marBottom w:val="0"/>
              <w:divBdr>
                <w:top w:val="none" w:sz="0" w:space="0" w:color="auto"/>
                <w:left w:val="none" w:sz="0" w:space="0" w:color="auto"/>
                <w:bottom w:val="none" w:sz="0" w:space="0" w:color="auto"/>
                <w:right w:val="none" w:sz="0" w:space="0" w:color="auto"/>
              </w:divBdr>
              <w:divsChild>
                <w:div w:id="9371070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67448283">
      <w:bodyDiv w:val="1"/>
      <w:marLeft w:val="0"/>
      <w:marRight w:val="0"/>
      <w:marTop w:val="0"/>
      <w:marBottom w:val="0"/>
      <w:divBdr>
        <w:top w:val="none" w:sz="0" w:space="0" w:color="auto"/>
        <w:left w:val="none" w:sz="0" w:space="0" w:color="auto"/>
        <w:bottom w:val="none" w:sz="0" w:space="0" w:color="auto"/>
        <w:right w:val="none" w:sz="0" w:space="0" w:color="auto"/>
      </w:divBdr>
      <w:divsChild>
        <w:div w:id="23756262">
          <w:marLeft w:val="0"/>
          <w:marRight w:val="0"/>
          <w:marTop w:val="0"/>
          <w:marBottom w:val="0"/>
          <w:divBdr>
            <w:top w:val="none" w:sz="0" w:space="0" w:color="auto"/>
            <w:left w:val="none" w:sz="0" w:space="0" w:color="auto"/>
            <w:bottom w:val="none" w:sz="0" w:space="0" w:color="auto"/>
            <w:right w:val="none" w:sz="0" w:space="0" w:color="auto"/>
          </w:divBdr>
        </w:div>
        <w:div w:id="23799482">
          <w:marLeft w:val="0"/>
          <w:marRight w:val="0"/>
          <w:marTop w:val="0"/>
          <w:marBottom w:val="0"/>
          <w:divBdr>
            <w:top w:val="none" w:sz="0" w:space="0" w:color="auto"/>
            <w:left w:val="none" w:sz="0" w:space="0" w:color="auto"/>
            <w:bottom w:val="none" w:sz="0" w:space="0" w:color="auto"/>
            <w:right w:val="none" w:sz="0" w:space="0" w:color="auto"/>
          </w:divBdr>
        </w:div>
        <w:div w:id="24141924">
          <w:marLeft w:val="0"/>
          <w:marRight w:val="0"/>
          <w:marTop w:val="0"/>
          <w:marBottom w:val="0"/>
          <w:divBdr>
            <w:top w:val="none" w:sz="0" w:space="0" w:color="auto"/>
            <w:left w:val="none" w:sz="0" w:space="0" w:color="auto"/>
            <w:bottom w:val="none" w:sz="0" w:space="0" w:color="auto"/>
            <w:right w:val="none" w:sz="0" w:space="0" w:color="auto"/>
          </w:divBdr>
        </w:div>
        <w:div w:id="965702007">
          <w:marLeft w:val="0"/>
          <w:marRight w:val="0"/>
          <w:marTop w:val="0"/>
          <w:marBottom w:val="0"/>
          <w:divBdr>
            <w:top w:val="none" w:sz="0" w:space="0" w:color="auto"/>
            <w:left w:val="none" w:sz="0" w:space="0" w:color="auto"/>
            <w:bottom w:val="none" w:sz="0" w:space="0" w:color="auto"/>
            <w:right w:val="none" w:sz="0" w:space="0" w:color="auto"/>
          </w:divBdr>
        </w:div>
        <w:div w:id="1011419085">
          <w:marLeft w:val="0"/>
          <w:marRight w:val="0"/>
          <w:marTop w:val="0"/>
          <w:marBottom w:val="0"/>
          <w:divBdr>
            <w:top w:val="none" w:sz="0" w:space="0" w:color="auto"/>
            <w:left w:val="none" w:sz="0" w:space="0" w:color="auto"/>
            <w:bottom w:val="none" w:sz="0" w:space="0" w:color="auto"/>
            <w:right w:val="none" w:sz="0" w:space="0" w:color="auto"/>
          </w:divBdr>
        </w:div>
        <w:div w:id="1151212084">
          <w:marLeft w:val="0"/>
          <w:marRight w:val="0"/>
          <w:marTop w:val="0"/>
          <w:marBottom w:val="0"/>
          <w:divBdr>
            <w:top w:val="none" w:sz="0" w:space="0" w:color="auto"/>
            <w:left w:val="none" w:sz="0" w:space="0" w:color="auto"/>
            <w:bottom w:val="none" w:sz="0" w:space="0" w:color="auto"/>
            <w:right w:val="none" w:sz="0" w:space="0" w:color="auto"/>
          </w:divBdr>
        </w:div>
        <w:div w:id="1171021617">
          <w:marLeft w:val="0"/>
          <w:marRight w:val="0"/>
          <w:marTop w:val="0"/>
          <w:marBottom w:val="0"/>
          <w:divBdr>
            <w:top w:val="none" w:sz="0" w:space="0" w:color="auto"/>
            <w:left w:val="none" w:sz="0" w:space="0" w:color="auto"/>
            <w:bottom w:val="none" w:sz="0" w:space="0" w:color="auto"/>
            <w:right w:val="none" w:sz="0" w:space="0" w:color="auto"/>
          </w:divBdr>
        </w:div>
        <w:div w:id="1370643434">
          <w:marLeft w:val="0"/>
          <w:marRight w:val="0"/>
          <w:marTop w:val="0"/>
          <w:marBottom w:val="0"/>
          <w:divBdr>
            <w:top w:val="none" w:sz="0" w:space="0" w:color="auto"/>
            <w:left w:val="none" w:sz="0" w:space="0" w:color="auto"/>
            <w:bottom w:val="none" w:sz="0" w:space="0" w:color="auto"/>
            <w:right w:val="none" w:sz="0" w:space="0" w:color="auto"/>
          </w:divBdr>
        </w:div>
        <w:div w:id="1565721289">
          <w:marLeft w:val="0"/>
          <w:marRight w:val="0"/>
          <w:marTop w:val="0"/>
          <w:marBottom w:val="0"/>
          <w:divBdr>
            <w:top w:val="none" w:sz="0" w:space="0" w:color="auto"/>
            <w:left w:val="none" w:sz="0" w:space="0" w:color="auto"/>
            <w:bottom w:val="none" w:sz="0" w:space="0" w:color="auto"/>
            <w:right w:val="none" w:sz="0" w:space="0" w:color="auto"/>
          </w:divBdr>
        </w:div>
        <w:div w:id="1606576976">
          <w:marLeft w:val="0"/>
          <w:marRight w:val="0"/>
          <w:marTop w:val="0"/>
          <w:marBottom w:val="0"/>
          <w:divBdr>
            <w:top w:val="none" w:sz="0" w:space="0" w:color="auto"/>
            <w:left w:val="none" w:sz="0" w:space="0" w:color="auto"/>
            <w:bottom w:val="none" w:sz="0" w:space="0" w:color="auto"/>
            <w:right w:val="none" w:sz="0" w:space="0" w:color="auto"/>
          </w:divBdr>
        </w:div>
        <w:div w:id="2141216580">
          <w:marLeft w:val="0"/>
          <w:marRight w:val="0"/>
          <w:marTop w:val="0"/>
          <w:marBottom w:val="0"/>
          <w:divBdr>
            <w:top w:val="none" w:sz="0" w:space="0" w:color="auto"/>
            <w:left w:val="none" w:sz="0" w:space="0" w:color="auto"/>
            <w:bottom w:val="none" w:sz="0" w:space="0" w:color="auto"/>
            <w:right w:val="none" w:sz="0" w:space="0" w:color="auto"/>
          </w:divBdr>
        </w:div>
        <w:div w:id="2144959274">
          <w:marLeft w:val="0"/>
          <w:marRight w:val="0"/>
          <w:marTop w:val="0"/>
          <w:marBottom w:val="0"/>
          <w:divBdr>
            <w:top w:val="none" w:sz="0" w:space="0" w:color="auto"/>
            <w:left w:val="none" w:sz="0" w:space="0" w:color="auto"/>
            <w:bottom w:val="none" w:sz="0" w:space="0" w:color="auto"/>
            <w:right w:val="none" w:sz="0" w:space="0" w:color="auto"/>
          </w:divBdr>
        </w:div>
      </w:divsChild>
    </w:div>
    <w:div w:id="1574123140">
      <w:bodyDiv w:val="1"/>
      <w:marLeft w:val="0"/>
      <w:marRight w:val="0"/>
      <w:marTop w:val="0"/>
      <w:marBottom w:val="0"/>
      <w:divBdr>
        <w:top w:val="none" w:sz="0" w:space="0" w:color="auto"/>
        <w:left w:val="none" w:sz="0" w:space="0" w:color="auto"/>
        <w:bottom w:val="none" w:sz="0" w:space="0" w:color="auto"/>
        <w:right w:val="none" w:sz="0" w:space="0" w:color="auto"/>
      </w:divBdr>
    </w:div>
    <w:div w:id="1650556232">
      <w:bodyDiv w:val="1"/>
      <w:marLeft w:val="0"/>
      <w:marRight w:val="0"/>
      <w:marTop w:val="0"/>
      <w:marBottom w:val="0"/>
      <w:divBdr>
        <w:top w:val="none" w:sz="0" w:space="0" w:color="auto"/>
        <w:left w:val="none" w:sz="0" w:space="0" w:color="auto"/>
        <w:bottom w:val="none" w:sz="0" w:space="0" w:color="auto"/>
        <w:right w:val="none" w:sz="0" w:space="0" w:color="auto"/>
      </w:divBdr>
      <w:divsChild>
        <w:div w:id="1520074153">
          <w:marLeft w:val="0"/>
          <w:marRight w:val="0"/>
          <w:marTop w:val="0"/>
          <w:marBottom w:val="0"/>
          <w:divBdr>
            <w:top w:val="none" w:sz="0" w:space="0" w:color="auto"/>
            <w:left w:val="none" w:sz="0" w:space="0" w:color="auto"/>
            <w:bottom w:val="none" w:sz="0" w:space="0" w:color="auto"/>
            <w:right w:val="none" w:sz="0" w:space="0" w:color="auto"/>
          </w:divBdr>
          <w:divsChild>
            <w:div w:id="2120948066">
              <w:marLeft w:val="0"/>
              <w:marRight w:val="0"/>
              <w:marTop w:val="0"/>
              <w:marBottom w:val="0"/>
              <w:divBdr>
                <w:top w:val="none" w:sz="0" w:space="0" w:color="auto"/>
                <w:left w:val="none" w:sz="0" w:space="0" w:color="auto"/>
                <w:bottom w:val="none" w:sz="0" w:space="0" w:color="auto"/>
                <w:right w:val="none" w:sz="0" w:space="0" w:color="auto"/>
              </w:divBdr>
              <w:divsChild>
                <w:div w:id="68833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47419">
      <w:bodyDiv w:val="1"/>
      <w:marLeft w:val="0"/>
      <w:marRight w:val="0"/>
      <w:marTop w:val="0"/>
      <w:marBottom w:val="0"/>
      <w:divBdr>
        <w:top w:val="none" w:sz="0" w:space="0" w:color="auto"/>
        <w:left w:val="none" w:sz="0" w:space="0" w:color="auto"/>
        <w:bottom w:val="none" w:sz="0" w:space="0" w:color="auto"/>
        <w:right w:val="none" w:sz="0" w:space="0" w:color="auto"/>
      </w:divBdr>
      <w:divsChild>
        <w:div w:id="299267707">
          <w:marLeft w:val="0"/>
          <w:marRight w:val="0"/>
          <w:marTop w:val="0"/>
          <w:marBottom w:val="0"/>
          <w:divBdr>
            <w:top w:val="none" w:sz="0" w:space="0" w:color="auto"/>
            <w:left w:val="none" w:sz="0" w:space="0" w:color="auto"/>
            <w:bottom w:val="none" w:sz="0" w:space="0" w:color="auto"/>
            <w:right w:val="none" w:sz="0" w:space="0" w:color="auto"/>
          </w:divBdr>
          <w:divsChild>
            <w:div w:id="1552767149">
              <w:marLeft w:val="0"/>
              <w:marRight w:val="0"/>
              <w:marTop w:val="1275"/>
              <w:marBottom w:val="0"/>
              <w:divBdr>
                <w:top w:val="none" w:sz="0" w:space="0" w:color="auto"/>
                <w:left w:val="none" w:sz="0" w:space="0" w:color="auto"/>
                <w:bottom w:val="none" w:sz="0" w:space="0" w:color="auto"/>
                <w:right w:val="none" w:sz="0" w:space="0" w:color="auto"/>
              </w:divBdr>
              <w:divsChild>
                <w:div w:id="622004867">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39889">
      <w:bodyDiv w:val="1"/>
      <w:marLeft w:val="0"/>
      <w:marRight w:val="0"/>
      <w:marTop w:val="0"/>
      <w:marBottom w:val="0"/>
      <w:divBdr>
        <w:top w:val="none" w:sz="0" w:space="0" w:color="auto"/>
        <w:left w:val="none" w:sz="0" w:space="0" w:color="auto"/>
        <w:bottom w:val="none" w:sz="0" w:space="0" w:color="auto"/>
        <w:right w:val="none" w:sz="0" w:space="0" w:color="auto"/>
      </w:divBdr>
      <w:divsChild>
        <w:div w:id="237180882">
          <w:marLeft w:val="0"/>
          <w:marRight w:val="0"/>
          <w:marTop w:val="0"/>
          <w:marBottom w:val="0"/>
          <w:divBdr>
            <w:top w:val="none" w:sz="0" w:space="0" w:color="auto"/>
            <w:left w:val="none" w:sz="0" w:space="0" w:color="auto"/>
            <w:bottom w:val="none" w:sz="0" w:space="0" w:color="auto"/>
            <w:right w:val="none" w:sz="0" w:space="0" w:color="auto"/>
          </w:divBdr>
        </w:div>
        <w:div w:id="1787313880">
          <w:marLeft w:val="0"/>
          <w:marRight w:val="0"/>
          <w:marTop w:val="0"/>
          <w:marBottom w:val="0"/>
          <w:divBdr>
            <w:top w:val="none" w:sz="0" w:space="0" w:color="auto"/>
            <w:left w:val="none" w:sz="0" w:space="0" w:color="auto"/>
            <w:bottom w:val="none" w:sz="0" w:space="0" w:color="auto"/>
            <w:right w:val="none" w:sz="0" w:space="0" w:color="auto"/>
          </w:divBdr>
        </w:div>
        <w:div w:id="2000420983">
          <w:marLeft w:val="0"/>
          <w:marRight w:val="0"/>
          <w:marTop w:val="0"/>
          <w:marBottom w:val="0"/>
          <w:divBdr>
            <w:top w:val="none" w:sz="0" w:space="0" w:color="auto"/>
            <w:left w:val="none" w:sz="0" w:space="0" w:color="auto"/>
            <w:bottom w:val="none" w:sz="0" w:space="0" w:color="auto"/>
            <w:right w:val="none" w:sz="0" w:space="0" w:color="auto"/>
          </w:divBdr>
        </w:div>
      </w:divsChild>
    </w:div>
    <w:div w:id="1710371676">
      <w:bodyDiv w:val="1"/>
      <w:marLeft w:val="0"/>
      <w:marRight w:val="0"/>
      <w:marTop w:val="0"/>
      <w:marBottom w:val="0"/>
      <w:divBdr>
        <w:top w:val="none" w:sz="0" w:space="0" w:color="auto"/>
        <w:left w:val="none" w:sz="0" w:space="0" w:color="auto"/>
        <w:bottom w:val="none" w:sz="0" w:space="0" w:color="auto"/>
        <w:right w:val="none" w:sz="0" w:space="0" w:color="auto"/>
      </w:divBdr>
      <w:divsChild>
        <w:div w:id="1750156235">
          <w:marLeft w:val="0"/>
          <w:marRight w:val="0"/>
          <w:marTop w:val="0"/>
          <w:marBottom w:val="0"/>
          <w:divBdr>
            <w:top w:val="none" w:sz="0" w:space="0" w:color="auto"/>
            <w:left w:val="none" w:sz="0" w:space="0" w:color="auto"/>
            <w:bottom w:val="none" w:sz="0" w:space="0" w:color="auto"/>
            <w:right w:val="none" w:sz="0" w:space="0" w:color="auto"/>
          </w:divBdr>
          <w:divsChild>
            <w:div w:id="131601542">
              <w:marLeft w:val="0"/>
              <w:marRight w:val="0"/>
              <w:marTop w:val="0"/>
              <w:marBottom w:val="0"/>
              <w:divBdr>
                <w:top w:val="none" w:sz="0" w:space="0" w:color="auto"/>
                <w:left w:val="none" w:sz="0" w:space="0" w:color="auto"/>
                <w:bottom w:val="none" w:sz="0" w:space="0" w:color="auto"/>
                <w:right w:val="none" w:sz="0" w:space="0" w:color="auto"/>
              </w:divBdr>
              <w:divsChild>
                <w:div w:id="558249518">
                  <w:marLeft w:val="0"/>
                  <w:marRight w:val="0"/>
                  <w:marTop w:val="0"/>
                  <w:marBottom w:val="0"/>
                  <w:divBdr>
                    <w:top w:val="none" w:sz="0" w:space="0" w:color="auto"/>
                    <w:left w:val="none" w:sz="0" w:space="0" w:color="auto"/>
                    <w:bottom w:val="none" w:sz="0" w:space="0" w:color="auto"/>
                    <w:right w:val="none" w:sz="0" w:space="0" w:color="auto"/>
                  </w:divBdr>
                  <w:divsChild>
                    <w:div w:id="2051803364">
                      <w:marLeft w:val="150"/>
                      <w:marRight w:val="150"/>
                      <w:marTop w:val="0"/>
                      <w:marBottom w:val="0"/>
                      <w:divBdr>
                        <w:top w:val="none" w:sz="0" w:space="0" w:color="auto"/>
                        <w:left w:val="none" w:sz="0" w:space="0" w:color="auto"/>
                        <w:bottom w:val="none" w:sz="0" w:space="0" w:color="auto"/>
                        <w:right w:val="none" w:sz="0" w:space="0" w:color="auto"/>
                      </w:divBdr>
                      <w:divsChild>
                        <w:div w:id="766192826">
                          <w:marLeft w:val="0"/>
                          <w:marRight w:val="0"/>
                          <w:marTop w:val="0"/>
                          <w:marBottom w:val="0"/>
                          <w:divBdr>
                            <w:top w:val="none" w:sz="0" w:space="0" w:color="auto"/>
                            <w:left w:val="none" w:sz="0" w:space="0" w:color="auto"/>
                            <w:bottom w:val="none" w:sz="0" w:space="0" w:color="auto"/>
                            <w:right w:val="none" w:sz="0" w:space="0" w:color="auto"/>
                          </w:divBdr>
                          <w:divsChild>
                            <w:div w:id="1707411504">
                              <w:marLeft w:val="0"/>
                              <w:marRight w:val="0"/>
                              <w:marTop w:val="0"/>
                              <w:marBottom w:val="0"/>
                              <w:divBdr>
                                <w:top w:val="none" w:sz="0" w:space="0" w:color="auto"/>
                                <w:left w:val="none" w:sz="0" w:space="0" w:color="auto"/>
                                <w:bottom w:val="none" w:sz="0" w:space="0" w:color="auto"/>
                                <w:right w:val="none" w:sz="0" w:space="0" w:color="auto"/>
                              </w:divBdr>
                              <w:divsChild>
                                <w:div w:id="40248715">
                                  <w:marLeft w:val="0"/>
                                  <w:marRight w:val="0"/>
                                  <w:marTop w:val="0"/>
                                  <w:marBottom w:val="0"/>
                                  <w:divBdr>
                                    <w:top w:val="none" w:sz="0" w:space="0" w:color="auto"/>
                                    <w:left w:val="none" w:sz="0" w:space="0" w:color="auto"/>
                                    <w:bottom w:val="none" w:sz="0" w:space="0" w:color="auto"/>
                                    <w:right w:val="none" w:sz="0" w:space="0" w:color="auto"/>
                                  </w:divBdr>
                                  <w:divsChild>
                                    <w:div w:id="1187906277">
                                      <w:marLeft w:val="0"/>
                                      <w:marRight w:val="0"/>
                                      <w:marTop w:val="0"/>
                                      <w:marBottom w:val="0"/>
                                      <w:divBdr>
                                        <w:top w:val="none" w:sz="0" w:space="0" w:color="auto"/>
                                        <w:left w:val="none" w:sz="0" w:space="0" w:color="auto"/>
                                        <w:bottom w:val="none" w:sz="0" w:space="0" w:color="auto"/>
                                        <w:right w:val="none" w:sz="0" w:space="0" w:color="auto"/>
                                      </w:divBdr>
                                      <w:divsChild>
                                        <w:div w:id="2090039336">
                                          <w:marLeft w:val="0"/>
                                          <w:marRight w:val="0"/>
                                          <w:marTop w:val="0"/>
                                          <w:marBottom w:val="0"/>
                                          <w:divBdr>
                                            <w:top w:val="none" w:sz="0" w:space="0" w:color="auto"/>
                                            <w:left w:val="none" w:sz="0" w:space="0" w:color="auto"/>
                                            <w:bottom w:val="none" w:sz="0" w:space="0" w:color="auto"/>
                                            <w:right w:val="none" w:sz="0" w:space="0" w:color="auto"/>
                                          </w:divBdr>
                                          <w:divsChild>
                                            <w:div w:id="1822111070">
                                              <w:marLeft w:val="0"/>
                                              <w:marRight w:val="0"/>
                                              <w:marTop w:val="0"/>
                                              <w:marBottom w:val="0"/>
                                              <w:divBdr>
                                                <w:top w:val="none" w:sz="0" w:space="0" w:color="auto"/>
                                                <w:left w:val="none" w:sz="0" w:space="0" w:color="auto"/>
                                                <w:bottom w:val="none" w:sz="0" w:space="0" w:color="auto"/>
                                                <w:right w:val="none" w:sz="0" w:space="0" w:color="auto"/>
                                              </w:divBdr>
                                              <w:divsChild>
                                                <w:div w:id="1011840521">
                                                  <w:marLeft w:val="0"/>
                                                  <w:marRight w:val="0"/>
                                                  <w:marTop w:val="0"/>
                                                  <w:marBottom w:val="0"/>
                                                  <w:divBdr>
                                                    <w:top w:val="none" w:sz="0" w:space="0" w:color="auto"/>
                                                    <w:left w:val="none" w:sz="0" w:space="0" w:color="auto"/>
                                                    <w:bottom w:val="none" w:sz="0" w:space="0" w:color="auto"/>
                                                    <w:right w:val="none" w:sz="0" w:space="0" w:color="auto"/>
                                                  </w:divBdr>
                                                  <w:divsChild>
                                                    <w:div w:id="1841652878">
                                                      <w:marLeft w:val="0"/>
                                                      <w:marRight w:val="0"/>
                                                      <w:marTop w:val="0"/>
                                                      <w:marBottom w:val="0"/>
                                                      <w:divBdr>
                                                        <w:top w:val="none" w:sz="0" w:space="0" w:color="auto"/>
                                                        <w:left w:val="none" w:sz="0" w:space="0" w:color="auto"/>
                                                        <w:bottom w:val="none" w:sz="0" w:space="0" w:color="auto"/>
                                                        <w:right w:val="none" w:sz="0" w:space="0" w:color="auto"/>
                                                      </w:divBdr>
                                                      <w:divsChild>
                                                        <w:div w:id="317152048">
                                                          <w:marLeft w:val="0"/>
                                                          <w:marRight w:val="0"/>
                                                          <w:marTop w:val="0"/>
                                                          <w:marBottom w:val="0"/>
                                                          <w:divBdr>
                                                            <w:top w:val="none" w:sz="0" w:space="0" w:color="auto"/>
                                                            <w:left w:val="none" w:sz="0" w:space="0" w:color="auto"/>
                                                            <w:bottom w:val="none" w:sz="0" w:space="0" w:color="auto"/>
                                                            <w:right w:val="none" w:sz="0" w:space="0" w:color="auto"/>
                                                          </w:divBdr>
                                                          <w:divsChild>
                                                            <w:div w:id="1800368380">
                                                              <w:marLeft w:val="0"/>
                                                              <w:marRight w:val="0"/>
                                                              <w:marTop w:val="0"/>
                                                              <w:marBottom w:val="0"/>
                                                              <w:divBdr>
                                                                <w:top w:val="none" w:sz="0" w:space="0" w:color="auto"/>
                                                                <w:left w:val="none" w:sz="0" w:space="0" w:color="auto"/>
                                                                <w:bottom w:val="none" w:sz="0" w:space="0" w:color="auto"/>
                                                                <w:right w:val="none" w:sz="0" w:space="0" w:color="auto"/>
                                                              </w:divBdr>
                                                              <w:divsChild>
                                                                <w:div w:id="885802192">
                                                                  <w:marLeft w:val="0"/>
                                                                  <w:marRight w:val="0"/>
                                                                  <w:marTop w:val="0"/>
                                                                  <w:marBottom w:val="0"/>
                                                                  <w:divBdr>
                                                                    <w:top w:val="none" w:sz="0" w:space="0" w:color="auto"/>
                                                                    <w:left w:val="none" w:sz="0" w:space="0" w:color="auto"/>
                                                                    <w:bottom w:val="none" w:sz="0" w:space="0" w:color="auto"/>
                                                                    <w:right w:val="none" w:sz="0" w:space="0" w:color="auto"/>
                                                                  </w:divBdr>
                                                                  <w:divsChild>
                                                                    <w:div w:id="12520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60103456">
      <w:bodyDiv w:val="1"/>
      <w:marLeft w:val="0"/>
      <w:marRight w:val="0"/>
      <w:marTop w:val="0"/>
      <w:marBottom w:val="0"/>
      <w:divBdr>
        <w:top w:val="none" w:sz="0" w:space="0" w:color="auto"/>
        <w:left w:val="none" w:sz="0" w:space="0" w:color="auto"/>
        <w:bottom w:val="none" w:sz="0" w:space="0" w:color="auto"/>
        <w:right w:val="none" w:sz="0" w:space="0" w:color="auto"/>
      </w:divBdr>
    </w:div>
    <w:div w:id="1763447395">
      <w:bodyDiv w:val="1"/>
      <w:marLeft w:val="0"/>
      <w:marRight w:val="0"/>
      <w:marTop w:val="0"/>
      <w:marBottom w:val="0"/>
      <w:divBdr>
        <w:top w:val="none" w:sz="0" w:space="0" w:color="auto"/>
        <w:left w:val="none" w:sz="0" w:space="0" w:color="auto"/>
        <w:bottom w:val="none" w:sz="0" w:space="0" w:color="auto"/>
        <w:right w:val="none" w:sz="0" w:space="0" w:color="auto"/>
      </w:divBdr>
      <w:divsChild>
        <w:div w:id="201868342">
          <w:marLeft w:val="0"/>
          <w:marRight w:val="0"/>
          <w:marTop w:val="0"/>
          <w:marBottom w:val="450"/>
          <w:divBdr>
            <w:top w:val="none" w:sz="0" w:space="0" w:color="auto"/>
            <w:left w:val="none" w:sz="0" w:space="0" w:color="auto"/>
            <w:bottom w:val="none" w:sz="0" w:space="0" w:color="auto"/>
            <w:right w:val="none" w:sz="0" w:space="0" w:color="auto"/>
          </w:divBdr>
          <w:divsChild>
            <w:div w:id="512454304">
              <w:marLeft w:val="3472"/>
              <w:marRight w:val="0"/>
              <w:marTop w:val="0"/>
              <w:marBottom w:val="0"/>
              <w:divBdr>
                <w:top w:val="none" w:sz="0" w:space="0" w:color="auto"/>
                <w:left w:val="none" w:sz="0" w:space="0" w:color="auto"/>
                <w:bottom w:val="none" w:sz="0" w:space="0" w:color="auto"/>
                <w:right w:val="none" w:sz="0" w:space="0" w:color="auto"/>
              </w:divBdr>
              <w:divsChild>
                <w:div w:id="855732166">
                  <w:marLeft w:val="0"/>
                  <w:marRight w:val="0"/>
                  <w:marTop w:val="0"/>
                  <w:marBottom w:val="0"/>
                  <w:divBdr>
                    <w:top w:val="none" w:sz="0" w:space="0" w:color="auto"/>
                    <w:left w:val="none" w:sz="0" w:space="0" w:color="auto"/>
                    <w:bottom w:val="none" w:sz="0" w:space="0" w:color="auto"/>
                    <w:right w:val="none" w:sz="0" w:space="0" w:color="auto"/>
                  </w:divBdr>
                  <w:divsChild>
                    <w:div w:id="353575653">
                      <w:marLeft w:val="0"/>
                      <w:marRight w:val="0"/>
                      <w:marTop w:val="0"/>
                      <w:marBottom w:val="0"/>
                      <w:divBdr>
                        <w:top w:val="none" w:sz="0" w:space="0" w:color="auto"/>
                        <w:left w:val="none" w:sz="0" w:space="0" w:color="auto"/>
                        <w:bottom w:val="none" w:sz="0" w:space="0" w:color="auto"/>
                        <w:right w:val="none" w:sz="0" w:space="0" w:color="auto"/>
                      </w:divBdr>
                      <w:divsChild>
                        <w:div w:id="1444494891">
                          <w:marLeft w:val="0"/>
                          <w:marRight w:val="0"/>
                          <w:marTop w:val="0"/>
                          <w:marBottom w:val="0"/>
                          <w:divBdr>
                            <w:top w:val="none" w:sz="0" w:space="0" w:color="auto"/>
                            <w:left w:val="none" w:sz="0" w:space="0" w:color="auto"/>
                            <w:bottom w:val="none" w:sz="0" w:space="0" w:color="auto"/>
                            <w:right w:val="none" w:sz="0" w:space="0" w:color="auto"/>
                          </w:divBdr>
                          <w:divsChild>
                            <w:div w:id="942692837">
                              <w:marLeft w:val="0"/>
                              <w:marRight w:val="0"/>
                              <w:marTop w:val="0"/>
                              <w:marBottom w:val="0"/>
                              <w:divBdr>
                                <w:top w:val="none" w:sz="0" w:space="0" w:color="auto"/>
                                <w:left w:val="none" w:sz="0" w:space="0" w:color="auto"/>
                                <w:bottom w:val="none" w:sz="0" w:space="0" w:color="auto"/>
                                <w:right w:val="none" w:sz="0" w:space="0" w:color="auto"/>
                              </w:divBdr>
                              <w:divsChild>
                                <w:div w:id="936789639">
                                  <w:marLeft w:val="0"/>
                                  <w:marRight w:val="0"/>
                                  <w:marTop w:val="0"/>
                                  <w:marBottom w:val="0"/>
                                  <w:divBdr>
                                    <w:top w:val="none" w:sz="0" w:space="0" w:color="auto"/>
                                    <w:left w:val="none" w:sz="0" w:space="0" w:color="auto"/>
                                    <w:bottom w:val="none" w:sz="0" w:space="0" w:color="auto"/>
                                    <w:right w:val="none" w:sz="0" w:space="0" w:color="auto"/>
                                  </w:divBdr>
                                  <w:divsChild>
                                    <w:div w:id="1043210834">
                                      <w:marLeft w:val="0"/>
                                      <w:marRight w:val="0"/>
                                      <w:marTop w:val="0"/>
                                      <w:marBottom w:val="0"/>
                                      <w:divBdr>
                                        <w:top w:val="none" w:sz="0" w:space="0" w:color="auto"/>
                                        <w:left w:val="none" w:sz="0" w:space="0" w:color="auto"/>
                                        <w:bottom w:val="none" w:sz="0" w:space="0" w:color="auto"/>
                                        <w:right w:val="none" w:sz="0" w:space="0" w:color="auto"/>
                                      </w:divBdr>
                                      <w:divsChild>
                                        <w:div w:id="66459901">
                                          <w:marLeft w:val="0"/>
                                          <w:marRight w:val="0"/>
                                          <w:marTop w:val="0"/>
                                          <w:marBottom w:val="0"/>
                                          <w:divBdr>
                                            <w:top w:val="none" w:sz="0" w:space="0" w:color="auto"/>
                                            <w:left w:val="none" w:sz="0" w:space="0" w:color="auto"/>
                                            <w:bottom w:val="none" w:sz="0" w:space="0" w:color="auto"/>
                                            <w:right w:val="none" w:sz="0" w:space="0" w:color="auto"/>
                                          </w:divBdr>
                                        </w:div>
                                        <w:div w:id="103376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82161">
                                  <w:marLeft w:val="0"/>
                                  <w:marRight w:val="0"/>
                                  <w:marTop w:val="0"/>
                                  <w:marBottom w:val="0"/>
                                  <w:divBdr>
                                    <w:top w:val="none" w:sz="0" w:space="0" w:color="auto"/>
                                    <w:left w:val="none" w:sz="0" w:space="0" w:color="auto"/>
                                    <w:bottom w:val="none" w:sz="0" w:space="0" w:color="auto"/>
                                    <w:right w:val="none" w:sz="0" w:space="0" w:color="auto"/>
                                  </w:divBdr>
                                  <w:divsChild>
                                    <w:div w:id="1040663625">
                                      <w:marLeft w:val="0"/>
                                      <w:marRight w:val="0"/>
                                      <w:marTop w:val="0"/>
                                      <w:marBottom w:val="0"/>
                                      <w:divBdr>
                                        <w:top w:val="none" w:sz="0" w:space="0" w:color="auto"/>
                                        <w:left w:val="none" w:sz="0" w:space="0" w:color="auto"/>
                                        <w:bottom w:val="none" w:sz="0" w:space="0" w:color="auto"/>
                                        <w:right w:val="none" w:sz="0" w:space="0" w:color="auto"/>
                                      </w:divBdr>
                                      <w:divsChild>
                                        <w:div w:id="13552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0802">
                                  <w:marLeft w:val="0"/>
                                  <w:marRight w:val="0"/>
                                  <w:marTop w:val="0"/>
                                  <w:marBottom w:val="0"/>
                                  <w:divBdr>
                                    <w:top w:val="none" w:sz="0" w:space="0" w:color="auto"/>
                                    <w:left w:val="none" w:sz="0" w:space="0" w:color="auto"/>
                                    <w:bottom w:val="none" w:sz="0" w:space="0" w:color="auto"/>
                                    <w:right w:val="none" w:sz="0" w:space="0" w:color="auto"/>
                                  </w:divBdr>
                                  <w:divsChild>
                                    <w:div w:id="1993098797">
                                      <w:marLeft w:val="0"/>
                                      <w:marRight w:val="0"/>
                                      <w:marTop w:val="0"/>
                                      <w:marBottom w:val="0"/>
                                      <w:divBdr>
                                        <w:top w:val="none" w:sz="0" w:space="0" w:color="auto"/>
                                        <w:left w:val="none" w:sz="0" w:space="0" w:color="auto"/>
                                        <w:bottom w:val="none" w:sz="0" w:space="0" w:color="auto"/>
                                        <w:right w:val="none" w:sz="0" w:space="0" w:color="auto"/>
                                      </w:divBdr>
                                      <w:divsChild>
                                        <w:div w:id="172764612">
                                          <w:marLeft w:val="0"/>
                                          <w:marRight w:val="0"/>
                                          <w:marTop w:val="0"/>
                                          <w:marBottom w:val="0"/>
                                          <w:divBdr>
                                            <w:top w:val="none" w:sz="0" w:space="0" w:color="auto"/>
                                            <w:left w:val="none" w:sz="0" w:space="0" w:color="auto"/>
                                            <w:bottom w:val="none" w:sz="0" w:space="0" w:color="auto"/>
                                            <w:right w:val="none" w:sz="0" w:space="0" w:color="auto"/>
                                          </w:divBdr>
                                        </w:div>
                                        <w:div w:id="135608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60970">
                                  <w:marLeft w:val="0"/>
                                  <w:marRight w:val="0"/>
                                  <w:marTop w:val="0"/>
                                  <w:marBottom w:val="0"/>
                                  <w:divBdr>
                                    <w:top w:val="none" w:sz="0" w:space="0" w:color="auto"/>
                                    <w:left w:val="none" w:sz="0" w:space="0" w:color="auto"/>
                                    <w:bottom w:val="none" w:sz="0" w:space="0" w:color="auto"/>
                                    <w:right w:val="none" w:sz="0" w:space="0" w:color="auto"/>
                                  </w:divBdr>
                                  <w:divsChild>
                                    <w:div w:id="1358507187">
                                      <w:marLeft w:val="0"/>
                                      <w:marRight w:val="0"/>
                                      <w:marTop w:val="0"/>
                                      <w:marBottom w:val="0"/>
                                      <w:divBdr>
                                        <w:top w:val="none" w:sz="0" w:space="0" w:color="auto"/>
                                        <w:left w:val="none" w:sz="0" w:space="0" w:color="auto"/>
                                        <w:bottom w:val="none" w:sz="0" w:space="0" w:color="auto"/>
                                        <w:right w:val="none" w:sz="0" w:space="0" w:color="auto"/>
                                      </w:divBdr>
                                      <w:divsChild>
                                        <w:div w:id="24261026">
                                          <w:marLeft w:val="0"/>
                                          <w:marRight w:val="0"/>
                                          <w:marTop w:val="0"/>
                                          <w:marBottom w:val="0"/>
                                          <w:divBdr>
                                            <w:top w:val="none" w:sz="0" w:space="0" w:color="auto"/>
                                            <w:left w:val="none" w:sz="0" w:space="0" w:color="auto"/>
                                            <w:bottom w:val="none" w:sz="0" w:space="0" w:color="auto"/>
                                            <w:right w:val="none" w:sz="0" w:space="0" w:color="auto"/>
                                          </w:divBdr>
                                        </w:div>
                                        <w:div w:id="84051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7942901">
      <w:bodyDiv w:val="1"/>
      <w:marLeft w:val="0"/>
      <w:marRight w:val="0"/>
      <w:marTop w:val="0"/>
      <w:marBottom w:val="0"/>
      <w:divBdr>
        <w:top w:val="none" w:sz="0" w:space="0" w:color="auto"/>
        <w:left w:val="none" w:sz="0" w:space="0" w:color="auto"/>
        <w:bottom w:val="none" w:sz="0" w:space="0" w:color="auto"/>
        <w:right w:val="none" w:sz="0" w:space="0" w:color="auto"/>
      </w:divBdr>
    </w:div>
    <w:div w:id="1797722234">
      <w:bodyDiv w:val="1"/>
      <w:marLeft w:val="0"/>
      <w:marRight w:val="0"/>
      <w:marTop w:val="0"/>
      <w:marBottom w:val="0"/>
      <w:divBdr>
        <w:top w:val="none" w:sz="0" w:space="0" w:color="auto"/>
        <w:left w:val="none" w:sz="0" w:space="0" w:color="auto"/>
        <w:bottom w:val="none" w:sz="0" w:space="0" w:color="auto"/>
        <w:right w:val="none" w:sz="0" w:space="0" w:color="auto"/>
      </w:divBdr>
      <w:divsChild>
        <w:div w:id="1595935207">
          <w:marLeft w:val="0"/>
          <w:marRight w:val="0"/>
          <w:marTop w:val="0"/>
          <w:marBottom w:val="0"/>
          <w:divBdr>
            <w:top w:val="none" w:sz="0" w:space="0" w:color="auto"/>
            <w:left w:val="none" w:sz="0" w:space="0" w:color="auto"/>
            <w:bottom w:val="none" w:sz="0" w:space="0" w:color="auto"/>
            <w:right w:val="none" w:sz="0" w:space="0" w:color="auto"/>
          </w:divBdr>
          <w:divsChild>
            <w:div w:id="2091852808">
              <w:marLeft w:val="0"/>
              <w:marRight w:val="0"/>
              <w:marTop w:val="0"/>
              <w:marBottom w:val="0"/>
              <w:divBdr>
                <w:top w:val="none" w:sz="0" w:space="0" w:color="auto"/>
                <w:left w:val="none" w:sz="0" w:space="0" w:color="auto"/>
                <w:bottom w:val="none" w:sz="0" w:space="0" w:color="auto"/>
                <w:right w:val="none" w:sz="0" w:space="0" w:color="auto"/>
              </w:divBdr>
              <w:divsChild>
                <w:div w:id="1460297047">
                  <w:marLeft w:val="0"/>
                  <w:marRight w:val="0"/>
                  <w:marTop w:val="960"/>
                  <w:marBottom w:val="0"/>
                  <w:divBdr>
                    <w:top w:val="none" w:sz="0" w:space="0" w:color="auto"/>
                    <w:left w:val="none" w:sz="0" w:space="0" w:color="auto"/>
                    <w:bottom w:val="none" w:sz="0" w:space="0" w:color="auto"/>
                    <w:right w:val="none" w:sz="0" w:space="0" w:color="auto"/>
                  </w:divBdr>
                  <w:divsChild>
                    <w:div w:id="1953054797">
                      <w:marLeft w:val="0"/>
                      <w:marRight w:val="0"/>
                      <w:marTop w:val="0"/>
                      <w:marBottom w:val="0"/>
                      <w:divBdr>
                        <w:top w:val="none" w:sz="0" w:space="0" w:color="auto"/>
                        <w:left w:val="none" w:sz="0" w:space="0" w:color="auto"/>
                        <w:bottom w:val="none" w:sz="0" w:space="0" w:color="auto"/>
                        <w:right w:val="none" w:sz="0" w:space="0" w:color="auto"/>
                      </w:divBdr>
                      <w:divsChild>
                        <w:div w:id="694421791">
                          <w:marLeft w:val="0"/>
                          <w:marRight w:val="0"/>
                          <w:marTop w:val="0"/>
                          <w:marBottom w:val="0"/>
                          <w:divBdr>
                            <w:top w:val="none" w:sz="0" w:space="0" w:color="auto"/>
                            <w:left w:val="none" w:sz="0" w:space="0" w:color="auto"/>
                            <w:bottom w:val="none" w:sz="0" w:space="0" w:color="auto"/>
                            <w:right w:val="none" w:sz="0" w:space="0" w:color="auto"/>
                          </w:divBdr>
                          <w:divsChild>
                            <w:div w:id="1984310119">
                              <w:marLeft w:val="0"/>
                              <w:marRight w:val="0"/>
                              <w:marTop w:val="0"/>
                              <w:marBottom w:val="0"/>
                              <w:divBdr>
                                <w:top w:val="none" w:sz="0" w:space="0" w:color="auto"/>
                                <w:left w:val="none" w:sz="0" w:space="0" w:color="auto"/>
                                <w:bottom w:val="none" w:sz="0" w:space="0" w:color="auto"/>
                                <w:right w:val="none" w:sz="0" w:space="0" w:color="auto"/>
                              </w:divBdr>
                              <w:divsChild>
                                <w:div w:id="738288650">
                                  <w:marLeft w:val="0"/>
                                  <w:marRight w:val="0"/>
                                  <w:marTop w:val="0"/>
                                  <w:marBottom w:val="0"/>
                                  <w:divBdr>
                                    <w:top w:val="none" w:sz="0" w:space="0" w:color="auto"/>
                                    <w:left w:val="none" w:sz="0" w:space="0" w:color="auto"/>
                                    <w:bottom w:val="none" w:sz="0" w:space="0" w:color="auto"/>
                                    <w:right w:val="none" w:sz="0" w:space="0" w:color="auto"/>
                                  </w:divBdr>
                                  <w:divsChild>
                                    <w:div w:id="379748055">
                                      <w:marLeft w:val="0"/>
                                      <w:marRight w:val="0"/>
                                      <w:marTop w:val="0"/>
                                      <w:marBottom w:val="0"/>
                                      <w:divBdr>
                                        <w:top w:val="none" w:sz="0" w:space="0" w:color="auto"/>
                                        <w:left w:val="none" w:sz="0" w:space="0" w:color="auto"/>
                                        <w:bottom w:val="none" w:sz="0" w:space="0" w:color="auto"/>
                                        <w:right w:val="none" w:sz="0" w:space="0" w:color="auto"/>
                                      </w:divBdr>
                                      <w:divsChild>
                                        <w:div w:id="1130871">
                                          <w:marLeft w:val="0"/>
                                          <w:marRight w:val="0"/>
                                          <w:marTop w:val="0"/>
                                          <w:marBottom w:val="0"/>
                                          <w:divBdr>
                                            <w:top w:val="none" w:sz="0" w:space="0" w:color="auto"/>
                                            <w:left w:val="none" w:sz="0" w:space="0" w:color="auto"/>
                                            <w:bottom w:val="none" w:sz="0" w:space="0" w:color="auto"/>
                                            <w:right w:val="none" w:sz="0" w:space="0" w:color="auto"/>
                                          </w:divBdr>
                                        </w:div>
                                        <w:div w:id="472867099">
                                          <w:marLeft w:val="0"/>
                                          <w:marRight w:val="0"/>
                                          <w:marTop w:val="0"/>
                                          <w:marBottom w:val="0"/>
                                          <w:divBdr>
                                            <w:top w:val="none" w:sz="0" w:space="0" w:color="auto"/>
                                            <w:left w:val="none" w:sz="0" w:space="0" w:color="auto"/>
                                            <w:bottom w:val="none" w:sz="0" w:space="0" w:color="auto"/>
                                            <w:right w:val="none" w:sz="0" w:space="0" w:color="auto"/>
                                          </w:divBdr>
                                        </w:div>
                                        <w:div w:id="538202653">
                                          <w:marLeft w:val="0"/>
                                          <w:marRight w:val="0"/>
                                          <w:marTop w:val="0"/>
                                          <w:marBottom w:val="0"/>
                                          <w:divBdr>
                                            <w:top w:val="none" w:sz="0" w:space="0" w:color="auto"/>
                                            <w:left w:val="none" w:sz="0" w:space="0" w:color="auto"/>
                                            <w:bottom w:val="none" w:sz="0" w:space="0" w:color="auto"/>
                                            <w:right w:val="none" w:sz="0" w:space="0" w:color="auto"/>
                                          </w:divBdr>
                                        </w:div>
                                        <w:div w:id="1191140970">
                                          <w:marLeft w:val="0"/>
                                          <w:marRight w:val="0"/>
                                          <w:marTop w:val="0"/>
                                          <w:marBottom w:val="0"/>
                                          <w:divBdr>
                                            <w:top w:val="none" w:sz="0" w:space="0" w:color="auto"/>
                                            <w:left w:val="none" w:sz="0" w:space="0" w:color="auto"/>
                                            <w:bottom w:val="none" w:sz="0" w:space="0" w:color="auto"/>
                                            <w:right w:val="none" w:sz="0" w:space="0" w:color="auto"/>
                                          </w:divBdr>
                                        </w:div>
                                        <w:div w:id="1590388542">
                                          <w:marLeft w:val="0"/>
                                          <w:marRight w:val="0"/>
                                          <w:marTop w:val="0"/>
                                          <w:marBottom w:val="0"/>
                                          <w:divBdr>
                                            <w:top w:val="none" w:sz="0" w:space="0" w:color="auto"/>
                                            <w:left w:val="none" w:sz="0" w:space="0" w:color="auto"/>
                                            <w:bottom w:val="none" w:sz="0" w:space="0" w:color="auto"/>
                                            <w:right w:val="none" w:sz="0" w:space="0" w:color="auto"/>
                                          </w:divBdr>
                                        </w:div>
                                        <w:div w:id="173743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6681702">
      <w:bodyDiv w:val="1"/>
      <w:marLeft w:val="0"/>
      <w:marRight w:val="0"/>
      <w:marTop w:val="0"/>
      <w:marBottom w:val="0"/>
      <w:divBdr>
        <w:top w:val="none" w:sz="0" w:space="0" w:color="auto"/>
        <w:left w:val="none" w:sz="0" w:space="0" w:color="auto"/>
        <w:bottom w:val="none" w:sz="0" w:space="0" w:color="auto"/>
        <w:right w:val="none" w:sz="0" w:space="0" w:color="auto"/>
      </w:divBdr>
      <w:divsChild>
        <w:div w:id="305282712">
          <w:marLeft w:val="0"/>
          <w:marRight w:val="0"/>
          <w:marTop w:val="0"/>
          <w:marBottom w:val="0"/>
          <w:divBdr>
            <w:top w:val="none" w:sz="0" w:space="0" w:color="auto"/>
            <w:left w:val="none" w:sz="0" w:space="0" w:color="auto"/>
            <w:bottom w:val="none" w:sz="0" w:space="0" w:color="auto"/>
            <w:right w:val="none" w:sz="0" w:space="0" w:color="auto"/>
          </w:divBdr>
          <w:divsChild>
            <w:div w:id="112406765">
              <w:marLeft w:val="0"/>
              <w:marRight w:val="0"/>
              <w:marTop w:val="1275"/>
              <w:marBottom w:val="0"/>
              <w:divBdr>
                <w:top w:val="none" w:sz="0" w:space="0" w:color="auto"/>
                <w:left w:val="none" w:sz="0" w:space="0" w:color="auto"/>
                <w:bottom w:val="none" w:sz="0" w:space="0" w:color="auto"/>
                <w:right w:val="none" w:sz="0" w:space="0" w:color="auto"/>
              </w:divBdr>
              <w:divsChild>
                <w:div w:id="116611679">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910592">
      <w:bodyDiv w:val="1"/>
      <w:marLeft w:val="0"/>
      <w:marRight w:val="0"/>
      <w:marTop w:val="0"/>
      <w:marBottom w:val="0"/>
      <w:divBdr>
        <w:top w:val="none" w:sz="0" w:space="0" w:color="auto"/>
        <w:left w:val="none" w:sz="0" w:space="0" w:color="auto"/>
        <w:bottom w:val="none" w:sz="0" w:space="0" w:color="auto"/>
        <w:right w:val="none" w:sz="0" w:space="0" w:color="auto"/>
      </w:divBdr>
      <w:divsChild>
        <w:div w:id="1034572601">
          <w:marLeft w:val="1800"/>
          <w:marRight w:val="0"/>
          <w:marTop w:val="115"/>
          <w:marBottom w:val="0"/>
          <w:divBdr>
            <w:top w:val="none" w:sz="0" w:space="0" w:color="auto"/>
            <w:left w:val="none" w:sz="0" w:space="0" w:color="auto"/>
            <w:bottom w:val="none" w:sz="0" w:space="0" w:color="auto"/>
            <w:right w:val="none" w:sz="0" w:space="0" w:color="auto"/>
          </w:divBdr>
        </w:div>
        <w:div w:id="1339313814">
          <w:marLeft w:val="1800"/>
          <w:marRight w:val="0"/>
          <w:marTop w:val="115"/>
          <w:marBottom w:val="0"/>
          <w:divBdr>
            <w:top w:val="none" w:sz="0" w:space="0" w:color="auto"/>
            <w:left w:val="none" w:sz="0" w:space="0" w:color="auto"/>
            <w:bottom w:val="none" w:sz="0" w:space="0" w:color="auto"/>
            <w:right w:val="none" w:sz="0" w:space="0" w:color="auto"/>
          </w:divBdr>
        </w:div>
        <w:div w:id="1666127039">
          <w:marLeft w:val="1800"/>
          <w:marRight w:val="0"/>
          <w:marTop w:val="115"/>
          <w:marBottom w:val="0"/>
          <w:divBdr>
            <w:top w:val="none" w:sz="0" w:space="0" w:color="auto"/>
            <w:left w:val="none" w:sz="0" w:space="0" w:color="auto"/>
            <w:bottom w:val="none" w:sz="0" w:space="0" w:color="auto"/>
            <w:right w:val="none" w:sz="0" w:space="0" w:color="auto"/>
          </w:divBdr>
        </w:div>
      </w:divsChild>
    </w:div>
    <w:div w:id="1831142576">
      <w:bodyDiv w:val="1"/>
      <w:marLeft w:val="0"/>
      <w:marRight w:val="0"/>
      <w:marTop w:val="0"/>
      <w:marBottom w:val="0"/>
      <w:divBdr>
        <w:top w:val="none" w:sz="0" w:space="0" w:color="auto"/>
        <w:left w:val="none" w:sz="0" w:space="0" w:color="auto"/>
        <w:bottom w:val="none" w:sz="0" w:space="0" w:color="auto"/>
        <w:right w:val="none" w:sz="0" w:space="0" w:color="auto"/>
      </w:divBdr>
      <w:divsChild>
        <w:div w:id="1525437678">
          <w:marLeft w:val="547"/>
          <w:marRight w:val="0"/>
          <w:marTop w:val="115"/>
          <w:marBottom w:val="0"/>
          <w:divBdr>
            <w:top w:val="none" w:sz="0" w:space="0" w:color="auto"/>
            <w:left w:val="none" w:sz="0" w:space="0" w:color="auto"/>
            <w:bottom w:val="none" w:sz="0" w:space="0" w:color="auto"/>
            <w:right w:val="none" w:sz="0" w:space="0" w:color="auto"/>
          </w:divBdr>
        </w:div>
        <w:div w:id="1684476035">
          <w:marLeft w:val="547"/>
          <w:marRight w:val="0"/>
          <w:marTop w:val="115"/>
          <w:marBottom w:val="0"/>
          <w:divBdr>
            <w:top w:val="none" w:sz="0" w:space="0" w:color="auto"/>
            <w:left w:val="none" w:sz="0" w:space="0" w:color="auto"/>
            <w:bottom w:val="none" w:sz="0" w:space="0" w:color="auto"/>
            <w:right w:val="none" w:sz="0" w:space="0" w:color="auto"/>
          </w:divBdr>
        </w:div>
        <w:div w:id="1939093771">
          <w:marLeft w:val="547"/>
          <w:marRight w:val="0"/>
          <w:marTop w:val="115"/>
          <w:marBottom w:val="0"/>
          <w:divBdr>
            <w:top w:val="none" w:sz="0" w:space="0" w:color="auto"/>
            <w:left w:val="none" w:sz="0" w:space="0" w:color="auto"/>
            <w:bottom w:val="none" w:sz="0" w:space="0" w:color="auto"/>
            <w:right w:val="none" w:sz="0" w:space="0" w:color="auto"/>
          </w:divBdr>
        </w:div>
      </w:divsChild>
    </w:div>
    <w:div w:id="1882546073">
      <w:bodyDiv w:val="1"/>
      <w:marLeft w:val="0"/>
      <w:marRight w:val="0"/>
      <w:marTop w:val="0"/>
      <w:marBottom w:val="0"/>
      <w:divBdr>
        <w:top w:val="none" w:sz="0" w:space="0" w:color="auto"/>
        <w:left w:val="none" w:sz="0" w:space="0" w:color="auto"/>
        <w:bottom w:val="none" w:sz="0" w:space="0" w:color="auto"/>
        <w:right w:val="none" w:sz="0" w:space="0" w:color="auto"/>
      </w:divBdr>
      <w:divsChild>
        <w:div w:id="1655374838">
          <w:marLeft w:val="0"/>
          <w:marRight w:val="0"/>
          <w:marTop w:val="0"/>
          <w:marBottom w:val="0"/>
          <w:divBdr>
            <w:top w:val="none" w:sz="0" w:space="0" w:color="auto"/>
            <w:left w:val="none" w:sz="0" w:space="0" w:color="auto"/>
            <w:bottom w:val="none" w:sz="0" w:space="0" w:color="auto"/>
            <w:right w:val="none" w:sz="0" w:space="0" w:color="auto"/>
          </w:divBdr>
          <w:divsChild>
            <w:div w:id="998390310">
              <w:marLeft w:val="-75"/>
              <w:marRight w:val="-75"/>
              <w:marTop w:val="0"/>
              <w:marBottom w:val="0"/>
              <w:divBdr>
                <w:top w:val="none" w:sz="0" w:space="0" w:color="auto"/>
                <w:left w:val="none" w:sz="0" w:space="0" w:color="auto"/>
                <w:bottom w:val="none" w:sz="0" w:space="0" w:color="auto"/>
                <w:right w:val="none" w:sz="0" w:space="0" w:color="auto"/>
              </w:divBdr>
              <w:divsChild>
                <w:div w:id="1273900934">
                  <w:marLeft w:val="0"/>
                  <w:marRight w:val="0"/>
                  <w:marTop w:val="0"/>
                  <w:marBottom w:val="0"/>
                  <w:divBdr>
                    <w:top w:val="none" w:sz="0" w:space="0" w:color="auto"/>
                    <w:left w:val="none" w:sz="0" w:space="0" w:color="auto"/>
                    <w:bottom w:val="none" w:sz="0" w:space="0" w:color="auto"/>
                    <w:right w:val="none" w:sz="0" w:space="0" w:color="auto"/>
                  </w:divBdr>
                  <w:divsChild>
                    <w:div w:id="1708216714">
                      <w:marLeft w:val="-75"/>
                      <w:marRight w:val="-75"/>
                      <w:marTop w:val="0"/>
                      <w:marBottom w:val="0"/>
                      <w:divBdr>
                        <w:top w:val="none" w:sz="0" w:space="0" w:color="auto"/>
                        <w:left w:val="none" w:sz="0" w:space="0" w:color="auto"/>
                        <w:bottom w:val="none" w:sz="0" w:space="0" w:color="auto"/>
                        <w:right w:val="none" w:sz="0" w:space="0" w:color="auto"/>
                      </w:divBdr>
                      <w:divsChild>
                        <w:div w:id="109595996">
                          <w:marLeft w:val="0"/>
                          <w:marRight w:val="0"/>
                          <w:marTop w:val="0"/>
                          <w:marBottom w:val="0"/>
                          <w:divBdr>
                            <w:top w:val="none" w:sz="0" w:space="0" w:color="auto"/>
                            <w:left w:val="none" w:sz="0" w:space="0" w:color="auto"/>
                            <w:bottom w:val="none" w:sz="0" w:space="0" w:color="auto"/>
                            <w:right w:val="none" w:sz="0" w:space="0" w:color="auto"/>
                          </w:divBdr>
                          <w:divsChild>
                            <w:div w:id="1588151795">
                              <w:marLeft w:val="0"/>
                              <w:marRight w:val="0"/>
                              <w:marTop w:val="0"/>
                              <w:marBottom w:val="0"/>
                              <w:divBdr>
                                <w:top w:val="none" w:sz="0" w:space="0" w:color="auto"/>
                                <w:left w:val="none" w:sz="0" w:space="0" w:color="auto"/>
                                <w:bottom w:val="none" w:sz="0" w:space="0" w:color="auto"/>
                                <w:right w:val="none" w:sz="0" w:space="0" w:color="auto"/>
                              </w:divBdr>
                              <w:divsChild>
                                <w:div w:id="805314498">
                                  <w:marLeft w:val="0"/>
                                  <w:marRight w:val="0"/>
                                  <w:marTop w:val="0"/>
                                  <w:marBottom w:val="150"/>
                                  <w:divBdr>
                                    <w:top w:val="none" w:sz="0" w:space="0" w:color="auto"/>
                                    <w:left w:val="none" w:sz="0" w:space="0" w:color="auto"/>
                                    <w:bottom w:val="dotted" w:sz="6" w:space="4" w:color="D8DBDB"/>
                                    <w:right w:val="none" w:sz="0" w:space="0" w:color="auto"/>
                                  </w:divBdr>
                                  <w:divsChild>
                                    <w:div w:id="102552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750977">
      <w:bodyDiv w:val="1"/>
      <w:marLeft w:val="0"/>
      <w:marRight w:val="0"/>
      <w:marTop w:val="0"/>
      <w:marBottom w:val="0"/>
      <w:divBdr>
        <w:top w:val="none" w:sz="0" w:space="0" w:color="auto"/>
        <w:left w:val="none" w:sz="0" w:space="0" w:color="auto"/>
        <w:bottom w:val="none" w:sz="0" w:space="0" w:color="auto"/>
        <w:right w:val="none" w:sz="0" w:space="0" w:color="auto"/>
      </w:divBdr>
      <w:divsChild>
        <w:div w:id="134839517">
          <w:marLeft w:val="0"/>
          <w:marRight w:val="0"/>
          <w:marTop w:val="0"/>
          <w:marBottom w:val="0"/>
          <w:divBdr>
            <w:top w:val="none" w:sz="0" w:space="0" w:color="auto"/>
            <w:left w:val="none" w:sz="0" w:space="0" w:color="auto"/>
            <w:bottom w:val="none" w:sz="0" w:space="0" w:color="auto"/>
            <w:right w:val="none" w:sz="0" w:space="0" w:color="auto"/>
          </w:divBdr>
          <w:divsChild>
            <w:div w:id="280501350">
              <w:marLeft w:val="0"/>
              <w:marRight w:val="0"/>
              <w:marTop w:val="0"/>
              <w:marBottom w:val="0"/>
              <w:divBdr>
                <w:top w:val="none" w:sz="0" w:space="0" w:color="auto"/>
                <w:left w:val="none" w:sz="0" w:space="0" w:color="auto"/>
                <w:bottom w:val="none" w:sz="0" w:space="0" w:color="auto"/>
                <w:right w:val="none" w:sz="0" w:space="0" w:color="auto"/>
              </w:divBdr>
              <w:divsChild>
                <w:div w:id="1478230340">
                  <w:marLeft w:val="0"/>
                  <w:marRight w:val="0"/>
                  <w:marTop w:val="0"/>
                  <w:marBottom w:val="0"/>
                  <w:divBdr>
                    <w:top w:val="none" w:sz="0" w:space="0" w:color="auto"/>
                    <w:left w:val="none" w:sz="0" w:space="0" w:color="auto"/>
                    <w:bottom w:val="none" w:sz="0" w:space="0" w:color="auto"/>
                    <w:right w:val="none" w:sz="0" w:space="0" w:color="auto"/>
                  </w:divBdr>
                  <w:divsChild>
                    <w:div w:id="672488073">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2132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24216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782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58215761">
      <w:bodyDiv w:val="1"/>
      <w:marLeft w:val="0"/>
      <w:marRight w:val="0"/>
      <w:marTop w:val="0"/>
      <w:marBottom w:val="0"/>
      <w:divBdr>
        <w:top w:val="none" w:sz="0" w:space="0" w:color="auto"/>
        <w:left w:val="none" w:sz="0" w:space="0" w:color="auto"/>
        <w:bottom w:val="none" w:sz="0" w:space="0" w:color="auto"/>
        <w:right w:val="none" w:sz="0" w:space="0" w:color="auto"/>
      </w:divBdr>
    </w:div>
    <w:div w:id="1973242101">
      <w:bodyDiv w:val="1"/>
      <w:marLeft w:val="0"/>
      <w:marRight w:val="0"/>
      <w:marTop w:val="0"/>
      <w:marBottom w:val="0"/>
      <w:divBdr>
        <w:top w:val="none" w:sz="0" w:space="0" w:color="auto"/>
        <w:left w:val="none" w:sz="0" w:space="0" w:color="auto"/>
        <w:bottom w:val="none" w:sz="0" w:space="0" w:color="auto"/>
        <w:right w:val="none" w:sz="0" w:space="0" w:color="auto"/>
      </w:divBdr>
      <w:divsChild>
        <w:div w:id="840317555">
          <w:marLeft w:val="0"/>
          <w:marRight w:val="0"/>
          <w:marTop w:val="0"/>
          <w:marBottom w:val="0"/>
          <w:divBdr>
            <w:top w:val="none" w:sz="0" w:space="0" w:color="auto"/>
            <w:left w:val="none" w:sz="0" w:space="0" w:color="auto"/>
            <w:bottom w:val="none" w:sz="0" w:space="0" w:color="auto"/>
            <w:right w:val="none" w:sz="0" w:space="0" w:color="auto"/>
          </w:divBdr>
          <w:divsChild>
            <w:div w:id="1989048857">
              <w:marLeft w:val="0"/>
              <w:marRight w:val="0"/>
              <w:marTop w:val="0"/>
              <w:marBottom w:val="0"/>
              <w:divBdr>
                <w:top w:val="none" w:sz="0" w:space="0" w:color="auto"/>
                <w:left w:val="none" w:sz="0" w:space="0" w:color="auto"/>
                <w:bottom w:val="none" w:sz="0" w:space="0" w:color="auto"/>
                <w:right w:val="none" w:sz="0" w:space="0" w:color="auto"/>
              </w:divBdr>
              <w:divsChild>
                <w:div w:id="212930587">
                  <w:marLeft w:val="0"/>
                  <w:marRight w:val="0"/>
                  <w:marTop w:val="0"/>
                  <w:marBottom w:val="0"/>
                  <w:divBdr>
                    <w:top w:val="none" w:sz="0" w:space="0" w:color="auto"/>
                    <w:left w:val="none" w:sz="0" w:space="0" w:color="auto"/>
                    <w:bottom w:val="none" w:sz="0" w:space="0" w:color="auto"/>
                    <w:right w:val="none" w:sz="0" w:space="0" w:color="auto"/>
                  </w:divBdr>
                  <w:divsChild>
                    <w:div w:id="434908497">
                      <w:marLeft w:val="0"/>
                      <w:marRight w:val="0"/>
                      <w:marTop w:val="0"/>
                      <w:marBottom w:val="0"/>
                      <w:divBdr>
                        <w:top w:val="none" w:sz="0" w:space="0" w:color="auto"/>
                        <w:left w:val="none" w:sz="0" w:space="0" w:color="auto"/>
                        <w:bottom w:val="none" w:sz="0" w:space="0" w:color="auto"/>
                        <w:right w:val="none" w:sz="0" w:space="0" w:color="auto"/>
                      </w:divBdr>
                      <w:divsChild>
                        <w:div w:id="201872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355469">
      <w:bodyDiv w:val="1"/>
      <w:marLeft w:val="0"/>
      <w:marRight w:val="0"/>
      <w:marTop w:val="0"/>
      <w:marBottom w:val="0"/>
      <w:divBdr>
        <w:top w:val="none" w:sz="0" w:space="0" w:color="auto"/>
        <w:left w:val="none" w:sz="0" w:space="0" w:color="auto"/>
        <w:bottom w:val="none" w:sz="0" w:space="0" w:color="auto"/>
        <w:right w:val="none" w:sz="0" w:space="0" w:color="auto"/>
      </w:divBdr>
    </w:div>
    <w:div w:id="2120291275">
      <w:bodyDiv w:val="1"/>
      <w:marLeft w:val="0"/>
      <w:marRight w:val="0"/>
      <w:marTop w:val="0"/>
      <w:marBottom w:val="0"/>
      <w:divBdr>
        <w:top w:val="none" w:sz="0" w:space="0" w:color="auto"/>
        <w:left w:val="none" w:sz="0" w:space="0" w:color="auto"/>
        <w:bottom w:val="none" w:sz="0" w:space="0" w:color="auto"/>
        <w:right w:val="none" w:sz="0" w:space="0" w:color="auto"/>
      </w:divBdr>
      <w:divsChild>
        <w:div w:id="822963578">
          <w:marLeft w:val="0"/>
          <w:marRight w:val="0"/>
          <w:marTop w:val="0"/>
          <w:marBottom w:val="0"/>
          <w:divBdr>
            <w:top w:val="none" w:sz="0" w:space="0" w:color="auto"/>
            <w:left w:val="none" w:sz="0" w:space="0" w:color="auto"/>
            <w:bottom w:val="none" w:sz="0" w:space="0" w:color="auto"/>
            <w:right w:val="none" w:sz="0" w:space="0" w:color="auto"/>
          </w:divBdr>
          <w:divsChild>
            <w:div w:id="1092895827">
              <w:marLeft w:val="0"/>
              <w:marRight w:val="0"/>
              <w:marTop w:val="0"/>
              <w:marBottom w:val="0"/>
              <w:divBdr>
                <w:top w:val="none" w:sz="0" w:space="0" w:color="auto"/>
                <w:left w:val="none" w:sz="0" w:space="0" w:color="auto"/>
                <w:bottom w:val="none" w:sz="0" w:space="0" w:color="auto"/>
                <w:right w:val="none" w:sz="0" w:space="0" w:color="auto"/>
              </w:divBdr>
              <w:divsChild>
                <w:div w:id="1688360651">
                  <w:marLeft w:val="0"/>
                  <w:marRight w:val="0"/>
                  <w:marTop w:val="0"/>
                  <w:marBottom w:val="0"/>
                  <w:divBdr>
                    <w:top w:val="none" w:sz="0" w:space="0" w:color="auto"/>
                    <w:left w:val="none" w:sz="0" w:space="0" w:color="auto"/>
                    <w:bottom w:val="none" w:sz="0" w:space="0" w:color="auto"/>
                    <w:right w:val="none" w:sz="0" w:space="0" w:color="auto"/>
                  </w:divBdr>
                  <w:divsChild>
                    <w:div w:id="1754860084">
                      <w:marLeft w:val="0"/>
                      <w:marRight w:val="0"/>
                      <w:marTop w:val="0"/>
                      <w:marBottom w:val="0"/>
                      <w:divBdr>
                        <w:top w:val="none" w:sz="0" w:space="0" w:color="auto"/>
                        <w:left w:val="none" w:sz="0" w:space="0" w:color="auto"/>
                        <w:bottom w:val="none" w:sz="0" w:space="0" w:color="auto"/>
                        <w:right w:val="none" w:sz="0" w:space="0" w:color="auto"/>
                      </w:divBdr>
                      <w:divsChild>
                        <w:div w:id="16896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257293">
      <w:bodyDiv w:val="1"/>
      <w:marLeft w:val="0"/>
      <w:marRight w:val="0"/>
      <w:marTop w:val="0"/>
      <w:marBottom w:val="0"/>
      <w:divBdr>
        <w:top w:val="none" w:sz="0" w:space="0" w:color="auto"/>
        <w:left w:val="none" w:sz="0" w:space="0" w:color="auto"/>
        <w:bottom w:val="none" w:sz="0" w:space="0" w:color="auto"/>
        <w:right w:val="none" w:sz="0" w:space="0" w:color="auto"/>
      </w:divBdr>
      <w:divsChild>
        <w:div w:id="1203979973">
          <w:marLeft w:val="0"/>
          <w:marRight w:val="0"/>
          <w:marTop w:val="0"/>
          <w:marBottom w:val="0"/>
          <w:divBdr>
            <w:top w:val="none" w:sz="0" w:space="0" w:color="auto"/>
            <w:left w:val="none" w:sz="0" w:space="0" w:color="auto"/>
            <w:bottom w:val="none" w:sz="0" w:space="0" w:color="auto"/>
            <w:right w:val="none" w:sz="0" w:space="0" w:color="auto"/>
          </w:divBdr>
          <w:divsChild>
            <w:div w:id="1584728717">
              <w:marLeft w:val="0"/>
              <w:marRight w:val="0"/>
              <w:marTop w:val="0"/>
              <w:marBottom w:val="0"/>
              <w:divBdr>
                <w:top w:val="none" w:sz="0" w:space="0" w:color="auto"/>
                <w:left w:val="none" w:sz="0" w:space="0" w:color="auto"/>
                <w:bottom w:val="none" w:sz="0" w:space="0" w:color="auto"/>
                <w:right w:val="none" w:sz="0" w:space="0" w:color="auto"/>
              </w:divBdr>
              <w:divsChild>
                <w:div w:id="1373731958">
                  <w:marLeft w:val="0"/>
                  <w:marRight w:val="0"/>
                  <w:marTop w:val="0"/>
                  <w:marBottom w:val="0"/>
                  <w:divBdr>
                    <w:top w:val="none" w:sz="0" w:space="0" w:color="auto"/>
                    <w:left w:val="none" w:sz="0" w:space="0" w:color="auto"/>
                    <w:bottom w:val="none" w:sz="0" w:space="0" w:color="auto"/>
                    <w:right w:val="none" w:sz="0" w:space="0" w:color="auto"/>
                  </w:divBdr>
                  <w:divsChild>
                    <w:div w:id="211486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ipo.int/about-ip/ar/universities_research/" TargetMode="External"/><Relationship Id="rId21" Type="http://schemas.openxmlformats.org/officeDocument/2006/relationships/hyperlink" Target="http://www.sciencecouncil.ie/Publications/2005/National-Code-of-Practice-for-Managing-Intellectual-Property-from-Publicly-Funded-Research.pdf" TargetMode="External"/><Relationship Id="rId42" Type="http://schemas.openxmlformats.org/officeDocument/2006/relationships/hyperlink" Target="https://www.oecd.org/sti/inno/Frascati-2015-Glossary.pdf" TargetMode="External"/><Relationship Id="rId63" Type="http://schemas.openxmlformats.org/officeDocument/2006/relationships/image" Target="media/image4.png"/><Relationship Id="rId84" Type="http://schemas.openxmlformats.org/officeDocument/2006/relationships/hyperlink" Target="http://www.wipo.int/wipolex/ar/" TargetMode="External"/><Relationship Id="rId138" Type="http://schemas.openxmlformats.org/officeDocument/2006/relationships/hyperlink" Target="https://london.ac.uk/sites/default/files/governance/Records_Management_policy_2017.pdf" TargetMode="External"/><Relationship Id="rId159" Type="http://schemas.openxmlformats.org/officeDocument/2006/relationships/hyperlink" Target="http://www.cu.edu/sites/default/files/pages/44192-startup-companies-cu/docs/bulletin-startupprocess.pdf" TargetMode="External"/><Relationship Id="rId170" Type="http://schemas.openxmlformats.org/officeDocument/2006/relationships/hyperlink" Target="https://www.innovationpolicyplatform.org/sites/default/files/rdf_imported_documents/TheAdoptionOfBayhDoleTypePoliciesInDevelopingCountries.pdf" TargetMode="External"/><Relationship Id="rId191" Type="http://schemas.openxmlformats.org/officeDocument/2006/relationships/hyperlink" Target="https://www.wipo.int/publications/ar/details.jsp?id=4195" TargetMode="External"/><Relationship Id="rId205" Type="http://schemas.openxmlformats.org/officeDocument/2006/relationships/hyperlink" Target="https://www.aau.edu/issues/conflicts-interest" TargetMode="External"/><Relationship Id="rId107" Type="http://schemas.openxmlformats.org/officeDocument/2006/relationships/hyperlink" Target="https://www.gla.ac.uk/media/media_195589_en.pdf" TargetMode="External"/><Relationship Id="rId11" Type="http://schemas.openxmlformats.org/officeDocument/2006/relationships/hyperlink" Target="http://www.iso.org/iso/home/standards/iso26000.htm" TargetMode="External"/><Relationship Id="rId32" Type="http://schemas.openxmlformats.org/officeDocument/2006/relationships/hyperlink" Target="http://www.ip-unilink.net/public_documents/Good%20Practice%20Guide%20web%20(FINAL%2020.06).pdf" TargetMode="External"/><Relationship Id="rId53" Type="http://schemas.openxmlformats.org/officeDocument/2006/relationships/hyperlink" Target="http://www.wipo.int/about-ip/en/universities_research/ip_policies/index.html" TargetMode="External"/><Relationship Id="rId74" Type="http://schemas.openxmlformats.org/officeDocument/2006/relationships/hyperlink" Target="https://pipra.org/publications-files/ipHandbook_Volume_1.pdf" TargetMode="External"/><Relationship Id="rId128" Type="http://schemas.openxmlformats.org/officeDocument/2006/relationships/image" Target="media/image10.tiff"/><Relationship Id="rId149" Type="http://schemas.openxmlformats.org/officeDocument/2006/relationships/hyperlink" Target="http://4.interreg-sudoe.eu/contenido-dinamico/libreria-ficheros/3D0ED325-A000-2BDC-F737-7534920D685C.pdf" TargetMode="External"/><Relationship Id="rId5" Type="http://schemas.openxmlformats.org/officeDocument/2006/relationships/webSettings" Target="webSettings.xml"/><Relationship Id="rId95" Type="http://schemas.openxmlformats.org/officeDocument/2006/relationships/hyperlink" Target="https://www.iprhelpdesk.eu/sites/default/files/newsdocuments/IP_joint_ownership_updated.pdf" TargetMode="External"/><Relationship Id="rId160" Type="http://schemas.openxmlformats.org/officeDocument/2006/relationships/hyperlink" Target="https://www.iprhelpdesk.eu/sites/default/files/newsdocuments/Fact-Sheet-Commercialising-IP-Joint-Ventures.pdf" TargetMode="External"/><Relationship Id="rId181" Type="http://schemas.openxmlformats.org/officeDocument/2006/relationships/hyperlink" Target="https://www.gla.ac.uk/media/media_555894_en.pdf" TargetMode="External"/><Relationship Id="rId216" Type="http://schemas.openxmlformats.org/officeDocument/2006/relationships/hyperlink" Target="https://innovation.ox.ac.uk/university-members/commercialising-technology/starting-company/conflict-interest-policy" TargetMode="External"/><Relationship Id="rId22" Type="http://schemas.openxmlformats.org/officeDocument/2006/relationships/hyperlink" Target="http://www.knowledgetransferireland.com/ManagingIP/KTI-Protocol-2016.pdf" TargetMode="External"/><Relationship Id="rId43" Type="http://schemas.openxmlformats.org/officeDocument/2006/relationships/hyperlink" Target="https://www.praxisunico.org.uk/sites/praxisunico.org.uk/files/5%20-%20Students%20and%20IP.pdf" TargetMode="External"/><Relationship Id="rId64" Type="http://schemas.openxmlformats.org/officeDocument/2006/relationships/image" Target="media/image5.png"/><Relationship Id="rId118" Type="http://schemas.openxmlformats.org/officeDocument/2006/relationships/hyperlink" Target="https://www.gov.uk/guidance/university-and-business-collaboration-agreements-lambert-toolkit" TargetMode="External"/><Relationship Id="rId139" Type="http://schemas.openxmlformats.org/officeDocument/2006/relationships/hyperlink" Target="http://www.massey.ac.nz/massey/fms/PolicyGuide/Documents/University%20Management/Records%20Management%20Policy%20pdf.pdf?AC6B8302798B57416759E77F9212FA53" TargetMode="External"/><Relationship Id="rId85" Type="http://schemas.openxmlformats.org/officeDocument/2006/relationships/hyperlink" Target="http://www.heip-link.net/content/toolbox" TargetMode="External"/><Relationship Id="rId150" Type="http://schemas.openxmlformats.org/officeDocument/2006/relationships/hyperlink" Target="https://www.iprhelpdesk.eu/node/3439" TargetMode="External"/><Relationship Id="rId171" Type="http://schemas.openxmlformats.org/officeDocument/2006/relationships/hyperlink" Target="https://www.vabio.org/?page=incentives" TargetMode="External"/><Relationship Id="rId192" Type="http://schemas.openxmlformats.org/officeDocument/2006/relationships/hyperlink" Target="http://www.wipo.int/publications/ar/details.jsp?id=4235" TargetMode="External"/><Relationship Id="rId206" Type="http://schemas.openxmlformats.org/officeDocument/2006/relationships/hyperlink" Target="https://www.aaup.org/sites/default/files/files/Principles-summary.pdf" TargetMode="External"/><Relationship Id="rId12" Type="http://schemas.openxmlformats.org/officeDocument/2006/relationships/hyperlink" Target="http://www.wipo.int/about-ip/en/universities_research/documents/ip_toolkit/checklist.docx" TargetMode="External"/><Relationship Id="rId33" Type="http://schemas.openxmlformats.org/officeDocument/2006/relationships/hyperlink" Target="http://www.iphandbook.org/handbook/ch06/p07/" TargetMode="External"/><Relationship Id="rId108" Type="http://schemas.openxmlformats.org/officeDocument/2006/relationships/hyperlink" Target="http://www.wipo.int/about-ip/ar/universities_research/" TargetMode="External"/><Relationship Id="rId129" Type="http://schemas.openxmlformats.org/officeDocument/2006/relationships/hyperlink" Target="http://techtransfercentral.com/2014/05/20/the-three-pillars-of-invention-analysis/" TargetMode="External"/><Relationship Id="rId54" Type="http://schemas.openxmlformats.org/officeDocument/2006/relationships/hyperlink" Target="http://www.autm.net/AUTMMain/media/ThirdEditionPDFs/V2/TTP_Manual_3rd_Edition_Volume2_StudentIP.pdf" TargetMode="External"/><Relationship Id="rId75" Type="http://schemas.openxmlformats.org/officeDocument/2006/relationships/hyperlink" Target="http://www.iphandbook.org/handbook/ch06/p01/" TargetMode="External"/><Relationship Id="rId96" Type="http://schemas.openxmlformats.org/officeDocument/2006/relationships/hyperlink" Target="https://www.iprhelpdesk.eu/sites/default/files/newsdocuments/IP_joint_ownership_updated.pdf" TargetMode="External"/><Relationship Id="rId140" Type="http://schemas.openxmlformats.org/officeDocument/2006/relationships/hyperlink" Target="https://policies.syr.edu/policies/university-governance-ethics-integrity-and-legal-compliance/university-records-policy/" TargetMode="External"/><Relationship Id="rId161" Type="http://schemas.openxmlformats.org/officeDocument/2006/relationships/hyperlink" Target="https://www.iprhelpdesk.eu/sites/default/files/newsdocuments/Fact-Sheet-Commercialising-IP-Joint-Ventures.pdf" TargetMode="External"/><Relationship Id="rId182" Type="http://schemas.openxmlformats.org/officeDocument/2006/relationships/hyperlink" Target="https://www.helsinki.fi/en/research/research-environment/research-data/data-policy" TargetMode="External"/><Relationship Id="rId217" Type="http://schemas.openxmlformats.org/officeDocument/2006/relationships/hyperlink" Target="https://polylex.epfl.ch/files/content/sites/polylex/files/recueil_pdf/ENG/4.1.1.1_dir_gestion_conflits_interet_en.pdf" TargetMode="External"/><Relationship Id="rId6" Type="http://schemas.openxmlformats.org/officeDocument/2006/relationships/footnotes" Target="footnotes.xml"/><Relationship Id="rId23" Type="http://schemas.openxmlformats.org/officeDocument/2006/relationships/hyperlink" Target="https://assets.publishing.service.gov.uk/government/uploads/system/uploads/attachment_data/file/308072/ipasset-management.pdf" TargetMode="External"/><Relationship Id="rId119" Type="http://schemas.openxmlformats.org/officeDocument/2006/relationships/hyperlink" Target="https://www.ipag.at/en/" TargetMode="External"/><Relationship Id="rId44" Type="http://schemas.openxmlformats.org/officeDocument/2006/relationships/hyperlink" Target="https://papers.ssrn.com/sol3/papers.cfm?abstract_id=2822343" TargetMode="External"/><Relationship Id="rId65" Type="http://schemas.openxmlformats.org/officeDocument/2006/relationships/image" Target="media/image6.png"/><Relationship Id="rId86" Type="http://schemas.openxmlformats.org/officeDocument/2006/relationships/hyperlink" Target="https://www.autm.net/" TargetMode="External"/><Relationship Id="rId130" Type="http://schemas.openxmlformats.org/officeDocument/2006/relationships/hyperlink" Target="https://www.sciencedirect.com/science/article/pii/S2452302X17300037" TargetMode="External"/><Relationship Id="rId151" Type="http://schemas.openxmlformats.org/officeDocument/2006/relationships/hyperlink" Target="http://www.wipo.int/edocs/pubdocs/en/licensing/903/wipo_pub_903.pdf" TargetMode="External"/><Relationship Id="rId172" Type="http://schemas.openxmlformats.org/officeDocument/2006/relationships/hyperlink" Target="http://www.dst.gov.za/nipm" TargetMode="External"/><Relationship Id="rId193" Type="http://schemas.openxmlformats.org/officeDocument/2006/relationships/hyperlink" Target="http://www.wipo.int/export/sites/www/tk/en/resources/pdf/redrafted_guidelines.pdf" TargetMode="External"/><Relationship Id="rId207" Type="http://schemas.openxmlformats.org/officeDocument/2006/relationships/hyperlink" Target="https://www.gla.ac.uk/media/media_176371_en.pdf" TargetMode="External"/><Relationship Id="rId13" Type="http://schemas.openxmlformats.org/officeDocument/2006/relationships/hyperlink" Target="http://www.wipo.int/about-ip/en/universities_research/documents/ip_toolkit/policy_template.docx" TargetMode="External"/><Relationship Id="rId109" Type="http://schemas.openxmlformats.org/officeDocument/2006/relationships/hyperlink" Target="http://www.uab.edu/policies/content/Pages/UAB-AD-POL-0000090.aspx" TargetMode="External"/><Relationship Id="rId34" Type="http://schemas.openxmlformats.org/officeDocument/2006/relationships/hyperlink" Target="http://www.wipo.int/tk/en/genetic" TargetMode="External"/><Relationship Id="rId55" Type="http://schemas.openxmlformats.org/officeDocument/2006/relationships/hyperlink" Target="http://www.autm.net/AUTMMain/media/ThirdEditionPDFs/V2/TTP_Manual_3rd_Edition_Volume2_StudentIP.pdf" TargetMode="External"/><Relationship Id="rId76" Type="http://schemas.openxmlformats.org/officeDocument/2006/relationships/hyperlink" Target="https://innovation.ox.ac.uk/wp-content/uploads/2015/01/Best-Structure-for-a-University-Technology-Transfer-Office.pdf" TargetMode="External"/><Relationship Id="rId97" Type="http://schemas.openxmlformats.org/officeDocument/2006/relationships/hyperlink" Target="http://www.wipo.int/about-ip/en/universities_research/resources/" TargetMode="External"/><Relationship Id="rId120" Type="http://schemas.openxmlformats.org/officeDocument/2006/relationships/hyperlink" Target="http://www.wipo.int/amc/en/center/specific-sectors/rd/ipag" TargetMode="External"/><Relationship Id="rId141" Type="http://schemas.openxmlformats.org/officeDocument/2006/relationships/hyperlink" Target="http://www.utas.edu.au/it/records/policies" TargetMode="External"/><Relationship Id="rId7" Type="http://schemas.openxmlformats.org/officeDocument/2006/relationships/endnotes" Target="endnotes.xml"/><Relationship Id="rId162" Type="http://schemas.openxmlformats.org/officeDocument/2006/relationships/image" Target="media/image12.png"/><Relationship Id="rId183" Type="http://schemas.openxmlformats.org/officeDocument/2006/relationships/hyperlink" Target="https://www.ncbi.nlm.nih.gov/pmc/articles/PMC3943904/pdf/nihms561459.pdf" TargetMode="External"/><Relationship Id="rId218" Type="http://schemas.openxmlformats.org/officeDocument/2006/relationships/hyperlink" Target="http://www.wipo.int/amc/en/" TargetMode="External"/><Relationship Id="rId24" Type="http://schemas.openxmlformats.org/officeDocument/2006/relationships/hyperlink" Target="https://www.autm.net/AUTMMain/media/Advocacy/Documents/Points_to_Consider.pdf" TargetMode="External"/><Relationship Id="rId45" Type="http://schemas.openxmlformats.org/officeDocument/2006/relationships/hyperlink" Target="https://papers.ssrn.com/sol3/papers.cfm?abstract_id=2822343" TargetMode="External"/><Relationship Id="rId66" Type="http://schemas.openxmlformats.org/officeDocument/2006/relationships/hyperlink" Target="http://www.ntem.com.cn/english1/" TargetMode="External"/><Relationship Id="rId87" Type="http://schemas.openxmlformats.org/officeDocument/2006/relationships/hyperlink" Target="http://www.icett.or.jp/english/gaiyou/objective.html" TargetMode="External"/><Relationship Id="rId110" Type="http://schemas.openxmlformats.org/officeDocument/2006/relationships/hyperlink" Target="http://humanresources.uchicago.edu/fpg/policies/600/p601.shtml" TargetMode="External"/><Relationship Id="rId131" Type="http://schemas.openxmlformats.org/officeDocument/2006/relationships/hyperlink" Target="https://www.sciencedirect.com/science/article/pii/S2452302X17300037" TargetMode="External"/><Relationship Id="rId152" Type="http://schemas.openxmlformats.org/officeDocument/2006/relationships/hyperlink" Target="http://news.stanford.edu/news/2007/march7/gifs/whitepaper.pdf" TargetMode="External"/><Relationship Id="rId173" Type="http://schemas.openxmlformats.org/officeDocument/2006/relationships/hyperlink" Target="https://www.ed.ac.uk/files/atoms/files/eri_spin-out_support_guide.pdf" TargetMode="External"/><Relationship Id="rId194" Type="http://schemas.openxmlformats.org/officeDocument/2006/relationships/hyperlink" Target="http://www.wipo.int/publications/ar/series/index.jsp?id=144" TargetMode="External"/><Relationship Id="rId208" Type="http://schemas.openxmlformats.org/officeDocument/2006/relationships/hyperlink" Target="http://www.northwestern.edu/coi/policy/" TargetMode="External"/><Relationship Id="rId14" Type="http://schemas.openxmlformats.org/officeDocument/2006/relationships/hyperlink" Target="http://www.wipo.int/about-ip/en/universities_research/documents/ip_toolkit/checklist.docx" TargetMode="External"/><Relationship Id="rId35" Type="http://schemas.openxmlformats.org/officeDocument/2006/relationships/hyperlink" Target="http://www.upov.int/upovlex/en/upov_convention.html" TargetMode="External"/><Relationship Id="rId56" Type="http://schemas.openxmlformats.org/officeDocument/2006/relationships/hyperlink" Target="https://www.gov.uk/government/uploads/system/uploads/attachment_data/file/415732/Undergraduate_students_-_your_rights_under_consumer_law.pdf" TargetMode="External"/><Relationship Id="rId77" Type="http://schemas.openxmlformats.org/officeDocument/2006/relationships/hyperlink" Target="https://welc.wipo.int/index_fr.php" TargetMode="External"/><Relationship Id="rId100" Type="http://schemas.openxmlformats.org/officeDocument/2006/relationships/hyperlink" Target="https://www.umsystem.edu/ums/red/oipa/studentip-faqs" TargetMode="External"/><Relationship Id="rId8" Type="http://schemas.openxmlformats.org/officeDocument/2006/relationships/hyperlink" Target="http://www.wipo.int/about-ip/en/universities_research/documents/ip_toolkit/policy_template.docx" TargetMode="External"/><Relationship Id="rId51" Type="http://schemas.openxmlformats.org/officeDocument/2006/relationships/hyperlink" Target="https://papers.ssrn.com/sol3/papers.cfm?abstract_id=2896185" TargetMode="External"/><Relationship Id="rId72" Type="http://schemas.openxmlformats.org/officeDocument/2006/relationships/hyperlink" Target="http://www.iphandbook.org/handbook/execguide_files/ipHandbook%20Guide-Section%2006.pdf" TargetMode="External"/><Relationship Id="rId93" Type="http://schemas.openxmlformats.org/officeDocument/2006/relationships/hyperlink" Target="https://www.iprhelpdesk.eu/sites/default/files/newsdocuments/Fact-Sheet-Inventorship-Authorship-Ownership.pdf" TargetMode="External"/><Relationship Id="rId98" Type="http://schemas.openxmlformats.org/officeDocument/2006/relationships/hyperlink" Target="http://www.wipo.int/about-ip/en/universities_research/ip_policies/index.html" TargetMode="External"/><Relationship Id="rId121" Type="http://schemas.openxmlformats.org/officeDocument/2006/relationships/hyperlink" Target="https://www.autm.net/autm-info/about-tech-transfer/about-technology-transfer/technology-transfer-resources/sample-agreements/" TargetMode="External"/><Relationship Id="rId142" Type="http://schemas.openxmlformats.org/officeDocument/2006/relationships/hyperlink" Target="file:///\\adi.wipo.int\wipodata\DAT2\ORGDCEA\SHARED%20ORGSME\IP%20Policies%20for%20Universities\IP%20TOOLKIT%20AC%20INST\IP%20Policy%20Template\Step%2017%20-%2012th%20Draft%20-%20Website%20version\English\www.ipHandbook.org" TargetMode="External"/><Relationship Id="rId163" Type="http://schemas.openxmlformats.org/officeDocument/2006/relationships/image" Target="media/image13.png"/><Relationship Id="rId184" Type="http://schemas.openxmlformats.org/officeDocument/2006/relationships/hyperlink" Target="https://www.ncbi.nlm.nih.gov/pmc/articles/PMC3943904/pdf/nihms561459.pdf" TargetMode="External"/><Relationship Id="rId189" Type="http://schemas.openxmlformats.org/officeDocument/2006/relationships/hyperlink" Target="https://www.autm.net/resources-surveys/research-reports-databases/licensing-surveys/" TargetMode="External"/><Relationship Id="rId219" Type="http://schemas.openxmlformats.org/officeDocument/2006/relationships/footer" Target="footer1.xml"/><Relationship Id="rId3" Type="http://schemas.openxmlformats.org/officeDocument/2006/relationships/styles" Target="styles.xml"/><Relationship Id="rId214" Type="http://schemas.openxmlformats.org/officeDocument/2006/relationships/hyperlink" Target="http://www.uct.ac.za/downloads/uct.ac.za/about/policies/conflictsofinterest.pdf" TargetMode="External"/><Relationship Id="rId25" Type="http://schemas.openxmlformats.org/officeDocument/2006/relationships/hyperlink" Target="https://www.nap.edu/catalog/13001/managing-university-intellectual-property-in-the-public-interest" TargetMode="External"/><Relationship Id="rId46" Type="http://schemas.openxmlformats.org/officeDocument/2006/relationships/hyperlink" Target="https://papers.ssrn.com/sol3/papers.cfm?abstract_id=2822343" TargetMode="External"/><Relationship Id="rId67" Type="http://schemas.openxmlformats.org/officeDocument/2006/relationships/image" Target="media/image7.jpeg"/><Relationship Id="rId116" Type="http://schemas.openxmlformats.org/officeDocument/2006/relationships/hyperlink" Target="http://www.wipo.int/about-ip/en/universities_research/ip_policies/search.jsp?institution_id=&amp;focus_id=&amp;type_id=12&amp;territory_id=&amp;language_code=" TargetMode="External"/><Relationship Id="rId137" Type="http://schemas.openxmlformats.org/officeDocument/2006/relationships/hyperlink" Target="https://sites.tufts.edu/dca/records-management/records-policies/guidelines-for-managing-university-records/" TargetMode="External"/><Relationship Id="rId158" Type="http://schemas.openxmlformats.org/officeDocument/2006/relationships/hyperlink" Target="http://www.cu.edu/sites/default/files/pages/44192-startup-companies-cu/docs/bulletin-startupprocess.pdf" TargetMode="External"/><Relationship Id="rId20" Type="http://schemas.openxmlformats.org/officeDocument/2006/relationships/hyperlink" Target="https://ec.europa.eu/research/innovation-union/pdf/international_cooperation_guidelines_erac_kt_group.pdf" TargetMode="External"/><Relationship Id="rId41" Type="http://schemas.openxmlformats.org/officeDocument/2006/relationships/hyperlink" Target="http://www.wipo.int/ipstats/en/statistics/glossary.html" TargetMode="External"/><Relationship Id="rId62" Type="http://schemas.openxmlformats.org/officeDocument/2006/relationships/image" Target="media/image3.png"/><Relationship Id="rId83" Type="http://schemas.openxmlformats.org/officeDocument/2006/relationships/hyperlink" Target="http://www.wipo.int/about-ip/en/universities_research/documents/ip_toolkit/checklist.docx" TargetMode="External"/><Relationship Id="rId88" Type="http://schemas.openxmlformats.org/officeDocument/2006/relationships/hyperlink" Target="https://www.kca.asn.au/" TargetMode="External"/><Relationship Id="rId111" Type="http://schemas.openxmlformats.org/officeDocument/2006/relationships/hyperlink" Target="https://www.vanderbilt.edu/faculty-manual/part-iii-university-principles-and-policies/ch5-policy-guidelines-for-sponsored-research/" TargetMode="External"/><Relationship Id="rId132" Type="http://schemas.openxmlformats.org/officeDocument/2006/relationships/hyperlink" Target="http://www.iphandbook.org/handbook/ch08/p04/eo/" TargetMode="External"/><Relationship Id="rId153" Type="http://schemas.openxmlformats.org/officeDocument/2006/relationships/hyperlink" Target="http://news.stanford.edu/news/2007/march7/gifs/whitepaper.pdf" TargetMode="External"/><Relationship Id="rId174" Type="http://schemas.openxmlformats.org/officeDocument/2006/relationships/hyperlink" Target="https://www.wit.ie/research/for_researchers/commercialising_your_research" TargetMode="External"/><Relationship Id="rId179" Type="http://schemas.openxmlformats.org/officeDocument/2006/relationships/hyperlink" Target="http://research.oregonstate.edu/incentive-programs/research-equipment-reserve-fund" TargetMode="External"/><Relationship Id="rId195" Type="http://schemas.openxmlformats.org/officeDocument/2006/relationships/hyperlink" Target="http://www.wipo.int/meetings/ar/doc_details.jsp?doc_id=396139" TargetMode="External"/><Relationship Id="rId209" Type="http://schemas.openxmlformats.org/officeDocument/2006/relationships/hyperlink" Target="https://www.auckland.ac.nz/en/about/the-university/how-university-works/policy-and-administration/university-organisation-and-governance/legal/conflict-of-interest-policy.html" TargetMode="External"/><Relationship Id="rId190" Type="http://schemas.openxmlformats.org/officeDocument/2006/relationships/hyperlink" Target="http://ec.europa.eu/invest-in-research/pdf/download_en/library_house_2008_unico.pdf" TargetMode="External"/><Relationship Id="rId204" Type="http://schemas.openxmlformats.org/officeDocument/2006/relationships/hyperlink" Target="https://www.fao.org/plant-treaty/ar/" TargetMode="External"/><Relationship Id="rId220" Type="http://schemas.openxmlformats.org/officeDocument/2006/relationships/footer" Target="footer2.xml"/><Relationship Id="rId15" Type="http://schemas.openxmlformats.org/officeDocument/2006/relationships/hyperlink" Target="http://www.eu-usr.eu/wp-content/uploads/2015/04/D1.4-Final-Report-Public-Part-EN.pdf" TargetMode="External"/><Relationship Id="rId36" Type="http://schemas.openxmlformats.org/officeDocument/2006/relationships/hyperlink" Target="https://www.epo.org/law-practice/legal-texts/html/epc/2016/e/r26.html" TargetMode="External"/><Relationship Id="rId57" Type="http://schemas.openxmlformats.org/officeDocument/2006/relationships/hyperlink" Target="https://www.praxisunico.org.uk/sites/praxisunico.org.uk/files/5%20-%20Students%20and%20IP.pdf" TargetMode="External"/><Relationship Id="rId106" Type="http://schemas.openxmlformats.org/officeDocument/2006/relationships/hyperlink" Target="http://www.wipo.int/edocs/pubdocs/en/wipo_pub_944_2011-chapter4.pdf" TargetMode="External"/><Relationship Id="rId127" Type="http://schemas.openxmlformats.org/officeDocument/2006/relationships/image" Target="media/image9.emf"/><Relationship Id="rId10" Type="http://schemas.openxmlformats.org/officeDocument/2006/relationships/hyperlink" Target="http://www.wipo.int/about-ip/en/universities_research/documents/ip_toolkit/checklist.docx" TargetMode="External"/><Relationship Id="rId31" Type="http://schemas.openxmlformats.org/officeDocument/2006/relationships/hyperlink" Target="https://www.oecd-ilibrary.org/docserver/9789264044104-en.pdf?expires=1526636575&amp;id=id&amp;accname=ocid54015566&amp;checksum=F0C787E456C41D3EB8979421B34EFB9C" TargetMode="External"/><Relationship Id="rId52" Type="http://schemas.openxmlformats.org/officeDocument/2006/relationships/hyperlink" Target="https://papers.ssrn.com/sol3/papers.cfm?abstract_id=2896185" TargetMode="External"/><Relationship Id="rId73" Type="http://schemas.openxmlformats.org/officeDocument/2006/relationships/hyperlink" Target="http://www.wipo.int/ebookshop" TargetMode="External"/><Relationship Id="rId78" Type="http://schemas.openxmlformats.org/officeDocument/2006/relationships/hyperlink" Target="https://assets.publishing.service.gov.uk/government/uploads/system/uploads/attachment_data/file/308072/ipasset-management.pdf" TargetMode="External"/><Relationship Id="rId94" Type="http://schemas.openxmlformats.org/officeDocument/2006/relationships/hyperlink" Target="https://www.iprhelpdesk.eu/sites/default/files/newsdocuments/Fact-Sheet-Inventorship-Authorship-Ownership.pdf" TargetMode="External"/><Relationship Id="rId99" Type="http://schemas.openxmlformats.org/officeDocument/2006/relationships/hyperlink" Target="https://www.praxisauril.org.uk/resource/practical-guide-students-and-ip" TargetMode="External"/><Relationship Id="rId101" Type="http://schemas.openxmlformats.org/officeDocument/2006/relationships/hyperlink" Target="http://www.oecd.org/sti/sci-tech/turningscienceintobusinesspatentingandlicensingatpublicresearchorganisations.htm" TargetMode="External"/><Relationship Id="rId122" Type="http://schemas.openxmlformats.org/officeDocument/2006/relationships/hyperlink" Target="http://www.knowledgetransferireland.com/Model-Agreements/Catalogue-of-Model-Agreements/" TargetMode="External"/><Relationship Id="rId143" Type="http://schemas.openxmlformats.org/officeDocument/2006/relationships/image" Target="media/image11.tiff"/><Relationship Id="rId148" Type="http://schemas.openxmlformats.org/officeDocument/2006/relationships/hyperlink" Target="http://4.interreg-sudoe.eu/contenido-dinamico/libreria-ficheros/3D0ED325-A000-2BDC-F737-7534920D685C.pdf" TargetMode="External"/><Relationship Id="rId164" Type="http://schemas.openxmlformats.org/officeDocument/2006/relationships/hyperlink" Target="https://www.innovationpolicyplatform.org/sites/default/files/rdf_imported_documents/TechnologyTransferFromPublicResearchOrganizations.pdf" TargetMode="External"/><Relationship Id="rId169" Type="http://schemas.openxmlformats.org/officeDocument/2006/relationships/hyperlink" Target="http://www.wipo.int/edocs/pubdocs/en/wipo_pub_944_2011-chapter4.pdf" TargetMode="External"/><Relationship Id="rId185" Type="http://schemas.openxmlformats.org/officeDocument/2006/relationships/hyperlink" Target="https://fr.scribd.com/document/320063128/Strategic-Guide" TargetMode="External"/><Relationship Id="rId4" Type="http://schemas.openxmlformats.org/officeDocument/2006/relationships/settings" Target="settings.xml"/><Relationship Id="rId9" Type="http://schemas.openxmlformats.org/officeDocument/2006/relationships/hyperlink" Target="http://www.wipo.int/about-ip/en/universities_research/documents/ip_toolkit/checklist.docx" TargetMode="External"/><Relationship Id="rId180" Type="http://schemas.openxmlformats.org/officeDocument/2006/relationships/hyperlink" Target="http://research.oregonstate.edu/incentive/undergraduate-research-innovation-scholarship-creativity-urisc" TargetMode="External"/><Relationship Id="rId210" Type="http://schemas.openxmlformats.org/officeDocument/2006/relationships/hyperlink" Target="http://policy.nd.edu/assets/185215/conflictofinterestpolicy.pdf" TargetMode="External"/><Relationship Id="rId215" Type="http://schemas.openxmlformats.org/officeDocument/2006/relationships/hyperlink" Target="https://policies-procedures.mit.edu/faculty-rights-and-responsibilities/conflict-interest" TargetMode="External"/><Relationship Id="rId26" Type="http://schemas.openxmlformats.org/officeDocument/2006/relationships/hyperlink" Target="https://www2.tulane.edu/ott/upload/AAU-Statement-of-Principles.pdf" TargetMode="External"/><Relationship Id="rId47" Type="http://schemas.openxmlformats.org/officeDocument/2006/relationships/hyperlink" Target="https://papers.ssrn.com/sol3/papers.cfm?abstract_id=2855159" TargetMode="External"/><Relationship Id="rId68" Type="http://schemas.openxmlformats.org/officeDocument/2006/relationships/hyperlink" Target="http://www.nitrio.org.br/" TargetMode="External"/><Relationship Id="rId89" Type="http://schemas.openxmlformats.org/officeDocument/2006/relationships/hyperlink" Target="https://www.acctcanada.ca/" TargetMode="External"/><Relationship Id="rId112" Type="http://schemas.openxmlformats.org/officeDocument/2006/relationships/hyperlink" Target="http://wmich.edu/registrar/ferpa-faculty-staff-confidentiality" TargetMode="External"/><Relationship Id="rId133" Type="http://schemas.openxmlformats.org/officeDocument/2006/relationships/hyperlink" Target="http://www.sciencecouncil.ie/Publications/2005/National-Code-of-Practice-for-Managing-Intellectual-Property-from-Publicly-Funded-Research.pdf" TargetMode="External"/><Relationship Id="rId154" Type="http://schemas.openxmlformats.org/officeDocument/2006/relationships/hyperlink" Target="https://www.praxisauril.org.uk/sites/praxisunico.org.uk/files/7%20-%20Spinout%20Transactions_1.pdf" TargetMode="External"/><Relationship Id="rId175" Type="http://schemas.openxmlformats.org/officeDocument/2006/relationships/hyperlink" Target="https://www.uj.ac.za/research/Documents/Patent_Incentive_Fund_Policy-ApplGuidelines.pdf" TargetMode="External"/><Relationship Id="rId196" Type="http://schemas.openxmlformats.org/officeDocument/2006/relationships/hyperlink" Target="http://www.wipo.int/tk/en/databases/contracts/" TargetMode="External"/><Relationship Id="rId200" Type="http://schemas.openxmlformats.org/officeDocument/2006/relationships/hyperlink" Target="http://www.wipo.int/tk/en/legal_texts/" TargetMode="External"/><Relationship Id="rId16" Type="http://schemas.openxmlformats.org/officeDocument/2006/relationships/hyperlink" Target="http://ipadvocatefoundation.org/mission/pdfs/SociallyResponsibleLicensing_Berkeley.pdf" TargetMode="External"/><Relationship Id="rId221" Type="http://schemas.openxmlformats.org/officeDocument/2006/relationships/footer" Target="footer3.xml"/><Relationship Id="rId37" Type="http://schemas.openxmlformats.org/officeDocument/2006/relationships/hyperlink" Target="https://www.wipo.int/patents/ar/faq_patents.html" TargetMode="External"/><Relationship Id="rId58" Type="http://schemas.openxmlformats.org/officeDocument/2006/relationships/image" Target="media/image1.tiff"/><Relationship Id="rId79" Type="http://schemas.openxmlformats.org/officeDocument/2006/relationships/hyperlink" Target="http://www.autm.net" TargetMode="External"/><Relationship Id="rId102" Type="http://schemas.openxmlformats.org/officeDocument/2006/relationships/hyperlink" Target="http://www.oecd.org/sti/sci-tech/turningscienceintobusinesspatentingandlicensingatpublicresearchorganisations.htm" TargetMode="External"/><Relationship Id="rId123" Type="http://schemas.openxmlformats.org/officeDocument/2006/relationships/hyperlink" Target="https://www.ipaustralia.gov.au/understanding-ip/commercialise-your-ip/ip-toolkit-collaboration" TargetMode="External"/><Relationship Id="rId144" Type="http://schemas.openxmlformats.org/officeDocument/2006/relationships/hyperlink" Target="http://news.stanford.edu/news/2007/march7/gifs/whitepaper.pdf" TargetMode="External"/><Relationship Id="rId90" Type="http://schemas.openxmlformats.org/officeDocument/2006/relationships/hyperlink" Target="http://www.auril.org.uk" TargetMode="External"/><Relationship Id="rId165" Type="http://schemas.openxmlformats.org/officeDocument/2006/relationships/hyperlink" Target="http://www.auril.org.uk/Portals/26/documents/strategic_guide.pdf" TargetMode="External"/><Relationship Id="rId186" Type="http://schemas.openxmlformats.org/officeDocument/2006/relationships/hyperlink" Target="http://www.wipo.int/publications/zh/details.jsp?id=3954&amp;plang=EN" TargetMode="External"/><Relationship Id="rId211" Type="http://schemas.openxmlformats.org/officeDocument/2006/relationships/hyperlink" Target="http://chuka.ac.ke/Code%20of%20Conduct%20and%20Ethics%20Policy%2013.9.2013.pdf" TargetMode="External"/><Relationship Id="rId27" Type="http://schemas.openxmlformats.org/officeDocument/2006/relationships/hyperlink" Target="https://www.nature.com/articles/nbt.3911" TargetMode="External"/><Relationship Id="rId48" Type="http://schemas.openxmlformats.org/officeDocument/2006/relationships/hyperlink" Target="https://papers.ssrn.com/sol3/papers.cfm?abstract_id=2855159" TargetMode="External"/><Relationship Id="rId69" Type="http://schemas.openxmlformats.org/officeDocument/2006/relationships/hyperlink" Target="http://www.nitmantiqueira.org.br/portal/" TargetMode="External"/><Relationship Id="rId113" Type="http://schemas.openxmlformats.org/officeDocument/2006/relationships/hyperlink" Target="http://ec.europa.eu/invest-in-research/pdf/ip_recommendation_en.pdf" TargetMode="External"/><Relationship Id="rId134" Type="http://schemas.openxmlformats.org/officeDocument/2006/relationships/hyperlink" Target="https://www.ncbi.nlm.nih.gov/pmc/articles/PMC3943904/" TargetMode="External"/><Relationship Id="rId80" Type="http://schemas.openxmlformats.org/officeDocument/2006/relationships/hyperlink" Target="http://www.iphandbook.org/" TargetMode="External"/><Relationship Id="rId155" Type="http://schemas.openxmlformats.org/officeDocument/2006/relationships/hyperlink" Target="https://brage.bibsys.no/xmlui/bitstream/id/420743/Rasmussen.pdf" TargetMode="External"/><Relationship Id="rId176" Type="http://schemas.openxmlformats.org/officeDocument/2006/relationships/hyperlink" Target="http://research.oregonstate.edu/incentive/" TargetMode="External"/><Relationship Id="rId197" Type="http://schemas.openxmlformats.org/officeDocument/2006/relationships/hyperlink" Target="http://www.wipo.int/tk/en/resources/tk_experiences.html" TargetMode="External"/><Relationship Id="rId201" Type="http://schemas.openxmlformats.org/officeDocument/2006/relationships/hyperlink" Target="http://www.wipo.int/tk/en/igc/" TargetMode="External"/><Relationship Id="rId222" Type="http://schemas.openxmlformats.org/officeDocument/2006/relationships/fontTable" Target="fontTable.xml"/><Relationship Id="rId17" Type="http://schemas.openxmlformats.org/officeDocument/2006/relationships/hyperlink" Target="http://www.iphandbook.org/handbook/ch06/p07/" TargetMode="External"/><Relationship Id="rId38" Type="http://schemas.openxmlformats.org/officeDocument/2006/relationships/hyperlink" Target="http://www.wipo.int/pct/en/texts/glossary.html" TargetMode="External"/><Relationship Id="rId59" Type="http://schemas.openxmlformats.org/officeDocument/2006/relationships/hyperlink" Target="http://siteresources.worldbank.org/INTARD/Resources/335807-1330620492317/8478371-1330712171692/Module5-TN5.pdf" TargetMode="External"/><Relationship Id="rId103" Type="http://schemas.openxmlformats.org/officeDocument/2006/relationships/hyperlink" Target="http://www.heip-link.net/content/toolbox" TargetMode="External"/><Relationship Id="rId124" Type="http://schemas.openxmlformats.org/officeDocument/2006/relationships/hyperlink" Target="http://ec.europa.eu/invest-in-research/policy/crest_cross_en.htm" TargetMode="External"/><Relationship Id="rId70" Type="http://schemas.openxmlformats.org/officeDocument/2006/relationships/image" Target="media/image8.png"/><Relationship Id="rId91" Type="http://schemas.openxmlformats.org/officeDocument/2006/relationships/hyperlink" Target="http://www.wipo.int/about-ip/ar/universities_research/ip_policies/faqs/index.html" TargetMode="External"/><Relationship Id="rId145" Type="http://schemas.openxmlformats.org/officeDocument/2006/relationships/hyperlink" Target="http://techtransfercentral.com/online-resources/" TargetMode="External"/><Relationship Id="rId166" Type="http://schemas.openxmlformats.org/officeDocument/2006/relationships/hyperlink" Target="http://www.auril.org.uk/Portals/26/documents/strategic_guide.pdf" TargetMode="External"/><Relationship Id="rId187" Type="http://schemas.openxmlformats.org/officeDocument/2006/relationships/hyperlink" Target="http://www.wipo.int/publications/zh/details.jsp?id=3954&amp;plang=EN" TargetMode="External"/><Relationship Id="rId1" Type="http://schemas.openxmlformats.org/officeDocument/2006/relationships/customXml" Target="../customXml/item1.xml"/><Relationship Id="rId212" Type="http://schemas.openxmlformats.org/officeDocument/2006/relationships/hyperlink" Target="http://www.autm.net" TargetMode="External"/><Relationship Id="rId28" Type="http://schemas.openxmlformats.org/officeDocument/2006/relationships/hyperlink" Target="http://ipadvocatefoundation.org/mission/promote.cfm" TargetMode="External"/><Relationship Id="rId49" Type="http://schemas.openxmlformats.org/officeDocument/2006/relationships/hyperlink" Target="https://papers.ssrn.com/sol3/papers.cfm?abstract_id=2855159" TargetMode="External"/><Relationship Id="rId114" Type="http://schemas.openxmlformats.org/officeDocument/2006/relationships/hyperlink" Target="http://www.knowledgetransferireland.ie/Model-Agreements/Catalogue-of-Model-Agreements/" TargetMode="External"/><Relationship Id="rId60" Type="http://schemas.openxmlformats.org/officeDocument/2006/relationships/hyperlink" Target="http://siteresources.worldbank.org/INTARD/Resources/335807-1330620492317/8478371-1330712171692/Module5-TN5.pdf" TargetMode="External"/><Relationship Id="rId81" Type="http://schemas.openxmlformats.org/officeDocument/2006/relationships/hyperlink" Target="http://www.wipo.int/about-ip/en/universities_research/resources/" TargetMode="External"/><Relationship Id="rId135" Type="http://schemas.openxmlformats.org/officeDocument/2006/relationships/hyperlink" Target="https://www.ncbi.nlm.nih.gov/pmc/articles/PMC3943904/" TargetMode="External"/><Relationship Id="rId156" Type="http://schemas.openxmlformats.org/officeDocument/2006/relationships/hyperlink" Target="https://brage.bibsys.no/xmlui/bitstream/id/420743/Rasmussen.pdf" TargetMode="External"/><Relationship Id="rId177" Type="http://schemas.openxmlformats.org/officeDocument/2006/relationships/hyperlink" Target="http://research.oregonstate.edu/incentive/generalresearchfund" TargetMode="External"/><Relationship Id="rId198" Type="http://schemas.openxmlformats.org/officeDocument/2006/relationships/hyperlink" Target="https://welc.wipo.int/acc/index.jsf?page=courseCatalog.xhtml&amp;lang=ar&amp;cc=DL203E%23plus_DL203E" TargetMode="External"/><Relationship Id="rId202" Type="http://schemas.openxmlformats.org/officeDocument/2006/relationships/hyperlink" Target="http://www.wipo.int/publications/en/details.jsp?id=3861&amp;plang=EN" TargetMode="External"/><Relationship Id="rId223" Type="http://schemas.openxmlformats.org/officeDocument/2006/relationships/theme" Target="theme/theme1.xml"/><Relationship Id="rId18" Type="http://schemas.openxmlformats.org/officeDocument/2006/relationships/hyperlink" Target="http://www.arc.gov.au/national-principles-intellectual-property-management-publicly-funded-research" TargetMode="External"/><Relationship Id="rId39" Type="http://schemas.openxmlformats.org/officeDocument/2006/relationships/hyperlink" Target="https://www.wipo.int/tk/ar/resources/glossary.html" TargetMode="External"/><Relationship Id="rId50" Type="http://schemas.openxmlformats.org/officeDocument/2006/relationships/hyperlink" Target="https://papers.ssrn.com/sol3/papers.cfm?abstract_id=2896185" TargetMode="External"/><Relationship Id="rId104" Type="http://schemas.openxmlformats.org/officeDocument/2006/relationships/hyperlink" Target="http://nopr.niscair.res.in/bitstream/123456789/28924/1/JIPR%2019%283%29%20177-188.pdf" TargetMode="External"/><Relationship Id="rId125" Type="http://schemas.openxmlformats.org/officeDocument/2006/relationships/hyperlink" Target="https://www.nihr.ac.uk/about-us/CCF/policy-and-standards/standard-research-agreements.htm" TargetMode="External"/><Relationship Id="rId146" Type="http://schemas.openxmlformats.org/officeDocument/2006/relationships/hyperlink" Target="http://www.biocat.cat/en/about-biocat" TargetMode="External"/><Relationship Id="rId167" Type="http://schemas.openxmlformats.org/officeDocument/2006/relationships/hyperlink" Target="http://www.ip-unilink.net/public_documents/Micro-Level_Analysis.pdf" TargetMode="External"/><Relationship Id="rId188" Type="http://schemas.openxmlformats.org/officeDocument/2006/relationships/hyperlink" Target="http://www.sciencecouncil.ie/Publications/2005/National-Code-of-Practice-for-Managing-Intellectual-Property-from-Publicly-Funded-Research.pdf" TargetMode="External"/><Relationship Id="rId71" Type="http://schemas.openxmlformats.org/officeDocument/2006/relationships/hyperlink" Target="http://www.oecd.org/innovation/policyplatform/48136121.pdf" TargetMode="External"/><Relationship Id="rId92" Type="http://schemas.openxmlformats.org/officeDocument/2006/relationships/hyperlink" Target="https://policy.ucop.edu/doc/2100004/CourseMaterials" TargetMode="External"/><Relationship Id="rId213" Type="http://schemas.openxmlformats.org/officeDocument/2006/relationships/hyperlink" Target="http://www.sineiitb.org/downloads/bi_policy_coi_and_confidentiality.pdf" TargetMode="External"/><Relationship Id="rId2" Type="http://schemas.openxmlformats.org/officeDocument/2006/relationships/numbering" Target="numbering.xml"/><Relationship Id="rId29" Type="http://schemas.openxmlformats.org/officeDocument/2006/relationships/hyperlink" Target="http://news.stanford.edu/news/2007/march7/gifs/whitepaper.pdf" TargetMode="External"/><Relationship Id="rId40" Type="http://schemas.openxmlformats.org/officeDocument/2006/relationships/hyperlink" Target="https://www.wipo.int/ar/web/wipolex/index" TargetMode="External"/><Relationship Id="rId115" Type="http://schemas.openxmlformats.org/officeDocument/2006/relationships/hyperlink" Target="http://ec.europa.eu/research/innovation-union/pdf/international_cooperation_guidelines_erac_kt_group.pdf" TargetMode="External"/><Relationship Id="rId136" Type="http://schemas.openxmlformats.org/officeDocument/2006/relationships/hyperlink" Target="http://sydney.edu.au/arms/records_mgmt/uni_rec_manual.shtml" TargetMode="External"/><Relationship Id="rId157" Type="http://schemas.openxmlformats.org/officeDocument/2006/relationships/hyperlink" Target="http://www.cordis.lu/innovation-policy/studies/im_study4.htm" TargetMode="External"/><Relationship Id="rId178" Type="http://schemas.openxmlformats.org/officeDocument/2006/relationships/hyperlink" Target="http://research.oregonstate.edu/incentive/faculty-release-time" TargetMode="External"/><Relationship Id="rId61" Type="http://schemas.openxmlformats.org/officeDocument/2006/relationships/image" Target="media/image2.png"/><Relationship Id="rId82" Type="http://schemas.openxmlformats.org/officeDocument/2006/relationships/hyperlink" Target="http://www.wipo.int/export/sites/www/policy/pdf/en/ui_checklist.pdf" TargetMode="External"/><Relationship Id="rId199" Type="http://schemas.openxmlformats.org/officeDocument/2006/relationships/hyperlink" Target="http://is" TargetMode="External"/><Relationship Id="rId203" Type="http://schemas.openxmlformats.org/officeDocument/2006/relationships/hyperlink" Target="file:///\\adi.wipo.int\wipodata\DAT2\ORGDCEA\SHARED%20ORGSME\IP%20Policies%20for%20Universities\IP%20TOOLKIT%20AC%20INST\IP%20Policy%20Template\Step%2017%20-%2012th%20Draft%20-%20Website%20version\English\www.cbd.int\intro\" TargetMode="External"/><Relationship Id="rId19" Type="http://schemas.openxmlformats.org/officeDocument/2006/relationships/hyperlink" Target="http://ec.europa.eu/invest-in-research/pdf/ip_recommendation_en.pdf" TargetMode="External"/><Relationship Id="rId30" Type="http://schemas.openxmlformats.org/officeDocument/2006/relationships/hyperlink" Target="http://news.stanford.edu/news/2007/march7/gifs/whitepaper.pdf" TargetMode="External"/><Relationship Id="rId105" Type="http://schemas.openxmlformats.org/officeDocument/2006/relationships/hyperlink" Target="http://nopr.niscair.res.in/bitstream/123456789/28924/1/JIPR%2019%283%29%20177-188.pdf" TargetMode="External"/><Relationship Id="rId126" Type="http://schemas.openxmlformats.org/officeDocument/2006/relationships/hyperlink" Target="https://www.biocompare.com/Editorial-Articles/347276-Electronic-Lab-Notebooks-Are-the-Future/" TargetMode="External"/><Relationship Id="rId147" Type="http://schemas.openxmlformats.org/officeDocument/2006/relationships/hyperlink" Target="http://www.interbio-sudoe.eu/" TargetMode="External"/><Relationship Id="rId168" Type="http://schemas.openxmlformats.org/officeDocument/2006/relationships/hyperlink" Target="http://www.ip-unilink.net/public_documents/Micro-Level_Analysis.pdf"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southcentre.int/wp-content/uploads/2016/07/RP69_IP-and-Access-to-Science_EN.pdf" TargetMode="External"/><Relationship Id="rId21" Type="http://schemas.openxmlformats.org/officeDocument/2006/relationships/hyperlink" Target="https://www.uio.no/english/about/strategy/Strategy2020-English.pdf" TargetMode="External"/><Relationship Id="rId42" Type="http://schemas.openxmlformats.org/officeDocument/2006/relationships/hyperlink" Target="https://www.oecd.org/sti/inno/Frascati-2015-Glossary.pdf" TargetMode="External"/><Relationship Id="rId47" Type="http://schemas.openxmlformats.org/officeDocument/2006/relationships/hyperlink" Target="http://www.iphandbook.org/handbook/chPDFs/ch06/ipHandbook-Ch%2006%2002%20Young%20Establishing%20TTOs.pdf" TargetMode="External"/><Relationship Id="rId63" Type="http://schemas.openxmlformats.org/officeDocument/2006/relationships/hyperlink" Target="https://www.claytonutz.com/knowledge/2010/december/the-importance-of-being-specific-ip-ownership-in-employee-contracts" TargetMode="External"/><Relationship Id="rId68" Type="http://schemas.openxmlformats.org/officeDocument/2006/relationships/hyperlink" Target="http://documents.manchester.ac.uk/display.aspx?DocID=24420" TargetMode="External"/><Relationship Id="rId84" Type="http://schemas.openxmlformats.org/officeDocument/2006/relationships/hyperlink" Target="http://ec.europa.eu/research/era/pdf/iprmanagementguidelines-report.pdf" TargetMode="External"/><Relationship Id="rId89" Type="http://schemas.openxmlformats.org/officeDocument/2006/relationships/hyperlink" Target="http://www.wipo.int/publications/en/details.jsp?id=4011&amp;plang=EN" TargetMode="External"/><Relationship Id="rId16" Type="http://schemas.openxmlformats.org/officeDocument/2006/relationships/hyperlink" Target="https://www.researchgate.net/publication/274608438_Social_Responsibility_in_Higher_Education_Institutions_Application_case_from_the_Middle_East" TargetMode="External"/><Relationship Id="rId107" Type="http://schemas.openxmlformats.org/officeDocument/2006/relationships/hyperlink" Target="http://www.wipo.int/about-ip/en/universities_research/ip_policies/details.jsp?id=5896" TargetMode="External"/><Relationship Id="rId11" Type="http://schemas.openxmlformats.org/officeDocument/2006/relationships/hyperlink" Target="http://www.revistaie.ase.ro/content/64/06%20-%20Dan.pdf" TargetMode="External"/><Relationship Id="rId32" Type="http://schemas.openxmlformats.org/officeDocument/2006/relationships/hyperlink" Target="https://www.fao.org/plant-treaty/ar/" TargetMode="External"/><Relationship Id="rId37" Type="http://schemas.openxmlformats.org/officeDocument/2006/relationships/hyperlink" Target="http://www.cam.ac.uk/research/news/what-is-knowledge-transfer" TargetMode="External"/><Relationship Id="rId53" Type="http://schemas.openxmlformats.org/officeDocument/2006/relationships/hyperlink" Target="http://www.iperative.com/" TargetMode="External"/><Relationship Id="rId58" Type="http://schemas.openxmlformats.org/officeDocument/2006/relationships/hyperlink" Target="http://www.icett.or.jp/english/index.html" TargetMode="External"/><Relationship Id="rId74" Type="http://schemas.openxmlformats.org/officeDocument/2006/relationships/hyperlink" Target="https://fi.ku.dk/tech-trans/guides/pdf/Guide_vedr_samarbejdsaftaler_GB.pdf" TargetMode="External"/><Relationship Id="rId79" Type="http://schemas.openxmlformats.org/officeDocument/2006/relationships/hyperlink" Target="https://fi.ku.dk/tech-trans/guides/pdf/Guide_vedr_samarbejdsaftaler_GB.pdf" TargetMode="External"/><Relationship Id="rId102" Type="http://schemas.openxmlformats.org/officeDocument/2006/relationships/hyperlink" Target="http://www.wipo.int/tk/en/igc/" TargetMode="External"/><Relationship Id="rId5" Type="http://schemas.openxmlformats.org/officeDocument/2006/relationships/hyperlink" Target="http://www.wipo.int/about-ip/en/universities_research/documents/ip_toolkit/checklist.docx" TargetMode="External"/><Relationship Id="rId90" Type="http://schemas.openxmlformats.org/officeDocument/2006/relationships/hyperlink" Target="http://eur-lex.europa.eu/legal-content/EN/TXT/HTML/?uri=CELEX:32014R0511&amp;from=EN" TargetMode="External"/><Relationship Id="rId95" Type="http://schemas.openxmlformats.org/officeDocument/2006/relationships/hyperlink" Target="http://www.wipo.int/sme/en/documents/academic_patenting.html" TargetMode="External"/><Relationship Id="rId22" Type="http://schemas.openxmlformats.org/officeDocument/2006/relationships/hyperlink" Target="http://news.cornell.edu/stories/2008/04/cornell-can-do-well-doing-good-tech-transfer-leader-says" TargetMode="External"/><Relationship Id="rId27" Type="http://schemas.openxmlformats.org/officeDocument/2006/relationships/hyperlink" Target="http://ec.europa.eu/research/era/pdf/iprmanagementguidelines-report.pdf" TargetMode="External"/><Relationship Id="rId43" Type="http://schemas.openxmlformats.org/officeDocument/2006/relationships/hyperlink" Target="http://www.wipo.int/tk/en/tk" TargetMode="External"/><Relationship Id="rId48" Type="http://schemas.openxmlformats.org/officeDocument/2006/relationships/hyperlink" Target="%20https://otd.harvard.edu/" TargetMode="External"/><Relationship Id="rId64" Type="http://schemas.openxmlformats.org/officeDocument/2006/relationships/hyperlink" Target="https://www.claytonutz.com/knowledge/2010/march/employers-employees-and-intellectual-property-the-saga-of-university-of-western-australia-v-gray" TargetMode="External"/><Relationship Id="rId69" Type="http://schemas.openxmlformats.org/officeDocument/2006/relationships/hyperlink" Target="http://ec.europa.eu/invest-in-research/pdf/download_en/crestreport.pdf" TargetMode="External"/><Relationship Id="rId80" Type="http://schemas.openxmlformats.org/officeDocument/2006/relationships/hyperlink" Target="https://fi.ku.dk/tech-trans/guides/pdf/Guide_vedr_samarbejdsaftaler_GB.pdf" TargetMode="External"/><Relationship Id="rId85" Type="http://schemas.openxmlformats.org/officeDocument/2006/relationships/hyperlink" Target="http://ec.europa.eu/research/era/pdf/iprmanagementguidelines-report.pdf" TargetMode="External"/><Relationship Id="rId12" Type="http://schemas.openxmlformats.org/officeDocument/2006/relationships/hyperlink" Target="http://news.stanford.edu/news/2007/march7/gifs/whitepaper.pdf" TargetMode="External"/><Relationship Id="rId17" Type="http://schemas.openxmlformats.org/officeDocument/2006/relationships/hyperlink" Target="https://waset.org/publications/10002007/a-framework-for-university-social-responsibility-and-sustainability-the-case-of-south-valley-university-egypt" TargetMode="External"/><Relationship Id="rId33" Type="http://schemas.openxmlformats.org/officeDocument/2006/relationships/hyperlink" Target="https://www.wipo.int/publications/ar/details.jsp?id=4011" TargetMode="External"/><Relationship Id="rId38" Type="http://schemas.openxmlformats.org/officeDocument/2006/relationships/hyperlink" Target="http://www.upov.int/edocs/expndocs/en/upov_exn_var.pdf" TargetMode="External"/><Relationship Id="rId59" Type="http://schemas.openxmlformats.org/officeDocument/2006/relationships/hyperlink" Target="https://www.kca.asn.au/" TargetMode="External"/><Relationship Id="rId103" Type="http://schemas.openxmlformats.org/officeDocument/2006/relationships/hyperlink" Target="http://www.wipo.int/tk/en/databases/tklaws/" TargetMode="External"/><Relationship Id="rId108" Type="http://schemas.openxmlformats.org/officeDocument/2006/relationships/hyperlink" Target="http://www.wipo.int/about-ip/en/universities_research/ip_policies/details.jsp?id=10067" TargetMode="External"/><Relationship Id="rId20" Type="http://schemas.openxmlformats.org/officeDocument/2006/relationships/hyperlink" Target="https://www.uws.ac.uk/about-uws/uws-commitments/sustainability/" TargetMode="External"/><Relationship Id="rId41" Type="http://schemas.openxmlformats.org/officeDocument/2006/relationships/hyperlink" Target="http://www.wipo.int/meetings/en/doc_details.jsp?doc_id=130183" TargetMode="External"/><Relationship Id="rId54" Type="http://schemas.openxmlformats.org/officeDocument/2006/relationships/hyperlink" Target="http://www.wipo.int/edocs/pubdocs/en/wipo_pub_944_2011-chapter4.pdf" TargetMode="External"/><Relationship Id="rId62" Type="http://schemas.openxmlformats.org/officeDocument/2006/relationships/hyperlink" Target="http://smart-biggar-web-com.sitepreview.ca/en/newsletters/Intellectual_Property_Magazine_Dec2010.pdf" TargetMode="External"/><Relationship Id="rId70" Type="http://schemas.openxmlformats.org/officeDocument/2006/relationships/hyperlink" Target="http://www.rochester.edu/ventures/for-ur-innovators/for-inventors-university-policy-on-intellectual-property-and-technology-transfer/" TargetMode="External"/><Relationship Id="rId75" Type="http://schemas.openxmlformats.org/officeDocument/2006/relationships/hyperlink" Target="https://fi.ku.dk/tech-trans/guides/pdf/Guide_vedr_samarbejdsaftaler_GB.pdf" TargetMode="External"/><Relationship Id="rId83" Type="http://schemas.openxmlformats.org/officeDocument/2006/relationships/hyperlink" Target="https://assets.publishing.service.gov.uk/government/uploads/system/uploads/attachment_data/file/308072/ipasset-management.pdf" TargetMode="External"/><Relationship Id="rId88" Type="http://schemas.openxmlformats.org/officeDocument/2006/relationships/hyperlink" Target="http://www.wipo.int/edocs/pubdocs/en/wipo_pub_1047.pdf" TargetMode="External"/><Relationship Id="rId91" Type="http://schemas.openxmlformats.org/officeDocument/2006/relationships/hyperlink" Target="https://innovation.unh.edu/resources/all" TargetMode="External"/><Relationship Id="rId96" Type="http://schemas.openxmlformats.org/officeDocument/2006/relationships/hyperlink" Target="http://www.wipo.int/sme/en/documents/academic_patenting.html" TargetMode="External"/><Relationship Id="rId1" Type="http://schemas.openxmlformats.org/officeDocument/2006/relationships/hyperlink" Target="http://www.wipo.int/policy/ar/university_ip_policies" TargetMode="External"/><Relationship Id="rId6" Type="http://schemas.openxmlformats.org/officeDocument/2006/relationships/hyperlink" Target="http://www.wipo.int/about-ip/en/universities_research/documents/ip_toolkit/checklist.docx" TargetMode="External"/><Relationship Id="rId15" Type="http://schemas.openxmlformats.org/officeDocument/2006/relationships/hyperlink" Target="https://www.researchgate.net/publication/274608438_Social_Responsibility_in_Higher_Education_Institutions_Application_case_from_the_Middle_East" TargetMode="External"/><Relationship Id="rId23" Type="http://schemas.openxmlformats.org/officeDocument/2006/relationships/hyperlink" Target="http://www6.cityu.edu.hk/puo/newscentre/usr/uni-charter.htm" TargetMode="External"/><Relationship Id="rId28" Type="http://schemas.openxmlformats.org/officeDocument/2006/relationships/hyperlink" Target="http://ec.europa.eu/research/era/pdf/iprmanagementguidelines-report.pdf" TargetMode="External"/><Relationship Id="rId36" Type="http://schemas.openxmlformats.org/officeDocument/2006/relationships/hyperlink" Target="http://4.interreg-sudoe.eu/contenido-dinamico/libreria-ficheros/3D0ED325-A000-2BDC-F737-7534920D685C.pdf" TargetMode="External"/><Relationship Id="rId49" Type="http://schemas.openxmlformats.org/officeDocument/2006/relationships/hyperlink" Target="http://www.rci.uct.ac.za/" TargetMode="External"/><Relationship Id="rId57" Type="http://schemas.openxmlformats.org/officeDocument/2006/relationships/hyperlink" Target="https://www.autm.net/" TargetMode="External"/><Relationship Id="rId106" Type="http://schemas.openxmlformats.org/officeDocument/2006/relationships/hyperlink" Target="https://www.wipo.int/publications/ar/details.jsp?id=4195" TargetMode="External"/><Relationship Id="rId10" Type="http://schemas.openxmlformats.org/officeDocument/2006/relationships/hyperlink" Target="http://www.wipo.int/about-ip/en/universities_research/documents/ip_toolkit/checklist.docx" TargetMode="External"/><Relationship Id="rId31" Type="http://schemas.openxmlformats.org/officeDocument/2006/relationships/hyperlink" Target="https://www.cbd.int/abs" TargetMode="External"/><Relationship Id="rId44" Type="http://schemas.openxmlformats.org/officeDocument/2006/relationships/hyperlink" Target="https://papers.ssrn.com/sol3/papers.cfm?abstract_id=2855159" TargetMode="External"/><Relationship Id="rId52" Type="http://schemas.openxmlformats.org/officeDocument/2006/relationships/hyperlink" Target="http://www.innovus.co.za/" TargetMode="External"/><Relationship Id="rId60" Type="http://schemas.openxmlformats.org/officeDocument/2006/relationships/hyperlink" Target="https://www.acctcanada.ca/" TargetMode="External"/><Relationship Id="rId65" Type="http://schemas.openxmlformats.org/officeDocument/2006/relationships/hyperlink" Target="https://www.bowdoin.edu/studentaffairs/student-handbook/college-policies/intellectual-property.shtml" TargetMode="External"/><Relationship Id="rId73" Type="http://schemas.openxmlformats.org/officeDocument/2006/relationships/hyperlink" Target="https://fi.ku.dk/tech-trans/guides/pdf/Guide_vedr_samarbejdsaftaler_GB.pdf" TargetMode="External"/><Relationship Id="rId78" Type="http://schemas.openxmlformats.org/officeDocument/2006/relationships/hyperlink" Target="https://fi.ku.dk/tech-trans/guides/pdf/Guide_vedr_samarbejdsaftaler_GB.pdf" TargetMode="External"/><Relationship Id="rId81" Type="http://schemas.openxmlformats.org/officeDocument/2006/relationships/hyperlink" Target="https://fi.ku.dk/tech-trans/guides/pdf/Guide_vedr_samarbejdsaftaler_GB.pdf" TargetMode="External"/><Relationship Id="rId86" Type="http://schemas.openxmlformats.org/officeDocument/2006/relationships/hyperlink" Target="https://fr.scribd.com/document/181330059/ipHandbook-Invention-Disclosures-pdf" TargetMode="External"/><Relationship Id="rId94" Type="http://schemas.openxmlformats.org/officeDocument/2006/relationships/hyperlink" Target="http://research.ump.edu.my/images/docman/Intelectual_Property/UMP-IP-Policy.pdf" TargetMode="External"/><Relationship Id="rId99" Type="http://schemas.openxmlformats.org/officeDocument/2006/relationships/hyperlink" Target="http://www.admin.cam.ac.uk/univ/so/pdfs/ordinance13.pdf" TargetMode="External"/><Relationship Id="rId101" Type="http://schemas.openxmlformats.org/officeDocument/2006/relationships/hyperlink" Target="http://research.southwales.ac.uk/our-culture/researcher-development/research-toolkit/career-progression/innovation-and-engagement-route/" TargetMode="External"/><Relationship Id="rId4" Type="http://schemas.openxmlformats.org/officeDocument/2006/relationships/hyperlink" Target="http://www.heip-link.net/content/toolbox" TargetMode="External"/><Relationship Id="rId9" Type="http://schemas.openxmlformats.org/officeDocument/2006/relationships/hyperlink" Target="http://www.auril.org.uk/Publications/tabid/1152/Default.aspx" TargetMode="External"/><Relationship Id="rId13" Type="http://schemas.openxmlformats.org/officeDocument/2006/relationships/hyperlink" Target="http://www.eua.be/Libraries/euima-collaborative-research/eua_euima_publication_web.pdf?sfvrsn=0" TargetMode="External"/><Relationship Id="rId18" Type="http://schemas.openxmlformats.org/officeDocument/2006/relationships/hyperlink" Target="https://waset.org/publications/10002007/a-framework-for-university-social-responsibility-and-sustainability-the-case-of-south-valley-university-egypt" TargetMode="External"/><Relationship Id="rId39" Type="http://schemas.openxmlformats.org/officeDocument/2006/relationships/hyperlink" Target="http://www.upov.int/overview/en/variety.html" TargetMode="External"/><Relationship Id="rId34" Type="http://schemas.openxmlformats.org/officeDocument/2006/relationships/hyperlink" Target="https://www.cbd.int/doc/publications/cbd-bonn-gdls-en.pdf" TargetMode="External"/><Relationship Id="rId50" Type="http://schemas.openxmlformats.org/officeDocument/2006/relationships/hyperlink" Target="http://www.inova.unicamp.br" TargetMode="External"/><Relationship Id="rId55" Type="http://schemas.openxmlformats.org/officeDocument/2006/relationships/hyperlink" Target="http://www.npc.gov.cn/englishnpc/Law/2009-02/20/content_1471617.htm" TargetMode="External"/><Relationship Id="rId76" Type="http://schemas.openxmlformats.org/officeDocument/2006/relationships/hyperlink" Target="http://www.provost.pitt.edu/documents/GUIDELINES%20FOR%20ETHICAL%20PRACTICES%20IN%20RESEARCH-FINALrevised2-March%202011.pdf" TargetMode="External"/><Relationship Id="rId97" Type="http://schemas.openxmlformats.org/officeDocument/2006/relationships/hyperlink" Target="http://www.wipo.int/edocs/pubdocs/en/wipo_pub_944_2011-chapter4.pdf" TargetMode="External"/><Relationship Id="rId104" Type="http://schemas.openxmlformats.org/officeDocument/2006/relationships/hyperlink" Target="http://www.wipo.int/export/sites/www/tk/en/resources/pdf/redrafted_guidelines.pdf" TargetMode="External"/><Relationship Id="rId7" Type="http://schemas.openxmlformats.org/officeDocument/2006/relationships/hyperlink" Target="http://www.wipo.int/policy/en/university_ip_policies/" TargetMode="External"/><Relationship Id="rId71" Type="http://schemas.openxmlformats.org/officeDocument/2006/relationships/hyperlink" Target="https://www.city.ac.uk/__data/assets/pdf_file/0005/77063/City-University-London-IP-Policy-v0.86-1410101.pdf" TargetMode="External"/><Relationship Id="rId92" Type="http://schemas.openxmlformats.org/officeDocument/2006/relationships/hyperlink" Target="https://www.autm.net/autm-info/" TargetMode="External"/><Relationship Id="rId2" Type="http://schemas.openxmlformats.org/officeDocument/2006/relationships/hyperlink" Target="http://www.wipo.int/about-ip/en/universities_research/documents/ip_toolkit/checklist.docx" TargetMode="External"/><Relationship Id="rId29" Type="http://schemas.openxmlformats.org/officeDocument/2006/relationships/hyperlink" Target="https://www.wipo.int/publications/ar/details.jsp?id=4011" TargetMode="External"/><Relationship Id="rId24" Type="http://schemas.openxmlformats.org/officeDocument/2006/relationships/hyperlink" Target="http://www.aunsec.org/aunusrs.php" TargetMode="External"/><Relationship Id="rId40" Type="http://schemas.openxmlformats.org/officeDocument/2006/relationships/hyperlink" Target="http://world-intellectual-property-organization.com/publications/en/details.jsp?id=361&amp;plang=EN" TargetMode="External"/><Relationship Id="rId45" Type="http://schemas.openxmlformats.org/officeDocument/2006/relationships/hyperlink" Target="https://papers.ssrn.com/sol3/papers.cfm?abstract_id=2855159" TargetMode="External"/><Relationship Id="rId66" Type="http://schemas.openxmlformats.org/officeDocument/2006/relationships/hyperlink" Target="http://www.uct.ac.za/sites/default/files/image_tool/images/328/about/policies/Policy_Intellectual_Property_2011.pdf" TargetMode="External"/><Relationship Id="rId87" Type="http://schemas.openxmlformats.org/officeDocument/2006/relationships/hyperlink" Target="https://www.wipo.int/publications/ar/details.jsp?id=4194&amp;plang=EN" TargetMode="External"/><Relationship Id="rId61" Type="http://schemas.openxmlformats.org/officeDocument/2006/relationships/hyperlink" Target="http://www.auril.org.uk" TargetMode="External"/><Relationship Id="rId82" Type="http://schemas.openxmlformats.org/officeDocument/2006/relationships/hyperlink" Target="https://www.ecu.edu/prr/01/10/01" TargetMode="External"/><Relationship Id="rId19" Type="http://schemas.openxmlformats.org/officeDocument/2006/relationships/hyperlink" Target="http://www.manchester.ac.uk/discover/social-responsibility/" TargetMode="External"/><Relationship Id="rId14" Type="http://schemas.openxmlformats.org/officeDocument/2006/relationships/hyperlink" Target="http://www.eua.be/Libraries/euima-collaborative-research/eua_euima_publication_web.pdf?sfvrsn=0" TargetMode="External"/><Relationship Id="rId30" Type="http://schemas.openxmlformats.org/officeDocument/2006/relationships/hyperlink" Target="https://www.cbd.int/" TargetMode="External"/><Relationship Id="rId35" Type="http://schemas.openxmlformats.org/officeDocument/2006/relationships/hyperlink" Target="http://4.interreg-sudoe.eu/contenido-dinamico/libreria-ficheros/3D0ED325-A000-2BDC-F737-7534920D685C.pdf" TargetMode="External"/><Relationship Id="rId56" Type="http://schemas.openxmlformats.org/officeDocument/2006/relationships/hyperlink" Target="https://uwaterloo.ca/secretariat/policies-procedures-guidelines/policy-73-intellectual-property-rights" TargetMode="External"/><Relationship Id="rId77" Type="http://schemas.openxmlformats.org/officeDocument/2006/relationships/hyperlink" Target="https://sites.stanford.edu/ico/sites/default/files/researchersguidetoworkingwithindustry.pdf" TargetMode="External"/><Relationship Id="rId100" Type="http://schemas.openxmlformats.org/officeDocument/2006/relationships/hyperlink" Target="https://ocr.yale.edu/faculty/policies/yale-university-patent-policy" TargetMode="External"/><Relationship Id="rId105" Type="http://schemas.openxmlformats.org/officeDocument/2006/relationships/hyperlink" Target="https://www.ipaustralia.gov.au/sites/g/files/net856/f/uts_-_recognising_and_protecting_aboriginal_knowledge.pdf" TargetMode="External"/><Relationship Id="rId8" Type="http://schemas.openxmlformats.org/officeDocument/2006/relationships/hyperlink" Target="https://www.ipaustralia.gov.au/tools-resources/ip-toolkit" TargetMode="External"/><Relationship Id="rId51" Type="http://schemas.openxmlformats.org/officeDocument/2006/relationships/hyperlink" Target="https://wits-enterprise.co.za/" TargetMode="External"/><Relationship Id="rId72" Type="http://schemas.openxmlformats.org/officeDocument/2006/relationships/hyperlink" Target="https://fi.ku.dk/tech-trans/guides/pdf/Guide_vedr_samarbejdsaftaler_GB.pdf" TargetMode="External"/><Relationship Id="rId93" Type="http://schemas.openxmlformats.org/officeDocument/2006/relationships/hyperlink" Target="http://www.hsrc.ac.za/en/research-data/view/8578" TargetMode="External"/><Relationship Id="rId98" Type="http://schemas.openxmlformats.org/officeDocument/2006/relationships/hyperlink" Target="https://www.hsl.virginia.edu/services/howdoi/hdi-jcr.cfm" TargetMode="External"/><Relationship Id="rId3" Type="http://schemas.openxmlformats.org/officeDocument/2006/relationships/hyperlink" Target="http://www.wipo.int/wipolex/ar/" TargetMode="External"/><Relationship Id="rId25" Type="http://schemas.openxmlformats.org/officeDocument/2006/relationships/hyperlink" Target="https://www.emeraldinsight.com/doi/abs/10.1108/S2043-905920140000008013" TargetMode="External"/><Relationship Id="rId46" Type="http://schemas.openxmlformats.org/officeDocument/2006/relationships/hyperlink" Target="https://papers.ssrn.com/sol3/papers.cfm?abstract_id=2855159" TargetMode="External"/><Relationship Id="rId67" Type="http://schemas.openxmlformats.org/officeDocument/2006/relationships/hyperlink" Target="https://openeducationalresources.pbworks.com/w/page/25308415/Legal%20Aspects%20of%20O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2A491-0DAD-4044-BC6E-5A2708F3E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3841</TotalTime>
  <Pages>92</Pages>
  <Words>38702</Words>
  <Characters>220608</Characters>
  <Application>Microsoft Office Word</Application>
  <DocSecurity>0</DocSecurity>
  <Lines>1838</Lines>
  <Paragraphs>517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258793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Henczel, Natalia</dc:creator>
  <cp:lastModifiedBy>YOUSSEF Randa</cp:lastModifiedBy>
  <cp:revision>134</cp:revision>
  <cp:lastPrinted>2018-07-26T06:52:00Z</cp:lastPrinted>
  <dcterms:created xsi:type="dcterms:W3CDTF">2024-09-19T11:34:00Z</dcterms:created>
  <dcterms:modified xsi:type="dcterms:W3CDTF">2024-09-26T14:32:00Z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7bd62363,67901ff,79d3024d</vt:lpwstr>
  </property>
  <property fmtid="{D5CDD505-2E9C-101B-9397-08002B2CF9AE}" pid="3" name="ClassificationContentMarkingFooterFontProps">
    <vt:lpwstr>#000000,10,Calibri</vt:lpwstr>
  </property>
  <property fmtid="{D5CDD505-2E9C-101B-9397-08002B2CF9AE}" pid="4" name="ClassificationContentMarkingFooterText">
    <vt:lpwstr>WIPO FOR OFFICIAL USE ONLY </vt:lpwstr>
  </property>
  <property fmtid="{D5CDD505-2E9C-101B-9397-08002B2CF9AE}" pid="5" name="MSIP_Label_bfc084f7-b690-4c43-8ee6-d475b6d3461d_Enabled">
    <vt:lpwstr>true</vt:lpwstr>
  </property>
  <property fmtid="{D5CDD505-2E9C-101B-9397-08002B2CF9AE}" pid="6" name="MSIP_Label_bfc084f7-b690-4c43-8ee6-d475b6d3461d_SetDate">
    <vt:lpwstr>2024-09-19T11:34:14Z</vt:lpwstr>
  </property>
  <property fmtid="{D5CDD505-2E9C-101B-9397-08002B2CF9AE}" pid="7" name="MSIP_Label_bfc084f7-b690-4c43-8ee6-d475b6d3461d_Method">
    <vt:lpwstr>Standard</vt:lpwstr>
  </property>
  <property fmtid="{D5CDD505-2E9C-101B-9397-08002B2CF9AE}" pid="8" name="MSIP_Label_bfc084f7-b690-4c43-8ee6-d475b6d3461d_Name">
    <vt:lpwstr>FOR OFFICIAL USE ONLY</vt:lpwstr>
  </property>
  <property fmtid="{D5CDD505-2E9C-101B-9397-08002B2CF9AE}" pid="9" name="MSIP_Label_bfc084f7-b690-4c43-8ee6-d475b6d3461d_SiteId">
    <vt:lpwstr>faa31b06-8ccc-48c9-867f-f7510dd11c02</vt:lpwstr>
  </property>
  <property fmtid="{D5CDD505-2E9C-101B-9397-08002B2CF9AE}" pid="10" name="MSIP_Label_bfc084f7-b690-4c43-8ee6-d475b6d3461d_ActionId">
    <vt:lpwstr>c4564b07-a991-4f0d-be12-6b95c697f539</vt:lpwstr>
  </property>
  <property fmtid="{D5CDD505-2E9C-101B-9397-08002B2CF9AE}" pid="11" name="MSIP_Label_bfc084f7-b690-4c43-8ee6-d475b6d3461d_ContentBits">
    <vt:lpwstr>2</vt:lpwstr>
  </property>
</Properties>
</file>