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54" w:rsidRPr="00CA7929" w:rsidRDefault="00901254" w:rsidP="00901254">
      <w:pPr>
        <w:pStyle w:val="Heading2"/>
        <w:rPr>
          <w:lang w:val="fr-FR"/>
        </w:rPr>
      </w:pPr>
      <w:r w:rsidRPr="00CA7929">
        <w:rPr>
          <w:lang w:val="fr-FR"/>
        </w:rPr>
        <w:t>Questionnaire</w:t>
      </w:r>
    </w:p>
    <w:p w:rsidR="00901254" w:rsidRPr="00CA7929" w:rsidRDefault="00901254" w:rsidP="00901254">
      <w:pPr>
        <w:pStyle w:val="Heading2"/>
        <w:rPr>
          <w:lang w:val="fr-FR"/>
        </w:rPr>
      </w:pPr>
      <w:r>
        <w:rPr>
          <w:lang w:val="fr-FR"/>
        </w:rPr>
        <w:t>P</w:t>
      </w:r>
      <w:r w:rsidRPr="00CA7929">
        <w:rPr>
          <w:lang w:val="fr-FR"/>
        </w:rPr>
        <w:t>assage de la norme ST.25 à la norme ST.26 de l’</w:t>
      </w:r>
      <w:r>
        <w:rPr>
          <w:lang w:val="fr-FR"/>
        </w:rPr>
        <w:t>OMPI</w:t>
      </w:r>
    </w:p>
    <w:p w:rsidR="00901254" w:rsidRPr="00CA7929" w:rsidRDefault="00901254" w:rsidP="00901254">
      <w:pPr>
        <w:pStyle w:val="ONUME"/>
        <w:numPr>
          <w:ilvl w:val="0"/>
          <w:numId w:val="0"/>
        </w:numPr>
        <w:rPr>
          <w:szCs w:val="22"/>
          <w:lang w:val="fr-FR"/>
        </w:rPr>
      </w:pPr>
    </w:p>
    <w:p w:rsidR="00901254" w:rsidRPr="00CA7929" w:rsidRDefault="00901254" w:rsidP="00901254">
      <w:pPr>
        <w:pStyle w:val="ONUME"/>
        <w:numPr>
          <w:ilvl w:val="0"/>
          <w:numId w:val="0"/>
        </w:numPr>
        <w:rPr>
          <w:szCs w:val="22"/>
          <w:lang w:val="fr-FR"/>
        </w:rPr>
      </w:pPr>
      <w:r w:rsidRPr="00CA7929">
        <w:rPr>
          <w:szCs w:val="22"/>
          <w:lang w:val="fr-FR"/>
        </w:rPr>
        <w:t>RÉPONSE TRANSMISE PAR :</w:t>
      </w:r>
    </w:p>
    <w:p w:rsidR="00901254" w:rsidRPr="00CA7929" w:rsidRDefault="00901254" w:rsidP="00901254">
      <w:pPr>
        <w:pStyle w:val="ONUME"/>
        <w:numPr>
          <w:ilvl w:val="0"/>
          <w:numId w:val="0"/>
        </w:numPr>
        <w:rPr>
          <w:szCs w:val="22"/>
          <w:lang w:val="fr-FR"/>
        </w:rPr>
      </w:pPr>
    </w:p>
    <w:p w:rsidR="00901254" w:rsidRPr="00CA7929" w:rsidRDefault="00901254" w:rsidP="00901254">
      <w:pPr>
        <w:tabs>
          <w:tab w:val="right" w:leader="dot" w:pos="9072"/>
        </w:tabs>
        <w:rPr>
          <w:szCs w:val="22"/>
          <w:lang w:val="fr-FR"/>
        </w:rPr>
      </w:pPr>
      <w:r w:rsidRPr="00CA7929">
        <w:rPr>
          <w:szCs w:val="22"/>
          <w:lang w:val="fr-FR"/>
        </w:rPr>
        <w:t xml:space="preserve">Nom du fonctionnaire responsable : </w:t>
      </w:r>
      <w:r w:rsidRPr="00CA7929">
        <w:rPr>
          <w:szCs w:val="22"/>
          <w:lang w:val="fr-FR"/>
        </w:rPr>
        <w:tab/>
      </w:r>
      <w:r w:rsidRPr="00CA7929">
        <w:rPr>
          <w:szCs w:val="22"/>
          <w:lang w:val="fr-FR"/>
        </w:rPr>
        <w:tab/>
      </w:r>
    </w:p>
    <w:p w:rsidR="00901254" w:rsidRPr="00CA7929" w:rsidRDefault="00901254" w:rsidP="00901254">
      <w:pPr>
        <w:pStyle w:val="ONUME"/>
        <w:numPr>
          <w:ilvl w:val="0"/>
          <w:numId w:val="0"/>
        </w:numPr>
        <w:rPr>
          <w:szCs w:val="22"/>
          <w:lang w:val="fr-FR"/>
        </w:rPr>
      </w:pPr>
    </w:p>
    <w:p w:rsidR="00901254" w:rsidRPr="00CA7929" w:rsidRDefault="00901254" w:rsidP="00901254">
      <w:pPr>
        <w:tabs>
          <w:tab w:val="right" w:leader="dot" w:pos="9072"/>
        </w:tabs>
        <w:rPr>
          <w:szCs w:val="22"/>
          <w:lang w:val="fr-FR"/>
        </w:rPr>
      </w:pPr>
      <w:r w:rsidRPr="00CA7929">
        <w:rPr>
          <w:szCs w:val="22"/>
          <w:lang w:val="fr-FR"/>
        </w:rPr>
        <w:t xml:space="preserve">Au nom de [office] : </w:t>
      </w:r>
      <w:r w:rsidRPr="00CA7929">
        <w:rPr>
          <w:szCs w:val="22"/>
          <w:lang w:val="fr-FR"/>
        </w:rPr>
        <w:tab/>
      </w:r>
      <w:r w:rsidRPr="00CA7929">
        <w:rPr>
          <w:szCs w:val="22"/>
          <w:lang w:val="fr-FR"/>
        </w:rPr>
        <w:tab/>
      </w:r>
    </w:p>
    <w:p w:rsidR="00901254" w:rsidRPr="00CA7929" w:rsidRDefault="00901254" w:rsidP="00901254">
      <w:pPr>
        <w:pStyle w:val="ONUME"/>
        <w:numPr>
          <w:ilvl w:val="0"/>
          <w:numId w:val="0"/>
        </w:numPr>
        <w:rPr>
          <w:szCs w:val="22"/>
          <w:lang w:val="fr-FR"/>
        </w:rPr>
      </w:pPr>
    </w:p>
    <w:p w:rsidR="00901254" w:rsidRPr="00CA7929" w:rsidRDefault="00901254" w:rsidP="00901254">
      <w:pPr>
        <w:pStyle w:val="ONUME"/>
        <w:numPr>
          <w:ilvl w:val="0"/>
          <w:numId w:val="0"/>
        </w:numPr>
        <w:rPr>
          <w:szCs w:val="22"/>
          <w:lang w:val="fr-FR"/>
        </w:rPr>
      </w:pPr>
    </w:p>
    <w:p w:rsidR="00901254" w:rsidRPr="00CA7929" w:rsidRDefault="00901254" w:rsidP="00901254">
      <w:pPr>
        <w:pStyle w:val="Heading2"/>
        <w:rPr>
          <w:lang w:val="fr-FR"/>
        </w:rPr>
      </w:pPr>
      <w:r w:rsidRPr="00CA7929">
        <w:rPr>
          <w:lang w:val="fr-FR"/>
        </w:rPr>
        <w:t>I.</w:t>
      </w:r>
      <w:r w:rsidRPr="00CA7929">
        <w:rPr>
          <w:lang w:val="fr-FR"/>
        </w:rPr>
        <w:tab/>
      </w:r>
      <w:r>
        <w:rPr>
          <w:lang w:val="fr-FR"/>
        </w:rPr>
        <w:t>Q</w:t>
      </w:r>
      <w:r w:rsidRPr="00CA7929">
        <w:rPr>
          <w:lang w:val="fr-FR"/>
        </w:rPr>
        <w:t>uestions d’ordre général</w:t>
      </w:r>
    </w:p>
    <w:p w:rsidR="00901254" w:rsidRPr="00CA7929" w:rsidRDefault="00901254" w:rsidP="00901254">
      <w:pPr>
        <w:pStyle w:val="ONUME"/>
        <w:numPr>
          <w:ilvl w:val="0"/>
          <w:numId w:val="0"/>
        </w:numPr>
        <w:rPr>
          <w:szCs w:val="22"/>
          <w:lang w:val="fr-FR"/>
        </w:rPr>
      </w:pPr>
      <w:r w:rsidRPr="00CA7929">
        <w:rPr>
          <w:szCs w:val="22"/>
          <w:lang w:val="fr-FR"/>
        </w:rPr>
        <w:t>1.</w:t>
      </w:r>
      <w:r>
        <w:rPr>
          <w:szCs w:val="22"/>
          <w:lang w:val="fr-FR"/>
        </w:rPr>
        <w:tab/>
      </w:r>
      <w:r w:rsidRPr="00CA7929">
        <w:rPr>
          <w:szCs w:val="22"/>
          <w:lang w:val="fr-FR"/>
        </w:rPr>
        <w:t xml:space="preserve">Veuillez indiquer le nombre approximatif de demandes internationales contenant des listages des séquences ou des </w:t>
      </w:r>
      <w:r>
        <w:rPr>
          <w:szCs w:val="22"/>
          <w:lang w:val="fr-FR"/>
        </w:rPr>
        <w:t>divulga</w:t>
      </w:r>
      <w:r w:rsidRPr="00CA7929">
        <w:rPr>
          <w:szCs w:val="22"/>
          <w:lang w:val="fr-FR"/>
        </w:rPr>
        <w:t xml:space="preserve">tions de séquences reçues </w:t>
      </w:r>
      <w:r>
        <w:rPr>
          <w:szCs w:val="22"/>
          <w:lang w:val="fr-FR"/>
        </w:rPr>
        <w:t>chaque année</w:t>
      </w:r>
      <w:r w:rsidRPr="00CA7929">
        <w:rPr>
          <w:szCs w:val="22"/>
          <w:lang w:val="fr-FR"/>
        </w:rPr>
        <w:t xml:space="preserve"> par votre office :</w:t>
      </w:r>
    </w:p>
    <w:p w:rsidR="00901254" w:rsidRPr="00CA7929" w:rsidRDefault="00901254" w:rsidP="00901254">
      <w:pPr>
        <w:pStyle w:val="ONUME"/>
        <w:numPr>
          <w:ilvl w:val="0"/>
          <w:numId w:val="0"/>
        </w:numPr>
        <w:spacing w:line="360" w:lineRule="auto"/>
        <w:rPr>
          <w:szCs w:val="22"/>
          <w:lang w:val="fr-FR"/>
        </w:rPr>
      </w:pPr>
      <w:r w:rsidRPr="00CA7929">
        <w:rPr>
          <w:szCs w:val="22"/>
          <w:lang w:val="fr-FR"/>
        </w:rPr>
        <w:t>a)</w:t>
      </w:r>
      <w:r w:rsidRPr="00CA7929">
        <w:rPr>
          <w:szCs w:val="22"/>
          <w:lang w:val="fr-FR"/>
        </w:rPr>
        <w:tab/>
        <w:t>en qualité d’office récepteur :</w:t>
      </w:r>
    </w:p>
    <w:p w:rsidR="00901254" w:rsidRPr="00CA7929" w:rsidRDefault="00901254" w:rsidP="00901254">
      <w:pPr>
        <w:pStyle w:val="ONUME"/>
        <w:numPr>
          <w:ilvl w:val="0"/>
          <w:numId w:val="0"/>
        </w:numPr>
        <w:spacing w:line="360" w:lineRule="auto"/>
        <w:rPr>
          <w:szCs w:val="22"/>
          <w:lang w:val="fr-FR"/>
        </w:rPr>
      </w:pPr>
      <w:r w:rsidRPr="00CA7929">
        <w:rPr>
          <w:szCs w:val="22"/>
          <w:lang w:val="fr-FR"/>
        </w:rPr>
        <w:t>b)</w:t>
      </w:r>
      <w:r w:rsidRPr="00CA7929">
        <w:rPr>
          <w:szCs w:val="22"/>
          <w:lang w:val="fr-FR"/>
        </w:rPr>
        <w:tab/>
        <w:t>en qualité d’office désigné ou élu :</w:t>
      </w:r>
    </w:p>
    <w:p w:rsidR="00901254" w:rsidRPr="00CA7929" w:rsidRDefault="00901254" w:rsidP="00901254">
      <w:pPr>
        <w:pStyle w:val="ONUME"/>
        <w:numPr>
          <w:ilvl w:val="0"/>
          <w:numId w:val="0"/>
        </w:numPr>
        <w:spacing w:line="360" w:lineRule="auto"/>
        <w:rPr>
          <w:szCs w:val="22"/>
          <w:lang w:val="fr-FR"/>
        </w:rPr>
      </w:pPr>
      <w:r w:rsidRPr="00CA7929">
        <w:rPr>
          <w:szCs w:val="22"/>
          <w:lang w:val="fr-FR"/>
        </w:rPr>
        <w:t>c)</w:t>
      </w:r>
      <w:r w:rsidRPr="00CA7929">
        <w:rPr>
          <w:szCs w:val="22"/>
          <w:lang w:val="fr-FR"/>
        </w:rPr>
        <w:tab/>
        <w:t>en qualité d’administration chargée de la recherche internationale :</w:t>
      </w:r>
    </w:p>
    <w:p w:rsidR="00901254" w:rsidRPr="00CA7929" w:rsidRDefault="00901254" w:rsidP="00901254">
      <w:pPr>
        <w:pStyle w:val="ONUME"/>
        <w:numPr>
          <w:ilvl w:val="0"/>
          <w:numId w:val="0"/>
        </w:numPr>
        <w:spacing w:line="360" w:lineRule="auto"/>
        <w:rPr>
          <w:szCs w:val="22"/>
          <w:lang w:val="fr-FR"/>
        </w:rPr>
      </w:pPr>
      <w:r w:rsidRPr="00CA7929">
        <w:rPr>
          <w:szCs w:val="22"/>
          <w:lang w:val="fr-FR"/>
        </w:rPr>
        <w:t>d)</w:t>
      </w:r>
      <w:r w:rsidRPr="00CA7929">
        <w:rPr>
          <w:szCs w:val="22"/>
          <w:lang w:val="fr-FR"/>
        </w:rPr>
        <w:tab/>
        <w:t>en qualité d’administration chargée de l’examen préliminaire international :</w:t>
      </w:r>
    </w:p>
    <w:p w:rsidR="00901254" w:rsidRDefault="00901254" w:rsidP="00901254">
      <w:pPr>
        <w:rPr>
          <w:szCs w:val="22"/>
          <w:lang w:val="fr-FR"/>
        </w:rPr>
      </w:pPr>
    </w:p>
    <w:p w:rsidR="00901254" w:rsidRPr="00CA7929" w:rsidRDefault="00901254" w:rsidP="00901254">
      <w:pPr>
        <w:rPr>
          <w:szCs w:val="22"/>
          <w:lang w:val="fr-FR"/>
        </w:rPr>
      </w:pPr>
      <w:r w:rsidRPr="00CA7929">
        <w:rPr>
          <w:szCs w:val="22"/>
          <w:lang w:val="fr-FR"/>
        </w:rPr>
        <w:t>2.</w:t>
      </w:r>
      <w:r>
        <w:rPr>
          <w:szCs w:val="22"/>
          <w:lang w:val="fr-FR"/>
        </w:rPr>
        <w:tab/>
      </w:r>
      <w:r w:rsidRPr="00CA7929">
        <w:rPr>
          <w:szCs w:val="22"/>
          <w:lang w:val="fr-FR"/>
        </w:rPr>
        <w:t xml:space="preserve">Veuillez indiquer le nombre approximatif de demandes de brevet nationales ou régionales, outre les demandes déposées selon le PCT, reçues </w:t>
      </w:r>
      <w:r>
        <w:rPr>
          <w:szCs w:val="22"/>
          <w:lang w:val="fr-FR"/>
        </w:rPr>
        <w:t>chaque année</w:t>
      </w:r>
      <w:r w:rsidRPr="00CA7929">
        <w:rPr>
          <w:szCs w:val="22"/>
          <w:lang w:val="fr-FR"/>
        </w:rPr>
        <w:t xml:space="preserve"> par votre office :</w:t>
      </w:r>
      <w:r w:rsidRPr="00CA7929">
        <w:rPr>
          <w:szCs w:val="22"/>
          <w:lang w:val="fr-FR"/>
        </w:rPr>
        <w:br w:type="page"/>
      </w:r>
    </w:p>
    <w:p w:rsidR="00901254" w:rsidRPr="00CA7929" w:rsidRDefault="00901254" w:rsidP="00901254">
      <w:pPr>
        <w:pStyle w:val="Heading2"/>
        <w:rPr>
          <w:lang w:val="fr-FR"/>
        </w:rPr>
      </w:pPr>
      <w:r>
        <w:rPr>
          <w:lang w:val="fr-FR"/>
        </w:rPr>
        <w:lastRenderedPageBreak/>
        <w:t>II.</w:t>
      </w:r>
      <w:r>
        <w:rPr>
          <w:lang w:val="fr-FR"/>
        </w:rPr>
        <w:tab/>
        <w:t>T</w:t>
      </w:r>
      <w:r w:rsidRPr="00CA7929">
        <w:rPr>
          <w:lang w:val="fr-FR"/>
        </w:rPr>
        <w:t>raitement des listages des séquences de nucléotides et d’acides aminés dans les demandes internationales après le passage à la norme</w:t>
      </w:r>
      <w:r>
        <w:rPr>
          <w:lang w:val="fr-FR"/>
        </w:rPr>
        <w:t> ST.2</w:t>
      </w:r>
      <w:r w:rsidRPr="00CA7929">
        <w:rPr>
          <w:lang w:val="fr-FR"/>
        </w:rPr>
        <w:t>6 de l’</w:t>
      </w:r>
      <w:r>
        <w:rPr>
          <w:lang w:val="fr-FR"/>
        </w:rPr>
        <w:t>OMPI</w:t>
      </w:r>
    </w:p>
    <w:p w:rsidR="00901254" w:rsidRPr="00CA7929" w:rsidRDefault="00901254" w:rsidP="00901254">
      <w:pPr>
        <w:rPr>
          <w:lang w:val="fr-FR"/>
        </w:rPr>
      </w:pPr>
    </w:p>
    <w:p w:rsidR="00901254" w:rsidRPr="00CA7929" w:rsidRDefault="00901254" w:rsidP="00901254">
      <w:pPr>
        <w:rPr>
          <w:lang w:val="fr-FR"/>
        </w:rPr>
      </w:pPr>
      <w:r w:rsidRPr="00CA7929">
        <w:rPr>
          <w:lang w:val="fr-FR"/>
        </w:rPr>
        <w:t>Veuillez faire part de vos observations au sujet de la méthode proposée après le passage à la norme ST.26 de l’OMPI en ce qui concerne l</w:t>
      </w:r>
      <w:r>
        <w:rPr>
          <w:lang w:val="fr-FR"/>
        </w:rPr>
        <w:t>es</w:t>
      </w:r>
      <w:r w:rsidRPr="00CA7929">
        <w:rPr>
          <w:lang w:val="fr-FR"/>
        </w:rPr>
        <w:t xml:space="preserve"> </w:t>
      </w:r>
      <w:r>
        <w:rPr>
          <w:lang w:val="fr-FR"/>
        </w:rPr>
        <w:t>divulgations de</w:t>
      </w:r>
      <w:r w:rsidRPr="00CA7929">
        <w:rPr>
          <w:lang w:val="fr-FR"/>
        </w:rPr>
        <w:t xml:space="preserve"> listages des séquences de </w:t>
      </w:r>
      <w:r w:rsidRPr="00BD06E2">
        <w:rPr>
          <w:lang w:val="fr-FR"/>
        </w:rPr>
        <w:t>nucléotides et d’acides aminés dans les demandes internationales déposées sur papier ou dans un format électronique autre que le format XML, comme indiqué aux paragraphes </w:t>
      </w:r>
      <w:r w:rsidRPr="00BD06E2">
        <w:rPr>
          <w:lang w:val="fr-FR"/>
        </w:rPr>
        <w:fldChar w:fldCharType="begin"/>
      </w:r>
      <w:r w:rsidRPr="00BD06E2">
        <w:rPr>
          <w:lang w:val="fr-FR"/>
        </w:rPr>
        <w:instrText xml:space="preserve"> REF parag16main \r \h </w:instrText>
      </w:r>
      <w:r>
        <w:rPr>
          <w:lang w:val="fr-FR"/>
        </w:rPr>
        <w:instrText xml:space="preserve"> \* MERGEFORMAT </w:instrText>
      </w:r>
      <w:r w:rsidRPr="00BD06E2">
        <w:rPr>
          <w:lang w:val="fr-FR"/>
        </w:rPr>
      </w:r>
      <w:r w:rsidRPr="00BD06E2">
        <w:rPr>
          <w:lang w:val="fr-FR"/>
        </w:rPr>
        <w:fldChar w:fldCharType="separate"/>
      </w:r>
      <w:r w:rsidRPr="00BD06E2">
        <w:rPr>
          <w:lang w:val="fr-FR"/>
        </w:rPr>
        <w:t>16</w:t>
      </w:r>
      <w:r w:rsidRPr="00BD06E2">
        <w:rPr>
          <w:lang w:val="fr-FR"/>
        </w:rPr>
        <w:fldChar w:fldCharType="end"/>
      </w:r>
      <w:r w:rsidRPr="00BD06E2">
        <w:rPr>
          <w:lang w:val="fr-FR"/>
        </w:rPr>
        <w:t xml:space="preserve"> à </w:t>
      </w:r>
      <w:r w:rsidRPr="00BD06E2">
        <w:rPr>
          <w:lang w:val="fr-FR"/>
        </w:rPr>
        <w:fldChar w:fldCharType="begin"/>
      </w:r>
      <w:r w:rsidRPr="00BD06E2">
        <w:rPr>
          <w:lang w:val="fr-FR"/>
        </w:rPr>
        <w:instrText xml:space="preserve"> REF parag26main \r \h </w:instrText>
      </w:r>
      <w:r>
        <w:rPr>
          <w:lang w:val="fr-FR"/>
        </w:rPr>
        <w:instrText xml:space="preserve"> \* MERGEFORMAT </w:instrText>
      </w:r>
      <w:r w:rsidRPr="00BD06E2">
        <w:rPr>
          <w:lang w:val="fr-FR"/>
        </w:rPr>
      </w:r>
      <w:r w:rsidRPr="00BD06E2">
        <w:rPr>
          <w:lang w:val="fr-FR"/>
        </w:rPr>
        <w:fldChar w:fldCharType="separate"/>
      </w:r>
      <w:r w:rsidRPr="00BD06E2">
        <w:rPr>
          <w:lang w:val="fr-FR"/>
        </w:rPr>
        <w:t>26</w:t>
      </w:r>
      <w:r w:rsidRPr="00BD06E2">
        <w:rPr>
          <w:lang w:val="fr-FR"/>
        </w:rPr>
        <w:fldChar w:fldCharType="end"/>
      </w:r>
      <w:r w:rsidRPr="00BD06E2">
        <w:rPr>
          <w:lang w:val="fr-FR"/>
        </w:rPr>
        <w:t xml:space="preserve"> de la partie principale de la présente circulaire.</w:t>
      </w:r>
    </w:p>
    <w:p w:rsidR="00901254" w:rsidRPr="00CA7929" w:rsidRDefault="00901254" w:rsidP="00901254">
      <w:pPr>
        <w:rPr>
          <w:lang w:val="fr-FR"/>
        </w:rPr>
      </w:pPr>
      <w:r w:rsidRPr="00CA7929">
        <w:rPr>
          <w:lang w:val="fr-FR"/>
        </w:rPr>
        <w:br w:type="page"/>
      </w:r>
    </w:p>
    <w:p w:rsidR="00901254" w:rsidRPr="00CA7929" w:rsidRDefault="00901254" w:rsidP="00901254">
      <w:pPr>
        <w:pStyle w:val="Heading2"/>
        <w:rPr>
          <w:lang w:val="fr-FR"/>
        </w:rPr>
      </w:pPr>
      <w:r w:rsidRPr="00CA7929">
        <w:rPr>
          <w:lang w:val="fr-FR"/>
        </w:rPr>
        <w:t>III.</w:t>
      </w:r>
      <w:r w:rsidRPr="00CA7929">
        <w:rPr>
          <w:lang w:val="fr-FR"/>
        </w:rPr>
        <w:tab/>
      </w:r>
      <w:r>
        <w:rPr>
          <w:lang w:val="fr-FR"/>
        </w:rPr>
        <w:t>S</w:t>
      </w:r>
      <w:r w:rsidRPr="00CA7929">
        <w:rPr>
          <w:lang w:val="fr-FR"/>
        </w:rPr>
        <w:t xml:space="preserve">cénarios </w:t>
      </w:r>
      <w:r>
        <w:rPr>
          <w:lang w:val="fr-FR"/>
        </w:rPr>
        <w:t>concernant</w:t>
      </w:r>
      <w:r w:rsidRPr="00CA7929">
        <w:rPr>
          <w:lang w:val="fr-FR"/>
        </w:rPr>
        <w:t xml:space="preserve"> l</w:t>
      </w:r>
      <w:r>
        <w:rPr>
          <w:lang w:val="fr-FR"/>
        </w:rPr>
        <w:t>e passage d’une norme à l’autre</w:t>
      </w:r>
    </w:p>
    <w:p w:rsidR="00901254" w:rsidRPr="00CA7929" w:rsidRDefault="00901254" w:rsidP="00901254">
      <w:pPr>
        <w:rPr>
          <w:lang w:val="fr-FR"/>
        </w:rPr>
      </w:pPr>
    </w:p>
    <w:p w:rsidR="00901254" w:rsidRPr="00CA7929" w:rsidRDefault="00901254" w:rsidP="00901254">
      <w:pPr>
        <w:rPr>
          <w:lang w:val="fr-FR"/>
        </w:rPr>
      </w:pPr>
      <w:r w:rsidRPr="00CA7929">
        <w:rPr>
          <w:lang w:val="fr-FR"/>
        </w:rPr>
        <w:t xml:space="preserve">Veuillez faire part de vos observations au sujet des scénarios </w:t>
      </w:r>
      <w:r>
        <w:rPr>
          <w:lang w:val="fr-FR"/>
        </w:rPr>
        <w:t>concernant</w:t>
      </w:r>
      <w:r w:rsidRPr="00CA7929">
        <w:rPr>
          <w:lang w:val="fr-FR"/>
        </w:rPr>
        <w:t xml:space="preserve"> l</w:t>
      </w:r>
      <w:r>
        <w:rPr>
          <w:lang w:val="fr-FR"/>
        </w:rPr>
        <w:t>e passage d’une norme à l’autre</w:t>
      </w:r>
      <w:r w:rsidRPr="00CA7929">
        <w:rPr>
          <w:lang w:val="fr-FR"/>
        </w:rPr>
        <w:t xml:space="preserve"> présentés à l’annexe II de la présente circulaire.</w:t>
      </w:r>
    </w:p>
    <w:p w:rsidR="00901254" w:rsidRPr="00CA7929" w:rsidRDefault="00901254" w:rsidP="00901254">
      <w:pPr>
        <w:rPr>
          <w:lang w:val="fr-FR"/>
        </w:rPr>
      </w:pPr>
    </w:p>
    <w:p w:rsidR="00901254" w:rsidRPr="00CA7929" w:rsidRDefault="00901254" w:rsidP="00901254">
      <w:pPr>
        <w:rPr>
          <w:lang w:val="fr-FR"/>
        </w:rPr>
      </w:pPr>
      <w:r w:rsidRPr="00CA7929">
        <w:rPr>
          <w:lang w:val="fr-FR"/>
        </w:rPr>
        <w:t>Veuillez indiquer en particulier si vous approuvez l’analyse présentée dans la présente annexe, selon laquelle le scénario</w:t>
      </w:r>
      <w:r>
        <w:rPr>
          <w:lang w:val="fr-FR"/>
        </w:rPr>
        <w:t xml:space="preserve"> de</w:t>
      </w:r>
      <w:r w:rsidRPr="00CA7929">
        <w:rPr>
          <w:lang w:val="fr-FR"/>
        </w:rPr>
        <w:t xml:space="preserve"> “</w:t>
      </w:r>
      <w:proofErr w:type="spellStart"/>
      <w:r>
        <w:rPr>
          <w:lang w:val="fr-FR"/>
        </w:rPr>
        <w:t>big</w:t>
      </w:r>
      <w:proofErr w:type="spellEnd"/>
      <w:r>
        <w:rPr>
          <w:lang w:val="fr-FR"/>
        </w:rPr>
        <w:t> bang</w:t>
      </w:r>
      <w:r w:rsidRPr="00CA7929">
        <w:rPr>
          <w:lang w:val="fr-FR"/>
        </w:rPr>
        <w:t>” est la meilleure option pour le PCT (c’est</w:t>
      </w:r>
      <w:r>
        <w:rPr>
          <w:lang w:val="fr-FR"/>
        </w:rPr>
        <w:noBreakHyphen/>
      </w:r>
      <w:r w:rsidRPr="00CA7929">
        <w:rPr>
          <w:lang w:val="fr-FR"/>
        </w:rPr>
        <w:t>à</w:t>
      </w:r>
      <w:r>
        <w:rPr>
          <w:lang w:val="fr-FR"/>
        </w:rPr>
        <w:noBreakHyphen/>
      </w:r>
      <w:r w:rsidRPr="00CA7929">
        <w:rPr>
          <w:lang w:val="fr-FR"/>
        </w:rPr>
        <w:t xml:space="preserve">dire fixer une date </w:t>
      </w:r>
      <w:r>
        <w:rPr>
          <w:lang w:val="fr-FR"/>
        </w:rPr>
        <w:t>commune</w:t>
      </w:r>
      <w:r w:rsidRPr="00CA7929">
        <w:rPr>
          <w:lang w:val="fr-FR"/>
        </w:rPr>
        <w:t xml:space="preserve"> pour tous les offices, qu’ils agissent en qualité d’office récepteur, d’administration chargée de la recherche internationale, d’administration chargée de l’examen préliminaire international ou d’office désigné ou élu selon le PCT, pour le passage à la norme ST.26 de l’OMPI comme norme pertinente pour le dépôt des listage</w:t>
      </w:r>
      <w:r>
        <w:rPr>
          <w:lang w:val="fr-FR"/>
        </w:rPr>
        <w:t xml:space="preserve">s </w:t>
      </w:r>
      <w:r w:rsidRPr="00CA7929">
        <w:rPr>
          <w:lang w:val="fr-FR"/>
        </w:rPr>
        <w:t xml:space="preserve">des séquences dans les demandes internationales </w:t>
      </w:r>
      <w:r>
        <w:rPr>
          <w:lang w:val="fr-FR"/>
        </w:rPr>
        <w:t>do</w:t>
      </w:r>
      <w:r w:rsidRPr="00CA7929">
        <w:rPr>
          <w:lang w:val="fr-FR"/>
        </w:rPr>
        <w:t xml:space="preserve">nt </w:t>
      </w:r>
      <w:r>
        <w:rPr>
          <w:lang w:val="fr-FR"/>
        </w:rPr>
        <w:t xml:space="preserve">la </w:t>
      </w:r>
      <w:r w:rsidRPr="00CA7929">
        <w:rPr>
          <w:lang w:val="fr-FR"/>
        </w:rPr>
        <w:t>date d</w:t>
      </w:r>
      <w:r>
        <w:rPr>
          <w:lang w:val="fr-FR"/>
        </w:rPr>
        <w:t>u</w:t>
      </w:r>
      <w:r w:rsidRPr="00CA7929">
        <w:rPr>
          <w:lang w:val="fr-FR"/>
        </w:rPr>
        <w:t xml:space="preserve"> dépôt international </w:t>
      </w:r>
      <w:r>
        <w:rPr>
          <w:lang w:val="fr-FR"/>
        </w:rPr>
        <w:t xml:space="preserve">est </w:t>
      </w:r>
      <w:r w:rsidRPr="00CA7929">
        <w:rPr>
          <w:lang w:val="fr-FR"/>
        </w:rPr>
        <w:t>la date d</w:t>
      </w:r>
      <w:r>
        <w:rPr>
          <w:lang w:val="fr-FR"/>
        </w:rPr>
        <w:t xml:space="preserve">u passage d’une norme à l’autre </w:t>
      </w:r>
      <w:r w:rsidRPr="00CA7929">
        <w:rPr>
          <w:lang w:val="fr-FR"/>
        </w:rPr>
        <w:t xml:space="preserve">ou </w:t>
      </w:r>
      <w:r>
        <w:rPr>
          <w:lang w:val="fr-FR"/>
        </w:rPr>
        <w:t>tombe après cette</w:t>
      </w:r>
      <w:r w:rsidRPr="00CA7929">
        <w:rPr>
          <w:lang w:val="fr-FR"/>
        </w:rPr>
        <w:t xml:space="preserve"> date).</w:t>
      </w:r>
    </w:p>
    <w:p w:rsidR="00901254" w:rsidRPr="00CA7929" w:rsidRDefault="00901254" w:rsidP="00901254">
      <w:pPr>
        <w:rPr>
          <w:lang w:val="fr-FR"/>
        </w:rPr>
      </w:pPr>
    </w:p>
    <w:p w:rsidR="00901254" w:rsidRPr="00CA7929" w:rsidRDefault="00901254" w:rsidP="00901254">
      <w:pPr>
        <w:rPr>
          <w:lang w:val="fr-FR"/>
        </w:rPr>
      </w:pPr>
      <w:r w:rsidRPr="00CA7929">
        <w:rPr>
          <w:lang w:val="fr-FR"/>
        </w:rPr>
        <w:br w:type="page"/>
      </w:r>
    </w:p>
    <w:p w:rsidR="00901254" w:rsidRPr="00CA7929" w:rsidRDefault="00901254" w:rsidP="00901254">
      <w:pPr>
        <w:pStyle w:val="Heading2"/>
        <w:rPr>
          <w:lang w:val="fr-FR"/>
        </w:rPr>
      </w:pPr>
      <w:r w:rsidRPr="00CA7929">
        <w:rPr>
          <w:lang w:val="fr-FR"/>
        </w:rPr>
        <w:t>IV.</w:t>
      </w:r>
      <w:r w:rsidRPr="00CA7929">
        <w:rPr>
          <w:lang w:val="fr-FR"/>
        </w:rPr>
        <w:tab/>
      </w:r>
      <w:r>
        <w:rPr>
          <w:lang w:val="fr-FR"/>
        </w:rPr>
        <w:t>D</w:t>
      </w:r>
      <w:r w:rsidRPr="00CA7929">
        <w:rPr>
          <w:lang w:val="fr-FR"/>
        </w:rPr>
        <w:t xml:space="preserve">isposition particulière éventuelle concernant les demandes internationales revendiquant la priorité de demandes antérieures contenant des listages des séquences </w:t>
      </w:r>
      <w:r>
        <w:rPr>
          <w:lang w:val="fr-FR"/>
        </w:rPr>
        <w:t>établis conformément à la norme ST</w:t>
      </w:r>
      <w:r w:rsidRPr="00CA7929">
        <w:rPr>
          <w:lang w:val="fr-FR"/>
        </w:rPr>
        <w:t>.25</w:t>
      </w:r>
    </w:p>
    <w:p w:rsidR="00901254" w:rsidRPr="00CA7929" w:rsidRDefault="00901254" w:rsidP="00901254">
      <w:pPr>
        <w:rPr>
          <w:lang w:val="fr-FR"/>
        </w:rPr>
      </w:pPr>
    </w:p>
    <w:p w:rsidR="00901254" w:rsidRPr="00CA7929" w:rsidRDefault="00901254" w:rsidP="00901254">
      <w:pPr>
        <w:rPr>
          <w:lang w:val="fr-FR"/>
        </w:rPr>
      </w:pPr>
      <w:r w:rsidRPr="00BD06E2">
        <w:rPr>
          <w:lang w:val="fr-FR"/>
        </w:rPr>
        <w:t>Veuillez faire part de vos observations au sujet de l’analyse présentée aux paragraphes </w:t>
      </w:r>
      <w:r w:rsidRPr="00BD06E2">
        <w:rPr>
          <w:lang w:val="fr-FR"/>
        </w:rPr>
        <w:fldChar w:fldCharType="begin"/>
      </w:r>
      <w:r w:rsidRPr="00BD06E2">
        <w:rPr>
          <w:lang w:val="fr-FR"/>
        </w:rPr>
        <w:instrText xml:space="preserve"> REF parag21 \r \h </w:instrText>
      </w:r>
      <w:r>
        <w:rPr>
          <w:lang w:val="fr-FR"/>
        </w:rPr>
        <w:instrText xml:space="preserve"> \* MERGEFORMAT </w:instrText>
      </w:r>
      <w:r w:rsidRPr="00BD06E2">
        <w:rPr>
          <w:lang w:val="fr-FR"/>
        </w:rPr>
      </w:r>
      <w:r w:rsidRPr="00BD06E2">
        <w:rPr>
          <w:lang w:val="fr-FR"/>
        </w:rPr>
        <w:fldChar w:fldCharType="separate"/>
      </w:r>
      <w:r w:rsidRPr="00BD06E2">
        <w:rPr>
          <w:lang w:val="fr-FR"/>
        </w:rPr>
        <w:t>21</w:t>
      </w:r>
      <w:r w:rsidRPr="00BD06E2">
        <w:rPr>
          <w:lang w:val="fr-FR"/>
        </w:rPr>
        <w:fldChar w:fldCharType="end"/>
      </w:r>
      <w:r w:rsidRPr="00BD06E2">
        <w:rPr>
          <w:lang w:val="fr-FR"/>
        </w:rPr>
        <w:t xml:space="preserve"> à </w:t>
      </w:r>
      <w:r w:rsidRPr="00BD06E2">
        <w:rPr>
          <w:lang w:val="fr-FR"/>
        </w:rPr>
        <w:fldChar w:fldCharType="begin"/>
      </w:r>
      <w:r w:rsidRPr="00BD06E2">
        <w:rPr>
          <w:lang w:val="fr-FR"/>
        </w:rPr>
        <w:instrText xml:space="preserve"> REF parag23 \r \h </w:instrText>
      </w:r>
      <w:r>
        <w:rPr>
          <w:lang w:val="fr-FR"/>
        </w:rPr>
        <w:instrText xml:space="preserve"> \* MERGEFORMAT </w:instrText>
      </w:r>
      <w:r w:rsidRPr="00BD06E2">
        <w:rPr>
          <w:lang w:val="fr-FR"/>
        </w:rPr>
      </w:r>
      <w:r w:rsidRPr="00BD06E2">
        <w:rPr>
          <w:lang w:val="fr-FR"/>
        </w:rPr>
        <w:fldChar w:fldCharType="separate"/>
      </w:r>
      <w:r w:rsidRPr="00BD06E2">
        <w:rPr>
          <w:lang w:val="fr-FR"/>
        </w:rPr>
        <w:t>23</w:t>
      </w:r>
      <w:r w:rsidRPr="00BD06E2">
        <w:rPr>
          <w:lang w:val="fr-FR"/>
        </w:rPr>
        <w:fldChar w:fldCharType="end"/>
      </w:r>
      <w:r w:rsidRPr="00BD06E2">
        <w:rPr>
          <w:lang w:val="fr-FR"/>
        </w:rPr>
        <w:t xml:space="preserve"> de l’annexe II de la présente circulaire, concernant la question de savoir si la date du</w:t>
      </w:r>
      <w:r>
        <w:rPr>
          <w:lang w:val="fr-FR"/>
        </w:rPr>
        <w:t xml:space="preserve"> passage d’une norme à l’autre</w:t>
      </w:r>
      <w:r w:rsidRPr="00CA7929">
        <w:rPr>
          <w:lang w:val="fr-FR"/>
        </w:rPr>
        <w:t xml:space="preserve"> devrait être déterminée par rapport à la date d</w:t>
      </w:r>
      <w:r>
        <w:rPr>
          <w:lang w:val="fr-FR"/>
        </w:rPr>
        <w:t>u</w:t>
      </w:r>
      <w:r w:rsidRPr="00CA7929">
        <w:rPr>
          <w:lang w:val="fr-FR"/>
        </w:rPr>
        <w:t xml:space="preserve"> dépôt international des demandes internationales (c’est</w:t>
      </w:r>
      <w:r>
        <w:rPr>
          <w:lang w:val="fr-FR"/>
        </w:rPr>
        <w:noBreakHyphen/>
      </w:r>
      <w:r w:rsidRPr="00CA7929">
        <w:rPr>
          <w:lang w:val="fr-FR"/>
        </w:rPr>
        <w:t>à</w:t>
      </w:r>
      <w:r>
        <w:rPr>
          <w:lang w:val="fr-FR"/>
        </w:rPr>
        <w:noBreakHyphen/>
      </w:r>
      <w:r w:rsidRPr="00CA7929">
        <w:rPr>
          <w:lang w:val="fr-FR"/>
        </w:rPr>
        <w:t xml:space="preserve">dire, si la norme ST.26 devrait être appliquée à toutes les demandes internationales </w:t>
      </w:r>
      <w:r>
        <w:rPr>
          <w:lang w:val="fr-FR"/>
        </w:rPr>
        <w:t>do</w:t>
      </w:r>
      <w:r w:rsidRPr="00CA7929">
        <w:rPr>
          <w:lang w:val="fr-FR"/>
        </w:rPr>
        <w:t xml:space="preserve">nt </w:t>
      </w:r>
      <w:r>
        <w:rPr>
          <w:lang w:val="fr-FR"/>
        </w:rPr>
        <w:t>la</w:t>
      </w:r>
      <w:r w:rsidRPr="00CA7929">
        <w:rPr>
          <w:lang w:val="fr-FR"/>
        </w:rPr>
        <w:t xml:space="preserve"> date d</w:t>
      </w:r>
      <w:r>
        <w:rPr>
          <w:lang w:val="fr-FR"/>
        </w:rPr>
        <w:t>u</w:t>
      </w:r>
      <w:r w:rsidRPr="00CA7929">
        <w:rPr>
          <w:lang w:val="fr-FR"/>
        </w:rPr>
        <w:t xml:space="preserve"> dépôt international </w:t>
      </w:r>
      <w:r>
        <w:rPr>
          <w:lang w:val="fr-FR"/>
        </w:rPr>
        <w:t xml:space="preserve">est </w:t>
      </w:r>
      <w:r w:rsidRPr="00CA7929">
        <w:rPr>
          <w:lang w:val="fr-FR"/>
        </w:rPr>
        <w:t>la date d</w:t>
      </w:r>
      <w:r>
        <w:rPr>
          <w:lang w:val="fr-FR"/>
        </w:rPr>
        <w:t>u passage d’une norme à l’autre</w:t>
      </w:r>
      <w:r w:rsidRPr="00CA7929">
        <w:rPr>
          <w:lang w:val="fr-FR"/>
        </w:rPr>
        <w:t xml:space="preserve"> ou </w:t>
      </w:r>
      <w:r>
        <w:rPr>
          <w:lang w:val="fr-FR"/>
        </w:rPr>
        <w:t>tombe après cette</w:t>
      </w:r>
      <w:r w:rsidRPr="00CA7929">
        <w:rPr>
          <w:lang w:val="fr-FR"/>
        </w:rPr>
        <w:t xml:space="preserve"> date), ou par rapport à la date de priorité revendiquée des demandes internationales (c’est</w:t>
      </w:r>
      <w:r>
        <w:rPr>
          <w:lang w:val="fr-FR"/>
        </w:rPr>
        <w:noBreakHyphen/>
      </w:r>
      <w:r w:rsidRPr="00CA7929">
        <w:rPr>
          <w:lang w:val="fr-FR"/>
        </w:rPr>
        <w:t>à</w:t>
      </w:r>
      <w:r>
        <w:rPr>
          <w:lang w:val="fr-FR"/>
        </w:rPr>
        <w:noBreakHyphen/>
      </w:r>
      <w:r w:rsidRPr="00CA7929">
        <w:rPr>
          <w:lang w:val="fr-FR"/>
        </w:rPr>
        <w:t xml:space="preserve">dire, si la norme ST.25 devrait continuer à être appliquée à toutes les demandes internationales </w:t>
      </w:r>
      <w:r>
        <w:rPr>
          <w:lang w:val="fr-FR"/>
        </w:rPr>
        <w:t>dont la</w:t>
      </w:r>
      <w:r w:rsidRPr="00CA7929">
        <w:rPr>
          <w:lang w:val="fr-FR"/>
        </w:rPr>
        <w:t xml:space="preserve"> date d</w:t>
      </w:r>
      <w:r>
        <w:rPr>
          <w:lang w:val="fr-FR"/>
        </w:rPr>
        <w:t>u</w:t>
      </w:r>
      <w:r w:rsidRPr="00CA7929">
        <w:rPr>
          <w:lang w:val="fr-FR"/>
        </w:rPr>
        <w:t xml:space="preserve"> dépôt international </w:t>
      </w:r>
      <w:r>
        <w:rPr>
          <w:lang w:val="fr-FR"/>
        </w:rPr>
        <w:t xml:space="preserve">est </w:t>
      </w:r>
      <w:r w:rsidRPr="00CA7929">
        <w:rPr>
          <w:lang w:val="fr-FR"/>
        </w:rPr>
        <w:t>la date d</w:t>
      </w:r>
      <w:r>
        <w:rPr>
          <w:lang w:val="fr-FR"/>
        </w:rPr>
        <w:t>u passage d’une norme à l’autre</w:t>
      </w:r>
      <w:r w:rsidRPr="00CA7929">
        <w:rPr>
          <w:lang w:val="fr-FR"/>
        </w:rPr>
        <w:t xml:space="preserve"> ou </w:t>
      </w:r>
      <w:r>
        <w:rPr>
          <w:lang w:val="fr-FR"/>
        </w:rPr>
        <w:t>tombe après cett</w:t>
      </w:r>
      <w:r w:rsidRPr="00CA7929">
        <w:rPr>
          <w:lang w:val="fr-FR"/>
        </w:rPr>
        <w:t>e date mais revendiquant la priorité d’une demande antérieure déposée avant la date d</w:t>
      </w:r>
      <w:r>
        <w:rPr>
          <w:lang w:val="fr-FR"/>
        </w:rPr>
        <w:t>u passage d’une norme à l’autre</w:t>
      </w:r>
      <w:r w:rsidRPr="00CA7929">
        <w:rPr>
          <w:lang w:val="fr-FR"/>
        </w:rPr>
        <w:t>).</w:t>
      </w:r>
    </w:p>
    <w:p w:rsidR="00901254" w:rsidRPr="00CA7929" w:rsidRDefault="00901254" w:rsidP="00901254">
      <w:pPr>
        <w:rPr>
          <w:lang w:val="fr-FR"/>
        </w:rPr>
      </w:pPr>
    </w:p>
    <w:p w:rsidR="00901254" w:rsidRPr="00CA7929" w:rsidRDefault="00901254" w:rsidP="00901254">
      <w:pPr>
        <w:rPr>
          <w:lang w:val="fr-FR"/>
        </w:rPr>
      </w:pPr>
      <w:r w:rsidRPr="00CA7929">
        <w:rPr>
          <w:lang w:val="fr-FR"/>
        </w:rPr>
        <w:t>Veuillez indiquer en particulier si vous préférez que la date d</w:t>
      </w:r>
      <w:r>
        <w:rPr>
          <w:lang w:val="fr-FR"/>
        </w:rPr>
        <w:t>u passage d’une norme à l’autre</w:t>
      </w:r>
      <w:r w:rsidRPr="00CA7929">
        <w:rPr>
          <w:lang w:val="fr-FR"/>
        </w:rPr>
        <w:t xml:space="preserve"> et la norme de l’OMPI à utiliser pour la présentation des listages des séquences soient déterminées par rapport à la date d</w:t>
      </w:r>
      <w:r>
        <w:rPr>
          <w:lang w:val="fr-FR"/>
        </w:rPr>
        <w:t>u</w:t>
      </w:r>
      <w:r w:rsidRPr="00CA7929">
        <w:rPr>
          <w:lang w:val="fr-FR"/>
        </w:rPr>
        <w:t xml:space="preserve"> dépôt international de la demande internationale</w:t>
      </w:r>
      <w:r>
        <w:rPr>
          <w:lang w:val="fr-FR"/>
        </w:rPr>
        <w:t xml:space="preserve"> ou</w:t>
      </w:r>
      <w:r w:rsidRPr="00CA7929">
        <w:rPr>
          <w:lang w:val="fr-FR"/>
        </w:rPr>
        <w:t xml:space="preserve"> par rapport à la date de priorité de la demande, ou si vous pensez que le déposant devrait avoir la possibilité de choisir d’utiliser l’ancienne norme (ST.25) ou la nouvelle norme (ST.26) dans ces demandes.</w:t>
      </w:r>
    </w:p>
    <w:p w:rsidR="00901254" w:rsidRPr="00CA7929" w:rsidRDefault="00901254" w:rsidP="00901254">
      <w:pPr>
        <w:rPr>
          <w:lang w:val="fr-FR"/>
        </w:rPr>
      </w:pPr>
    </w:p>
    <w:p w:rsidR="00901254" w:rsidRPr="00CA7929" w:rsidRDefault="00901254" w:rsidP="00901254">
      <w:pPr>
        <w:rPr>
          <w:lang w:val="fr-FR"/>
        </w:rPr>
      </w:pPr>
    </w:p>
    <w:p w:rsidR="00901254" w:rsidRPr="00CA7929" w:rsidRDefault="00901254" w:rsidP="00901254">
      <w:pPr>
        <w:rPr>
          <w:lang w:val="fr-FR"/>
        </w:rPr>
      </w:pPr>
      <w:r w:rsidRPr="00CA7929">
        <w:rPr>
          <w:lang w:val="fr-FR"/>
        </w:rPr>
        <w:br w:type="page"/>
      </w:r>
    </w:p>
    <w:p w:rsidR="00901254" w:rsidRPr="00CA7929" w:rsidRDefault="00901254" w:rsidP="00901254">
      <w:pPr>
        <w:pStyle w:val="Heading2"/>
        <w:rPr>
          <w:lang w:val="fr-FR"/>
        </w:rPr>
      </w:pPr>
      <w:r w:rsidRPr="00CA7929">
        <w:rPr>
          <w:lang w:val="fr-FR"/>
        </w:rPr>
        <w:t>V.</w:t>
      </w:r>
      <w:r w:rsidRPr="00CA7929">
        <w:rPr>
          <w:lang w:val="fr-FR"/>
        </w:rPr>
        <w:tab/>
        <w:t>date provisoire</w:t>
      </w:r>
      <w:r>
        <w:rPr>
          <w:lang w:val="fr-FR"/>
        </w:rPr>
        <w:t xml:space="preserve"> pour le passage d’une norme à l’autre</w:t>
      </w:r>
    </w:p>
    <w:p w:rsidR="00901254" w:rsidRPr="00CA7929" w:rsidRDefault="00901254" w:rsidP="00901254">
      <w:pPr>
        <w:rPr>
          <w:lang w:val="fr-FR"/>
        </w:rPr>
      </w:pPr>
    </w:p>
    <w:p w:rsidR="00901254" w:rsidRPr="00CA7929" w:rsidRDefault="00901254" w:rsidP="00901254">
      <w:pPr>
        <w:rPr>
          <w:lang w:val="fr-FR"/>
        </w:rPr>
      </w:pPr>
      <w:r w:rsidRPr="00CA7929">
        <w:rPr>
          <w:lang w:val="fr-FR"/>
        </w:rPr>
        <w:t xml:space="preserve">En supposant qu’un outil de création et de vérification de contenus puisse être </w:t>
      </w:r>
      <w:r>
        <w:rPr>
          <w:lang w:val="fr-FR"/>
        </w:rPr>
        <w:t xml:space="preserve">élaboré et </w:t>
      </w:r>
      <w:r w:rsidRPr="00CA7929">
        <w:rPr>
          <w:lang w:val="fr-FR"/>
        </w:rPr>
        <w:t>mis en place d’ici la fin de 2018, veuillez indiquer une date souhaitée pour le passage de la norme ST.25 à la norme ST.26 de l’OMPI.</w:t>
      </w:r>
    </w:p>
    <w:p w:rsidR="00901254" w:rsidRPr="00CA7929" w:rsidRDefault="00901254" w:rsidP="00901254">
      <w:pPr>
        <w:rPr>
          <w:lang w:val="fr-FR"/>
        </w:rPr>
      </w:pPr>
    </w:p>
    <w:p w:rsidR="00901254" w:rsidRPr="00CA7929" w:rsidRDefault="00901254" w:rsidP="00901254">
      <w:pPr>
        <w:pStyle w:val="ListParagraph"/>
        <w:numPr>
          <w:ilvl w:val="0"/>
          <w:numId w:val="2"/>
        </w:numPr>
        <w:rPr>
          <w:lang w:val="fr-FR"/>
        </w:rPr>
      </w:pPr>
      <w:r w:rsidRPr="00CA7929">
        <w:rPr>
          <w:lang w:val="fr-FR"/>
        </w:rPr>
        <w:t>1</w:t>
      </w:r>
      <w:r w:rsidRPr="00CA7929">
        <w:rPr>
          <w:vertAlign w:val="superscript"/>
          <w:lang w:val="fr-FR"/>
        </w:rPr>
        <w:t>er</w:t>
      </w:r>
      <w:r>
        <w:rPr>
          <w:lang w:val="fr-FR"/>
        </w:rPr>
        <w:t> </w:t>
      </w:r>
      <w:r w:rsidRPr="00CA7929">
        <w:rPr>
          <w:lang w:val="fr-FR"/>
        </w:rPr>
        <w:t>juillet 2019</w:t>
      </w:r>
      <w:r w:rsidRPr="00CA7929">
        <w:rPr>
          <w:lang w:val="fr-FR"/>
        </w:rPr>
        <w:tab/>
      </w:r>
      <w:r w:rsidRPr="00CA7929">
        <w:rPr>
          <w:lang w:val="fr-FR"/>
        </w:rPr>
        <w:tab/>
      </w:r>
      <w:r w:rsidRPr="00CA7929">
        <w:rPr>
          <w:lang w:val="fr-FR"/>
        </w:rPr>
        <w:tab/>
      </w:r>
      <w:r w:rsidRPr="00CA7929">
        <w:rPr>
          <w:rFonts w:ascii="Microsoft Sans Serif" w:hAnsi="Microsoft Sans Serif" w:cs="Microsoft Sans Serif"/>
          <w:sz w:val="48"/>
          <w:szCs w:val="48"/>
          <w:lang w:val="fr-FR"/>
        </w:rPr>
        <w:t>□</w:t>
      </w:r>
    </w:p>
    <w:p w:rsidR="00901254" w:rsidRPr="00CA7929" w:rsidRDefault="00901254" w:rsidP="00901254">
      <w:pPr>
        <w:pStyle w:val="ListParagraph"/>
        <w:numPr>
          <w:ilvl w:val="0"/>
          <w:numId w:val="2"/>
        </w:numPr>
        <w:rPr>
          <w:lang w:val="fr-FR"/>
        </w:rPr>
      </w:pPr>
      <w:r w:rsidRPr="00590755">
        <w:rPr>
          <w:lang w:val="fr-FR"/>
        </w:rPr>
        <w:t>1</w:t>
      </w:r>
      <w:r w:rsidRPr="00590755">
        <w:rPr>
          <w:vertAlign w:val="superscript"/>
          <w:lang w:val="fr-FR"/>
        </w:rPr>
        <w:t>er</w:t>
      </w:r>
      <w:r w:rsidRPr="00590755">
        <w:rPr>
          <w:lang w:val="fr-FR"/>
        </w:rPr>
        <w:t> juillet 2020</w:t>
      </w:r>
      <w:r w:rsidRPr="00590755">
        <w:rPr>
          <w:lang w:val="fr-FR"/>
        </w:rPr>
        <w:tab/>
      </w:r>
      <w:r w:rsidRPr="00CA7929">
        <w:rPr>
          <w:lang w:val="fr-FR"/>
        </w:rPr>
        <w:tab/>
      </w:r>
      <w:r w:rsidRPr="00CA7929">
        <w:rPr>
          <w:lang w:val="fr-FR"/>
        </w:rPr>
        <w:tab/>
      </w:r>
      <w:r w:rsidRPr="00CA7929">
        <w:rPr>
          <w:rFonts w:ascii="Microsoft Sans Serif" w:hAnsi="Microsoft Sans Serif" w:cs="Microsoft Sans Serif"/>
          <w:sz w:val="48"/>
          <w:szCs w:val="48"/>
          <w:lang w:val="fr-FR"/>
        </w:rPr>
        <w:t>□</w:t>
      </w:r>
    </w:p>
    <w:p w:rsidR="00901254" w:rsidRPr="00590755" w:rsidRDefault="00901254" w:rsidP="00901254">
      <w:pPr>
        <w:pStyle w:val="ListParagraph"/>
        <w:numPr>
          <w:ilvl w:val="0"/>
          <w:numId w:val="2"/>
        </w:numPr>
        <w:rPr>
          <w:lang w:val="fr-FR"/>
        </w:rPr>
      </w:pPr>
      <w:r w:rsidRPr="00CA7929">
        <w:rPr>
          <w:lang w:val="fr-FR"/>
        </w:rPr>
        <w:t>1</w:t>
      </w:r>
      <w:r w:rsidRPr="00CA7929">
        <w:rPr>
          <w:vertAlign w:val="superscript"/>
          <w:lang w:val="fr-FR"/>
        </w:rPr>
        <w:t>er</w:t>
      </w:r>
      <w:r>
        <w:rPr>
          <w:lang w:val="fr-FR"/>
        </w:rPr>
        <w:t> </w:t>
      </w:r>
      <w:r w:rsidRPr="00CA7929">
        <w:rPr>
          <w:lang w:val="fr-FR"/>
        </w:rPr>
        <w:t>juillet 2021</w:t>
      </w:r>
      <w:r w:rsidRPr="00CA7929">
        <w:rPr>
          <w:lang w:val="fr-FR"/>
        </w:rPr>
        <w:tab/>
      </w:r>
      <w:r w:rsidRPr="00CA7929">
        <w:rPr>
          <w:lang w:val="fr-FR"/>
        </w:rPr>
        <w:tab/>
      </w:r>
      <w:r w:rsidRPr="00CA7929">
        <w:rPr>
          <w:lang w:val="fr-FR"/>
        </w:rPr>
        <w:tab/>
      </w:r>
      <w:r w:rsidRPr="00CA7929">
        <w:rPr>
          <w:rFonts w:ascii="Microsoft Sans Serif" w:hAnsi="Microsoft Sans Serif" w:cs="Microsoft Sans Serif"/>
          <w:sz w:val="48"/>
          <w:szCs w:val="48"/>
          <w:lang w:val="fr-FR"/>
        </w:rPr>
        <w:t>□</w:t>
      </w:r>
    </w:p>
    <w:p w:rsidR="00901254" w:rsidRPr="00590755" w:rsidRDefault="00901254" w:rsidP="00901254">
      <w:pPr>
        <w:ind w:left="360"/>
        <w:rPr>
          <w:lang w:val="fr-FR"/>
        </w:rPr>
      </w:pPr>
    </w:p>
    <w:p w:rsidR="00901254" w:rsidRPr="00CA7929" w:rsidRDefault="00901254" w:rsidP="00901254">
      <w:pPr>
        <w:pStyle w:val="ListParagraph"/>
        <w:numPr>
          <w:ilvl w:val="0"/>
          <w:numId w:val="2"/>
        </w:numPr>
        <w:rPr>
          <w:lang w:val="fr-FR"/>
        </w:rPr>
      </w:pPr>
      <w:r w:rsidRPr="00CA7929">
        <w:rPr>
          <w:lang w:val="fr-FR"/>
        </w:rPr>
        <w:t>Autre (</w:t>
      </w:r>
      <w:r w:rsidRPr="00CA7929">
        <w:rPr>
          <w:i/>
          <w:lang w:val="fr-FR"/>
        </w:rPr>
        <w:t>veuillez indiquer une autre date souhaitée</w:t>
      </w:r>
      <w:r w:rsidRPr="00CA7929">
        <w:rPr>
          <w:lang w:val="fr-FR"/>
        </w:rPr>
        <w:t>) :</w:t>
      </w:r>
      <w:proofErr w:type="gramStart"/>
      <w:r w:rsidRPr="00CA7929">
        <w:rPr>
          <w:lang w:val="fr-FR"/>
        </w:rPr>
        <w:t>  …</w:t>
      </w:r>
      <w:proofErr w:type="gramEnd"/>
      <w:r w:rsidRPr="00CA7929">
        <w:rPr>
          <w:lang w:val="fr-FR"/>
        </w:rPr>
        <w:t>…..……………….</w:t>
      </w:r>
    </w:p>
    <w:p w:rsidR="00901254" w:rsidRPr="00CA7929" w:rsidRDefault="00901254" w:rsidP="00901254">
      <w:pPr>
        <w:rPr>
          <w:lang w:val="fr-FR"/>
        </w:rPr>
      </w:pPr>
    </w:p>
    <w:p w:rsidR="00901254" w:rsidRPr="00CA7929" w:rsidRDefault="00901254" w:rsidP="00901254">
      <w:pPr>
        <w:rPr>
          <w:lang w:val="fr-FR"/>
        </w:rPr>
      </w:pPr>
    </w:p>
    <w:p w:rsidR="00901254" w:rsidRPr="00CA7929" w:rsidRDefault="00901254" w:rsidP="00901254">
      <w:pPr>
        <w:rPr>
          <w:lang w:val="fr-FR"/>
        </w:rPr>
      </w:pPr>
    </w:p>
    <w:p w:rsidR="00901254" w:rsidRPr="005B1C2D" w:rsidRDefault="00901254" w:rsidP="00901254">
      <w:pPr>
        <w:pStyle w:val="Endofdocument-Annex"/>
        <w:rPr>
          <w:lang w:val="fr-FR"/>
        </w:rPr>
      </w:pPr>
      <w:r w:rsidRPr="00CA7929">
        <w:rPr>
          <w:lang w:val="fr-FR"/>
        </w:rPr>
        <w:t>[Fin de l’annexe III et de la circulaire</w:t>
      </w:r>
      <w:r w:rsidRPr="00CA7929">
        <w:rPr>
          <w:rFonts w:ascii="Microsoft Sans Serif" w:hAnsi="Microsoft Sans Serif" w:cs="Microsoft Sans Serif"/>
          <w:lang w:val="fr-FR"/>
        </w:rPr>
        <w:t>]</w:t>
      </w:r>
    </w:p>
    <w:p w:rsidR="00F41D78" w:rsidRPr="00901254" w:rsidRDefault="00901254">
      <w:pPr>
        <w:rPr>
          <w:lang w:val="fr-FR"/>
        </w:rPr>
      </w:pPr>
      <w:bookmarkStart w:id="0" w:name="_GoBack"/>
      <w:bookmarkEnd w:id="0"/>
    </w:p>
    <w:sectPr w:rsidR="00F41D78" w:rsidRPr="00901254" w:rsidSect="00590755">
      <w:headerReference w:type="even" r:id="rId6"/>
      <w:headerReference w:type="default" r:id="rId7"/>
      <w:headerReference w:type="first" r:id="rId8"/>
      <w:pgSz w:w="11907" w:h="16839" w:code="9"/>
      <w:pgMar w:top="567" w:right="1134" w:bottom="1021" w:left="1701" w:header="510" w:footer="10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2D" w:rsidRDefault="00901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2D" w:rsidRPr="00010A1A" w:rsidRDefault="00901254" w:rsidP="00DD7DCB">
    <w:pPr>
      <w:pStyle w:val="Header"/>
      <w:jc w:val="center"/>
      <w:rPr>
        <w:lang w:val="fr-FR"/>
      </w:rPr>
    </w:pPr>
    <w:r w:rsidRPr="00010A1A">
      <w:rPr>
        <w:lang w:val="fr-FR"/>
      </w:rPr>
      <w:t>Annexe II</w:t>
    </w:r>
    <w:r>
      <w:rPr>
        <w:lang w:val="fr-FR"/>
      </w:rPr>
      <w:t>I</w:t>
    </w:r>
    <w:r w:rsidRPr="00010A1A">
      <w:rPr>
        <w:lang w:val="fr-FR"/>
      </w:rPr>
      <w:t xml:space="preserve"> de la c</w:t>
    </w:r>
    <w:r>
      <w:rPr>
        <w:lang w:val="fr-FR"/>
      </w:rPr>
      <w:t>irculaire C. PCT 1485/C. CWS. </w:t>
    </w:r>
    <w:proofErr w:type="gramStart"/>
    <w:r>
      <w:rPr>
        <w:lang w:val="fr-FR"/>
      </w:rPr>
      <w:t>7</w:t>
    </w:r>
    <w:r>
      <w:rPr>
        <w:lang w:val="fr-FR"/>
      </w:rPr>
      <w:t>5</w:t>
    </w:r>
    <w:r w:rsidRPr="00010A1A">
      <w:rPr>
        <w:lang w:val="fr-FR"/>
      </w:rPr>
      <w:br/>
      <w:t>page </w:t>
    </w:r>
    <w:proofErr w:type="gramEnd"/>
    <w:r w:rsidRPr="00010A1A">
      <w:rPr>
        <w:lang w:val="fr-FR"/>
      </w:rPr>
      <w:fldChar w:fldCharType="begin"/>
    </w:r>
    <w:r w:rsidRPr="00010A1A">
      <w:rPr>
        <w:lang w:val="fr-FR"/>
      </w:rPr>
      <w:instrText xml:space="preserve"> PAGE   \* MERGEFORMAT </w:instrText>
    </w:r>
    <w:r w:rsidRPr="00010A1A">
      <w:rPr>
        <w:lang w:val="fr-FR"/>
      </w:rPr>
      <w:fldChar w:fldCharType="separate"/>
    </w:r>
    <w:r>
      <w:rPr>
        <w:noProof/>
        <w:lang w:val="fr-FR"/>
      </w:rPr>
      <w:t>2</w:t>
    </w:r>
    <w:r w:rsidRPr="00010A1A">
      <w:rPr>
        <w:lang w:val="fr-FR"/>
      </w:rPr>
      <w:fldChar w:fldCharType="end"/>
    </w:r>
  </w:p>
  <w:p w:rsidR="005B1C2D" w:rsidRPr="00010A1A" w:rsidRDefault="00901254" w:rsidP="00010A1A">
    <w:pPr>
      <w:pStyle w:val="Header"/>
      <w:jc w:val="cent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2D" w:rsidRPr="00EB7DCF" w:rsidRDefault="00901254" w:rsidP="002A48A5">
    <w:pPr>
      <w:pStyle w:val="Header"/>
      <w:jc w:val="center"/>
      <w:rPr>
        <w:lang w:val="fr-FR"/>
      </w:rPr>
    </w:pPr>
    <w:r w:rsidRPr="00EB7DCF">
      <w:rPr>
        <w:lang w:val="fr-FR"/>
      </w:rPr>
      <w:t>Annexe II</w:t>
    </w:r>
    <w:r w:rsidRPr="00EB7DCF">
      <w:rPr>
        <w:lang w:val="fr-FR"/>
      </w:rPr>
      <w:t>I</w:t>
    </w:r>
    <w:r w:rsidRPr="00EB7DCF">
      <w:rPr>
        <w:lang w:val="fr-FR"/>
      </w:rPr>
      <w:t xml:space="preserve"> de la c</w:t>
    </w:r>
    <w:r>
      <w:rPr>
        <w:lang w:val="fr-FR"/>
      </w:rPr>
      <w:t>irculaire C. PCT 1485/C. CWS. 7</w:t>
    </w:r>
    <w:r>
      <w:rPr>
        <w:lang w:val="fr-FR"/>
      </w:rPr>
      <w:t>5</w:t>
    </w:r>
  </w:p>
  <w:p w:rsidR="00590755" w:rsidRPr="00EB7DCF" w:rsidRDefault="00901254" w:rsidP="002A48A5">
    <w:pPr>
      <w:pStyle w:val="Header"/>
      <w:jc w:val="center"/>
      <w:rPr>
        <w:lang w:val="fr-FR"/>
      </w:rPr>
    </w:pPr>
  </w:p>
  <w:p w:rsidR="00590755" w:rsidRPr="00EB7DCF" w:rsidRDefault="00901254" w:rsidP="002A48A5">
    <w:pPr>
      <w:pStyle w:val="Header"/>
      <w:jc w:val="cent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DA04DD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75C405A"/>
    <w:multiLevelType w:val="hybridMultilevel"/>
    <w:tmpl w:val="159C7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54"/>
    <w:rsid w:val="002334A1"/>
    <w:rsid w:val="008859A8"/>
    <w:rsid w:val="0090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54"/>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901254"/>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1254"/>
    <w:rPr>
      <w:rFonts w:ascii="Arial" w:eastAsia="SimSun" w:hAnsi="Arial" w:cs="Arial"/>
      <w:bCs/>
      <w:iCs/>
      <w:caps/>
      <w:szCs w:val="28"/>
      <w:lang w:eastAsia="zh-CN"/>
    </w:rPr>
  </w:style>
  <w:style w:type="paragraph" w:styleId="Header">
    <w:name w:val="header"/>
    <w:basedOn w:val="Normal"/>
    <w:link w:val="HeaderChar"/>
    <w:uiPriority w:val="99"/>
    <w:rsid w:val="00901254"/>
    <w:pPr>
      <w:tabs>
        <w:tab w:val="center" w:pos="4536"/>
        <w:tab w:val="right" w:pos="9072"/>
      </w:tabs>
    </w:pPr>
  </w:style>
  <w:style w:type="character" w:customStyle="1" w:styleId="HeaderChar">
    <w:name w:val="Header Char"/>
    <w:basedOn w:val="DefaultParagraphFont"/>
    <w:link w:val="Header"/>
    <w:uiPriority w:val="99"/>
    <w:rsid w:val="00901254"/>
    <w:rPr>
      <w:rFonts w:ascii="Arial" w:eastAsia="SimSun" w:hAnsi="Arial" w:cs="Arial"/>
      <w:szCs w:val="20"/>
      <w:lang w:eastAsia="zh-CN"/>
    </w:rPr>
  </w:style>
  <w:style w:type="paragraph" w:customStyle="1" w:styleId="ONUME">
    <w:name w:val="ONUM E"/>
    <w:basedOn w:val="BodyText"/>
    <w:link w:val="ONUMEChar"/>
    <w:uiPriority w:val="99"/>
    <w:rsid w:val="00901254"/>
    <w:pPr>
      <w:numPr>
        <w:numId w:val="1"/>
      </w:numPr>
      <w:spacing w:after="220"/>
    </w:pPr>
  </w:style>
  <w:style w:type="paragraph" w:styleId="ListParagraph">
    <w:name w:val="List Paragraph"/>
    <w:basedOn w:val="Normal"/>
    <w:uiPriority w:val="34"/>
    <w:qFormat/>
    <w:rsid w:val="00901254"/>
    <w:pPr>
      <w:ind w:left="720"/>
      <w:contextualSpacing/>
    </w:pPr>
  </w:style>
  <w:style w:type="character" w:customStyle="1" w:styleId="ONUMEChar">
    <w:name w:val="ONUM E Char"/>
    <w:basedOn w:val="DefaultParagraphFont"/>
    <w:link w:val="ONUME"/>
    <w:uiPriority w:val="99"/>
    <w:locked/>
    <w:rsid w:val="00901254"/>
    <w:rPr>
      <w:rFonts w:ascii="Arial" w:eastAsia="SimSun" w:hAnsi="Arial" w:cs="Arial"/>
      <w:szCs w:val="20"/>
      <w:lang w:eastAsia="zh-CN"/>
    </w:rPr>
  </w:style>
  <w:style w:type="paragraph" w:customStyle="1" w:styleId="Endofdocument-Annex">
    <w:name w:val="[End of document - Annex]"/>
    <w:basedOn w:val="Normal"/>
    <w:rsid w:val="00901254"/>
    <w:pPr>
      <w:ind w:left="5534"/>
    </w:pPr>
  </w:style>
  <w:style w:type="paragraph" w:styleId="BodyText">
    <w:name w:val="Body Text"/>
    <w:basedOn w:val="Normal"/>
    <w:link w:val="BodyTextChar"/>
    <w:uiPriority w:val="99"/>
    <w:semiHidden/>
    <w:unhideWhenUsed/>
    <w:rsid w:val="00901254"/>
    <w:pPr>
      <w:spacing w:after="120"/>
    </w:pPr>
  </w:style>
  <w:style w:type="character" w:customStyle="1" w:styleId="BodyTextChar">
    <w:name w:val="Body Text Char"/>
    <w:basedOn w:val="DefaultParagraphFont"/>
    <w:link w:val="BodyText"/>
    <w:uiPriority w:val="99"/>
    <w:semiHidden/>
    <w:rsid w:val="00901254"/>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54"/>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901254"/>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1254"/>
    <w:rPr>
      <w:rFonts w:ascii="Arial" w:eastAsia="SimSun" w:hAnsi="Arial" w:cs="Arial"/>
      <w:bCs/>
      <w:iCs/>
      <w:caps/>
      <w:szCs w:val="28"/>
      <w:lang w:eastAsia="zh-CN"/>
    </w:rPr>
  </w:style>
  <w:style w:type="paragraph" w:styleId="Header">
    <w:name w:val="header"/>
    <w:basedOn w:val="Normal"/>
    <w:link w:val="HeaderChar"/>
    <w:uiPriority w:val="99"/>
    <w:rsid w:val="00901254"/>
    <w:pPr>
      <w:tabs>
        <w:tab w:val="center" w:pos="4536"/>
        <w:tab w:val="right" w:pos="9072"/>
      </w:tabs>
    </w:pPr>
  </w:style>
  <w:style w:type="character" w:customStyle="1" w:styleId="HeaderChar">
    <w:name w:val="Header Char"/>
    <w:basedOn w:val="DefaultParagraphFont"/>
    <w:link w:val="Header"/>
    <w:uiPriority w:val="99"/>
    <w:rsid w:val="00901254"/>
    <w:rPr>
      <w:rFonts w:ascii="Arial" w:eastAsia="SimSun" w:hAnsi="Arial" w:cs="Arial"/>
      <w:szCs w:val="20"/>
      <w:lang w:eastAsia="zh-CN"/>
    </w:rPr>
  </w:style>
  <w:style w:type="paragraph" w:customStyle="1" w:styleId="ONUME">
    <w:name w:val="ONUM E"/>
    <w:basedOn w:val="BodyText"/>
    <w:link w:val="ONUMEChar"/>
    <w:uiPriority w:val="99"/>
    <w:rsid w:val="00901254"/>
    <w:pPr>
      <w:numPr>
        <w:numId w:val="1"/>
      </w:numPr>
      <w:spacing w:after="220"/>
    </w:pPr>
  </w:style>
  <w:style w:type="paragraph" w:styleId="ListParagraph">
    <w:name w:val="List Paragraph"/>
    <w:basedOn w:val="Normal"/>
    <w:uiPriority w:val="34"/>
    <w:qFormat/>
    <w:rsid w:val="00901254"/>
    <w:pPr>
      <w:ind w:left="720"/>
      <w:contextualSpacing/>
    </w:pPr>
  </w:style>
  <w:style w:type="character" w:customStyle="1" w:styleId="ONUMEChar">
    <w:name w:val="ONUM E Char"/>
    <w:basedOn w:val="DefaultParagraphFont"/>
    <w:link w:val="ONUME"/>
    <w:uiPriority w:val="99"/>
    <w:locked/>
    <w:rsid w:val="00901254"/>
    <w:rPr>
      <w:rFonts w:ascii="Arial" w:eastAsia="SimSun" w:hAnsi="Arial" w:cs="Arial"/>
      <w:szCs w:val="20"/>
      <w:lang w:eastAsia="zh-CN"/>
    </w:rPr>
  </w:style>
  <w:style w:type="paragraph" w:customStyle="1" w:styleId="Endofdocument-Annex">
    <w:name w:val="[End of document - Annex]"/>
    <w:basedOn w:val="Normal"/>
    <w:rsid w:val="00901254"/>
    <w:pPr>
      <w:ind w:left="5534"/>
    </w:pPr>
  </w:style>
  <w:style w:type="paragraph" w:styleId="BodyText">
    <w:name w:val="Body Text"/>
    <w:basedOn w:val="Normal"/>
    <w:link w:val="BodyTextChar"/>
    <w:uiPriority w:val="99"/>
    <w:semiHidden/>
    <w:unhideWhenUsed/>
    <w:rsid w:val="00901254"/>
    <w:pPr>
      <w:spacing w:after="120"/>
    </w:pPr>
  </w:style>
  <w:style w:type="character" w:customStyle="1" w:styleId="BodyTextChar">
    <w:name w:val="Body Text Char"/>
    <w:basedOn w:val="DefaultParagraphFont"/>
    <w:link w:val="BodyText"/>
    <w:uiPriority w:val="99"/>
    <w:semiHidden/>
    <w:rsid w:val="00901254"/>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Questionnaire</vt:lpstr>
      <vt:lpstr>    Passage de la norme ST.25 à la norme ST.26 de l’OMPI</vt:lpstr>
      <vt:lpstr>    I.	Questions d’ordre général</vt:lpstr>
      <vt:lpstr>    II.	Traitement des listages des séquences de nucléotides et d’acides aminés dans</vt:lpstr>
      <vt:lpstr>    III.	Scénarios concernant le passage d’une norme à l’autre</vt:lpstr>
      <vt:lpstr>    IV.	Disposition particulière éventuelle concernant les demandes internationales </vt:lpstr>
      <vt:lpstr>    V.	date provisoire pour le passage d’une norme à l’autre</vt:lpstr>
    </vt:vector>
  </TitlesOfParts>
  <Company>World Intellectual Property Organization</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 PCT  1485/ C CWS 75 Questionnaire</dc:subject>
  <dc:creator>MARLOW Thomas</dc:creator>
  <cp:lastModifiedBy>MARLOW Thomas</cp:lastModifiedBy>
  <cp:revision>1</cp:revision>
  <dcterms:created xsi:type="dcterms:W3CDTF">2016-11-15T17:25:00Z</dcterms:created>
  <dcterms:modified xsi:type="dcterms:W3CDTF">2016-11-15T17:26:00Z</dcterms:modified>
</cp:coreProperties>
</file>