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A926A5" w14:paraId="3ADAE5DC" w14:textId="77777777">
        <w:tc>
          <w:tcPr>
            <w:tcW w:w="4513" w:type="dxa"/>
            <w:tcMar>
              <w:left w:w="0" w:type="dxa"/>
              <w:right w:w="0" w:type="dxa"/>
            </w:tcMar>
          </w:tcPr>
          <w:p w14:paraId="3383783C" w14:textId="77777777" w:rsidR="00A953E1" w:rsidRPr="00A926A5" w:rsidRDefault="00A953E1">
            <w:pPr>
              <w:rPr>
                <w:lang w:val="fr-FR"/>
              </w:rPr>
            </w:pPr>
          </w:p>
        </w:tc>
        <w:tc>
          <w:tcPr>
            <w:tcW w:w="0" w:type="auto"/>
            <w:tcMar>
              <w:left w:w="0" w:type="dxa"/>
              <w:bottom w:w="142" w:type="dxa"/>
              <w:right w:w="0" w:type="dxa"/>
            </w:tcMar>
          </w:tcPr>
          <w:p w14:paraId="55A8769A" w14:textId="75953B60" w:rsidR="00A953E1" w:rsidRPr="00A926A5" w:rsidRDefault="00CA1560">
            <w:pPr>
              <w:rPr>
                <w:lang w:val="fr-FR"/>
              </w:rPr>
            </w:pPr>
            <w:r w:rsidRPr="00A926A5">
              <w:rPr>
                <w:noProof/>
                <w:lang w:val="fr-FR"/>
              </w:rPr>
              <w:drawing>
                <wp:inline distT="0" distB="0" distL="0" distR="0" wp14:anchorId="2E3A27F9" wp14:editId="7438D745">
                  <wp:extent cx="1858010"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r>
    </w:tbl>
    <w:p w14:paraId="7AB102AF" w14:textId="7B085B20" w:rsidR="00E25414" w:rsidRPr="00A926A5" w:rsidRDefault="005E284E" w:rsidP="00D236B4">
      <w:pPr>
        <w:spacing w:before="240" w:after="1100"/>
        <w:jc w:val="right"/>
        <w:rPr>
          <w:lang w:val="fr-FR"/>
        </w:rPr>
      </w:pPr>
      <w:r w:rsidRPr="00A926A5">
        <w:rPr>
          <w:rFonts w:ascii="Arial Black" w:hAnsi="Arial Black"/>
          <w:sz w:val="15"/>
          <w:szCs w:val="15"/>
          <w:lang w:val="fr-FR"/>
        </w:rPr>
        <w:t>AVIS</w:t>
      </w:r>
      <w:r w:rsidR="00715D12" w:rsidRPr="00A926A5">
        <w:rPr>
          <w:rFonts w:ascii="Arial Black" w:hAnsi="Arial Black"/>
          <w:sz w:val="15"/>
          <w:szCs w:val="15"/>
          <w:lang w:val="fr-FR"/>
        </w:rPr>
        <w:t xml:space="preserve"> N</w:t>
      </w:r>
      <w:r w:rsidRPr="00A926A5">
        <w:rPr>
          <w:rFonts w:ascii="Arial Black" w:hAnsi="Arial Black"/>
          <w:sz w:val="15"/>
          <w:szCs w:val="15"/>
          <w:lang w:val="fr-FR"/>
        </w:rPr>
        <w:t>° </w:t>
      </w:r>
      <w:r w:rsidR="00247726">
        <w:rPr>
          <w:rFonts w:ascii="Arial Black" w:hAnsi="Arial Black"/>
          <w:sz w:val="15"/>
          <w:szCs w:val="15"/>
          <w:lang w:val="fr-FR"/>
        </w:rPr>
        <w:t>37</w:t>
      </w:r>
      <w:r w:rsidR="00715D12" w:rsidRPr="00A926A5">
        <w:rPr>
          <w:rFonts w:ascii="Arial Black" w:hAnsi="Arial Black"/>
          <w:sz w:val="15"/>
          <w:szCs w:val="15"/>
          <w:lang w:val="fr-FR"/>
        </w:rPr>
        <w:t>/20</w:t>
      </w:r>
      <w:r w:rsidR="000C7BE0" w:rsidRPr="00A926A5">
        <w:rPr>
          <w:rFonts w:ascii="Arial Black" w:hAnsi="Arial Black"/>
          <w:sz w:val="15"/>
          <w:szCs w:val="15"/>
          <w:lang w:val="fr-FR"/>
        </w:rPr>
        <w:t>25</w:t>
      </w:r>
    </w:p>
    <w:p w14:paraId="73C0E4A3" w14:textId="7E91EF34" w:rsidR="00E25414" w:rsidRPr="00A926A5" w:rsidRDefault="00CA1560" w:rsidP="00D236B4">
      <w:pPr>
        <w:spacing w:after="660"/>
        <w:rPr>
          <w:b/>
          <w:sz w:val="28"/>
          <w:szCs w:val="28"/>
          <w:lang w:val="fr-FR"/>
        </w:rPr>
      </w:pPr>
      <w:r w:rsidRPr="00A926A5">
        <w:rPr>
          <w:b/>
          <w:sz w:val="28"/>
          <w:lang w:val="fr-FR"/>
        </w:rPr>
        <w:t>Protocole de Madrid concernant l</w:t>
      </w:r>
      <w:r w:rsidR="000C7BE0" w:rsidRPr="00A926A5">
        <w:rPr>
          <w:b/>
          <w:sz w:val="28"/>
          <w:lang w:val="fr-FR"/>
        </w:rPr>
        <w:t>’</w:t>
      </w:r>
      <w:r w:rsidRPr="00A926A5">
        <w:rPr>
          <w:b/>
          <w:sz w:val="28"/>
          <w:lang w:val="fr-FR"/>
        </w:rPr>
        <w:t>enregistrement international des</w:t>
      </w:r>
      <w:r w:rsidR="00A926A5">
        <w:rPr>
          <w:b/>
          <w:sz w:val="28"/>
          <w:lang w:val="fr-FR"/>
        </w:rPr>
        <w:t> </w:t>
      </w:r>
      <w:r w:rsidRPr="00A926A5">
        <w:rPr>
          <w:b/>
          <w:sz w:val="28"/>
          <w:lang w:val="fr-FR"/>
        </w:rPr>
        <w:t>marques</w:t>
      </w:r>
    </w:p>
    <w:p w14:paraId="4EEB1A06" w14:textId="5B2F8CB2" w:rsidR="00CA1560" w:rsidRPr="00A926A5" w:rsidRDefault="00CA1560" w:rsidP="00CA1560">
      <w:pPr>
        <w:autoSpaceDE w:val="0"/>
        <w:autoSpaceDN w:val="0"/>
        <w:adjustRightInd w:val="0"/>
        <w:spacing w:after="220"/>
        <w:rPr>
          <w:b/>
          <w:bCs/>
          <w:sz w:val="24"/>
          <w:szCs w:val="24"/>
          <w:lang w:val="fr-FR"/>
        </w:rPr>
      </w:pPr>
      <w:r w:rsidRPr="00A926A5">
        <w:rPr>
          <w:b/>
          <w:sz w:val="24"/>
          <w:lang w:val="fr-FR"/>
        </w:rPr>
        <w:t>Entrée en vigueur de la version 2026 de la treizième édition de la classification de</w:t>
      </w:r>
      <w:r w:rsidR="00A926A5">
        <w:rPr>
          <w:b/>
          <w:sz w:val="24"/>
          <w:lang w:val="fr-FR"/>
        </w:rPr>
        <w:t> </w:t>
      </w:r>
      <w:r w:rsidRPr="00A926A5">
        <w:rPr>
          <w:b/>
          <w:sz w:val="24"/>
          <w:lang w:val="fr-FR"/>
        </w:rPr>
        <w:t>Nice</w:t>
      </w:r>
    </w:p>
    <w:p w14:paraId="6067252A" w14:textId="3A2C9353" w:rsidR="000C7BE0" w:rsidRPr="00A926A5" w:rsidRDefault="00CA1560" w:rsidP="00A926A5">
      <w:pPr>
        <w:pStyle w:val="ONUMFS"/>
        <w:rPr>
          <w:lang w:val="fr-FR"/>
        </w:rPr>
      </w:pPr>
      <w:r w:rsidRPr="00A926A5">
        <w:rPr>
          <w:lang w:val="fr-FR"/>
        </w:rPr>
        <w:t xml:space="preserve">La version 2026 de la treizième édition de la </w:t>
      </w:r>
      <w:r w:rsidR="00D236B4">
        <w:rPr>
          <w:i/>
          <w:iCs/>
          <w:lang w:val="fr-FR"/>
        </w:rPr>
        <w:t>C</w:t>
      </w:r>
      <w:r w:rsidRPr="00A926A5">
        <w:rPr>
          <w:i/>
          <w:iCs/>
          <w:lang w:val="fr-FR"/>
        </w:rPr>
        <w:t>lassification internationale des produits et</w:t>
      </w:r>
      <w:r w:rsidR="00A926A5">
        <w:rPr>
          <w:i/>
          <w:iCs/>
          <w:lang w:val="fr-FR"/>
        </w:rPr>
        <w:t> </w:t>
      </w:r>
      <w:r w:rsidRPr="00A926A5">
        <w:rPr>
          <w:i/>
          <w:iCs/>
          <w:lang w:val="fr-FR"/>
        </w:rPr>
        <w:t>des services aux fins de l</w:t>
      </w:r>
      <w:r w:rsidR="000C7BE0" w:rsidRPr="00A926A5">
        <w:rPr>
          <w:i/>
          <w:iCs/>
          <w:lang w:val="fr-FR"/>
        </w:rPr>
        <w:t>’</w:t>
      </w:r>
      <w:r w:rsidRPr="00A926A5">
        <w:rPr>
          <w:i/>
          <w:iCs/>
          <w:lang w:val="fr-FR"/>
        </w:rPr>
        <w:t>enregistrement des marques</w:t>
      </w:r>
      <w:r w:rsidRPr="00A926A5">
        <w:rPr>
          <w:lang w:val="fr-FR"/>
        </w:rPr>
        <w:t xml:space="preserve"> (classification de Nice) entrera en vigueur le</w:t>
      </w:r>
      <w:r w:rsidR="000C7BE0" w:rsidRPr="00A926A5">
        <w:rPr>
          <w:lang w:val="fr-FR"/>
        </w:rPr>
        <w:t xml:space="preserve"> 1</w:t>
      </w:r>
      <w:r w:rsidR="000C7BE0" w:rsidRPr="00A926A5">
        <w:rPr>
          <w:vertAlign w:val="superscript"/>
          <w:lang w:val="fr-FR"/>
        </w:rPr>
        <w:t>er</w:t>
      </w:r>
      <w:r w:rsidR="000C7BE0" w:rsidRPr="00A926A5">
        <w:rPr>
          <w:lang w:val="fr-FR"/>
        </w:rPr>
        <w:t> </w:t>
      </w:r>
      <w:r w:rsidRPr="00A926A5">
        <w:rPr>
          <w:lang w:val="fr-FR"/>
        </w:rPr>
        <w:t>janvier 2026.  Cette version est disponible sur le site Web de l</w:t>
      </w:r>
      <w:r w:rsidR="000C7BE0" w:rsidRPr="00A926A5">
        <w:rPr>
          <w:lang w:val="fr-FR"/>
        </w:rPr>
        <w:t>’</w:t>
      </w:r>
      <w:r w:rsidRPr="00A926A5">
        <w:rPr>
          <w:lang w:val="fr-FR"/>
        </w:rPr>
        <w:t>Organisation Mondiale de la Propriété Intellectuelle (OMPI) à l</w:t>
      </w:r>
      <w:r w:rsidR="000C7BE0" w:rsidRPr="00A926A5">
        <w:rPr>
          <w:lang w:val="fr-FR"/>
        </w:rPr>
        <w:t>’</w:t>
      </w:r>
      <w:r w:rsidRPr="00A926A5">
        <w:rPr>
          <w:lang w:val="fr-FR"/>
        </w:rPr>
        <w:t>adresse</w:t>
      </w:r>
      <w:r w:rsidR="00A926A5">
        <w:rPr>
          <w:lang w:val="fr-FR"/>
        </w:rPr>
        <w:t xml:space="preserve"> </w:t>
      </w:r>
      <w:hyperlink r:id="rId10" w:history="1">
        <w:r w:rsidRPr="00A926A5">
          <w:rPr>
            <w:rStyle w:val="Hyperlink"/>
            <w:lang w:val="fr-FR"/>
          </w:rPr>
          <w:t>https://www.wipo.int/classifications/nice/fr/</w:t>
        </w:r>
      </w:hyperlink>
      <w:r w:rsidRPr="00A926A5">
        <w:rPr>
          <w:lang w:val="fr-FR"/>
        </w:rPr>
        <w:t>.</w:t>
      </w:r>
    </w:p>
    <w:p w14:paraId="3D2E9377" w14:textId="230BB6E5" w:rsidR="000C7BE0" w:rsidRPr="00A926A5" w:rsidRDefault="00CA1560" w:rsidP="00A926A5">
      <w:pPr>
        <w:pStyle w:val="ONUMFS"/>
        <w:rPr>
          <w:lang w:val="fr-FR"/>
        </w:rPr>
      </w:pPr>
      <w:r w:rsidRPr="00A926A5">
        <w:rPr>
          <w:lang w:val="fr-FR"/>
        </w:rPr>
        <w:t>Le présent avis a pour but de rappeler aux offices des membres de l</w:t>
      </w:r>
      <w:r w:rsidR="000C7BE0" w:rsidRPr="00A926A5">
        <w:rPr>
          <w:lang w:val="fr-FR"/>
        </w:rPr>
        <w:t>’</w:t>
      </w:r>
      <w:r w:rsidRPr="00A926A5">
        <w:rPr>
          <w:lang w:val="fr-FR"/>
        </w:rPr>
        <w:t>Union de Madrid, aux déposants et aux titulaires la pratique suivie par le Bureau international de l</w:t>
      </w:r>
      <w:r w:rsidR="000C7BE0" w:rsidRPr="00A926A5">
        <w:rPr>
          <w:lang w:val="fr-FR"/>
        </w:rPr>
        <w:t>’</w:t>
      </w:r>
      <w:r w:rsidRPr="00A926A5">
        <w:rPr>
          <w:lang w:val="fr-FR"/>
        </w:rPr>
        <w:t>OMPI lors de l</w:t>
      </w:r>
      <w:r w:rsidR="000C7BE0" w:rsidRPr="00A926A5">
        <w:rPr>
          <w:lang w:val="fr-FR"/>
        </w:rPr>
        <w:t>’</w:t>
      </w:r>
      <w:r w:rsidRPr="00A926A5">
        <w:rPr>
          <w:lang w:val="fr-FR"/>
        </w:rPr>
        <w:t>examen des demandes internationales pendant la transition vers la version 2026 de la treizième édition de la classification de Nice.</w:t>
      </w:r>
    </w:p>
    <w:p w14:paraId="1E24ACBF" w14:textId="6C036D87" w:rsidR="000C7BE0" w:rsidRPr="00A926A5" w:rsidRDefault="00CA1560" w:rsidP="00A926A5">
      <w:pPr>
        <w:pStyle w:val="ONUMFS"/>
        <w:rPr>
          <w:lang w:val="fr-FR"/>
        </w:rPr>
      </w:pPr>
      <w:r w:rsidRPr="00A926A5">
        <w:rPr>
          <w:lang w:val="fr-FR"/>
        </w:rPr>
        <w:t>Le Bureau international de l</w:t>
      </w:r>
      <w:r w:rsidR="000C7BE0" w:rsidRPr="00A926A5">
        <w:rPr>
          <w:lang w:val="fr-FR"/>
        </w:rPr>
        <w:t>’</w:t>
      </w:r>
      <w:r w:rsidRPr="00A926A5">
        <w:rPr>
          <w:lang w:val="fr-FR"/>
        </w:rPr>
        <w:t>OMPI appliquera la version 2026 de la treizième édition de la classification de Nice à</w:t>
      </w:r>
      <w:r w:rsidR="000C7BE0" w:rsidRPr="00A926A5">
        <w:rPr>
          <w:lang w:val="fr-FR"/>
        </w:rPr>
        <w:t> :</w:t>
      </w:r>
    </w:p>
    <w:p w14:paraId="2E09BB9D" w14:textId="4BFD177A" w:rsidR="000C7BE0" w:rsidRPr="00A926A5" w:rsidRDefault="00A926A5" w:rsidP="00A926A5">
      <w:pPr>
        <w:pStyle w:val="ONUMFS"/>
        <w:numPr>
          <w:ilvl w:val="0"/>
          <w:numId w:val="0"/>
        </w:numPr>
        <w:tabs>
          <w:tab w:val="left" w:pos="1134"/>
        </w:tabs>
        <w:ind w:left="1134" w:hanging="567"/>
        <w:rPr>
          <w:lang w:val="fr-FR"/>
        </w:rPr>
      </w:pPr>
      <w:r>
        <w:rPr>
          <w:lang w:val="fr-FR"/>
        </w:rPr>
        <w:t>–</w:t>
      </w:r>
      <w:r>
        <w:rPr>
          <w:lang w:val="fr-FR"/>
        </w:rPr>
        <w:tab/>
      </w:r>
      <w:r w:rsidR="00CA1560" w:rsidRPr="00A926A5">
        <w:rPr>
          <w:lang w:val="fr-FR"/>
        </w:rPr>
        <w:t>toute demande internationale reçue par l</w:t>
      </w:r>
      <w:r w:rsidR="000C7BE0" w:rsidRPr="00A926A5">
        <w:rPr>
          <w:lang w:val="fr-FR"/>
        </w:rPr>
        <w:t>’</w:t>
      </w:r>
      <w:r w:rsidR="00CA1560" w:rsidRPr="00A926A5">
        <w:rPr>
          <w:lang w:val="fr-FR"/>
        </w:rPr>
        <w:t>office d</w:t>
      </w:r>
      <w:r w:rsidR="000C7BE0" w:rsidRPr="00A926A5">
        <w:rPr>
          <w:lang w:val="fr-FR"/>
        </w:rPr>
        <w:t>’</w:t>
      </w:r>
      <w:r w:rsidR="00CA1560" w:rsidRPr="00A926A5">
        <w:rPr>
          <w:lang w:val="fr-FR"/>
        </w:rPr>
        <w:t>origine le</w:t>
      </w:r>
      <w:r w:rsidR="000C7BE0" w:rsidRPr="00A926A5">
        <w:rPr>
          <w:lang w:val="fr-FR"/>
        </w:rPr>
        <w:t xml:space="preserve"> 1</w:t>
      </w:r>
      <w:r w:rsidR="000C7BE0" w:rsidRPr="00A926A5">
        <w:rPr>
          <w:vertAlign w:val="superscript"/>
          <w:lang w:val="fr-FR"/>
        </w:rPr>
        <w:t>er</w:t>
      </w:r>
      <w:r w:rsidR="000C7BE0" w:rsidRPr="00A926A5">
        <w:rPr>
          <w:lang w:val="fr-FR"/>
        </w:rPr>
        <w:t> </w:t>
      </w:r>
      <w:r w:rsidR="00CA1560" w:rsidRPr="00A926A5">
        <w:rPr>
          <w:lang w:val="fr-FR"/>
        </w:rPr>
        <w:t>janvier 2026 ou après cette date;</w:t>
      </w:r>
    </w:p>
    <w:p w14:paraId="33DD0BF7" w14:textId="10391C59" w:rsidR="000C7BE0" w:rsidRPr="00A926A5" w:rsidRDefault="00CA1560" w:rsidP="00A926A5">
      <w:pPr>
        <w:pStyle w:val="ONUMFS"/>
        <w:numPr>
          <w:ilvl w:val="0"/>
          <w:numId w:val="0"/>
        </w:numPr>
        <w:tabs>
          <w:tab w:val="left" w:pos="1134"/>
        </w:tabs>
        <w:ind w:left="1134" w:hanging="567"/>
        <w:rPr>
          <w:lang w:val="fr-FR"/>
        </w:rPr>
      </w:pPr>
      <w:r w:rsidRPr="00A926A5">
        <w:rPr>
          <w:lang w:val="fr-FR"/>
        </w:rPr>
        <w:t>–</w:t>
      </w:r>
      <w:r w:rsidRPr="00A926A5">
        <w:rPr>
          <w:lang w:val="fr-FR"/>
        </w:rPr>
        <w:tab/>
        <w:t>toute demande internationale reçue par le Bureau international de l</w:t>
      </w:r>
      <w:r w:rsidR="000C7BE0" w:rsidRPr="00A926A5">
        <w:rPr>
          <w:lang w:val="fr-FR"/>
        </w:rPr>
        <w:t>’</w:t>
      </w:r>
      <w:r w:rsidRPr="00A926A5">
        <w:rPr>
          <w:lang w:val="fr-FR"/>
        </w:rPr>
        <w:t>OMPI le</w:t>
      </w:r>
      <w:r w:rsidR="00A926A5">
        <w:rPr>
          <w:lang w:val="fr-FR"/>
        </w:rPr>
        <w:t> </w:t>
      </w:r>
      <w:r w:rsidR="000C7BE0" w:rsidRPr="00A926A5">
        <w:rPr>
          <w:lang w:val="fr-FR"/>
        </w:rPr>
        <w:t>1</w:t>
      </w:r>
      <w:r w:rsidR="000C7BE0" w:rsidRPr="00A926A5">
        <w:rPr>
          <w:vertAlign w:val="superscript"/>
          <w:lang w:val="fr-FR"/>
        </w:rPr>
        <w:t>er</w:t>
      </w:r>
      <w:r w:rsidR="000C7BE0" w:rsidRPr="00A926A5">
        <w:rPr>
          <w:lang w:val="fr-FR"/>
        </w:rPr>
        <w:t> </w:t>
      </w:r>
      <w:r w:rsidRPr="00A926A5">
        <w:rPr>
          <w:lang w:val="fr-FR"/>
        </w:rPr>
        <w:t>janvier 2026 ou après cette date, lorsque ladite demande est reçue par le Bureau international de l</w:t>
      </w:r>
      <w:r w:rsidR="000C7BE0" w:rsidRPr="00A926A5">
        <w:rPr>
          <w:lang w:val="fr-FR"/>
        </w:rPr>
        <w:t>’</w:t>
      </w:r>
      <w:r w:rsidRPr="00A926A5">
        <w:rPr>
          <w:lang w:val="fr-FR"/>
        </w:rPr>
        <w:t>OMPI après le délai de deux mois visé à l</w:t>
      </w:r>
      <w:r w:rsidR="000C7BE0" w:rsidRPr="00A926A5">
        <w:rPr>
          <w:lang w:val="fr-FR"/>
        </w:rPr>
        <w:t>’</w:t>
      </w:r>
      <w:r w:rsidRPr="00A926A5">
        <w:rPr>
          <w:lang w:val="fr-FR"/>
        </w:rPr>
        <w:t>article 3.4) du Protocole relatif à l</w:t>
      </w:r>
      <w:r w:rsidR="000C7BE0" w:rsidRPr="00A926A5">
        <w:rPr>
          <w:lang w:val="fr-FR"/>
        </w:rPr>
        <w:t>’</w:t>
      </w:r>
      <w:r w:rsidRPr="00A926A5">
        <w:rPr>
          <w:lang w:val="fr-FR"/>
        </w:rPr>
        <w:t>Arrangement de Madrid concernant l</w:t>
      </w:r>
      <w:r w:rsidR="000C7BE0" w:rsidRPr="00A926A5">
        <w:rPr>
          <w:lang w:val="fr-FR"/>
        </w:rPr>
        <w:t>’</w:t>
      </w:r>
      <w:r w:rsidRPr="00A926A5">
        <w:rPr>
          <w:lang w:val="fr-FR"/>
        </w:rPr>
        <w:t>enregistrement international des marques.</w:t>
      </w:r>
    </w:p>
    <w:p w14:paraId="33C7556B" w14:textId="68DDFD6D" w:rsidR="00CA1560" w:rsidRPr="00A926A5" w:rsidRDefault="00CA1560" w:rsidP="00A926A5">
      <w:pPr>
        <w:pStyle w:val="ONUMFS"/>
        <w:rPr>
          <w:lang w:val="fr-FR"/>
        </w:rPr>
      </w:pPr>
      <w:r w:rsidRPr="00A926A5">
        <w:rPr>
          <w:lang w:val="fr-FR"/>
        </w:rPr>
        <w:t>Pour tous les enregistrements internationaux classés selon la version 2026 de la treizième édition de la classification de Nice, le Bureau international de l</w:t>
      </w:r>
      <w:r w:rsidR="000C7BE0" w:rsidRPr="00A926A5">
        <w:rPr>
          <w:lang w:val="fr-FR"/>
        </w:rPr>
        <w:t>’</w:t>
      </w:r>
      <w:r w:rsidRPr="00A926A5">
        <w:rPr>
          <w:lang w:val="fr-FR"/>
        </w:rPr>
        <w:t>OMPI ajoutera l</w:t>
      </w:r>
      <w:r w:rsidR="000C7BE0" w:rsidRPr="00A926A5">
        <w:rPr>
          <w:lang w:val="fr-FR"/>
        </w:rPr>
        <w:t>’</w:t>
      </w:r>
      <w:r w:rsidRPr="00A926A5">
        <w:rPr>
          <w:lang w:val="fr-FR"/>
        </w:rPr>
        <w:t>abréviation “NCL(13</w:t>
      </w:r>
      <w:r w:rsidR="00A926A5">
        <w:rPr>
          <w:lang w:val="fr-FR"/>
        </w:rPr>
        <w:noBreakHyphen/>
      </w:r>
      <w:r w:rsidRPr="00A926A5">
        <w:rPr>
          <w:lang w:val="fr-FR"/>
        </w:rPr>
        <w:t>2026)” à côté de la liste des produits et services dans les notifications envoyées aux parties contractantes désignées, les certificats d</w:t>
      </w:r>
      <w:r w:rsidR="000C7BE0" w:rsidRPr="00A926A5">
        <w:rPr>
          <w:lang w:val="fr-FR"/>
        </w:rPr>
        <w:t>’</w:t>
      </w:r>
      <w:r w:rsidRPr="00A926A5">
        <w:rPr>
          <w:lang w:val="fr-FR"/>
        </w:rPr>
        <w:t>enregistrement et les publications.</w:t>
      </w:r>
    </w:p>
    <w:p w14:paraId="7DB86CE0" w14:textId="31B7B852" w:rsidR="000C7BE0" w:rsidRPr="00A926A5" w:rsidRDefault="00CA1560" w:rsidP="00A926A5">
      <w:pPr>
        <w:pStyle w:val="ONUMFS"/>
        <w:rPr>
          <w:lang w:val="fr-FR"/>
        </w:rPr>
      </w:pPr>
      <w:r w:rsidRPr="00A926A5">
        <w:rPr>
          <w:lang w:val="fr-FR"/>
        </w:rPr>
        <w:t>Conformément à sa pratique habituelle, le Bureau international de l</w:t>
      </w:r>
      <w:r w:rsidR="000C7BE0" w:rsidRPr="00A926A5">
        <w:rPr>
          <w:lang w:val="fr-FR"/>
        </w:rPr>
        <w:t>’</w:t>
      </w:r>
      <w:r w:rsidRPr="00A926A5">
        <w:rPr>
          <w:lang w:val="fr-FR"/>
        </w:rPr>
        <w:t>OMPI ne procédera pas au reclassement selon la version 2026 de la treizième édition de la classification de Nice de</w:t>
      </w:r>
      <w:r w:rsidR="00A926A5">
        <w:rPr>
          <w:lang w:val="fr-FR"/>
        </w:rPr>
        <w:t> </w:t>
      </w:r>
      <w:r w:rsidRPr="00A926A5">
        <w:rPr>
          <w:lang w:val="fr-FR"/>
        </w:rPr>
        <w:t>la liste des produits et services figurant dans les enregistrements internationaux antérieurs au</w:t>
      </w:r>
      <w:r w:rsidR="000C7BE0" w:rsidRPr="00A926A5">
        <w:rPr>
          <w:lang w:val="fr-FR"/>
        </w:rPr>
        <w:t xml:space="preserve"> 1</w:t>
      </w:r>
      <w:r w:rsidR="000C7BE0" w:rsidRPr="00A926A5">
        <w:rPr>
          <w:vertAlign w:val="superscript"/>
          <w:lang w:val="fr-FR"/>
        </w:rPr>
        <w:t>er</w:t>
      </w:r>
      <w:r w:rsidR="000C7BE0" w:rsidRPr="00A926A5">
        <w:rPr>
          <w:lang w:val="fr-FR"/>
        </w:rPr>
        <w:t> </w:t>
      </w:r>
      <w:r w:rsidRPr="00A926A5">
        <w:rPr>
          <w:lang w:val="fr-FR"/>
        </w:rPr>
        <w:t>janvier 2026.</w:t>
      </w:r>
    </w:p>
    <w:p w14:paraId="580DC210" w14:textId="6020BDAB" w:rsidR="000C7BE0" w:rsidRPr="00A926A5" w:rsidRDefault="00CA1560" w:rsidP="00A926A5">
      <w:pPr>
        <w:pStyle w:val="ONUMFS"/>
        <w:rPr>
          <w:lang w:val="fr-FR"/>
        </w:rPr>
      </w:pPr>
      <w:r w:rsidRPr="00A926A5">
        <w:rPr>
          <w:lang w:val="fr-FR"/>
        </w:rPr>
        <w:t>Le Gestionnaire des produits et services de Madrid (disponible à l</w:t>
      </w:r>
      <w:r w:rsidR="000C7BE0" w:rsidRPr="00A926A5">
        <w:rPr>
          <w:lang w:val="fr-FR"/>
        </w:rPr>
        <w:t>’</w:t>
      </w:r>
      <w:r w:rsidRPr="00A926A5">
        <w:rPr>
          <w:lang w:val="fr-FR"/>
        </w:rPr>
        <w:t>adresse</w:t>
      </w:r>
      <w:r w:rsidR="00A926A5">
        <w:rPr>
          <w:lang w:val="fr-FR"/>
        </w:rPr>
        <w:t xml:space="preserve"> </w:t>
      </w:r>
      <w:hyperlink r:id="rId11" w:history="1">
        <w:r w:rsidR="00033554" w:rsidRPr="00033554">
          <w:rPr>
            <w:rStyle w:val="Hyperlink"/>
            <w:lang w:val="fr-CH"/>
          </w:rPr>
          <w:t>https://webaccess.wipo.int/mgs/?lang=fr</w:t>
        </w:r>
      </w:hyperlink>
      <w:r w:rsidRPr="00A926A5">
        <w:rPr>
          <w:lang w:val="fr-FR"/>
        </w:rPr>
        <w:t>) sera mis à jour pour tenir compte des modifications introduites par la version 2026 de la treizième édition de la classification de Nice.</w:t>
      </w:r>
    </w:p>
    <w:p w14:paraId="3E641292" w14:textId="43F97072" w:rsidR="000C7BE0" w:rsidRPr="00A926A5" w:rsidRDefault="00CA1560" w:rsidP="00A926A5">
      <w:pPr>
        <w:pStyle w:val="ONUMFS"/>
        <w:rPr>
          <w:lang w:val="fr-FR"/>
        </w:rPr>
      </w:pPr>
      <w:r w:rsidRPr="00A926A5">
        <w:rPr>
          <w:lang w:val="fr-FR"/>
        </w:rPr>
        <w:lastRenderedPageBreak/>
        <w:t>Certaines indications ont été déplacées vers d</w:t>
      </w:r>
      <w:r w:rsidR="000C7BE0" w:rsidRPr="00A926A5">
        <w:rPr>
          <w:lang w:val="fr-FR"/>
        </w:rPr>
        <w:t>’</w:t>
      </w:r>
      <w:r w:rsidRPr="00A926A5">
        <w:rPr>
          <w:lang w:val="fr-FR"/>
        </w:rPr>
        <w:t>autres classes dans la nouvelle édition de la classification de Ni</w:t>
      </w:r>
      <w:r w:rsidR="00A926A5" w:rsidRPr="00A926A5">
        <w:rPr>
          <w:lang w:val="fr-FR"/>
        </w:rPr>
        <w:t>ce.  La</w:t>
      </w:r>
      <w:r w:rsidRPr="00A926A5">
        <w:rPr>
          <w:lang w:val="fr-FR"/>
        </w:rPr>
        <w:t xml:space="preserve"> liste complète des indications reclassées figure à l</w:t>
      </w:r>
      <w:r w:rsidR="000C7BE0" w:rsidRPr="00A926A5">
        <w:rPr>
          <w:lang w:val="fr-FR"/>
        </w:rPr>
        <w:t>’</w:t>
      </w:r>
      <w:r w:rsidRPr="00A926A5">
        <w:rPr>
          <w:lang w:val="fr-FR"/>
        </w:rPr>
        <w:t>annexe I du présent av</w:t>
      </w:r>
      <w:r w:rsidR="00A926A5" w:rsidRPr="00A926A5">
        <w:rPr>
          <w:lang w:val="fr-FR"/>
        </w:rPr>
        <w:t>is.  Ve</w:t>
      </w:r>
      <w:r w:rsidRPr="00A926A5">
        <w:rPr>
          <w:lang w:val="fr-FR"/>
        </w:rPr>
        <w:t>uillez examiner attentivement cette liste lors de la préparation de vos demandes, en particulier si votre demande de base ou votre enregistrement a été classé selon la douzième édition ou les éditions antérieures.</w:t>
      </w:r>
    </w:p>
    <w:p w14:paraId="68D72DD5" w14:textId="571B672F" w:rsidR="000C7BE0" w:rsidRPr="00A926A5" w:rsidRDefault="00CA1560" w:rsidP="00A926A5">
      <w:pPr>
        <w:pStyle w:val="ONUMFS"/>
        <w:rPr>
          <w:lang w:val="fr-FR"/>
        </w:rPr>
      </w:pPr>
      <w:r w:rsidRPr="00A926A5">
        <w:rPr>
          <w:lang w:val="fr-FR"/>
        </w:rPr>
        <w:t>Pour obtenir des informations complètes sur les autres modifications introduites par la nouvelle édition de la classification de Nice, notamment les ajouts, les suppressions et les modifications apportées aux indications existantes, les parties intéressées sont invitées à consulter les fichiers de révision détaill</w:t>
      </w:r>
      <w:r w:rsidR="00A926A5" w:rsidRPr="00A926A5">
        <w:rPr>
          <w:lang w:val="fr-FR"/>
        </w:rPr>
        <w:t>és.  Ce</w:t>
      </w:r>
      <w:r w:rsidRPr="00A926A5">
        <w:rPr>
          <w:lang w:val="fr-FR"/>
        </w:rPr>
        <w:t>s fichiers sont disponibles au format Microsoft Excel et peuvent être consultés à l</w:t>
      </w:r>
      <w:r w:rsidR="000C7BE0" w:rsidRPr="00A926A5">
        <w:rPr>
          <w:lang w:val="fr-FR"/>
        </w:rPr>
        <w:t>’</w:t>
      </w:r>
      <w:r w:rsidRPr="00A926A5">
        <w:rPr>
          <w:lang w:val="fr-FR"/>
        </w:rPr>
        <w:t>adresse</w:t>
      </w:r>
      <w:r w:rsidR="00A926A5">
        <w:rPr>
          <w:lang w:val="fr-FR"/>
        </w:rPr>
        <w:t xml:space="preserve"> </w:t>
      </w:r>
      <w:hyperlink r:id="rId12" w:history="1">
        <w:r w:rsidR="00A926A5" w:rsidRPr="009D321B">
          <w:rPr>
            <w:rStyle w:val="Hyperlink"/>
            <w:lang w:val="fr-FR"/>
          </w:rPr>
          <w:t>https://www.wipo.int/nice/its4nice/ITSupport_and_download_area/20260101/revision_files/ncl</w:t>
        </w:r>
        <w:r w:rsidR="00A926A5" w:rsidRPr="009D321B">
          <w:rPr>
            <w:rStyle w:val="Hyperlink"/>
            <w:lang w:val="fr-FR"/>
          </w:rPr>
          <w:noBreakHyphen/>
          <w:t>20260101-EFS-revision_file.xlsx</w:t>
        </w:r>
      </w:hyperlink>
      <w:r w:rsidRPr="00A926A5">
        <w:rPr>
          <w:lang w:val="fr-FR"/>
        </w:rPr>
        <w:t>.  Des instructions détaillées sur la manière de repérer et d</w:t>
      </w:r>
      <w:r w:rsidR="000C7BE0" w:rsidRPr="00A926A5">
        <w:rPr>
          <w:lang w:val="fr-FR"/>
        </w:rPr>
        <w:t>’</w:t>
      </w:r>
      <w:r w:rsidRPr="00A926A5">
        <w:rPr>
          <w:lang w:val="fr-FR"/>
        </w:rPr>
        <w:t>interpréter ces mises à jour sont fournies à l</w:t>
      </w:r>
      <w:r w:rsidR="000C7BE0" w:rsidRPr="00A926A5">
        <w:rPr>
          <w:lang w:val="fr-FR"/>
        </w:rPr>
        <w:t>’</w:t>
      </w:r>
      <w:r w:rsidRPr="00A926A5">
        <w:rPr>
          <w:lang w:val="fr-FR"/>
        </w:rPr>
        <w:t>annexe II du présent avis.</w:t>
      </w:r>
    </w:p>
    <w:p w14:paraId="5BC6764A" w14:textId="0C932F49" w:rsidR="00CA1560" w:rsidRPr="00A926A5" w:rsidRDefault="00247726" w:rsidP="00D236B4">
      <w:pPr>
        <w:pStyle w:val="Endofdocument-Annex"/>
        <w:spacing w:before="440"/>
        <w:rPr>
          <w:lang w:val="fr-FR"/>
        </w:rPr>
      </w:pPr>
      <w:r>
        <w:rPr>
          <w:lang w:val="fr-FR"/>
        </w:rPr>
        <w:t>14</w:t>
      </w:r>
      <w:r w:rsidR="00CA1560" w:rsidRPr="00A926A5">
        <w:rPr>
          <w:lang w:val="fr-FR"/>
        </w:rPr>
        <w:t xml:space="preserve"> novembre 2025</w:t>
      </w:r>
    </w:p>
    <w:p w14:paraId="67B4DE28" w14:textId="77777777" w:rsidR="00CA1560" w:rsidRPr="00A926A5" w:rsidRDefault="00CA1560" w:rsidP="00CA1560">
      <w:pPr>
        <w:pStyle w:val="Endofdocument-Annex"/>
        <w:spacing w:before="440"/>
        <w:rPr>
          <w:lang w:val="fr-FR"/>
        </w:rPr>
      </w:pPr>
    </w:p>
    <w:p w14:paraId="20BB863D" w14:textId="77777777" w:rsidR="00CA1560" w:rsidRPr="00A926A5" w:rsidRDefault="00CA1560" w:rsidP="00CA1560">
      <w:pPr>
        <w:pStyle w:val="Endofdocument-Annex"/>
        <w:spacing w:before="440"/>
        <w:rPr>
          <w:lang w:val="fr-FR"/>
        </w:rPr>
        <w:sectPr w:rsidR="00CA1560" w:rsidRPr="00A926A5" w:rsidSect="00CA1560">
          <w:headerReference w:type="even" r:id="rId13"/>
          <w:headerReference w:type="default" r:id="rId14"/>
          <w:endnotePr>
            <w:numFmt w:val="decimal"/>
          </w:endnotePr>
          <w:pgSz w:w="11907" w:h="16840" w:code="9"/>
          <w:pgMar w:top="567" w:right="1134" w:bottom="1135" w:left="1418" w:header="510" w:footer="1021" w:gutter="0"/>
          <w:cols w:space="720"/>
          <w:titlePg/>
          <w:docGrid w:linePitch="299"/>
        </w:sectPr>
      </w:pPr>
    </w:p>
    <w:p w14:paraId="5519A69A" w14:textId="331FEF06" w:rsidR="00CA1560" w:rsidRPr="00A926A5" w:rsidRDefault="00CA1560" w:rsidP="00A926A5">
      <w:pPr>
        <w:pStyle w:val="Heading1"/>
        <w:spacing w:before="0" w:after="240"/>
        <w:rPr>
          <w:lang w:val="fr-FR"/>
        </w:rPr>
      </w:pPr>
      <w:bookmarkStart w:id="0" w:name="_Hlk212819028"/>
      <w:r w:rsidRPr="00A926A5">
        <w:rPr>
          <w:lang w:val="fr-FR"/>
        </w:rPr>
        <w:lastRenderedPageBreak/>
        <w:t>Annexe I</w:t>
      </w:r>
      <w:r w:rsidR="000C7BE0" w:rsidRPr="00A926A5">
        <w:rPr>
          <w:lang w:val="fr-FR"/>
        </w:rPr>
        <w:t> :</w:t>
      </w:r>
      <w:r w:rsidRPr="00A926A5">
        <w:rPr>
          <w:lang w:val="fr-FR"/>
        </w:rPr>
        <w:t xml:space="preserve"> Liste des produits et services reclassés selon la version 2026 de la treizième édition de la classification de Nice (NCL 13</w:t>
      </w:r>
      <w:r w:rsidR="00A926A5">
        <w:rPr>
          <w:lang w:val="fr-FR"/>
        </w:rPr>
        <w:noBreakHyphen/>
      </w:r>
      <w:r w:rsidRPr="00A926A5">
        <w:rPr>
          <w:lang w:val="fr-FR"/>
        </w:rPr>
        <w:t>2026)</w:t>
      </w:r>
    </w:p>
    <w:p w14:paraId="64970900" w14:textId="76093E94" w:rsidR="00CA1560" w:rsidRPr="00A926A5" w:rsidRDefault="00CA1560" w:rsidP="00A926A5">
      <w:pPr>
        <w:spacing w:after="220"/>
        <w:rPr>
          <w:lang w:val="fr-FR"/>
        </w:rPr>
      </w:pPr>
      <w:r w:rsidRPr="00A926A5">
        <w:rPr>
          <w:lang w:val="fr-FR"/>
        </w:rPr>
        <w:t>Le tableau ci</w:t>
      </w:r>
      <w:r w:rsidR="00A926A5">
        <w:rPr>
          <w:lang w:val="fr-FR"/>
        </w:rPr>
        <w:noBreakHyphen/>
      </w:r>
      <w:r w:rsidRPr="00A926A5">
        <w:rPr>
          <w:lang w:val="fr-FR"/>
        </w:rPr>
        <w:t>dessous répertorie uniquement les termes de base qui ont été reclassés selon</w:t>
      </w:r>
      <w:r w:rsidR="000C7BE0" w:rsidRPr="00A926A5">
        <w:rPr>
          <w:lang w:val="fr-FR"/>
        </w:rPr>
        <w:t xml:space="preserve"> la NCL</w:t>
      </w:r>
      <w:r w:rsidRPr="00A926A5">
        <w:rPr>
          <w:lang w:val="fr-FR"/>
        </w:rPr>
        <w:t> 13</w:t>
      </w:r>
      <w:r w:rsidR="00A926A5">
        <w:rPr>
          <w:lang w:val="fr-FR"/>
        </w:rPr>
        <w:noBreakHyphen/>
      </w:r>
      <w:r w:rsidRPr="00A926A5">
        <w:rPr>
          <w:lang w:val="fr-FR"/>
        </w:rPr>
        <w:t>2026.  Pour plus de détails sur les autres modifications, veuillez vous reporter au Gestionnaire des produits et services de Madrid (</w:t>
      </w:r>
      <w:hyperlink r:id="rId15" w:history="1">
        <w:r w:rsidRPr="00A926A5">
          <w:rPr>
            <w:rStyle w:val="Hyperlink"/>
            <w:lang w:val="fr-FR"/>
          </w:rPr>
          <w:t>MGS</w:t>
        </w:r>
      </w:hyperlink>
      <w:r w:rsidRPr="00A926A5">
        <w:rPr>
          <w:lang w:val="fr-FR"/>
        </w:rPr>
        <w:t>), qui sera mis à jour lorsque</w:t>
      </w:r>
      <w:r w:rsidR="000C7BE0" w:rsidRPr="00A926A5">
        <w:rPr>
          <w:lang w:val="fr-FR"/>
        </w:rPr>
        <w:t xml:space="preserve"> la NCL</w:t>
      </w:r>
      <w:r w:rsidRPr="00A926A5">
        <w:rPr>
          <w:lang w:val="fr-FR"/>
        </w:rPr>
        <w:t> 13</w:t>
      </w:r>
      <w:r w:rsidR="00A926A5">
        <w:rPr>
          <w:lang w:val="fr-FR"/>
        </w:rPr>
        <w:noBreakHyphen/>
      </w:r>
      <w:r w:rsidRPr="00A926A5">
        <w:rPr>
          <w:lang w:val="fr-FR"/>
        </w:rPr>
        <w:t>2026 entrera en vigueur le</w:t>
      </w:r>
      <w:r w:rsidR="000C7BE0" w:rsidRPr="00A926A5">
        <w:rPr>
          <w:lang w:val="fr-FR"/>
        </w:rPr>
        <w:t xml:space="preserve"> 1</w:t>
      </w:r>
      <w:r w:rsidR="000C7BE0" w:rsidRPr="00A926A5">
        <w:rPr>
          <w:vertAlign w:val="superscript"/>
          <w:lang w:val="fr-FR"/>
        </w:rPr>
        <w:t>er</w:t>
      </w:r>
      <w:r w:rsidR="000C7BE0" w:rsidRPr="00A926A5">
        <w:rPr>
          <w:lang w:val="fr-FR"/>
        </w:rPr>
        <w:t> </w:t>
      </w:r>
      <w:r w:rsidRPr="00A926A5">
        <w:rPr>
          <w:lang w:val="fr-FR"/>
        </w:rPr>
        <w:t>janvier 2026.</w:t>
      </w:r>
    </w:p>
    <w:tbl>
      <w:tblPr>
        <w:tblW w:w="13181" w:type="dxa"/>
        <w:tblLook w:val="04A0" w:firstRow="1" w:lastRow="0" w:firstColumn="1" w:lastColumn="0" w:noHBand="0" w:noVBand="1"/>
      </w:tblPr>
      <w:tblGrid>
        <w:gridCol w:w="1508"/>
        <w:gridCol w:w="839"/>
        <w:gridCol w:w="3636"/>
        <w:gridCol w:w="1153"/>
        <w:gridCol w:w="1530"/>
        <w:gridCol w:w="1028"/>
        <w:gridCol w:w="3487"/>
      </w:tblGrid>
      <w:tr w:rsidR="00CA1560" w:rsidRPr="00033554" w14:paraId="24B6A6F2" w14:textId="77777777" w:rsidTr="00B732B1">
        <w:trPr>
          <w:trHeight w:val="227"/>
        </w:trPr>
        <w:tc>
          <w:tcPr>
            <w:tcW w:w="5983" w:type="dxa"/>
            <w:gridSpan w:val="3"/>
            <w:tcBorders>
              <w:top w:val="single" w:sz="8" w:space="0" w:color="auto"/>
              <w:left w:val="single" w:sz="8" w:space="0" w:color="auto"/>
              <w:bottom w:val="nil"/>
              <w:right w:val="single" w:sz="8" w:space="0" w:color="000000"/>
            </w:tcBorders>
            <w:noWrap/>
            <w:vAlign w:val="center"/>
            <w:hideMark/>
          </w:tcPr>
          <w:p w14:paraId="11412822" w14:textId="77777777" w:rsidR="00CA1560" w:rsidRPr="00A926A5" w:rsidRDefault="00CA1560" w:rsidP="0036184B">
            <w:pPr>
              <w:rPr>
                <w:rFonts w:ascii="Aptos Narrow" w:eastAsia="Times New Roman" w:hAnsi="Aptos Narrow" w:cs="Times New Roman"/>
                <w:color w:val="000000"/>
                <w:sz w:val="24"/>
                <w:szCs w:val="16"/>
                <w:lang w:val="fr-FR"/>
              </w:rPr>
            </w:pPr>
            <w:r w:rsidRPr="00A926A5">
              <w:rPr>
                <w:rFonts w:ascii="Aptos Narrow" w:hAnsi="Aptos Narrow"/>
                <w:color w:val="000000"/>
                <w:sz w:val="24"/>
                <w:szCs w:val="16"/>
                <w:lang w:val="fr-FR"/>
              </w:rPr>
              <w:t> </w:t>
            </w:r>
          </w:p>
        </w:tc>
        <w:tc>
          <w:tcPr>
            <w:tcW w:w="1153" w:type="dxa"/>
            <w:vMerge w:val="restart"/>
            <w:tcBorders>
              <w:top w:val="single" w:sz="8" w:space="0" w:color="auto"/>
              <w:left w:val="single" w:sz="8" w:space="0" w:color="auto"/>
              <w:bottom w:val="nil"/>
              <w:right w:val="single" w:sz="8" w:space="0" w:color="auto"/>
            </w:tcBorders>
            <w:noWrap/>
            <w:vAlign w:val="center"/>
            <w:hideMark/>
          </w:tcPr>
          <w:p w14:paraId="0BAD5FBF" w14:textId="77777777" w:rsidR="00CA1560" w:rsidRPr="00A926A5" w:rsidRDefault="00CA1560" w:rsidP="0036184B">
            <w:pPr>
              <w:rPr>
                <w:rFonts w:ascii="Aptos Narrow" w:eastAsia="Times New Roman" w:hAnsi="Aptos Narrow" w:cs="Times New Roman"/>
                <w:color w:val="000000"/>
                <w:sz w:val="24"/>
                <w:szCs w:val="16"/>
                <w:lang w:val="fr-FR"/>
              </w:rPr>
            </w:pPr>
            <w:r w:rsidRPr="00A926A5">
              <w:rPr>
                <w:rFonts w:ascii="Aptos Narrow" w:hAnsi="Aptos Narrow"/>
                <w:color w:val="000000"/>
                <w:sz w:val="24"/>
                <w:szCs w:val="16"/>
                <w:lang w:val="fr-FR"/>
              </w:rPr>
              <w:t> </w:t>
            </w:r>
          </w:p>
        </w:tc>
        <w:tc>
          <w:tcPr>
            <w:tcW w:w="6045" w:type="dxa"/>
            <w:gridSpan w:val="3"/>
            <w:tcBorders>
              <w:top w:val="single" w:sz="8" w:space="0" w:color="auto"/>
              <w:left w:val="nil"/>
              <w:bottom w:val="nil"/>
              <w:right w:val="single" w:sz="8" w:space="0" w:color="000000"/>
            </w:tcBorders>
            <w:noWrap/>
            <w:vAlign w:val="center"/>
            <w:hideMark/>
          </w:tcPr>
          <w:p w14:paraId="153EC921" w14:textId="77777777" w:rsidR="00CA1560" w:rsidRPr="00A926A5" w:rsidRDefault="00CA1560" w:rsidP="0036184B">
            <w:pPr>
              <w:rPr>
                <w:rFonts w:ascii="Aptos Narrow" w:eastAsia="Times New Roman" w:hAnsi="Aptos Narrow" w:cs="Times New Roman"/>
                <w:color w:val="000000"/>
                <w:sz w:val="24"/>
                <w:szCs w:val="16"/>
                <w:lang w:val="fr-FR"/>
              </w:rPr>
            </w:pPr>
            <w:r w:rsidRPr="00A926A5">
              <w:rPr>
                <w:rFonts w:ascii="Aptos Narrow" w:hAnsi="Aptos Narrow"/>
                <w:color w:val="000000"/>
                <w:sz w:val="24"/>
                <w:szCs w:val="16"/>
                <w:lang w:val="fr-FR"/>
              </w:rPr>
              <w:t> </w:t>
            </w:r>
          </w:p>
        </w:tc>
      </w:tr>
      <w:tr w:rsidR="00CA1560" w:rsidRPr="00A926A5" w14:paraId="12E3D083" w14:textId="77777777" w:rsidTr="00B732B1">
        <w:trPr>
          <w:trHeight w:val="290"/>
        </w:trPr>
        <w:tc>
          <w:tcPr>
            <w:tcW w:w="5983" w:type="dxa"/>
            <w:gridSpan w:val="3"/>
            <w:tcBorders>
              <w:top w:val="nil"/>
              <w:left w:val="single" w:sz="8" w:space="0" w:color="auto"/>
              <w:bottom w:val="nil"/>
              <w:right w:val="single" w:sz="8" w:space="0" w:color="000000"/>
            </w:tcBorders>
            <w:noWrap/>
            <w:vAlign w:val="center"/>
            <w:hideMark/>
          </w:tcPr>
          <w:p w14:paraId="0E2F4EFC" w14:textId="73BBE202" w:rsidR="00CA1560" w:rsidRPr="00A926A5" w:rsidRDefault="00CA1560" w:rsidP="0036184B">
            <w:pPr>
              <w:jc w:val="center"/>
              <w:rPr>
                <w:rFonts w:ascii="Aptos Narrow" w:eastAsia="Times New Roman" w:hAnsi="Aptos Narrow" w:cs="Times New Roman"/>
                <w:b/>
                <w:bCs/>
                <w:color w:val="000000"/>
                <w:sz w:val="32"/>
                <w:szCs w:val="32"/>
                <w:lang w:val="fr-FR"/>
              </w:rPr>
            </w:pPr>
            <w:r w:rsidRPr="00A926A5">
              <w:rPr>
                <w:rFonts w:ascii="Aptos Narrow" w:hAnsi="Aptos Narrow"/>
                <w:b/>
                <w:color w:val="000000"/>
                <w:sz w:val="32"/>
                <w:lang w:val="fr-FR"/>
              </w:rPr>
              <w:t>NCL 12</w:t>
            </w:r>
            <w:r w:rsidR="00A926A5">
              <w:rPr>
                <w:rFonts w:ascii="Aptos Narrow" w:hAnsi="Aptos Narrow"/>
                <w:b/>
                <w:color w:val="000000"/>
                <w:sz w:val="32"/>
                <w:lang w:val="fr-FR"/>
              </w:rPr>
              <w:noBreakHyphen/>
            </w:r>
            <w:r w:rsidRPr="00A926A5">
              <w:rPr>
                <w:rFonts w:ascii="Aptos Narrow" w:hAnsi="Aptos Narrow"/>
                <w:b/>
                <w:color w:val="000000"/>
                <w:sz w:val="32"/>
                <w:lang w:val="fr-FR"/>
              </w:rPr>
              <w:t>2025</w:t>
            </w:r>
          </w:p>
        </w:tc>
        <w:tc>
          <w:tcPr>
            <w:tcW w:w="1153" w:type="dxa"/>
            <w:vMerge/>
            <w:tcBorders>
              <w:top w:val="single" w:sz="8" w:space="0" w:color="auto"/>
              <w:left w:val="single" w:sz="8" w:space="0" w:color="auto"/>
              <w:bottom w:val="nil"/>
              <w:right w:val="single" w:sz="8" w:space="0" w:color="auto"/>
            </w:tcBorders>
            <w:vAlign w:val="center"/>
            <w:hideMark/>
          </w:tcPr>
          <w:p w14:paraId="47F5CE72" w14:textId="77777777" w:rsidR="00CA1560" w:rsidRPr="00A926A5" w:rsidRDefault="00CA1560" w:rsidP="0036184B">
            <w:pPr>
              <w:rPr>
                <w:rFonts w:ascii="Aptos Narrow" w:eastAsia="Times New Roman" w:hAnsi="Aptos Narrow" w:cs="Times New Roman"/>
                <w:color w:val="000000"/>
                <w:szCs w:val="22"/>
                <w:lang w:val="fr-FR"/>
              </w:rPr>
            </w:pPr>
          </w:p>
        </w:tc>
        <w:tc>
          <w:tcPr>
            <w:tcW w:w="6045" w:type="dxa"/>
            <w:gridSpan w:val="3"/>
            <w:tcBorders>
              <w:top w:val="nil"/>
              <w:left w:val="nil"/>
              <w:bottom w:val="nil"/>
              <w:right w:val="single" w:sz="8" w:space="0" w:color="000000"/>
            </w:tcBorders>
            <w:noWrap/>
            <w:vAlign w:val="center"/>
            <w:hideMark/>
          </w:tcPr>
          <w:p w14:paraId="3BFDCE65" w14:textId="16AF180C"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sz w:val="32"/>
                <w:lang w:val="fr-FR"/>
              </w:rPr>
              <w:t>NCL 13</w:t>
            </w:r>
            <w:r w:rsidR="00A926A5">
              <w:rPr>
                <w:rFonts w:ascii="Aptos Narrow" w:hAnsi="Aptos Narrow"/>
                <w:b/>
                <w:color w:val="000000"/>
                <w:sz w:val="32"/>
                <w:lang w:val="fr-FR"/>
              </w:rPr>
              <w:noBreakHyphen/>
            </w:r>
            <w:r w:rsidRPr="00A926A5">
              <w:rPr>
                <w:rFonts w:ascii="Aptos Narrow" w:hAnsi="Aptos Narrow"/>
                <w:b/>
                <w:color w:val="000000"/>
                <w:sz w:val="32"/>
                <w:lang w:val="fr-FR"/>
              </w:rPr>
              <w:t>2026</w:t>
            </w:r>
          </w:p>
        </w:tc>
      </w:tr>
      <w:tr w:rsidR="00CA1560" w:rsidRPr="00A926A5" w14:paraId="581130D7" w14:textId="77777777" w:rsidTr="00B732B1">
        <w:trPr>
          <w:trHeight w:val="227"/>
        </w:trPr>
        <w:tc>
          <w:tcPr>
            <w:tcW w:w="5983" w:type="dxa"/>
            <w:gridSpan w:val="3"/>
            <w:tcBorders>
              <w:top w:val="nil"/>
              <w:left w:val="single" w:sz="8" w:space="0" w:color="auto"/>
              <w:bottom w:val="single" w:sz="8" w:space="0" w:color="auto"/>
              <w:right w:val="single" w:sz="8" w:space="0" w:color="000000"/>
            </w:tcBorders>
            <w:noWrap/>
            <w:vAlign w:val="center"/>
            <w:hideMark/>
          </w:tcPr>
          <w:p w14:paraId="48C2E092" w14:textId="77777777" w:rsidR="00CA1560" w:rsidRPr="00A926A5" w:rsidRDefault="00CA1560" w:rsidP="0036184B">
            <w:pPr>
              <w:rPr>
                <w:rFonts w:ascii="Aptos Narrow" w:eastAsia="Times New Roman" w:hAnsi="Aptos Narrow" w:cs="Times New Roman"/>
                <w:color w:val="000000"/>
                <w:sz w:val="20"/>
                <w:szCs w:val="18"/>
                <w:lang w:val="fr-FR"/>
              </w:rPr>
            </w:pPr>
            <w:r w:rsidRPr="00A926A5">
              <w:rPr>
                <w:rFonts w:ascii="Aptos Narrow" w:hAnsi="Aptos Narrow"/>
                <w:color w:val="000000"/>
                <w:sz w:val="20"/>
                <w:szCs w:val="18"/>
                <w:lang w:val="fr-FR"/>
              </w:rPr>
              <w:t> </w:t>
            </w:r>
          </w:p>
        </w:tc>
        <w:tc>
          <w:tcPr>
            <w:tcW w:w="1153" w:type="dxa"/>
            <w:vMerge/>
            <w:tcBorders>
              <w:top w:val="single" w:sz="8" w:space="0" w:color="auto"/>
              <w:left w:val="single" w:sz="8" w:space="0" w:color="auto"/>
              <w:bottom w:val="nil"/>
              <w:right w:val="single" w:sz="8" w:space="0" w:color="auto"/>
            </w:tcBorders>
            <w:vAlign w:val="center"/>
            <w:hideMark/>
          </w:tcPr>
          <w:p w14:paraId="772E169B" w14:textId="77777777" w:rsidR="00CA1560" w:rsidRPr="00A926A5" w:rsidRDefault="00CA1560" w:rsidP="0036184B">
            <w:pPr>
              <w:rPr>
                <w:rFonts w:ascii="Aptos Narrow" w:eastAsia="Times New Roman" w:hAnsi="Aptos Narrow" w:cs="Times New Roman"/>
                <w:color w:val="000000"/>
                <w:sz w:val="20"/>
                <w:szCs w:val="18"/>
                <w:lang w:val="fr-FR"/>
              </w:rPr>
            </w:pPr>
          </w:p>
        </w:tc>
        <w:tc>
          <w:tcPr>
            <w:tcW w:w="6045" w:type="dxa"/>
            <w:gridSpan w:val="3"/>
            <w:tcBorders>
              <w:top w:val="nil"/>
              <w:left w:val="nil"/>
              <w:bottom w:val="single" w:sz="8" w:space="0" w:color="auto"/>
              <w:right w:val="single" w:sz="8" w:space="0" w:color="000000"/>
            </w:tcBorders>
            <w:noWrap/>
            <w:vAlign w:val="center"/>
            <w:hideMark/>
          </w:tcPr>
          <w:p w14:paraId="3E2622C8" w14:textId="77777777" w:rsidR="00CA1560" w:rsidRPr="00A926A5" w:rsidRDefault="00CA1560" w:rsidP="0036184B">
            <w:pPr>
              <w:rPr>
                <w:rFonts w:ascii="Aptos Narrow" w:eastAsia="Times New Roman" w:hAnsi="Aptos Narrow" w:cs="Times New Roman"/>
                <w:color w:val="000000"/>
                <w:sz w:val="20"/>
                <w:szCs w:val="18"/>
                <w:lang w:val="fr-FR"/>
              </w:rPr>
            </w:pPr>
            <w:r w:rsidRPr="00A926A5">
              <w:rPr>
                <w:rFonts w:ascii="Aptos Narrow" w:hAnsi="Aptos Narrow"/>
                <w:color w:val="000000"/>
                <w:sz w:val="20"/>
                <w:szCs w:val="18"/>
                <w:lang w:val="fr-FR"/>
              </w:rPr>
              <w:t> </w:t>
            </w:r>
          </w:p>
        </w:tc>
      </w:tr>
      <w:tr w:rsidR="00CA1560" w:rsidRPr="00A926A5" w14:paraId="2C95F8B9" w14:textId="77777777" w:rsidTr="00B732B1">
        <w:trPr>
          <w:trHeight w:val="290"/>
        </w:trPr>
        <w:tc>
          <w:tcPr>
            <w:tcW w:w="1508" w:type="dxa"/>
            <w:vMerge w:val="restart"/>
            <w:tcBorders>
              <w:top w:val="nil"/>
              <w:left w:val="single" w:sz="8" w:space="0" w:color="auto"/>
              <w:bottom w:val="single" w:sz="8" w:space="0" w:color="000000"/>
              <w:right w:val="single" w:sz="8" w:space="0" w:color="auto"/>
            </w:tcBorders>
            <w:noWrap/>
            <w:vAlign w:val="center"/>
            <w:hideMark/>
          </w:tcPr>
          <w:p w14:paraId="268B8E4F" w14:textId="77777777"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lang w:val="fr-FR"/>
              </w:rPr>
              <w:t>N° de base</w:t>
            </w:r>
          </w:p>
        </w:tc>
        <w:tc>
          <w:tcPr>
            <w:tcW w:w="839" w:type="dxa"/>
            <w:vMerge w:val="restart"/>
            <w:tcBorders>
              <w:top w:val="nil"/>
              <w:left w:val="single" w:sz="8" w:space="0" w:color="auto"/>
              <w:bottom w:val="single" w:sz="8" w:space="0" w:color="000000"/>
              <w:right w:val="single" w:sz="8" w:space="0" w:color="auto"/>
            </w:tcBorders>
            <w:noWrap/>
            <w:vAlign w:val="center"/>
            <w:hideMark/>
          </w:tcPr>
          <w:p w14:paraId="52DF3D3F" w14:textId="77777777" w:rsidR="00CA1560" w:rsidRPr="00A926A5" w:rsidRDefault="00CA1560" w:rsidP="0036184B">
            <w:pPr>
              <w:jc w:val="center"/>
              <w:rPr>
                <w:rFonts w:ascii="Aptos Narrow" w:hAnsi="Aptos Narrow" w:cs="Times New Roman"/>
                <w:b/>
                <w:bCs/>
                <w:color w:val="000000"/>
                <w:szCs w:val="22"/>
                <w:lang w:val="fr-FR"/>
              </w:rPr>
            </w:pPr>
            <w:r w:rsidRPr="00A926A5">
              <w:rPr>
                <w:rFonts w:ascii="Aptos Narrow" w:hAnsi="Aptos Narrow"/>
                <w:b/>
                <w:color w:val="000000"/>
                <w:lang w:val="fr-FR"/>
              </w:rPr>
              <w:t>Classe</w:t>
            </w:r>
          </w:p>
        </w:tc>
        <w:tc>
          <w:tcPr>
            <w:tcW w:w="3636" w:type="dxa"/>
            <w:vMerge w:val="restart"/>
            <w:tcBorders>
              <w:top w:val="nil"/>
              <w:left w:val="single" w:sz="8" w:space="0" w:color="auto"/>
              <w:bottom w:val="single" w:sz="8" w:space="0" w:color="000000"/>
              <w:right w:val="single" w:sz="8" w:space="0" w:color="auto"/>
            </w:tcBorders>
            <w:noWrap/>
            <w:vAlign w:val="center"/>
            <w:hideMark/>
          </w:tcPr>
          <w:p w14:paraId="593D7DD7" w14:textId="77777777"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lang w:val="fr-FR"/>
              </w:rPr>
              <w:t>Produits et services (FR)</w:t>
            </w:r>
          </w:p>
        </w:tc>
        <w:tc>
          <w:tcPr>
            <w:tcW w:w="1153" w:type="dxa"/>
            <w:tcBorders>
              <w:top w:val="nil"/>
              <w:left w:val="nil"/>
              <w:bottom w:val="nil"/>
              <w:right w:val="single" w:sz="8" w:space="0" w:color="auto"/>
            </w:tcBorders>
            <w:noWrap/>
            <w:vAlign w:val="center"/>
          </w:tcPr>
          <w:p w14:paraId="271186C9" w14:textId="77777777" w:rsidR="00CA1560" w:rsidRPr="00A926A5" w:rsidRDefault="00CA1560" w:rsidP="0036184B">
            <w:pPr>
              <w:rPr>
                <w:rFonts w:ascii="Aptos Narrow" w:eastAsia="Times New Roman" w:hAnsi="Aptos Narrow" w:cs="Times New Roman"/>
                <w:color w:val="000000"/>
                <w:szCs w:val="22"/>
                <w:lang w:val="fr-FR"/>
              </w:rPr>
            </w:pPr>
          </w:p>
        </w:tc>
        <w:tc>
          <w:tcPr>
            <w:tcW w:w="1530" w:type="dxa"/>
            <w:vMerge w:val="restart"/>
            <w:tcBorders>
              <w:top w:val="nil"/>
              <w:left w:val="single" w:sz="8" w:space="0" w:color="auto"/>
              <w:bottom w:val="single" w:sz="8" w:space="0" w:color="000000"/>
              <w:right w:val="single" w:sz="8" w:space="0" w:color="auto"/>
            </w:tcBorders>
            <w:noWrap/>
            <w:vAlign w:val="center"/>
            <w:hideMark/>
          </w:tcPr>
          <w:p w14:paraId="666C9327" w14:textId="77777777"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lang w:val="fr-FR"/>
              </w:rPr>
              <w:t>Nouveau n° de base</w:t>
            </w:r>
          </w:p>
        </w:tc>
        <w:tc>
          <w:tcPr>
            <w:tcW w:w="1028" w:type="dxa"/>
            <w:vMerge w:val="restart"/>
            <w:tcBorders>
              <w:top w:val="nil"/>
              <w:left w:val="single" w:sz="8" w:space="0" w:color="auto"/>
              <w:bottom w:val="single" w:sz="8" w:space="0" w:color="000000"/>
              <w:right w:val="single" w:sz="8" w:space="0" w:color="auto"/>
            </w:tcBorders>
            <w:noWrap/>
            <w:vAlign w:val="center"/>
            <w:hideMark/>
          </w:tcPr>
          <w:p w14:paraId="6E56199B" w14:textId="77777777" w:rsidR="00CA1560" w:rsidRPr="00A926A5" w:rsidRDefault="00CA1560" w:rsidP="0036184B">
            <w:pPr>
              <w:jc w:val="center"/>
              <w:rPr>
                <w:rFonts w:ascii="Aptos Narrow" w:hAnsi="Aptos Narrow" w:cs="Times New Roman"/>
                <w:b/>
                <w:bCs/>
                <w:color w:val="000000"/>
                <w:szCs w:val="22"/>
                <w:lang w:val="fr-FR"/>
              </w:rPr>
            </w:pPr>
            <w:r w:rsidRPr="00A926A5">
              <w:rPr>
                <w:rFonts w:ascii="Aptos Narrow" w:hAnsi="Aptos Narrow"/>
                <w:b/>
                <w:color w:val="000000"/>
                <w:lang w:val="fr-FR"/>
              </w:rPr>
              <w:t>Nouvelle classe</w:t>
            </w:r>
          </w:p>
        </w:tc>
        <w:tc>
          <w:tcPr>
            <w:tcW w:w="3487" w:type="dxa"/>
            <w:vMerge w:val="restart"/>
            <w:tcBorders>
              <w:top w:val="nil"/>
              <w:left w:val="single" w:sz="8" w:space="0" w:color="auto"/>
              <w:bottom w:val="single" w:sz="8" w:space="0" w:color="000000"/>
              <w:right w:val="single" w:sz="8" w:space="0" w:color="auto"/>
            </w:tcBorders>
            <w:noWrap/>
            <w:vAlign w:val="center"/>
            <w:hideMark/>
          </w:tcPr>
          <w:p w14:paraId="7821325C" w14:textId="77777777"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lang w:val="fr-FR"/>
              </w:rPr>
              <w:t>Produits et services (FR)</w:t>
            </w:r>
          </w:p>
        </w:tc>
      </w:tr>
      <w:tr w:rsidR="00CA1560" w:rsidRPr="00A926A5" w14:paraId="5444B339" w14:textId="77777777" w:rsidTr="00B732B1">
        <w:trPr>
          <w:trHeight w:val="290"/>
        </w:trPr>
        <w:tc>
          <w:tcPr>
            <w:tcW w:w="1508" w:type="dxa"/>
            <w:vMerge/>
            <w:tcBorders>
              <w:top w:val="nil"/>
              <w:left w:val="single" w:sz="8" w:space="0" w:color="auto"/>
              <w:bottom w:val="single" w:sz="8" w:space="0" w:color="000000"/>
              <w:right w:val="single" w:sz="8" w:space="0" w:color="auto"/>
            </w:tcBorders>
            <w:vAlign w:val="center"/>
            <w:hideMark/>
          </w:tcPr>
          <w:p w14:paraId="10738A15"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839" w:type="dxa"/>
            <w:vMerge/>
            <w:tcBorders>
              <w:top w:val="nil"/>
              <w:left w:val="single" w:sz="8" w:space="0" w:color="auto"/>
              <w:bottom w:val="single" w:sz="8" w:space="0" w:color="000000"/>
              <w:right w:val="single" w:sz="8" w:space="0" w:color="auto"/>
            </w:tcBorders>
            <w:vAlign w:val="center"/>
            <w:hideMark/>
          </w:tcPr>
          <w:p w14:paraId="3B84F5EF"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3636" w:type="dxa"/>
            <w:vMerge/>
            <w:tcBorders>
              <w:top w:val="nil"/>
              <w:left w:val="single" w:sz="8" w:space="0" w:color="auto"/>
              <w:bottom w:val="single" w:sz="8" w:space="0" w:color="000000"/>
              <w:right w:val="single" w:sz="8" w:space="0" w:color="auto"/>
            </w:tcBorders>
            <w:vAlign w:val="center"/>
            <w:hideMark/>
          </w:tcPr>
          <w:p w14:paraId="76DBB567"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1153" w:type="dxa"/>
            <w:tcBorders>
              <w:top w:val="nil"/>
              <w:left w:val="nil"/>
              <w:bottom w:val="nil"/>
              <w:right w:val="single" w:sz="8" w:space="0" w:color="auto"/>
            </w:tcBorders>
            <w:noWrap/>
            <w:vAlign w:val="center"/>
          </w:tcPr>
          <w:p w14:paraId="65CB199E" w14:textId="77777777" w:rsidR="00CA1560" w:rsidRPr="00A926A5" w:rsidRDefault="00CA1560" w:rsidP="0036184B">
            <w:pPr>
              <w:rPr>
                <w:rFonts w:ascii="Aptos Narrow" w:eastAsia="Times New Roman" w:hAnsi="Aptos Narrow" w:cs="Times New Roman"/>
                <w:color w:val="000000"/>
                <w:szCs w:val="22"/>
                <w:lang w:val="fr-FR"/>
              </w:rPr>
            </w:pPr>
          </w:p>
        </w:tc>
        <w:tc>
          <w:tcPr>
            <w:tcW w:w="1530" w:type="dxa"/>
            <w:vMerge/>
            <w:tcBorders>
              <w:top w:val="nil"/>
              <w:left w:val="single" w:sz="8" w:space="0" w:color="auto"/>
              <w:bottom w:val="single" w:sz="8" w:space="0" w:color="000000"/>
              <w:right w:val="single" w:sz="8" w:space="0" w:color="auto"/>
            </w:tcBorders>
            <w:vAlign w:val="center"/>
            <w:hideMark/>
          </w:tcPr>
          <w:p w14:paraId="3BA29D23"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1028" w:type="dxa"/>
            <w:vMerge/>
            <w:tcBorders>
              <w:top w:val="nil"/>
              <w:left w:val="single" w:sz="8" w:space="0" w:color="auto"/>
              <w:bottom w:val="single" w:sz="8" w:space="0" w:color="000000"/>
              <w:right w:val="single" w:sz="8" w:space="0" w:color="auto"/>
            </w:tcBorders>
            <w:vAlign w:val="center"/>
            <w:hideMark/>
          </w:tcPr>
          <w:p w14:paraId="68732047"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3487" w:type="dxa"/>
            <w:vMerge/>
            <w:tcBorders>
              <w:top w:val="nil"/>
              <w:left w:val="single" w:sz="8" w:space="0" w:color="auto"/>
              <w:bottom w:val="single" w:sz="8" w:space="0" w:color="000000"/>
              <w:right w:val="single" w:sz="8" w:space="0" w:color="auto"/>
            </w:tcBorders>
            <w:vAlign w:val="center"/>
            <w:hideMark/>
          </w:tcPr>
          <w:p w14:paraId="23AA3875" w14:textId="77777777" w:rsidR="00CA1560" w:rsidRPr="00A926A5" w:rsidRDefault="00CA1560" w:rsidP="0036184B">
            <w:pPr>
              <w:jc w:val="center"/>
              <w:rPr>
                <w:rFonts w:ascii="Aptos Narrow" w:eastAsia="Times New Roman" w:hAnsi="Aptos Narrow" w:cs="Times New Roman"/>
                <w:color w:val="000000"/>
                <w:szCs w:val="22"/>
                <w:lang w:val="fr-FR"/>
              </w:rPr>
            </w:pPr>
          </w:p>
        </w:tc>
      </w:tr>
      <w:tr w:rsidR="00CA1560" w:rsidRPr="00A926A5" w14:paraId="50A2AEB7" w14:textId="77777777" w:rsidTr="00B732B1">
        <w:trPr>
          <w:trHeight w:val="60"/>
        </w:trPr>
        <w:tc>
          <w:tcPr>
            <w:tcW w:w="1508" w:type="dxa"/>
            <w:vMerge/>
            <w:tcBorders>
              <w:top w:val="nil"/>
              <w:left w:val="single" w:sz="8" w:space="0" w:color="auto"/>
              <w:bottom w:val="single" w:sz="8" w:space="0" w:color="000000"/>
              <w:right w:val="single" w:sz="8" w:space="0" w:color="auto"/>
            </w:tcBorders>
            <w:vAlign w:val="center"/>
            <w:hideMark/>
          </w:tcPr>
          <w:p w14:paraId="6A9C7FED"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839" w:type="dxa"/>
            <w:vMerge/>
            <w:tcBorders>
              <w:top w:val="nil"/>
              <w:left w:val="single" w:sz="8" w:space="0" w:color="auto"/>
              <w:bottom w:val="single" w:sz="8" w:space="0" w:color="000000"/>
              <w:right w:val="single" w:sz="8" w:space="0" w:color="auto"/>
            </w:tcBorders>
            <w:vAlign w:val="center"/>
            <w:hideMark/>
          </w:tcPr>
          <w:p w14:paraId="10E4885C"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3636" w:type="dxa"/>
            <w:vMerge/>
            <w:tcBorders>
              <w:top w:val="nil"/>
              <w:left w:val="single" w:sz="8" w:space="0" w:color="auto"/>
              <w:bottom w:val="single" w:sz="8" w:space="0" w:color="000000"/>
              <w:right w:val="single" w:sz="8" w:space="0" w:color="auto"/>
            </w:tcBorders>
            <w:vAlign w:val="center"/>
            <w:hideMark/>
          </w:tcPr>
          <w:p w14:paraId="2A4FDC0F"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1153" w:type="dxa"/>
            <w:tcBorders>
              <w:top w:val="nil"/>
              <w:left w:val="nil"/>
              <w:bottom w:val="nil"/>
              <w:right w:val="single" w:sz="8" w:space="0" w:color="auto"/>
            </w:tcBorders>
            <w:noWrap/>
            <w:vAlign w:val="center"/>
          </w:tcPr>
          <w:p w14:paraId="54B9EC7C" w14:textId="77777777" w:rsidR="00CA1560" w:rsidRPr="00A926A5" w:rsidRDefault="00CA1560" w:rsidP="0036184B">
            <w:pPr>
              <w:rPr>
                <w:rFonts w:ascii="Aptos Narrow" w:eastAsia="Times New Roman" w:hAnsi="Aptos Narrow" w:cs="Times New Roman"/>
                <w:color w:val="000000"/>
                <w:szCs w:val="22"/>
                <w:lang w:val="fr-FR"/>
              </w:rPr>
            </w:pPr>
          </w:p>
        </w:tc>
        <w:tc>
          <w:tcPr>
            <w:tcW w:w="1530" w:type="dxa"/>
            <w:vMerge/>
            <w:tcBorders>
              <w:top w:val="nil"/>
              <w:left w:val="single" w:sz="8" w:space="0" w:color="auto"/>
              <w:bottom w:val="single" w:sz="8" w:space="0" w:color="000000"/>
              <w:right w:val="single" w:sz="8" w:space="0" w:color="auto"/>
            </w:tcBorders>
            <w:vAlign w:val="center"/>
            <w:hideMark/>
          </w:tcPr>
          <w:p w14:paraId="7BB2445C"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1028" w:type="dxa"/>
            <w:vMerge/>
            <w:tcBorders>
              <w:top w:val="nil"/>
              <w:left w:val="single" w:sz="8" w:space="0" w:color="auto"/>
              <w:bottom w:val="single" w:sz="8" w:space="0" w:color="000000"/>
              <w:right w:val="single" w:sz="8" w:space="0" w:color="auto"/>
            </w:tcBorders>
            <w:vAlign w:val="center"/>
            <w:hideMark/>
          </w:tcPr>
          <w:p w14:paraId="00F56C2C" w14:textId="77777777" w:rsidR="00CA1560" w:rsidRPr="00A926A5" w:rsidRDefault="00CA1560" w:rsidP="0036184B">
            <w:pPr>
              <w:jc w:val="center"/>
              <w:rPr>
                <w:rFonts w:ascii="Aptos Narrow" w:eastAsia="Times New Roman" w:hAnsi="Aptos Narrow" w:cs="Times New Roman"/>
                <w:color w:val="000000"/>
                <w:szCs w:val="22"/>
                <w:lang w:val="fr-FR"/>
              </w:rPr>
            </w:pPr>
          </w:p>
        </w:tc>
        <w:tc>
          <w:tcPr>
            <w:tcW w:w="3487" w:type="dxa"/>
            <w:vMerge/>
            <w:tcBorders>
              <w:top w:val="nil"/>
              <w:left w:val="single" w:sz="8" w:space="0" w:color="auto"/>
              <w:bottom w:val="single" w:sz="8" w:space="0" w:color="000000"/>
              <w:right w:val="single" w:sz="8" w:space="0" w:color="auto"/>
            </w:tcBorders>
            <w:vAlign w:val="center"/>
            <w:hideMark/>
          </w:tcPr>
          <w:p w14:paraId="62437314" w14:textId="77777777" w:rsidR="00CA1560" w:rsidRPr="00A926A5" w:rsidRDefault="00CA1560" w:rsidP="0036184B">
            <w:pPr>
              <w:jc w:val="center"/>
              <w:rPr>
                <w:rFonts w:ascii="Aptos Narrow" w:eastAsia="Times New Roman" w:hAnsi="Aptos Narrow" w:cs="Times New Roman"/>
                <w:color w:val="000000"/>
                <w:szCs w:val="22"/>
                <w:lang w:val="fr-FR"/>
              </w:rPr>
            </w:pPr>
          </w:p>
        </w:tc>
      </w:tr>
      <w:tr w:rsidR="00CA1560" w:rsidRPr="00A926A5" w14:paraId="36A46D6E"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0C158FBB"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030159</w:t>
            </w:r>
          </w:p>
        </w:tc>
        <w:tc>
          <w:tcPr>
            <w:tcW w:w="839" w:type="dxa"/>
            <w:tcBorders>
              <w:top w:val="nil"/>
              <w:left w:val="nil"/>
              <w:bottom w:val="single" w:sz="8" w:space="0" w:color="auto"/>
              <w:right w:val="single" w:sz="8" w:space="0" w:color="auto"/>
            </w:tcBorders>
            <w:noWrap/>
            <w:vAlign w:val="center"/>
            <w:hideMark/>
          </w:tcPr>
          <w:p w14:paraId="3237A5F7"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3</w:t>
            </w:r>
          </w:p>
        </w:tc>
        <w:tc>
          <w:tcPr>
            <w:tcW w:w="3636" w:type="dxa"/>
            <w:tcBorders>
              <w:top w:val="nil"/>
              <w:left w:val="nil"/>
              <w:bottom w:val="single" w:sz="8" w:space="0" w:color="auto"/>
              <w:right w:val="single" w:sz="8" w:space="0" w:color="auto"/>
            </w:tcBorders>
            <w:noWrap/>
            <w:vAlign w:val="center"/>
            <w:hideMark/>
          </w:tcPr>
          <w:p w14:paraId="1BE6D4F1"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terpènes [huiles essentielles]</w:t>
            </w:r>
          </w:p>
        </w:tc>
        <w:tc>
          <w:tcPr>
            <w:tcW w:w="1153" w:type="dxa"/>
            <w:tcBorders>
              <w:top w:val="nil"/>
              <w:left w:val="nil"/>
              <w:bottom w:val="nil"/>
              <w:right w:val="single" w:sz="8" w:space="0" w:color="auto"/>
            </w:tcBorders>
            <w:noWrap/>
            <w:vAlign w:val="center"/>
            <w:hideMark/>
          </w:tcPr>
          <w:p w14:paraId="0183DDB9" w14:textId="77777777" w:rsidR="00CA1560" w:rsidRPr="00A926A5" w:rsidRDefault="00CA1560" w:rsidP="0036184B">
            <w:pPr>
              <w:rPr>
                <w:rFonts w:ascii="Aptos Narrow" w:eastAsia="Times New Roman" w:hAnsi="Aptos Narrow" w:cs="Times New Roman"/>
                <w:color w:val="000000"/>
                <w:szCs w:val="22"/>
                <w:lang w:val="fr-FR"/>
              </w:rPr>
            </w:pPr>
            <w:r w:rsidRPr="00A926A5">
              <w:rPr>
                <w:rFonts w:ascii="Aptos Narrow" w:hAnsi="Aptos Narrow"/>
                <w:color w:val="000000"/>
                <w:lang w:val="fr-FR"/>
              </w:rPr>
              <w:t> </w:t>
            </w:r>
          </w:p>
        </w:tc>
        <w:tc>
          <w:tcPr>
            <w:tcW w:w="1530" w:type="dxa"/>
            <w:tcBorders>
              <w:top w:val="nil"/>
              <w:left w:val="nil"/>
              <w:bottom w:val="single" w:sz="8" w:space="0" w:color="auto"/>
              <w:right w:val="single" w:sz="8" w:space="0" w:color="auto"/>
            </w:tcBorders>
            <w:noWrap/>
            <w:vAlign w:val="center"/>
            <w:hideMark/>
          </w:tcPr>
          <w:p w14:paraId="3ADDB037"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010743</w:t>
            </w:r>
          </w:p>
        </w:tc>
        <w:tc>
          <w:tcPr>
            <w:tcW w:w="1028" w:type="dxa"/>
            <w:tcBorders>
              <w:top w:val="nil"/>
              <w:left w:val="nil"/>
              <w:bottom w:val="single" w:sz="8" w:space="0" w:color="auto"/>
              <w:right w:val="single" w:sz="8" w:space="0" w:color="auto"/>
            </w:tcBorders>
            <w:noWrap/>
            <w:vAlign w:val="center"/>
            <w:hideMark/>
          </w:tcPr>
          <w:p w14:paraId="65BDF5B0"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w:t>
            </w:r>
          </w:p>
        </w:tc>
        <w:tc>
          <w:tcPr>
            <w:tcW w:w="3487" w:type="dxa"/>
            <w:tcBorders>
              <w:top w:val="nil"/>
              <w:left w:val="nil"/>
              <w:bottom w:val="single" w:sz="8" w:space="0" w:color="auto"/>
              <w:right w:val="single" w:sz="8" w:space="0" w:color="auto"/>
            </w:tcBorders>
            <w:noWrap/>
            <w:vAlign w:val="center"/>
            <w:hideMark/>
          </w:tcPr>
          <w:p w14:paraId="43873FB9"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terpènes</w:t>
            </w:r>
          </w:p>
        </w:tc>
      </w:tr>
      <w:tr w:rsidR="00CA1560" w:rsidRPr="00A926A5" w14:paraId="22279E76"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5D06EAE7"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090331</w:t>
            </w:r>
          </w:p>
        </w:tc>
        <w:tc>
          <w:tcPr>
            <w:tcW w:w="839" w:type="dxa"/>
            <w:tcBorders>
              <w:top w:val="nil"/>
              <w:left w:val="nil"/>
              <w:bottom w:val="single" w:sz="8" w:space="0" w:color="auto"/>
              <w:right w:val="single" w:sz="8" w:space="0" w:color="auto"/>
            </w:tcBorders>
            <w:noWrap/>
            <w:vAlign w:val="center"/>
            <w:hideMark/>
          </w:tcPr>
          <w:p w14:paraId="6D6E86DE"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4438E284"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lunettes de vue</w:t>
            </w:r>
          </w:p>
        </w:tc>
        <w:tc>
          <w:tcPr>
            <w:tcW w:w="1153" w:type="dxa"/>
            <w:tcBorders>
              <w:top w:val="nil"/>
              <w:left w:val="nil"/>
              <w:bottom w:val="nil"/>
              <w:right w:val="single" w:sz="8" w:space="0" w:color="auto"/>
            </w:tcBorders>
            <w:noWrap/>
            <w:vAlign w:val="center"/>
            <w:hideMark/>
          </w:tcPr>
          <w:p w14:paraId="5556C322" w14:textId="77777777" w:rsidR="00CA1560" w:rsidRPr="00A926A5" w:rsidRDefault="00CA1560" w:rsidP="0036184B">
            <w:pPr>
              <w:rPr>
                <w:rFonts w:ascii="Aptos Narrow" w:eastAsia="Times New Roman" w:hAnsi="Aptos Narrow" w:cs="Times New Roman"/>
                <w:color w:val="000000"/>
                <w:szCs w:val="22"/>
                <w:lang w:val="fr-FR"/>
              </w:rPr>
            </w:pPr>
            <w:r w:rsidRPr="00A926A5">
              <w:rPr>
                <w:rFonts w:ascii="Aptos Narrow" w:hAnsi="Aptos Narrow"/>
                <w:color w:val="000000"/>
                <w:lang w:val="fr-FR"/>
              </w:rPr>
              <w:t> </w:t>
            </w:r>
          </w:p>
        </w:tc>
        <w:tc>
          <w:tcPr>
            <w:tcW w:w="1530" w:type="dxa"/>
            <w:tcBorders>
              <w:top w:val="nil"/>
              <w:left w:val="nil"/>
              <w:bottom w:val="single" w:sz="8" w:space="0" w:color="auto"/>
              <w:right w:val="single" w:sz="8" w:space="0" w:color="auto"/>
            </w:tcBorders>
            <w:noWrap/>
            <w:vAlign w:val="center"/>
            <w:hideMark/>
          </w:tcPr>
          <w:p w14:paraId="7C88DFBE"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100328</w:t>
            </w:r>
          </w:p>
        </w:tc>
        <w:tc>
          <w:tcPr>
            <w:tcW w:w="1028" w:type="dxa"/>
            <w:tcBorders>
              <w:top w:val="nil"/>
              <w:left w:val="nil"/>
              <w:bottom w:val="single" w:sz="8" w:space="0" w:color="auto"/>
              <w:right w:val="single" w:sz="8" w:space="0" w:color="auto"/>
            </w:tcBorders>
            <w:noWrap/>
            <w:vAlign w:val="center"/>
            <w:hideMark/>
          </w:tcPr>
          <w:p w14:paraId="29FC678C"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531D3283"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lunettes de vue</w:t>
            </w:r>
          </w:p>
        </w:tc>
      </w:tr>
      <w:tr w:rsidR="00CA1560" w:rsidRPr="00A926A5" w14:paraId="5EADFAC6"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64F6EAA8"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090334</w:t>
            </w:r>
          </w:p>
        </w:tc>
        <w:tc>
          <w:tcPr>
            <w:tcW w:w="839" w:type="dxa"/>
            <w:tcBorders>
              <w:top w:val="nil"/>
              <w:left w:val="nil"/>
              <w:bottom w:val="single" w:sz="8" w:space="0" w:color="auto"/>
              <w:right w:val="single" w:sz="8" w:space="0" w:color="auto"/>
            </w:tcBorders>
            <w:noWrap/>
            <w:vAlign w:val="center"/>
            <w:hideMark/>
          </w:tcPr>
          <w:p w14:paraId="6F952E68"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492243E4"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verres de lunettes</w:t>
            </w:r>
          </w:p>
        </w:tc>
        <w:tc>
          <w:tcPr>
            <w:tcW w:w="1153" w:type="dxa"/>
            <w:tcBorders>
              <w:top w:val="nil"/>
              <w:left w:val="nil"/>
              <w:bottom w:val="nil"/>
              <w:right w:val="single" w:sz="8" w:space="0" w:color="auto"/>
            </w:tcBorders>
            <w:noWrap/>
            <w:vAlign w:val="center"/>
            <w:hideMark/>
          </w:tcPr>
          <w:p w14:paraId="42936243" w14:textId="77777777" w:rsidR="00CA1560" w:rsidRPr="00A926A5" w:rsidRDefault="00CA1560" w:rsidP="0036184B">
            <w:pPr>
              <w:rPr>
                <w:rFonts w:ascii="Aptos Narrow" w:eastAsia="Times New Roman" w:hAnsi="Aptos Narrow" w:cs="Times New Roman"/>
                <w:color w:val="000000"/>
                <w:szCs w:val="22"/>
                <w:lang w:val="fr-FR"/>
              </w:rPr>
            </w:pPr>
            <w:r w:rsidRPr="00A926A5">
              <w:rPr>
                <w:rFonts w:ascii="Aptos Narrow" w:hAnsi="Aptos Narrow"/>
                <w:color w:val="000000"/>
                <w:lang w:val="fr-FR"/>
              </w:rPr>
              <w:t> </w:t>
            </w:r>
          </w:p>
        </w:tc>
        <w:tc>
          <w:tcPr>
            <w:tcW w:w="1530" w:type="dxa"/>
            <w:tcBorders>
              <w:top w:val="nil"/>
              <w:left w:val="nil"/>
              <w:bottom w:val="single" w:sz="8" w:space="0" w:color="auto"/>
              <w:right w:val="single" w:sz="8" w:space="0" w:color="auto"/>
            </w:tcBorders>
            <w:noWrap/>
            <w:vAlign w:val="center"/>
            <w:hideMark/>
          </w:tcPr>
          <w:p w14:paraId="2B2D756A"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100329</w:t>
            </w:r>
          </w:p>
        </w:tc>
        <w:tc>
          <w:tcPr>
            <w:tcW w:w="1028" w:type="dxa"/>
            <w:tcBorders>
              <w:top w:val="nil"/>
              <w:left w:val="nil"/>
              <w:bottom w:val="single" w:sz="8" w:space="0" w:color="auto"/>
              <w:right w:val="single" w:sz="8" w:space="0" w:color="auto"/>
            </w:tcBorders>
            <w:noWrap/>
            <w:vAlign w:val="center"/>
            <w:hideMark/>
          </w:tcPr>
          <w:p w14:paraId="09FE2B84"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76D82FC8"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verres de lunettes</w:t>
            </w:r>
          </w:p>
        </w:tc>
      </w:tr>
      <w:tr w:rsidR="00CA1560" w:rsidRPr="00A926A5" w14:paraId="2F50DCE1"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537A6627"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090359</w:t>
            </w:r>
          </w:p>
        </w:tc>
        <w:tc>
          <w:tcPr>
            <w:tcW w:w="839" w:type="dxa"/>
            <w:tcBorders>
              <w:top w:val="nil"/>
              <w:left w:val="nil"/>
              <w:bottom w:val="single" w:sz="8" w:space="0" w:color="auto"/>
              <w:right w:val="single" w:sz="8" w:space="0" w:color="auto"/>
            </w:tcBorders>
            <w:noWrap/>
            <w:vAlign w:val="center"/>
            <w:hideMark/>
          </w:tcPr>
          <w:p w14:paraId="19ADD969"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3D7A528F"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montures de lunettes</w:t>
            </w:r>
          </w:p>
        </w:tc>
        <w:tc>
          <w:tcPr>
            <w:tcW w:w="1153" w:type="dxa"/>
            <w:tcBorders>
              <w:top w:val="nil"/>
              <w:left w:val="nil"/>
              <w:bottom w:val="nil"/>
              <w:right w:val="single" w:sz="8" w:space="0" w:color="auto"/>
            </w:tcBorders>
            <w:noWrap/>
            <w:vAlign w:val="center"/>
            <w:hideMark/>
          </w:tcPr>
          <w:p w14:paraId="18BE0162" w14:textId="77777777" w:rsidR="00CA1560" w:rsidRPr="00A926A5" w:rsidRDefault="00CA1560" w:rsidP="0036184B">
            <w:pPr>
              <w:jc w:val="center"/>
              <w:rPr>
                <w:rFonts w:ascii="Aptos Narrow" w:eastAsia="Times New Roman" w:hAnsi="Aptos Narrow" w:cs="Times New Roman"/>
                <w:b/>
                <w:bCs/>
                <w:color w:val="000000"/>
                <w:szCs w:val="22"/>
                <w:lang w:val="fr-FR"/>
              </w:rPr>
            </w:pPr>
            <w:r w:rsidRPr="00A926A5">
              <w:rPr>
                <w:rFonts w:ascii="Aptos Narrow" w:hAnsi="Aptos Narrow"/>
                <w:b/>
                <w:color w:val="000000"/>
                <w:lang w:val="fr-FR"/>
              </w:rPr>
              <w:t>Transférer</w:t>
            </w:r>
          </w:p>
        </w:tc>
        <w:tc>
          <w:tcPr>
            <w:tcW w:w="1530" w:type="dxa"/>
            <w:tcBorders>
              <w:top w:val="nil"/>
              <w:left w:val="nil"/>
              <w:bottom w:val="single" w:sz="8" w:space="0" w:color="auto"/>
              <w:right w:val="single" w:sz="8" w:space="0" w:color="auto"/>
            </w:tcBorders>
            <w:noWrap/>
            <w:vAlign w:val="center"/>
            <w:hideMark/>
          </w:tcPr>
          <w:p w14:paraId="4C47C060"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100330</w:t>
            </w:r>
          </w:p>
        </w:tc>
        <w:tc>
          <w:tcPr>
            <w:tcW w:w="1028" w:type="dxa"/>
            <w:tcBorders>
              <w:top w:val="nil"/>
              <w:left w:val="nil"/>
              <w:bottom w:val="single" w:sz="8" w:space="0" w:color="auto"/>
              <w:right w:val="single" w:sz="8" w:space="0" w:color="auto"/>
            </w:tcBorders>
            <w:noWrap/>
            <w:vAlign w:val="center"/>
            <w:hideMark/>
          </w:tcPr>
          <w:p w14:paraId="77AC106B"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1EFEC824"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montures de lunettes</w:t>
            </w:r>
          </w:p>
        </w:tc>
      </w:tr>
      <w:tr w:rsidR="00CA1560" w:rsidRPr="00A926A5" w14:paraId="6ED4FD4E"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4C36685F"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090115</w:t>
            </w:r>
          </w:p>
        </w:tc>
        <w:tc>
          <w:tcPr>
            <w:tcW w:w="839" w:type="dxa"/>
            <w:tcBorders>
              <w:top w:val="nil"/>
              <w:left w:val="nil"/>
              <w:bottom w:val="single" w:sz="8" w:space="0" w:color="auto"/>
              <w:right w:val="single" w:sz="8" w:space="0" w:color="auto"/>
            </w:tcBorders>
            <w:noWrap/>
            <w:vAlign w:val="center"/>
            <w:hideMark/>
          </w:tcPr>
          <w:p w14:paraId="5E4EED09"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14E85B06"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chaînettes de lunettes</w:t>
            </w:r>
          </w:p>
        </w:tc>
        <w:tc>
          <w:tcPr>
            <w:tcW w:w="1153" w:type="dxa"/>
            <w:tcBorders>
              <w:top w:val="nil"/>
              <w:left w:val="nil"/>
              <w:bottom w:val="nil"/>
              <w:right w:val="single" w:sz="8" w:space="0" w:color="auto"/>
            </w:tcBorders>
            <w:noWrap/>
            <w:vAlign w:val="center"/>
            <w:hideMark/>
          </w:tcPr>
          <w:p w14:paraId="30F8A61C" w14:textId="77777777" w:rsidR="00CA1560" w:rsidRPr="00A926A5" w:rsidRDefault="00CA1560" w:rsidP="0036184B">
            <w:pPr>
              <w:jc w:val="center"/>
              <w:rPr>
                <w:rFonts w:ascii="Aptos Narrow" w:eastAsia="Times New Roman" w:hAnsi="Aptos Narrow" w:cs="Times New Roman"/>
                <w:b/>
                <w:bCs/>
                <w:color w:val="000000"/>
                <w:szCs w:val="22"/>
                <w:lang w:val="fr-FR"/>
              </w:rPr>
            </w:pPr>
          </w:p>
        </w:tc>
        <w:tc>
          <w:tcPr>
            <w:tcW w:w="1530" w:type="dxa"/>
            <w:tcBorders>
              <w:top w:val="nil"/>
              <w:left w:val="nil"/>
              <w:bottom w:val="single" w:sz="8" w:space="0" w:color="auto"/>
              <w:right w:val="single" w:sz="8" w:space="0" w:color="auto"/>
            </w:tcBorders>
            <w:noWrap/>
            <w:vAlign w:val="center"/>
            <w:hideMark/>
          </w:tcPr>
          <w:p w14:paraId="4E094B1A"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100331</w:t>
            </w:r>
          </w:p>
        </w:tc>
        <w:tc>
          <w:tcPr>
            <w:tcW w:w="1028" w:type="dxa"/>
            <w:tcBorders>
              <w:top w:val="nil"/>
              <w:left w:val="nil"/>
              <w:bottom w:val="single" w:sz="8" w:space="0" w:color="auto"/>
              <w:right w:val="single" w:sz="8" w:space="0" w:color="auto"/>
            </w:tcBorders>
            <w:noWrap/>
            <w:vAlign w:val="center"/>
            <w:hideMark/>
          </w:tcPr>
          <w:p w14:paraId="5592F07F"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01211FFE"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chaînettes de lunettes</w:t>
            </w:r>
          </w:p>
        </w:tc>
      </w:tr>
      <w:tr w:rsidR="00CA1560" w:rsidRPr="00A926A5" w14:paraId="5EB8D9EA"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7C0695B7"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090156</w:t>
            </w:r>
          </w:p>
        </w:tc>
        <w:tc>
          <w:tcPr>
            <w:tcW w:w="839" w:type="dxa"/>
            <w:tcBorders>
              <w:top w:val="nil"/>
              <w:left w:val="nil"/>
              <w:bottom w:val="single" w:sz="8" w:space="0" w:color="auto"/>
              <w:right w:val="single" w:sz="8" w:space="0" w:color="auto"/>
            </w:tcBorders>
            <w:noWrap/>
            <w:vAlign w:val="center"/>
            <w:hideMark/>
          </w:tcPr>
          <w:p w14:paraId="23AA86F1"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60078FF5"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cordons de lunettes</w:t>
            </w:r>
          </w:p>
        </w:tc>
        <w:tc>
          <w:tcPr>
            <w:tcW w:w="1153" w:type="dxa"/>
            <w:tcBorders>
              <w:top w:val="nil"/>
              <w:left w:val="nil"/>
              <w:bottom w:val="nil"/>
              <w:right w:val="single" w:sz="8" w:space="0" w:color="auto"/>
            </w:tcBorders>
            <w:noWrap/>
            <w:vAlign w:val="center"/>
            <w:hideMark/>
          </w:tcPr>
          <w:p w14:paraId="2D17F218" w14:textId="0E714620" w:rsidR="000C7BE0" w:rsidRPr="00A926A5" w:rsidRDefault="00CA1560" w:rsidP="00A926A5">
            <w:pPr>
              <w:jc w:val="center"/>
              <w:rPr>
                <w:rFonts w:ascii="Aptos Narrow" w:hAnsi="Aptos Narrow"/>
                <w:b/>
                <w:color w:val="000000"/>
                <w:lang w:val="fr-FR"/>
              </w:rPr>
            </w:pPr>
            <w:r w:rsidRPr="00A926A5">
              <w:rPr>
                <w:rFonts w:ascii="Aptos Narrow" w:hAnsi="Aptos Narrow"/>
                <w:b/>
                <w:color w:val="000000"/>
                <w:lang w:val="fr-FR"/>
              </w:rPr>
              <w:t>ou</w:t>
            </w:r>
          </w:p>
          <w:p w14:paraId="07E1EFAA" w14:textId="1545AD59" w:rsidR="00CA1560" w:rsidRPr="00A926A5" w:rsidRDefault="00CA1560" w:rsidP="0036184B">
            <w:pPr>
              <w:jc w:val="center"/>
              <w:rPr>
                <w:rFonts w:ascii="Aptos Narrow" w:hAnsi="Aptos Narrow" w:cs="Times New Roman"/>
                <w:b/>
                <w:bCs/>
                <w:color w:val="000000"/>
                <w:szCs w:val="22"/>
                <w:lang w:val="fr-FR"/>
              </w:rPr>
            </w:pPr>
          </w:p>
        </w:tc>
        <w:tc>
          <w:tcPr>
            <w:tcW w:w="1530" w:type="dxa"/>
            <w:tcBorders>
              <w:top w:val="nil"/>
              <w:left w:val="nil"/>
              <w:bottom w:val="single" w:sz="8" w:space="0" w:color="auto"/>
              <w:right w:val="single" w:sz="8" w:space="0" w:color="auto"/>
            </w:tcBorders>
            <w:noWrap/>
            <w:vAlign w:val="center"/>
            <w:hideMark/>
          </w:tcPr>
          <w:p w14:paraId="01B3FC91"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100332</w:t>
            </w:r>
          </w:p>
        </w:tc>
        <w:tc>
          <w:tcPr>
            <w:tcW w:w="1028" w:type="dxa"/>
            <w:tcBorders>
              <w:top w:val="nil"/>
              <w:left w:val="nil"/>
              <w:bottom w:val="single" w:sz="8" w:space="0" w:color="auto"/>
              <w:right w:val="single" w:sz="8" w:space="0" w:color="auto"/>
            </w:tcBorders>
            <w:noWrap/>
            <w:vAlign w:val="center"/>
            <w:hideMark/>
          </w:tcPr>
          <w:p w14:paraId="70ECF5CE"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4D9EC358"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cordons de lunettes</w:t>
            </w:r>
          </w:p>
        </w:tc>
      </w:tr>
      <w:tr w:rsidR="00CA1560" w:rsidRPr="00BD4607" w14:paraId="31025973" w14:textId="77777777" w:rsidTr="00B732B1">
        <w:trPr>
          <w:trHeight w:val="330"/>
        </w:trPr>
        <w:tc>
          <w:tcPr>
            <w:tcW w:w="1508" w:type="dxa"/>
            <w:tcBorders>
              <w:top w:val="nil"/>
              <w:left w:val="single" w:sz="8" w:space="0" w:color="auto"/>
              <w:bottom w:val="single" w:sz="8" w:space="0" w:color="auto"/>
              <w:right w:val="single" w:sz="8" w:space="0" w:color="auto"/>
            </w:tcBorders>
            <w:noWrap/>
            <w:vAlign w:val="center"/>
            <w:hideMark/>
          </w:tcPr>
          <w:p w14:paraId="748CC2C4"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090885</w:t>
            </w:r>
          </w:p>
        </w:tc>
        <w:tc>
          <w:tcPr>
            <w:tcW w:w="839" w:type="dxa"/>
            <w:tcBorders>
              <w:top w:val="nil"/>
              <w:left w:val="nil"/>
              <w:bottom w:val="single" w:sz="8" w:space="0" w:color="auto"/>
              <w:right w:val="single" w:sz="8" w:space="0" w:color="auto"/>
            </w:tcBorders>
            <w:noWrap/>
            <w:vAlign w:val="center"/>
            <w:hideMark/>
          </w:tcPr>
          <w:p w14:paraId="5718D476"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nil"/>
              <w:left w:val="nil"/>
              <w:bottom w:val="single" w:sz="8" w:space="0" w:color="auto"/>
              <w:right w:val="single" w:sz="8" w:space="0" w:color="auto"/>
            </w:tcBorders>
            <w:noWrap/>
            <w:vAlign w:val="center"/>
            <w:hideMark/>
          </w:tcPr>
          <w:p w14:paraId="6E9B8510"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lunettes pour corriger le daltonisme</w:t>
            </w:r>
          </w:p>
        </w:tc>
        <w:tc>
          <w:tcPr>
            <w:tcW w:w="1153" w:type="dxa"/>
            <w:tcBorders>
              <w:top w:val="nil"/>
              <w:left w:val="nil"/>
              <w:right w:val="single" w:sz="8" w:space="0" w:color="auto"/>
            </w:tcBorders>
            <w:noWrap/>
            <w:vAlign w:val="center"/>
            <w:hideMark/>
          </w:tcPr>
          <w:p w14:paraId="5F4C9A9E" w14:textId="77777777" w:rsidR="00CA1560" w:rsidRPr="00A926A5" w:rsidRDefault="00CA1560" w:rsidP="0036184B">
            <w:pPr>
              <w:jc w:val="center"/>
              <w:rPr>
                <w:rFonts w:ascii="Aptos Narrow" w:hAnsi="Aptos Narrow" w:cs="Times New Roman"/>
                <w:b/>
                <w:bCs/>
                <w:color w:val="000000"/>
                <w:szCs w:val="22"/>
                <w:lang w:val="fr-FR"/>
              </w:rPr>
            </w:pPr>
          </w:p>
          <w:p w14:paraId="18D47724" w14:textId="4C6EA27E" w:rsidR="00CA1560" w:rsidRPr="00A926A5" w:rsidRDefault="00CA1560" w:rsidP="0036184B">
            <w:pPr>
              <w:jc w:val="center"/>
              <w:rPr>
                <w:rFonts w:ascii="Aptos Narrow" w:hAnsi="Aptos Narrow" w:cs="Times New Roman"/>
                <w:b/>
                <w:bCs/>
                <w:color w:val="000000"/>
                <w:szCs w:val="22"/>
                <w:lang w:val="fr-FR"/>
              </w:rPr>
            </w:pPr>
            <w:r w:rsidRPr="00A926A5">
              <w:rPr>
                <w:rFonts w:ascii="Aptos Narrow" w:hAnsi="Aptos Narrow"/>
                <w:b/>
                <w:color w:val="000000"/>
                <w:lang w:val="fr-FR"/>
              </w:rPr>
              <w:t xml:space="preserve">Changer </w:t>
            </w:r>
            <w:r w:rsidR="0031124F">
              <w:rPr>
                <w:rFonts w:ascii="Aptos Narrow" w:hAnsi="Aptos Narrow"/>
                <w:b/>
                <w:color w:val="000000"/>
                <w:lang w:val="fr-FR"/>
              </w:rPr>
              <w:t>&amp;</w:t>
            </w:r>
          </w:p>
          <w:p w14:paraId="7958C42F" w14:textId="77777777" w:rsidR="000C7BE0" w:rsidRPr="00A926A5" w:rsidRDefault="00CA1560" w:rsidP="0036184B">
            <w:pPr>
              <w:jc w:val="center"/>
              <w:rPr>
                <w:rFonts w:ascii="Aptos Narrow" w:hAnsi="Aptos Narrow"/>
                <w:b/>
                <w:color w:val="000000"/>
                <w:lang w:val="fr-FR"/>
              </w:rPr>
            </w:pPr>
            <w:r w:rsidRPr="00A926A5">
              <w:rPr>
                <w:rFonts w:ascii="Aptos Narrow" w:hAnsi="Aptos Narrow"/>
                <w:b/>
                <w:color w:val="000000"/>
                <w:lang w:val="fr-FR"/>
              </w:rPr>
              <w:t>Transférer</w:t>
            </w:r>
          </w:p>
          <w:p w14:paraId="47F931D4" w14:textId="57913987" w:rsidR="00CA1560" w:rsidRPr="00A926A5" w:rsidRDefault="00CA1560" w:rsidP="0036184B">
            <w:pPr>
              <w:jc w:val="center"/>
              <w:rPr>
                <w:rFonts w:ascii="Aptos Narrow" w:hAnsi="Aptos Narrow" w:cs="Times New Roman"/>
                <w:b/>
                <w:bCs/>
                <w:color w:val="000000"/>
                <w:szCs w:val="22"/>
                <w:lang w:val="fr-FR"/>
              </w:rPr>
            </w:pPr>
          </w:p>
          <w:p w14:paraId="3DF97C1D" w14:textId="77777777" w:rsidR="00CA1560" w:rsidRPr="00A926A5" w:rsidRDefault="00CA1560" w:rsidP="0036184B">
            <w:pPr>
              <w:jc w:val="center"/>
              <w:rPr>
                <w:rFonts w:ascii="Aptos Narrow" w:hAnsi="Aptos Narrow" w:cs="Times New Roman"/>
                <w:b/>
                <w:bCs/>
                <w:color w:val="000000"/>
                <w:szCs w:val="22"/>
                <w:lang w:val="fr-FR"/>
              </w:rPr>
            </w:pPr>
          </w:p>
          <w:p w14:paraId="271B462B" w14:textId="77777777" w:rsidR="00CA1560" w:rsidRPr="00A926A5" w:rsidRDefault="00CA1560" w:rsidP="0036184B">
            <w:pPr>
              <w:jc w:val="center"/>
              <w:rPr>
                <w:rFonts w:ascii="Aptos Narrow" w:hAnsi="Aptos Narrow" w:cs="Times New Roman"/>
                <w:b/>
                <w:bCs/>
                <w:color w:val="000000"/>
                <w:szCs w:val="22"/>
                <w:lang w:val="fr-FR"/>
              </w:rPr>
            </w:pPr>
          </w:p>
        </w:tc>
        <w:tc>
          <w:tcPr>
            <w:tcW w:w="1530" w:type="dxa"/>
            <w:tcBorders>
              <w:top w:val="nil"/>
              <w:left w:val="nil"/>
              <w:bottom w:val="single" w:sz="8" w:space="0" w:color="auto"/>
              <w:right w:val="single" w:sz="8" w:space="0" w:color="auto"/>
            </w:tcBorders>
            <w:noWrap/>
            <w:vAlign w:val="center"/>
            <w:hideMark/>
          </w:tcPr>
          <w:p w14:paraId="5C5FAD18"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100333</w:t>
            </w:r>
          </w:p>
        </w:tc>
        <w:tc>
          <w:tcPr>
            <w:tcW w:w="1028" w:type="dxa"/>
            <w:tcBorders>
              <w:top w:val="nil"/>
              <w:left w:val="nil"/>
              <w:bottom w:val="single" w:sz="8" w:space="0" w:color="auto"/>
              <w:right w:val="single" w:sz="8" w:space="0" w:color="auto"/>
            </w:tcBorders>
            <w:noWrap/>
            <w:vAlign w:val="center"/>
            <w:hideMark/>
          </w:tcPr>
          <w:p w14:paraId="5D806AE0"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nil"/>
              <w:left w:val="nil"/>
              <w:bottom w:val="single" w:sz="8" w:space="0" w:color="auto"/>
              <w:right w:val="single" w:sz="8" w:space="0" w:color="auto"/>
            </w:tcBorders>
            <w:noWrap/>
            <w:vAlign w:val="center"/>
            <w:hideMark/>
          </w:tcPr>
          <w:p w14:paraId="22910891" w14:textId="77777777" w:rsidR="00CA1560" w:rsidRPr="00A926A5" w:rsidRDefault="00CA1560" w:rsidP="00B732B1">
            <w:pPr>
              <w:jc w:val="center"/>
              <w:rPr>
                <w:rFonts w:ascii="Aptos Narrow" w:hAnsi="Aptos Narrow" w:cs="Times New Roman"/>
                <w:color w:val="000000"/>
                <w:szCs w:val="22"/>
                <w:lang w:val="fr-FR"/>
              </w:rPr>
            </w:pPr>
            <w:r w:rsidRPr="00A926A5">
              <w:rPr>
                <w:rFonts w:ascii="Aptos Narrow" w:hAnsi="Aptos Narrow"/>
                <w:color w:val="000000"/>
                <w:lang w:val="fr-FR"/>
              </w:rPr>
              <w:t>lunettes pour corriger le daltonisme</w:t>
            </w:r>
          </w:p>
        </w:tc>
      </w:tr>
      <w:tr w:rsidR="00CA1560" w:rsidRPr="00A926A5" w14:paraId="15BA5A0F"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422E6226"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090567</w:t>
            </w:r>
          </w:p>
        </w:tc>
        <w:tc>
          <w:tcPr>
            <w:tcW w:w="839" w:type="dxa"/>
            <w:tcBorders>
              <w:top w:val="single" w:sz="8" w:space="0" w:color="auto"/>
              <w:left w:val="nil"/>
              <w:bottom w:val="single" w:sz="8" w:space="0" w:color="000000" w:themeColor="text1"/>
              <w:right w:val="single" w:sz="8" w:space="0" w:color="auto"/>
            </w:tcBorders>
            <w:noWrap/>
            <w:vAlign w:val="center"/>
            <w:hideMark/>
          </w:tcPr>
          <w:p w14:paraId="08782FB0"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05CA2B4A"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étuis à lunettes</w:t>
            </w:r>
          </w:p>
        </w:tc>
        <w:tc>
          <w:tcPr>
            <w:tcW w:w="1153" w:type="dxa"/>
            <w:tcBorders>
              <w:top w:val="nil"/>
              <w:left w:val="nil"/>
              <w:right w:val="single" w:sz="8" w:space="0" w:color="auto"/>
            </w:tcBorders>
            <w:noWrap/>
            <w:vAlign w:val="center"/>
            <w:hideMark/>
          </w:tcPr>
          <w:p w14:paraId="37EB59C6" w14:textId="2B443F30" w:rsidR="00CA1560" w:rsidRPr="00A926A5" w:rsidRDefault="00CA1560" w:rsidP="0036184B">
            <w:pPr>
              <w:rPr>
                <w:rFonts w:ascii="Aptos Narrow" w:eastAsia="Times New Roman" w:hAnsi="Aptos Narrow" w:cs="Times New Roman"/>
                <w:color w:val="000000"/>
                <w:szCs w:val="22"/>
                <w:lang w:val="fr-FR"/>
              </w:rPr>
            </w:pPr>
            <w:r w:rsidRPr="00A926A5">
              <w:rPr>
                <w:noProof/>
                <w:lang w:val="fr-FR"/>
              </w:rPr>
              <mc:AlternateContent>
                <mc:Choice Requires="wps">
                  <w:drawing>
                    <wp:anchor distT="0" distB="0" distL="114300" distR="114300" simplePos="0" relativeHeight="251659264" behindDoc="0" locked="0" layoutInCell="1" allowOverlap="1" wp14:anchorId="5E708CDC" wp14:editId="134A7A58">
                      <wp:simplePos x="0" y="0"/>
                      <wp:positionH relativeFrom="column">
                        <wp:posOffset>186055</wp:posOffset>
                      </wp:positionH>
                      <wp:positionV relativeFrom="paragraph">
                        <wp:posOffset>-229870</wp:posOffset>
                      </wp:positionV>
                      <wp:extent cx="190500" cy="114300"/>
                      <wp:effectExtent l="0" t="19050" r="19050" b="19050"/>
                      <wp:wrapNone/>
                      <wp:docPr id="916539774"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14300"/>
                              </a:xfrm>
                              <a:prstGeom prst="rightArrow">
                                <a:avLst>
                                  <a:gd name="adj1" fmla="val 34273"/>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2BD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4.65pt;margin-top:-18.1pt;width: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lKkgIAAFsFAAAOAAAAZHJzL2Uyb0RvYy54bWysVEtv2zAMvg/YfxB0X22n6cuoUwQtOgwI&#10;2gJt0TMjS7Y3vSYpcbpfP0q203TradhFEEWKj4/8eHm1U5JsufOd0RUtjnJKuGam7nRT0een2y/n&#10;lPgAugZpNK/oK/f0avH502VvSz4zrZE1dwSdaF/2tqJtCLbMMs9arsAfGcs1KoVxCgKKrslqBz16&#10;VzKb5flp1htXW2cY9x5fbwYlXST/QnAW7oXwPBBZUcwtpNOlcx3PbHEJZePAth0b04B/yEJBpzHo&#10;3tUNBCAb1/3lSnXMGW9EOGJGZUaIjvFUA1ZT5H9U89iC5akWBMfbPUz+/7lld9tH++Bi6t6uDPvh&#10;EZGst77ca6LgR5udcCraYuJkl1B83aPId4EwfCwu8pMcsWaoKor5Md6jTyinz9b58JUbReKloq5r&#10;2rB0zvQJQdiufEhQ1kSDwpmB+ntBiVASO7MFSY7ns7PjsXMHNrNDG8xgH3f0iBlMkVO5Rnb1bSdl&#10;ElyzvpaOoHtM+uQ0P5+NSftDM6lJPxaI9QHOq5AQ8KpsXVGvG0pANkgEFlwq5t1v/0GQFLyFmk+h&#10;39IezRN07/zEKm7At8OXpBrQUF1AMslOVfQ81j8BL3UMwxMdENypw0NTY3vXpn59cMSZgR/estsO&#10;g6zAhwdwCDu2E0ke7vEQ0iAGZrxR0hr366P3aI9zilpKeiQY4vNzA45TIr9pnOCLYj6PjEzC/ORs&#10;hoI71KwPNXqjrk3sDa4Ty9I12gc5XYUz6gV3wTJGRRVohrGHTozCdRiIj9uE8eUymSELLYSVfrQs&#10;Oo84RXifdi/g7DigASf7zkxkhDLN0zDSb7bxpzbLTTCi2yM84DoSChmcejlum7giDuVk9bYTF78B&#10;AAD//wMAUEsDBBQABgAIAAAAIQCLo99U3gAAAAkBAAAPAAAAZHJzL2Rvd25yZXYueG1sTI/BTsMw&#10;DIbvSLxDZCRuW9pOm0ZpOlVIA8SNAYfevMZrqzVOlWRbeftlJzj696ffn4vNZAZxJud7ywrSeQKC&#10;uLG651bB99d2tgbhA7LGwTIp+CUPm/L+rsBc2wt/0nkXWhFL2OeooAthzKX0TUcG/dyOxHF3sM5g&#10;iKNrpXZ4ieVmkFmSrKTBnuOFDkd66ag57k5GQf3+tv046iqrLR5cIPfzWlepUo8PU/UMItAU/mC4&#10;6Ud1KKPT3p5YezEoyJ4WkVQwW6wyEBFY3oJ9DNJ1BrIs5P8PyisAAAD//wMAUEsBAi0AFAAGAAgA&#10;AAAhALaDOJL+AAAA4QEAABMAAAAAAAAAAAAAAAAAAAAAAFtDb250ZW50X1R5cGVzXS54bWxQSwEC&#10;LQAUAAYACAAAACEAOP0h/9YAAACUAQAACwAAAAAAAAAAAAAAAAAvAQAAX3JlbHMvLnJlbHNQSwEC&#10;LQAUAAYACAAAACEARc5JSpICAABbBQAADgAAAAAAAAAAAAAAAAAuAgAAZHJzL2Uyb0RvYy54bWxQ&#10;SwECLQAUAAYACAAAACEAi6PfVN4AAAAJAQAADwAAAAAAAAAAAAAAAADsBAAAZHJzL2Rvd25yZXYu&#10;eG1sUEsFBgAAAAAEAAQA8wAAAPcFAAAAAA==&#10;" adj="15120,7099" fillcolor="#156082" strokecolor="#042433" strokeweight="1.5pt">
                      <v:path arrowok="t"/>
                    </v:shape>
                  </w:pict>
                </mc:Fallback>
              </mc:AlternateContent>
            </w:r>
          </w:p>
        </w:tc>
        <w:tc>
          <w:tcPr>
            <w:tcW w:w="1530" w:type="dxa"/>
            <w:tcBorders>
              <w:top w:val="single" w:sz="8" w:space="0" w:color="auto"/>
              <w:left w:val="nil"/>
              <w:bottom w:val="single" w:sz="8" w:space="0" w:color="000000" w:themeColor="text1"/>
              <w:right w:val="single" w:sz="8" w:space="0" w:color="auto"/>
            </w:tcBorders>
            <w:noWrap/>
            <w:vAlign w:val="center"/>
            <w:hideMark/>
          </w:tcPr>
          <w:p w14:paraId="5ADFDAFE"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100334</w:t>
            </w:r>
          </w:p>
        </w:tc>
        <w:tc>
          <w:tcPr>
            <w:tcW w:w="1028" w:type="dxa"/>
            <w:tcBorders>
              <w:top w:val="single" w:sz="8" w:space="0" w:color="auto"/>
              <w:left w:val="nil"/>
              <w:bottom w:val="single" w:sz="8" w:space="0" w:color="000000" w:themeColor="text1"/>
              <w:right w:val="single" w:sz="8" w:space="0" w:color="auto"/>
            </w:tcBorders>
            <w:noWrap/>
            <w:vAlign w:val="center"/>
            <w:hideMark/>
          </w:tcPr>
          <w:p w14:paraId="58E128D9" w14:textId="77777777" w:rsidR="00CA1560" w:rsidRPr="00A926A5" w:rsidRDefault="00CA1560" w:rsidP="0036184B">
            <w:pPr>
              <w:jc w:val="center"/>
              <w:rPr>
                <w:rFonts w:ascii="Aptos Narrow" w:hAnsi="Aptos Narrow" w:cs="Times New Roman"/>
                <w:color w:val="000000"/>
                <w:szCs w:val="22"/>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50E90039" w14:textId="77777777" w:rsidR="00CA1560" w:rsidRPr="00A926A5" w:rsidRDefault="00CA1560" w:rsidP="0036184B">
            <w:pPr>
              <w:jc w:val="center"/>
              <w:rPr>
                <w:rFonts w:ascii="Aptos Narrow" w:eastAsia="Times New Roman" w:hAnsi="Aptos Narrow" w:cs="Times New Roman"/>
                <w:color w:val="000000"/>
                <w:szCs w:val="22"/>
                <w:lang w:val="fr-FR"/>
              </w:rPr>
            </w:pPr>
            <w:r w:rsidRPr="00A926A5">
              <w:rPr>
                <w:rFonts w:ascii="Aptos Narrow" w:hAnsi="Aptos Narrow"/>
                <w:color w:val="000000"/>
                <w:lang w:val="fr-FR"/>
              </w:rPr>
              <w:t>étuis à lunettes</w:t>
            </w:r>
          </w:p>
        </w:tc>
      </w:tr>
      <w:tr w:rsidR="00D236B4" w:rsidRPr="00BD4607" w14:paraId="760713B7"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622347A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090554</w:t>
            </w:r>
          </w:p>
        </w:tc>
        <w:tc>
          <w:tcPr>
            <w:tcW w:w="839" w:type="dxa"/>
            <w:tcBorders>
              <w:top w:val="single" w:sz="8" w:space="0" w:color="auto"/>
              <w:left w:val="nil"/>
              <w:bottom w:val="single" w:sz="8" w:space="0" w:color="000000" w:themeColor="text1"/>
              <w:right w:val="single" w:sz="8" w:space="0" w:color="auto"/>
            </w:tcBorders>
            <w:noWrap/>
            <w:vAlign w:val="center"/>
            <w:hideMark/>
          </w:tcPr>
          <w:p w14:paraId="7E804EAB"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1B56EC23"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lentilles de contact / verres de contact</w:t>
            </w:r>
          </w:p>
        </w:tc>
        <w:tc>
          <w:tcPr>
            <w:tcW w:w="1153" w:type="dxa"/>
            <w:tcBorders>
              <w:top w:val="nil"/>
              <w:left w:val="nil"/>
              <w:right w:val="single" w:sz="8" w:space="0" w:color="auto"/>
            </w:tcBorders>
            <w:noWrap/>
            <w:vAlign w:val="center"/>
            <w:hideMark/>
          </w:tcPr>
          <w:p w14:paraId="70ADB17C"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527ED9C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100335</w:t>
            </w:r>
          </w:p>
        </w:tc>
        <w:tc>
          <w:tcPr>
            <w:tcW w:w="1028" w:type="dxa"/>
            <w:tcBorders>
              <w:top w:val="single" w:sz="8" w:space="0" w:color="auto"/>
              <w:left w:val="nil"/>
              <w:bottom w:val="single" w:sz="8" w:space="0" w:color="000000" w:themeColor="text1"/>
              <w:right w:val="single" w:sz="8" w:space="0" w:color="auto"/>
            </w:tcBorders>
            <w:noWrap/>
            <w:vAlign w:val="center"/>
            <w:hideMark/>
          </w:tcPr>
          <w:p w14:paraId="6775B1A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292E733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lentilles de contact / verres de contact</w:t>
            </w:r>
          </w:p>
        </w:tc>
      </w:tr>
      <w:tr w:rsidR="00D236B4" w:rsidRPr="00BD4607" w14:paraId="0991D3C4"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088C54A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090555</w:t>
            </w:r>
          </w:p>
        </w:tc>
        <w:tc>
          <w:tcPr>
            <w:tcW w:w="839" w:type="dxa"/>
            <w:tcBorders>
              <w:top w:val="single" w:sz="8" w:space="0" w:color="auto"/>
              <w:left w:val="nil"/>
              <w:bottom w:val="single" w:sz="8" w:space="0" w:color="000000" w:themeColor="text1"/>
              <w:right w:val="single" w:sz="8" w:space="0" w:color="auto"/>
            </w:tcBorders>
            <w:noWrap/>
            <w:vAlign w:val="center"/>
            <w:hideMark/>
          </w:tcPr>
          <w:p w14:paraId="0A989092"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19EED4D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étuis pour lentilles de contact</w:t>
            </w:r>
          </w:p>
        </w:tc>
        <w:tc>
          <w:tcPr>
            <w:tcW w:w="1153" w:type="dxa"/>
            <w:tcBorders>
              <w:top w:val="nil"/>
              <w:left w:val="nil"/>
              <w:right w:val="single" w:sz="8" w:space="0" w:color="auto"/>
            </w:tcBorders>
            <w:noWrap/>
            <w:vAlign w:val="center"/>
            <w:hideMark/>
          </w:tcPr>
          <w:p w14:paraId="7A68A8A7"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1C1AF95E"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100336</w:t>
            </w:r>
          </w:p>
        </w:tc>
        <w:tc>
          <w:tcPr>
            <w:tcW w:w="1028" w:type="dxa"/>
            <w:tcBorders>
              <w:top w:val="single" w:sz="8" w:space="0" w:color="auto"/>
              <w:left w:val="nil"/>
              <w:bottom w:val="single" w:sz="8" w:space="0" w:color="000000" w:themeColor="text1"/>
              <w:right w:val="single" w:sz="8" w:space="0" w:color="auto"/>
            </w:tcBorders>
            <w:noWrap/>
            <w:vAlign w:val="center"/>
            <w:hideMark/>
          </w:tcPr>
          <w:p w14:paraId="51DD57CD"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337E265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étuis pour lentilles de contact</w:t>
            </w:r>
          </w:p>
        </w:tc>
      </w:tr>
      <w:tr w:rsidR="00D236B4" w:rsidRPr="00BD4607" w14:paraId="78AB24D2"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3A75B8DB"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lastRenderedPageBreak/>
              <w:t>090886</w:t>
            </w:r>
          </w:p>
        </w:tc>
        <w:tc>
          <w:tcPr>
            <w:tcW w:w="839" w:type="dxa"/>
            <w:tcBorders>
              <w:top w:val="single" w:sz="8" w:space="0" w:color="auto"/>
              <w:left w:val="nil"/>
              <w:bottom w:val="single" w:sz="8" w:space="0" w:color="000000" w:themeColor="text1"/>
              <w:right w:val="single" w:sz="8" w:space="0" w:color="auto"/>
            </w:tcBorders>
            <w:noWrap/>
            <w:vAlign w:val="center"/>
            <w:hideMark/>
          </w:tcPr>
          <w:p w14:paraId="51417B4E"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58243FB1"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t>étuis pour lentilles de contact incorporant des fonctions de nettoyage par ultrasons</w:t>
            </w:r>
          </w:p>
        </w:tc>
        <w:tc>
          <w:tcPr>
            <w:tcW w:w="1153" w:type="dxa"/>
            <w:tcBorders>
              <w:top w:val="nil"/>
              <w:left w:val="nil"/>
              <w:right w:val="single" w:sz="8" w:space="0" w:color="auto"/>
            </w:tcBorders>
            <w:noWrap/>
            <w:vAlign w:val="center"/>
            <w:hideMark/>
          </w:tcPr>
          <w:p w14:paraId="01AC59C6" w14:textId="77777777" w:rsidR="00D236B4" w:rsidRPr="00D236B4" w:rsidRDefault="00D236B4" w:rsidP="00D236B4">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4BFCA6B1"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t>100337</w:t>
            </w:r>
          </w:p>
        </w:tc>
        <w:tc>
          <w:tcPr>
            <w:tcW w:w="1028" w:type="dxa"/>
            <w:tcBorders>
              <w:top w:val="single" w:sz="8" w:space="0" w:color="auto"/>
              <w:left w:val="nil"/>
              <w:bottom w:val="single" w:sz="8" w:space="0" w:color="000000" w:themeColor="text1"/>
              <w:right w:val="single" w:sz="8" w:space="0" w:color="auto"/>
            </w:tcBorders>
            <w:noWrap/>
            <w:vAlign w:val="center"/>
            <w:hideMark/>
          </w:tcPr>
          <w:p w14:paraId="3693C31F"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5DB15F8A" w14:textId="77777777" w:rsidR="00D236B4" w:rsidRPr="00D236B4" w:rsidRDefault="00D236B4" w:rsidP="00D236B4">
            <w:pPr>
              <w:jc w:val="center"/>
              <w:rPr>
                <w:rFonts w:ascii="Aptos Narrow" w:hAnsi="Aptos Narrow"/>
                <w:color w:val="000000"/>
                <w:lang w:val="fr-FR"/>
              </w:rPr>
            </w:pPr>
            <w:r w:rsidRPr="00A926A5">
              <w:rPr>
                <w:rFonts w:ascii="Aptos Narrow" w:hAnsi="Aptos Narrow"/>
                <w:color w:val="000000"/>
                <w:lang w:val="fr-FR"/>
              </w:rPr>
              <w:t>étuis pour lentilles de contact incorporant des fonctions de nettoyage par ultrasons</w:t>
            </w:r>
          </w:p>
        </w:tc>
      </w:tr>
      <w:tr w:rsidR="00D236B4" w:rsidRPr="00A926A5" w14:paraId="6E0283B4"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58B07783"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090159</w:t>
            </w:r>
          </w:p>
        </w:tc>
        <w:tc>
          <w:tcPr>
            <w:tcW w:w="839" w:type="dxa"/>
            <w:tcBorders>
              <w:top w:val="single" w:sz="8" w:space="0" w:color="auto"/>
              <w:left w:val="nil"/>
              <w:bottom w:val="single" w:sz="8" w:space="0" w:color="000000" w:themeColor="text1"/>
              <w:right w:val="single" w:sz="8" w:space="0" w:color="auto"/>
            </w:tcBorders>
            <w:noWrap/>
            <w:vAlign w:val="center"/>
            <w:hideMark/>
          </w:tcPr>
          <w:p w14:paraId="04E5B3B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7B2CF04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verres correcteurs [optique]</w:t>
            </w:r>
          </w:p>
        </w:tc>
        <w:tc>
          <w:tcPr>
            <w:tcW w:w="1153" w:type="dxa"/>
            <w:tcBorders>
              <w:top w:val="nil"/>
              <w:left w:val="nil"/>
              <w:right w:val="single" w:sz="8" w:space="0" w:color="auto"/>
            </w:tcBorders>
            <w:noWrap/>
            <w:vAlign w:val="center"/>
            <w:hideMark/>
          </w:tcPr>
          <w:p w14:paraId="060B1B2E"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731E748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100338</w:t>
            </w:r>
          </w:p>
        </w:tc>
        <w:tc>
          <w:tcPr>
            <w:tcW w:w="1028" w:type="dxa"/>
            <w:tcBorders>
              <w:top w:val="single" w:sz="8" w:space="0" w:color="auto"/>
              <w:left w:val="nil"/>
              <w:bottom w:val="single" w:sz="8" w:space="0" w:color="000000" w:themeColor="text1"/>
              <w:right w:val="single" w:sz="8" w:space="0" w:color="auto"/>
            </w:tcBorders>
            <w:noWrap/>
            <w:vAlign w:val="center"/>
            <w:hideMark/>
          </w:tcPr>
          <w:p w14:paraId="7269171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44A7A21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verres correcteurs</w:t>
            </w:r>
          </w:p>
        </w:tc>
      </w:tr>
      <w:tr w:rsidR="00D236B4" w:rsidRPr="00A926A5" w14:paraId="467100DA"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71837C6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090648</w:t>
            </w:r>
          </w:p>
        </w:tc>
        <w:tc>
          <w:tcPr>
            <w:tcW w:w="839" w:type="dxa"/>
            <w:tcBorders>
              <w:top w:val="single" w:sz="8" w:space="0" w:color="auto"/>
              <w:left w:val="nil"/>
              <w:bottom w:val="single" w:sz="8" w:space="0" w:color="000000" w:themeColor="text1"/>
              <w:right w:val="single" w:sz="8" w:space="0" w:color="auto"/>
            </w:tcBorders>
            <w:noWrap/>
            <w:vAlign w:val="center"/>
            <w:hideMark/>
          </w:tcPr>
          <w:p w14:paraId="5C49ABD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1151C773"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lunettes de soleil</w:t>
            </w:r>
          </w:p>
        </w:tc>
        <w:tc>
          <w:tcPr>
            <w:tcW w:w="1153" w:type="dxa"/>
            <w:tcBorders>
              <w:top w:val="nil"/>
              <w:left w:val="nil"/>
              <w:right w:val="single" w:sz="8" w:space="0" w:color="auto"/>
            </w:tcBorders>
            <w:noWrap/>
            <w:vAlign w:val="center"/>
            <w:hideMark/>
          </w:tcPr>
          <w:p w14:paraId="095D3BAE"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58C73ED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100339</w:t>
            </w:r>
          </w:p>
        </w:tc>
        <w:tc>
          <w:tcPr>
            <w:tcW w:w="1028" w:type="dxa"/>
            <w:tcBorders>
              <w:top w:val="single" w:sz="8" w:space="0" w:color="auto"/>
              <w:left w:val="nil"/>
              <w:bottom w:val="single" w:sz="8" w:space="0" w:color="000000" w:themeColor="text1"/>
              <w:right w:val="single" w:sz="8" w:space="0" w:color="auto"/>
            </w:tcBorders>
            <w:noWrap/>
            <w:vAlign w:val="center"/>
            <w:hideMark/>
          </w:tcPr>
          <w:p w14:paraId="6EC222D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28BF1AB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lunettes de soleil</w:t>
            </w:r>
          </w:p>
        </w:tc>
      </w:tr>
      <w:tr w:rsidR="00D236B4" w:rsidRPr="00BD4607" w14:paraId="73F94CE4"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783A764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090923</w:t>
            </w:r>
          </w:p>
        </w:tc>
        <w:tc>
          <w:tcPr>
            <w:tcW w:w="839" w:type="dxa"/>
            <w:tcBorders>
              <w:top w:val="single" w:sz="8" w:space="0" w:color="auto"/>
              <w:left w:val="nil"/>
              <w:bottom w:val="single" w:sz="8" w:space="0" w:color="000000" w:themeColor="text1"/>
              <w:right w:val="single" w:sz="8" w:space="0" w:color="auto"/>
            </w:tcBorders>
            <w:noWrap/>
            <w:vAlign w:val="center"/>
            <w:hideMark/>
          </w:tcPr>
          <w:p w14:paraId="75D8356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0286298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lunettes de soleil pour animaux de compagnie</w:t>
            </w:r>
          </w:p>
        </w:tc>
        <w:tc>
          <w:tcPr>
            <w:tcW w:w="1153" w:type="dxa"/>
            <w:tcBorders>
              <w:top w:val="nil"/>
              <w:left w:val="nil"/>
              <w:right w:val="single" w:sz="8" w:space="0" w:color="auto"/>
            </w:tcBorders>
            <w:noWrap/>
            <w:vAlign w:val="center"/>
            <w:hideMark/>
          </w:tcPr>
          <w:p w14:paraId="6FF504C6"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25C5181E"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100340</w:t>
            </w:r>
          </w:p>
        </w:tc>
        <w:tc>
          <w:tcPr>
            <w:tcW w:w="1028" w:type="dxa"/>
            <w:tcBorders>
              <w:top w:val="single" w:sz="8" w:space="0" w:color="auto"/>
              <w:left w:val="nil"/>
              <w:bottom w:val="single" w:sz="8" w:space="0" w:color="000000" w:themeColor="text1"/>
              <w:right w:val="single" w:sz="8" w:space="0" w:color="auto"/>
            </w:tcBorders>
            <w:noWrap/>
            <w:vAlign w:val="center"/>
            <w:hideMark/>
          </w:tcPr>
          <w:p w14:paraId="153B0EF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15B8F77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lunettes de soleil pour animaux de compagnie</w:t>
            </w:r>
          </w:p>
        </w:tc>
      </w:tr>
      <w:tr w:rsidR="00D236B4" w:rsidRPr="00BD4607" w14:paraId="062F3380"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3E07B26D"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090046</w:t>
            </w:r>
          </w:p>
        </w:tc>
        <w:tc>
          <w:tcPr>
            <w:tcW w:w="839" w:type="dxa"/>
            <w:tcBorders>
              <w:top w:val="single" w:sz="8" w:space="0" w:color="auto"/>
              <w:left w:val="nil"/>
              <w:bottom w:val="single" w:sz="8" w:space="0" w:color="000000" w:themeColor="text1"/>
              <w:right w:val="single" w:sz="8" w:space="0" w:color="auto"/>
            </w:tcBorders>
            <w:noWrap/>
            <w:vAlign w:val="center"/>
            <w:hideMark/>
          </w:tcPr>
          <w:p w14:paraId="4854D32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7934FA3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lunettes antiéblouissantes</w:t>
            </w:r>
          </w:p>
        </w:tc>
        <w:tc>
          <w:tcPr>
            <w:tcW w:w="1153" w:type="dxa"/>
            <w:tcBorders>
              <w:top w:val="nil"/>
              <w:left w:val="nil"/>
              <w:right w:val="single" w:sz="8" w:space="0" w:color="auto"/>
            </w:tcBorders>
            <w:noWrap/>
            <w:vAlign w:val="center"/>
            <w:hideMark/>
          </w:tcPr>
          <w:p w14:paraId="00703700"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6BFAA9D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100341</w:t>
            </w:r>
          </w:p>
        </w:tc>
        <w:tc>
          <w:tcPr>
            <w:tcW w:w="1028" w:type="dxa"/>
            <w:tcBorders>
              <w:top w:val="single" w:sz="8" w:space="0" w:color="auto"/>
              <w:left w:val="nil"/>
              <w:bottom w:val="single" w:sz="8" w:space="0" w:color="000000" w:themeColor="text1"/>
              <w:right w:val="single" w:sz="8" w:space="0" w:color="auto"/>
            </w:tcBorders>
            <w:noWrap/>
            <w:vAlign w:val="center"/>
            <w:hideMark/>
          </w:tcPr>
          <w:p w14:paraId="0A52180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0A7002FC" w14:textId="3E689391" w:rsidR="00D236B4" w:rsidRPr="00D236B4" w:rsidRDefault="00EB7448" w:rsidP="00CD4C9C">
            <w:pPr>
              <w:jc w:val="center"/>
              <w:rPr>
                <w:rFonts w:ascii="Aptos Narrow" w:hAnsi="Aptos Narrow"/>
                <w:color w:val="000000"/>
                <w:lang w:val="fr-FR"/>
              </w:rPr>
            </w:pPr>
            <w:r w:rsidRPr="00247726">
              <w:rPr>
                <w:rFonts w:ascii="Aptos Narrow" w:eastAsia="Times New Roman" w:hAnsi="Aptos Narrow" w:cs="Times New Roman"/>
                <w:color w:val="000000"/>
                <w:szCs w:val="22"/>
                <w:lang w:val="fr-CH"/>
              </w:rPr>
              <w:t>lunettes anti-éblouissement / lunettes antireflet</w:t>
            </w:r>
          </w:p>
        </w:tc>
      </w:tr>
      <w:tr w:rsidR="00D236B4" w:rsidRPr="00A926A5" w14:paraId="1612701A"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5BD7609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090397</w:t>
            </w:r>
          </w:p>
        </w:tc>
        <w:tc>
          <w:tcPr>
            <w:tcW w:w="839" w:type="dxa"/>
            <w:tcBorders>
              <w:top w:val="single" w:sz="8" w:space="0" w:color="auto"/>
              <w:left w:val="nil"/>
              <w:bottom w:val="single" w:sz="8" w:space="0" w:color="000000" w:themeColor="text1"/>
              <w:right w:val="single" w:sz="8" w:space="0" w:color="auto"/>
            </w:tcBorders>
            <w:noWrap/>
            <w:vAlign w:val="center"/>
            <w:hideMark/>
          </w:tcPr>
          <w:p w14:paraId="70A11EF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702E376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pince</w:t>
            </w:r>
            <w:r>
              <w:rPr>
                <w:rFonts w:ascii="Aptos Narrow" w:hAnsi="Aptos Narrow"/>
                <w:color w:val="000000"/>
                <w:lang w:val="fr-FR"/>
              </w:rPr>
              <w:noBreakHyphen/>
            </w:r>
            <w:r w:rsidRPr="00A926A5">
              <w:rPr>
                <w:rFonts w:ascii="Aptos Narrow" w:hAnsi="Aptos Narrow"/>
                <w:color w:val="000000"/>
                <w:lang w:val="fr-FR"/>
              </w:rPr>
              <w:t>nez</w:t>
            </w:r>
          </w:p>
        </w:tc>
        <w:tc>
          <w:tcPr>
            <w:tcW w:w="1153" w:type="dxa"/>
            <w:tcBorders>
              <w:top w:val="nil"/>
              <w:left w:val="nil"/>
              <w:right w:val="single" w:sz="8" w:space="0" w:color="auto"/>
            </w:tcBorders>
            <w:noWrap/>
            <w:vAlign w:val="center"/>
            <w:hideMark/>
          </w:tcPr>
          <w:p w14:paraId="381081D9"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6C523F6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100342</w:t>
            </w:r>
          </w:p>
        </w:tc>
        <w:tc>
          <w:tcPr>
            <w:tcW w:w="1028" w:type="dxa"/>
            <w:tcBorders>
              <w:top w:val="single" w:sz="8" w:space="0" w:color="auto"/>
              <w:left w:val="nil"/>
              <w:bottom w:val="single" w:sz="8" w:space="0" w:color="000000" w:themeColor="text1"/>
              <w:right w:val="single" w:sz="8" w:space="0" w:color="auto"/>
            </w:tcBorders>
            <w:noWrap/>
            <w:vAlign w:val="center"/>
            <w:hideMark/>
          </w:tcPr>
          <w:p w14:paraId="2A57C0B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0388117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pince</w:t>
            </w:r>
            <w:r>
              <w:rPr>
                <w:rFonts w:ascii="Aptos Narrow" w:hAnsi="Aptos Narrow"/>
                <w:color w:val="000000"/>
                <w:lang w:val="fr-FR"/>
              </w:rPr>
              <w:noBreakHyphen/>
            </w:r>
            <w:r w:rsidRPr="00A926A5">
              <w:rPr>
                <w:rFonts w:ascii="Aptos Narrow" w:hAnsi="Aptos Narrow"/>
                <w:color w:val="000000"/>
                <w:lang w:val="fr-FR"/>
              </w:rPr>
              <w:t>nez</w:t>
            </w:r>
          </w:p>
        </w:tc>
      </w:tr>
      <w:tr w:rsidR="00D236B4" w:rsidRPr="00A926A5" w14:paraId="46EED913"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5C634A9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090297</w:t>
            </w:r>
          </w:p>
        </w:tc>
        <w:tc>
          <w:tcPr>
            <w:tcW w:w="839" w:type="dxa"/>
            <w:tcBorders>
              <w:top w:val="single" w:sz="8" w:space="0" w:color="auto"/>
              <w:left w:val="nil"/>
              <w:bottom w:val="single" w:sz="8" w:space="0" w:color="000000" w:themeColor="text1"/>
              <w:right w:val="single" w:sz="8" w:space="0" w:color="auto"/>
            </w:tcBorders>
            <w:noWrap/>
            <w:vAlign w:val="center"/>
            <w:hideMark/>
          </w:tcPr>
          <w:p w14:paraId="6830948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2AC023C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fourgons d’incendie</w:t>
            </w:r>
          </w:p>
        </w:tc>
        <w:tc>
          <w:tcPr>
            <w:tcW w:w="1153" w:type="dxa"/>
            <w:tcBorders>
              <w:top w:val="nil"/>
              <w:left w:val="nil"/>
              <w:right w:val="single" w:sz="8" w:space="0" w:color="auto"/>
            </w:tcBorders>
            <w:noWrap/>
            <w:vAlign w:val="center"/>
            <w:hideMark/>
          </w:tcPr>
          <w:p w14:paraId="2828ECAC"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450C4D7D"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120352</w:t>
            </w:r>
          </w:p>
        </w:tc>
        <w:tc>
          <w:tcPr>
            <w:tcW w:w="1028" w:type="dxa"/>
            <w:tcBorders>
              <w:top w:val="single" w:sz="8" w:space="0" w:color="auto"/>
              <w:left w:val="nil"/>
              <w:bottom w:val="single" w:sz="8" w:space="0" w:color="000000" w:themeColor="text1"/>
              <w:right w:val="single" w:sz="8" w:space="0" w:color="auto"/>
            </w:tcBorders>
            <w:noWrap/>
            <w:vAlign w:val="center"/>
            <w:hideMark/>
          </w:tcPr>
          <w:p w14:paraId="0405876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63296AB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fourgons d’incendie</w:t>
            </w:r>
          </w:p>
        </w:tc>
      </w:tr>
      <w:tr w:rsidR="00D236B4" w:rsidRPr="00A926A5" w14:paraId="0FB0BF88"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540A806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090601</w:t>
            </w:r>
          </w:p>
        </w:tc>
        <w:tc>
          <w:tcPr>
            <w:tcW w:w="839" w:type="dxa"/>
            <w:tcBorders>
              <w:top w:val="single" w:sz="8" w:space="0" w:color="auto"/>
              <w:left w:val="nil"/>
              <w:bottom w:val="single" w:sz="8" w:space="0" w:color="000000" w:themeColor="text1"/>
              <w:right w:val="single" w:sz="8" w:space="0" w:color="auto"/>
            </w:tcBorders>
            <w:noWrap/>
            <w:vAlign w:val="center"/>
            <w:hideMark/>
          </w:tcPr>
          <w:p w14:paraId="31ECA25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5E1DDDC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bateaux</w:t>
            </w:r>
            <w:r>
              <w:rPr>
                <w:rFonts w:ascii="Aptos Narrow" w:hAnsi="Aptos Narrow"/>
                <w:color w:val="000000"/>
                <w:lang w:val="fr-FR"/>
              </w:rPr>
              <w:noBreakHyphen/>
            </w:r>
            <w:r w:rsidRPr="00A926A5">
              <w:rPr>
                <w:rFonts w:ascii="Aptos Narrow" w:hAnsi="Aptos Narrow"/>
                <w:color w:val="000000"/>
                <w:lang w:val="fr-FR"/>
              </w:rPr>
              <w:t>pompes à incendie</w:t>
            </w:r>
          </w:p>
        </w:tc>
        <w:tc>
          <w:tcPr>
            <w:tcW w:w="1153" w:type="dxa"/>
            <w:tcBorders>
              <w:top w:val="nil"/>
              <w:left w:val="nil"/>
              <w:right w:val="single" w:sz="8" w:space="0" w:color="auto"/>
            </w:tcBorders>
            <w:noWrap/>
            <w:vAlign w:val="center"/>
            <w:hideMark/>
          </w:tcPr>
          <w:p w14:paraId="3AD19E71"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16B820A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120353</w:t>
            </w:r>
          </w:p>
        </w:tc>
        <w:tc>
          <w:tcPr>
            <w:tcW w:w="1028" w:type="dxa"/>
            <w:tcBorders>
              <w:top w:val="single" w:sz="8" w:space="0" w:color="auto"/>
              <w:left w:val="nil"/>
              <w:bottom w:val="single" w:sz="8" w:space="0" w:color="000000" w:themeColor="text1"/>
              <w:right w:val="single" w:sz="8" w:space="0" w:color="auto"/>
            </w:tcBorders>
            <w:noWrap/>
            <w:vAlign w:val="center"/>
            <w:hideMark/>
          </w:tcPr>
          <w:p w14:paraId="30C98B13"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3EE91AA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bateaux</w:t>
            </w:r>
            <w:r>
              <w:rPr>
                <w:rFonts w:ascii="Aptos Narrow" w:hAnsi="Aptos Narrow"/>
                <w:color w:val="000000"/>
                <w:lang w:val="fr-FR"/>
              </w:rPr>
              <w:noBreakHyphen/>
            </w:r>
            <w:r w:rsidRPr="00A926A5">
              <w:rPr>
                <w:rFonts w:ascii="Aptos Narrow" w:hAnsi="Aptos Narrow"/>
                <w:color w:val="000000"/>
                <w:lang w:val="fr-FR"/>
              </w:rPr>
              <w:t>pompes à incendie</w:t>
            </w:r>
          </w:p>
        </w:tc>
      </w:tr>
      <w:tr w:rsidR="00D236B4" w:rsidRPr="00A926A5" w14:paraId="76BC6C18"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0AB07AB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090073</w:t>
            </w:r>
          </w:p>
        </w:tc>
        <w:tc>
          <w:tcPr>
            <w:tcW w:w="839" w:type="dxa"/>
            <w:tcBorders>
              <w:top w:val="single" w:sz="8" w:space="0" w:color="auto"/>
              <w:left w:val="nil"/>
              <w:bottom w:val="single" w:sz="8" w:space="0" w:color="000000" w:themeColor="text1"/>
              <w:right w:val="single" w:sz="8" w:space="0" w:color="auto"/>
            </w:tcBorders>
            <w:noWrap/>
            <w:vAlign w:val="center"/>
            <w:hideMark/>
          </w:tcPr>
          <w:p w14:paraId="2F6125D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3CF63F2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radeaux de sauvetage</w:t>
            </w:r>
          </w:p>
        </w:tc>
        <w:tc>
          <w:tcPr>
            <w:tcW w:w="1153" w:type="dxa"/>
            <w:tcBorders>
              <w:top w:val="nil"/>
              <w:left w:val="nil"/>
              <w:right w:val="single" w:sz="8" w:space="0" w:color="auto"/>
            </w:tcBorders>
            <w:noWrap/>
            <w:vAlign w:val="center"/>
            <w:hideMark/>
          </w:tcPr>
          <w:p w14:paraId="4DE20AB8"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73C2143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120354</w:t>
            </w:r>
          </w:p>
        </w:tc>
        <w:tc>
          <w:tcPr>
            <w:tcW w:w="1028" w:type="dxa"/>
            <w:tcBorders>
              <w:top w:val="single" w:sz="8" w:space="0" w:color="auto"/>
              <w:left w:val="nil"/>
              <w:bottom w:val="single" w:sz="8" w:space="0" w:color="000000" w:themeColor="text1"/>
              <w:right w:val="single" w:sz="8" w:space="0" w:color="auto"/>
            </w:tcBorders>
            <w:noWrap/>
            <w:vAlign w:val="center"/>
            <w:hideMark/>
          </w:tcPr>
          <w:p w14:paraId="778ED7A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3DF4E33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radeaux de sauvetage</w:t>
            </w:r>
          </w:p>
        </w:tc>
      </w:tr>
      <w:tr w:rsidR="00D236B4" w:rsidRPr="00A926A5" w14:paraId="56F36761"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358BD5B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090816</w:t>
            </w:r>
          </w:p>
        </w:tc>
        <w:tc>
          <w:tcPr>
            <w:tcW w:w="839" w:type="dxa"/>
            <w:tcBorders>
              <w:top w:val="single" w:sz="8" w:space="0" w:color="auto"/>
              <w:left w:val="nil"/>
              <w:bottom w:val="single" w:sz="8" w:space="0" w:color="000000" w:themeColor="text1"/>
              <w:right w:val="single" w:sz="8" w:space="0" w:color="auto"/>
            </w:tcBorders>
            <w:noWrap/>
            <w:vAlign w:val="center"/>
            <w:hideMark/>
          </w:tcPr>
          <w:p w14:paraId="5093D222"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51F142B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canots de sauvetage</w:t>
            </w:r>
          </w:p>
        </w:tc>
        <w:tc>
          <w:tcPr>
            <w:tcW w:w="1153" w:type="dxa"/>
            <w:tcBorders>
              <w:top w:val="nil"/>
              <w:left w:val="nil"/>
              <w:right w:val="single" w:sz="8" w:space="0" w:color="auto"/>
            </w:tcBorders>
            <w:noWrap/>
            <w:vAlign w:val="center"/>
            <w:hideMark/>
          </w:tcPr>
          <w:p w14:paraId="2F990A39"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1D29F8D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120355</w:t>
            </w:r>
          </w:p>
        </w:tc>
        <w:tc>
          <w:tcPr>
            <w:tcW w:w="1028" w:type="dxa"/>
            <w:tcBorders>
              <w:top w:val="single" w:sz="8" w:space="0" w:color="auto"/>
              <w:left w:val="nil"/>
              <w:bottom w:val="single" w:sz="8" w:space="0" w:color="000000" w:themeColor="text1"/>
              <w:right w:val="single" w:sz="8" w:space="0" w:color="auto"/>
            </w:tcBorders>
            <w:noWrap/>
            <w:vAlign w:val="center"/>
            <w:hideMark/>
          </w:tcPr>
          <w:p w14:paraId="6E3BF232"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0CC75AC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canots de sauvetage</w:t>
            </w:r>
          </w:p>
        </w:tc>
      </w:tr>
      <w:tr w:rsidR="00D236B4" w:rsidRPr="00A926A5" w14:paraId="5850541F"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52D1C63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090895</w:t>
            </w:r>
          </w:p>
        </w:tc>
        <w:tc>
          <w:tcPr>
            <w:tcW w:w="839" w:type="dxa"/>
            <w:tcBorders>
              <w:top w:val="single" w:sz="8" w:space="0" w:color="auto"/>
              <w:left w:val="nil"/>
              <w:bottom w:val="single" w:sz="8" w:space="0" w:color="000000" w:themeColor="text1"/>
              <w:right w:val="single" w:sz="8" w:space="0" w:color="auto"/>
            </w:tcBorders>
            <w:noWrap/>
            <w:vAlign w:val="center"/>
            <w:hideMark/>
          </w:tcPr>
          <w:p w14:paraId="54ADD48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2BBEB00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chaises d’évacuation</w:t>
            </w:r>
          </w:p>
        </w:tc>
        <w:tc>
          <w:tcPr>
            <w:tcW w:w="1153" w:type="dxa"/>
            <w:tcBorders>
              <w:top w:val="nil"/>
              <w:left w:val="nil"/>
              <w:right w:val="single" w:sz="8" w:space="0" w:color="auto"/>
            </w:tcBorders>
            <w:noWrap/>
            <w:vAlign w:val="center"/>
            <w:hideMark/>
          </w:tcPr>
          <w:p w14:paraId="4D74FCB3"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1C0F434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120356</w:t>
            </w:r>
          </w:p>
        </w:tc>
        <w:tc>
          <w:tcPr>
            <w:tcW w:w="1028" w:type="dxa"/>
            <w:tcBorders>
              <w:top w:val="single" w:sz="8" w:space="0" w:color="auto"/>
              <w:left w:val="nil"/>
              <w:bottom w:val="single" w:sz="8" w:space="0" w:color="000000" w:themeColor="text1"/>
              <w:right w:val="single" w:sz="8" w:space="0" w:color="auto"/>
            </w:tcBorders>
            <w:noWrap/>
            <w:vAlign w:val="center"/>
            <w:hideMark/>
          </w:tcPr>
          <w:p w14:paraId="1094FC5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3EA197FB"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chaises d’évacuation</w:t>
            </w:r>
          </w:p>
        </w:tc>
      </w:tr>
      <w:tr w:rsidR="00D236B4" w:rsidRPr="00A926A5" w14:paraId="26028C8A"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1CB7FE3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280125</w:t>
            </w:r>
          </w:p>
        </w:tc>
        <w:tc>
          <w:tcPr>
            <w:tcW w:w="839" w:type="dxa"/>
            <w:tcBorders>
              <w:top w:val="single" w:sz="8" w:space="0" w:color="auto"/>
              <w:left w:val="nil"/>
              <w:bottom w:val="single" w:sz="8" w:space="0" w:color="000000" w:themeColor="text1"/>
              <w:right w:val="single" w:sz="8" w:space="0" w:color="auto"/>
            </w:tcBorders>
            <w:noWrap/>
            <w:vAlign w:val="center"/>
            <w:hideMark/>
          </w:tcPr>
          <w:p w14:paraId="59A0F68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28</w:t>
            </w:r>
          </w:p>
        </w:tc>
        <w:tc>
          <w:tcPr>
            <w:tcW w:w="3636" w:type="dxa"/>
            <w:tcBorders>
              <w:top w:val="single" w:sz="8" w:space="0" w:color="auto"/>
              <w:left w:val="nil"/>
              <w:bottom w:val="single" w:sz="8" w:space="0" w:color="000000" w:themeColor="text1"/>
              <w:right w:val="single" w:sz="8" w:space="0" w:color="auto"/>
            </w:tcBorders>
            <w:noWrap/>
            <w:vAlign w:val="center"/>
            <w:hideMark/>
          </w:tcPr>
          <w:p w14:paraId="0F1E4B66"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kayaks de mer</w:t>
            </w:r>
          </w:p>
        </w:tc>
        <w:tc>
          <w:tcPr>
            <w:tcW w:w="1153" w:type="dxa"/>
            <w:tcBorders>
              <w:top w:val="nil"/>
              <w:left w:val="nil"/>
              <w:right w:val="single" w:sz="8" w:space="0" w:color="auto"/>
            </w:tcBorders>
            <w:noWrap/>
            <w:vAlign w:val="center"/>
            <w:hideMark/>
          </w:tcPr>
          <w:p w14:paraId="183F3DEE"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4D379DF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120358</w:t>
            </w:r>
          </w:p>
        </w:tc>
        <w:tc>
          <w:tcPr>
            <w:tcW w:w="1028" w:type="dxa"/>
            <w:tcBorders>
              <w:top w:val="single" w:sz="8" w:space="0" w:color="auto"/>
              <w:left w:val="nil"/>
              <w:bottom w:val="single" w:sz="8" w:space="0" w:color="000000" w:themeColor="text1"/>
              <w:right w:val="single" w:sz="8" w:space="0" w:color="auto"/>
            </w:tcBorders>
            <w:noWrap/>
            <w:vAlign w:val="center"/>
            <w:hideMark/>
          </w:tcPr>
          <w:p w14:paraId="69B2EF2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12</w:t>
            </w:r>
          </w:p>
        </w:tc>
        <w:tc>
          <w:tcPr>
            <w:tcW w:w="3487" w:type="dxa"/>
            <w:tcBorders>
              <w:top w:val="single" w:sz="8" w:space="0" w:color="auto"/>
              <w:left w:val="nil"/>
              <w:bottom w:val="single" w:sz="8" w:space="0" w:color="000000" w:themeColor="text1"/>
              <w:right w:val="single" w:sz="8" w:space="0" w:color="auto"/>
            </w:tcBorders>
            <w:noWrap/>
            <w:vAlign w:val="center"/>
            <w:hideMark/>
          </w:tcPr>
          <w:p w14:paraId="108DABC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kayaks de mer</w:t>
            </w:r>
          </w:p>
        </w:tc>
      </w:tr>
      <w:tr w:rsidR="00D236B4" w:rsidRPr="00A926A5" w14:paraId="1FAB6871"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4AD64EEB"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210012</w:t>
            </w:r>
          </w:p>
        </w:tc>
        <w:tc>
          <w:tcPr>
            <w:tcW w:w="839" w:type="dxa"/>
            <w:tcBorders>
              <w:top w:val="single" w:sz="8" w:space="0" w:color="auto"/>
              <w:left w:val="nil"/>
              <w:bottom w:val="single" w:sz="8" w:space="0" w:color="000000" w:themeColor="text1"/>
              <w:right w:val="single" w:sz="8" w:space="0" w:color="auto"/>
            </w:tcBorders>
            <w:noWrap/>
            <w:vAlign w:val="center"/>
            <w:hideMark/>
          </w:tcPr>
          <w:p w14:paraId="1A9E5D7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21</w:t>
            </w:r>
          </w:p>
        </w:tc>
        <w:tc>
          <w:tcPr>
            <w:tcW w:w="3636" w:type="dxa"/>
            <w:tcBorders>
              <w:top w:val="single" w:sz="8" w:space="0" w:color="auto"/>
              <w:left w:val="nil"/>
              <w:bottom w:val="single" w:sz="8" w:space="0" w:color="000000" w:themeColor="text1"/>
              <w:right w:val="single" w:sz="8" w:space="0" w:color="auto"/>
            </w:tcBorders>
            <w:noWrap/>
            <w:vAlign w:val="center"/>
            <w:hideMark/>
          </w:tcPr>
          <w:p w14:paraId="4874A51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lances pour tuyaux d’arrosage</w:t>
            </w:r>
          </w:p>
        </w:tc>
        <w:tc>
          <w:tcPr>
            <w:tcW w:w="1153" w:type="dxa"/>
            <w:tcBorders>
              <w:top w:val="nil"/>
              <w:left w:val="nil"/>
              <w:right w:val="single" w:sz="8" w:space="0" w:color="auto"/>
            </w:tcBorders>
            <w:noWrap/>
            <w:vAlign w:val="center"/>
            <w:hideMark/>
          </w:tcPr>
          <w:p w14:paraId="3DEEAE7D"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08A8B54D"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170141</w:t>
            </w:r>
          </w:p>
        </w:tc>
        <w:tc>
          <w:tcPr>
            <w:tcW w:w="1028" w:type="dxa"/>
            <w:tcBorders>
              <w:top w:val="single" w:sz="8" w:space="0" w:color="auto"/>
              <w:left w:val="nil"/>
              <w:bottom w:val="single" w:sz="8" w:space="0" w:color="000000" w:themeColor="text1"/>
              <w:right w:val="single" w:sz="8" w:space="0" w:color="auto"/>
            </w:tcBorders>
            <w:noWrap/>
            <w:vAlign w:val="center"/>
            <w:hideMark/>
          </w:tcPr>
          <w:p w14:paraId="4B3FEDD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17</w:t>
            </w:r>
          </w:p>
        </w:tc>
        <w:tc>
          <w:tcPr>
            <w:tcW w:w="3487" w:type="dxa"/>
            <w:tcBorders>
              <w:top w:val="single" w:sz="8" w:space="0" w:color="auto"/>
              <w:left w:val="nil"/>
              <w:bottom w:val="single" w:sz="8" w:space="0" w:color="000000" w:themeColor="text1"/>
              <w:right w:val="single" w:sz="8" w:space="0" w:color="auto"/>
            </w:tcBorders>
            <w:noWrap/>
            <w:vAlign w:val="center"/>
            <w:hideMark/>
          </w:tcPr>
          <w:p w14:paraId="6E93302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lances pour tuyaux d’arrosage</w:t>
            </w:r>
          </w:p>
        </w:tc>
      </w:tr>
      <w:tr w:rsidR="00D236B4" w:rsidRPr="00A926A5" w14:paraId="0E3A4E91"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0DD27EE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100070</w:t>
            </w:r>
          </w:p>
        </w:tc>
        <w:tc>
          <w:tcPr>
            <w:tcW w:w="839" w:type="dxa"/>
            <w:tcBorders>
              <w:top w:val="single" w:sz="8" w:space="0" w:color="auto"/>
              <w:left w:val="nil"/>
              <w:bottom w:val="single" w:sz="8" w:space="0" w:color="000000" w:themeColor="text1"/>
              <w:right w:val="single" w:sz="8" w:space="0" w:color="auto"/>
            </w:tcBorders>
            <w:noWrap/>
            <w:vAlign w:val="center"/>
            <w:hideMark/>
          </w:tcPr>
          <w:p w14:paraId="5F5B6B8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10</w:t>
            </w:r>
          </w:p>
        </w:tc>
        <w:tc>
          <w:tcPr>
            <w:tcW w:w="3636" w:type="dxa"/>
            <w:tcBorders>
              <w:top w:val="single" w:sz="8" w:space="0" w:color="auto"/>
              <w:left w:val="nil"/>
              <w:bottom w:val="single" w:sz="8" w:space="0" w:color="000000" w:themeColor="text1"/>
              <w:right w:val="single" w:sz="8" w:space="0" w:color="auto"/>
            </w:tcBorders>
            <w:noWrap/>
            <w:vAlign w:val="center"/>
            <w:hideMark/>
          </w:tcPr>
          <w:p w14:paraId="51395E2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cure</w:t>
            </w:r>
            <w:r>
              <w:rPr>
                <w:rFonts w:ascii="Aptos Narrow" w:hAnsi="Aptos Narrow"/>
                <w:color w:val="000000"/>
                <w:lang w:val="fr-FR"/>
              </w:rPr>
              <w:noBreakHyphen/>
            </w:r>
            <w:r w:rsidRPr="00A926A5">
              <w:rPr>
                <w:rFonts w:ascii="Aptos Narrow" w:hAnsi="Aptos Narrow"/>
                <w:color w:val="000000"/>
                <w:lang w:val="fr-FR"/>
              </w:rPr>
              <w:t>langue</w:t>
            </w:r>
          </w:p>
        </w:tc>
        <w:tc>
          <w:tcPr>
            <w:tcW w:w="1153" w:type="dxa"/>
            <w:tcBorders>
              <w:top w:val="nil"/>
              <w:left w:val="nil"/>
              <w:right w:val="single" w:sz="8" w:space="0" w:color="auto"/>
            </w:tcBorders>
            <w:noWrap/>
            <w:vAlign w:val="center"/>
            <w:hideMark/>
          </w:tcPr>
          <w:p w14:paraId="20DCFF64"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593E6C4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210479</w:t>
            </w:r>
          </w:p>
        </w:tc>
        <w:tc>
          <w:tcPr>
            <w:tcW w:w="1028" w:type="dxa"/>
            <w:tcBorders>
              <w:top w:val="single" w:sz="8" w:space="0" w:color="auto"/>
              <w:left w:val="nil"/>
              <w:bottom w:val="single" w:sz="8" w:space="0" w:color="000000" w:themeColor="text1"/>
              <w:right w:val="single" w:sz="8" w:space="0" w:color="auto"/>
            </w:tcBorders>
            <w:noWrap/>
            <w:vAlign w:val="center"/>
            <w:hideMark/>
          </w:tcPr>
          <w:p w14:paraId="4ACCCE8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21</w:t>
            </w:r>
          </w:p>
        </w:tc>
        <w:tc>
          <w:tcPr>
            <w:tcW w:w="3487" w:type="dxa"/>
            <w:tcBorders>
              <w:top w:val="single" w:sz="8" w:space="0" w:color="auto"/>
              <w:left w:val="nil"/>
              <w:bottom w:val="single" w:sz="8" w:space="0" w:color="000000" w:themeColor="text1"/>
              <w:right w:val="single" w:sz="8" w:space="0" w:color="auto"/>
            </w:tcBorders>
            <w:noWrap/>
            <w:vAlign w:val="center"/>
            <w:hideMark/>
          </w:tcPr>
          <w:p w14:paraId="2E1C497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gratte</w:t>
            </w:r>
            <w:r>
              <w:rPr>
                <w:rFonts w:ascii="Aptos Narrow" w:hAnsi="Aptos Narrow"/>
                <w:color w:val="000000"/>
                <w:lang w:val="fr-FR"/>
              </w:rPr>
              <w:noBreakHyphen/>
            </w:r>
            <w:r w:rsidRPr="00A926A5">
              <w:rPr>
                <w:rFonts w:ascii="Aptos Narrow" w:hAnsi="Aptos Narrow"/>
                <w:color w:val="000000"/>
                <w:lang w:val="fr-FR"/>
              </w:rPr>
              <w:t>langues</w:t>
            </w:r>
          </w:p>
        </w:tc>
      </w:tr>
      <w:tr w:rsidR="00D236B4" w:rsidRPr="00A926A5" w14:paraId="11F065F6"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6DE4D45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110351</w:t>
            </w:r>
          </w:p>
        </w:tc>
        <w:tc>
          <w:tcPr>
            <w:tcW w:w="839" w:type="dxa"/>
            <w:tcBorders>
              <w:top w:val="single" w:sz="8" w:space="0" w:color="auto"/>
              <w:left w:val="nil"/>
              <w:bottom w:val="single" w:sz="8" w:space="0" w:color="000000" w:themeColor="text1"/>
              <w:right w:val="single" w:sz="8" w:space="0" w:color="auto"/>
            </w:tcBorders>
            <w:noWrap/>
            <w:vAlign w:val="center"/>
            <w:hideMark/>
          </w:tcPr>
          <w:p w14:paraId="7EB2C1E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w:t>
            </w:r>
          </w:p>
        </w:tc>
        <w:tc>
          <w:tcPr>
            <w:tcW w:w="3636" w:type="dxa"/>
            <w:tcBorders>
              <w:top w:val="single" w:sz="8" w:space="0" w:color="auto"/>
              <w:left w:val="nil"/>
              <w:bottom w:val="single" w:sz="8" w:space="0" w:color="000000" w:themeColor="text1"/>
              <w:right w:val="single" w:sz="8" w:space="0" w:color="auto"/>
            </w:tcBorders>
            <w:noWrap/>
            <w:vAlign w:val="center"/>
            <w:hideMark/>
          </w:tcPr>
          <w:p w14:paraId="2AC5B308"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vêtements chauffés électriquement</w:t>
            </w:r>
          </w:p>
        </w:tc>
        <w:tc>
          <w:tcPr>
            <w:tcW w:w="1153" w:type="dxa"/>
            <w:tcBorders>
              <w:top w:val="nil"/>
              <w:left w:val="nil"/>
              <w:right w:val="single" w:sz="8" w:space="0" w:color="auto"/>
            </w:tcBorders>
            <w:noWrap/>
            <w:vAlign w:val="center"/>
            <w:hideMark/>
          </w:tcPr>
          <w:p w14:paraId="7D71F3F9"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17A98EE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250206</w:t>
            </w:r>
          </w:p>
        </w:tc>
        <w:tc>
          <w:tcPr>
            <w:tcW w:w="1028" w:type="dxa"/>
            <w:tcBorders>
              <w:top w:val="single" w:sz="8" w:space="0" w:color="auto"/>
              <w:left w:val="nil"/>
              <w:bottom w:val="single" w:sz="8" w:space="0" w:color="000000" w:themeColor="text1"/>
              <w:right w:val="single" w:sz="8" w:space="0" w:color="auto"/>
            </w:tcBorders>
            <w:noWrap/>
            <w:vAlign w:val="center"/>
            <w:hideMark/>
          </w:tcPr>
          <w:p w14:paraId="5EDBAF59"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w:t>
            </w:r>
          </w:p>
        </w:tc>
        <w:tc>
          <w:tcPr>
            <w:tcW w:w="3487" w:type="dxa"/>
            <w:tcBorders>
              <w:top w:val="single" w:sz="8" w:space="0" w:color="auto"/>
              <w:left w:val="nil"/>
              <w:bottom w:val="single" w:sz="8" w:space="0" w:color="000000" w:themeColor="text1"/>
              <w:right w:val="single" w:sz="8" w:space="0" w:color="auto"/>
            </w:tcBorders>
            <w:noWrap/>
            <w:vAlign w:val="center"/>
            <w:hideMark/>
          </w:tcPr>
          <w:p w14:paraId="2CE2C01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vêtements chauffés électriquement</w:t>
            </w:r>
          </w:p>
        </w:tc>
      </w:tr>
      <w:tr w:rsidR="00D236B4" w:rsidRPr="00A926A5" w14:paraId="0E6A01AC"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4E8450E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110345</w:t>
            </w:r>
          </w:p>
        </w:tc>
        <w:tc>
          <w:tcPr>
            <w:tcW w:w="839" w:type="dxa"/>
            <w:tcBorders>
              <w:top w:val="single" w:sz="8" w:space="0" w:color="auto"/>
              <w:left w:val="nil"/>
              <w:bottom w:val="single" w:sz="8" w:space="0" w:color="000000" w:themeColor="text1"/>
              <w:right w:val="single" w:sz="8" w:space="0" w:color="auto"/>
            </w:tcBorders>
            <w:noWrap/>
            <w:vAlign w:val="center"/>
            <w:hideMark/>
          </w:tcPr>
          <w:p w14:paraId="4520932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w:t>
            </w:r>
          </w:p>
        </w:tc>
        <w:tc>
          <w:tcPr>
            <w:tcW w:w="3636" w:type="dxa"/>
            <w:tcBorders>
              <w:top w:val="single" w:sz="8" w:space="0" w:color="auto"/>
              <w:left w:val="nil"/>
              <w:bottom w:val="single" w:sz="8" w:space="0" w:color="000000" w:themeColor="text1"/>
              <w:right w:val="single" w:sz="8" w:space="0" w:color="auto"/>
            </w:tcBorders>
            <w:noWrap/>
            <w:vAlign w:val="center"/>
            <w:hideMark/>
          </w:tcPr>
          <w:p w14:paraId="0DB9DB7F"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chaussettes chauffées électriquement</w:t>
            </w:r>
          </w:p>
        </w:tc>
        <w:tc>
          <w:tcPr>
            <w:tcW w:w="1153" w:type="dxa"/>
            <w:tcBorders>
              <w:top w:val="nil"/>
              <w:left w:val="nil"/>
              <w:right w:val="single" w:sz="8" w:space="0" w:color="auto"/>
            </w:tcBorders>
            <w:noWrap/>
            <w:vAlign w:val="center"/>
            <w:hideMark/>
          </w:tcPr>
          <w:p w14:paraId="2E263D94"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0C15113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250207</w:t>
            </w:r>
          </w:p>
        </w:tc>
        <w:tc>
          <w:tcPr>
            <w:tcW w:w="1028" w:type="dxa"/>
            <w:tcBorders>
              <w:top w:val="single" w:sz="8" w:space="0" w:color="auto"/>
              <w:left w:val="nil"/>
              <w:bottom w:val="single" w:sz="8" w:space="0" w:color="000000" w:themeColor="text1"/>
              <w:right w:val="single" w:sz="8" w:space="0" w:color="auto"/>
            </w:tcBorders>
            <w:noWrap/>
            <w:vAlign w:val="center"/>
            <w:hideMark/>
          </w:tcPr>
          <w:p w14:paraId="1F42122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w:t>
            </w:r>
          </w:p>
        </w:tc>
        <w:tc>
          <w:tcPr>
            <w:tcW w:w="3487" w:type="dxa"/>
            <w:tcBorders>
              <w:top w:val="single" w:sz="8" w:space="0" w:color="auto"/>
              <w:left w:val="nil"/>
              <w:bottom w:val="single" w:sz="8" w:space="0" w:color="000000" w:themeColor="text1"/>
              <w:right w:val="single" w:sz="8" w:space="0" w:color="auto"/>
            </w:tcBorders>
            <w:noWrap/>
            <w:vAlign w:val="center"/>
            <w:hideMark/>
          </w:tcPr>
          <w:p w14:paraId="44BFD563"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chaussettes chauffées électriquement</w:t>
            </w:r>
          </w:p>
        </w:tc>
      </w:tr>
      <w:tr w:rsidR="00D236B4" w:rsidRPr="00BD4607" w14:paraId="05D9C1D8"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13CEDAA2"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110088</w:t>
            </w:r>
          </w:p>
        </w:tc>
        <w:tc>
          <w:tcPr>
            <w:tcW w:w="839" w:type="dxa"/>
            <w:tcBorders>
              <w:top w:val="single" w:sz="8" w:space="0" w:color="auto"/>
              <w:left w:val="nil"/>
              <w:bottom w:val="single" w:sz="8" w:space="0" w:color="000000" w:themeColor="text1"/>
              <w:right w:val="single" w:sz="8" w:space="0" w:color="auto"/>
            </w:tcBorders>
            <w:noWrap/>
            <w:vAlign w:val="center"/>
            <w:hideMark/>
          </w:tcPr>
          <w:p w14:paraId="01A646B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11</w:t>
            </w:r>
          </w:p>
        </w:tc>
        <w:tc>
          <w:tcPr>
            <w:tcW w:w="3636" w:type="dxa"/>
            <w:tcBorders>
              <w:top w:val="single" w:sz="8" w:space="0" w:color="auto"/>
              <w:left w:val="nil"/>
              <w:bottom w:val="single" w:sz="8" w:space="0" w:color="000000" w:themeColor="text1"/>
              <w:right w:val="single" w:sz="8" w:space="0" w:color="auto"/>
            </w:tcBorders>
            <w:noWrap/>
            <w:vAlign w:val="center"/>
            <w:hideMark/>
          </w:tcPr>
          <w:p w14:paraId="62F336AA"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chancelières chauffées électriquement</w:t>
            </w:r>
          </w:p>
        </w:tc>
        <w:tc>
          <w:tcPr>
            <w:tcW w:w="1153" w:type="dxa"/>
            <w:tcBorders>
              <w:top w:val="nil"/>
              <w:left w:val="nil"/>
              <w:right w:val="single" w:sz="8" w:space="0" w:color="auto"/>
            </w:tcBorders>
            <w:noWrap/>
            <w:vAlign w:val="center"/>
            <w:hideMark/>
          </w:tcPr>
          <w:p w14:paraId="2784F858"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33380C14"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250208</w:t>
            </w:r>
          </w:p>
        </w:tc>
        <w:tc>
          <w:tcPr>
            <w:tcW w:w="1028" w:type="dxa"/>
            <w:tcBorders>
              <w:top w:val="single" w:sz="8" w:space="0" w:color="auto"/>
              <w:left w:val="nil"/>
              <w:bottom w:val="single" w:sz="8" w:space="0" w:color="000000" w:themeColor="text1"/>
              <w:right w:val="single" w:sz="8" w:space="0" w:color="auto"/>
            </w:tcBorders>
            <w:noWrap/>
            <w:vAlign w:val="center"/>
            <w:hideMark/>
          </w:tcPr>
          <w:p w14:paraId="0834396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25</w:t>
            </w:r>
          </w:p>
        </w:tc>
        <w:tc>
          <w:tcPr>
            <w:tcW w:w="3487" w:type="dxa"/>
            <w:tcBorders>
              <w:top w:val="single" w:sz="8" w:space="0" w:color="auto"/>
              <w:left w:val="nil"/>
              <w:bottom w:val="single" w:sz="8" w:space="0" w:color="000000" w:themeColor="text1"/>
              <w:right w:val="single" w:sz="8" w:space="0" w:color="auto"/>
            </w:tcBorders>
            <w:noWrap/>
            <w:vAlign w:val="center"/>
            <w:hideMark/>
          </w:tcPr>
          <w:p w14:paraId="5689F71C"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chancelières chauffées électriquement ou non</w:t>
            </w:r>
          </w:p>
        </w:tc>
      </w:tr>
      <w:tr w:rsidR="00D236B4" w:rsidRPr="00A926A5" w14:paraId="57EC8542" w14:textId="77777777" w:rsidTr="00B732B1">
        <w:trPr>
          <w:trHeight w:val="330"/>
        </w:trPr>
        <w:tc>
          <w:tcPr>
            <w:tcW w:w="1508" w:type="dxa"/>
            <w:tcBorders>
              <w:top w:val="single" w:sz="8" w:space="0" w:color="auto"/>
              <w:left w:val="single" w:sz="8" w:space="0" w:color="auto"/>
              <w:bottom w:val="single" w:sz="8" w:space="0" w:color="000000" w:themeColor="text1"/>
              <w:right w:val="single" w:sz="8" w:space="0" w:color="auto"/>
            </w:tcBorders>
            <w:noWrap/>
            <w:vAlign w:val="center"/>
            <w:hideMark/>
          </w:tcPr>
          <w:p w14:paraId="0DEE38B0"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290011</w:t>
            </w:r>
          </w:p>
        </w:tc>
        <w:tc>
          <w:tcPr>
            <w:tcW w:w="839" w:type="dxa"/>
            <w:tcBorders>
              <w:top w:val="single" w:sz="8" w:space="0" w:color="auto"/>
              <w:left w:val="nil"/>
              <w:bottom w:val="single" w:sz="8" w:space="0" w:color="000000" w:themeColor="text1"/>
              <w:right w:val="single" w:sz="8" w:space="0" w:color="auto"/>
            </w:tcBorders>
            <w:noWrap/>
            <w:vAlign w:val="center"/>
            <w:hideMark/>
          </w:tcPr>
          <w:p w14:paraId="07017AC7"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29</w:t>
            </w:r>
          </w:p>
        </w:tc>
        <w:tc>
          <w:tcPr>
            <w:tcW w:w="3636" w:type="dxa"/>
            <w:tcBorders>
              <w:top w:val="single" w:sz="8" w:space="0" w:color="auto"/>
              <w:left w:val="nil"/>
              <w:bottom w:val="single" w:sz="8" w:space="0" w:color="000000" w:themeColor="text1"/>
              <w:right w:val="single" w:sz="8" w:space="0" w:color="auto"/>
            </w:tcBorders>
            <w:noWrap/>
            <w:vAlign w:val="center"/>
            <w:hideMark/>
          </w:tcPr>
          <w:p w14:paraId="5ECFD8AB"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crème de beurre</w:t>
            </w:r>
          </w:p>
        </w:tc>
        <w:tc>
          <w:tcPr>
            <w:tcW w:w="1153" w:type="dxa"/>
            <w:tcBorders>
              <w:top w:val="nil"/>
              <w:left w:val="nil"/>
              <w:right w:val="single" w:sz="8" w:space="0" w:color="auto"/>
            </w:tcBorders>
            <w:noWrap/>
            <w:vAlign w:val="center"/>
            <w:hideMark/>
          </w:tcPr>
          <w:p w14:paraId="66B7F0AF" w14:textId="77777777" w:rsidR="00D236B4" w:rsidRPr="00D236B4" w:rsidRDefault="00D236B4" w:rsidP="00CD4C9C">
            <w:pPr>
              <w:rPr>
                <w:noProof/>
                <w:lang w:val="fr-FR"/>
              </w:rPr>
            </w:pPr>
            <w:r w:rsidRPr="00D236B4">
              <w:rPr>
                <w:noProof/>
                <w:lang w:val="fr-FR"/>
              </w:rPr>
              <w:t> </w:t>
            </w:r>
          </w:p>
        </w:tc>
        <w:tc>
          <w:tcPr>
            <w:tcW w:w="1530" w:type="dxa"/>
            <w:tcBorders>
              <w:top w:val="single" w:sz="8" w:space="0" w:color="auto"/>
              <w:left w:val="nil"/>
              <w:bottom w:val="single" w:sz="8" w:space="0" w:color="000000" w:themeColor="text1"/>
              <w:right w:val="single" w:sz="8" w:space="0" w:color="auto"/>
            </w:tcBorders>
            <w:noWrap/>
            <w:vAlign w:val="center"/>
            <w:hideMark/>
          </w:tcPr>
          <w:p w14:paraId="39995E3D"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300329</w:t>
            </w:r>
          </w:p>
        </w:tc>
        <w:tc>
          <w:tcPr>
            <w:tcW w:w="1028" w:type="dxa"/>
            <w:tcBorders>
              <w:top w:val="single" w:sz="8" w:space="0" w:color="auto"/>
              <w:left w:val="nil"/>
              <w:bottom w:val="single" w:sz="8" w:space="0" w:color="000000" w:themeColor="text1"/>
              <w:right w:val="single" w:sz="8" w:space="0" w:color="auto"/>
            </w:tcBorders>
            <w:noWrap/>
            <w:vAlign w:val="center"/>
            <w:hideMark/>
          </w:tcPr>
          <w:p w14:paraId="4BC11CE1"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30</w:t>
            </w:r>
          </w:p>
        </w:tc>
        <w:tc>
          <w:tcPr>
            <w:tcW w:w="3487" w:type="dxa"/>
            <w:tcBorders>
              <w:top w:val="single" w:sz="8" w:space="0" w:color="auto"/>
              <w:left w:val="nil"/>
              <w:bottom w:val="single" w:sz="8" w:space="0" w:color="000000" w:themeColor="text1"/>
              <w:right w:val="single" w:sz="8" w:space="0" w:color="auto"/>
            </w:tcBorders>
            <w:noWrap/>
            <w:vAlign w:val="center"/>
            <w:hideMark/>
          </w:tcPr>
          <w:p w14:paraId="4A7DD1F5" w14:textId="77777777" w:rsidR="00D236B4" w:rsidRPr="00D236B4" w:rsidRDefault="00D236B4" w:rsidP="00CD4C9C">
            <w:pPr>
              <w:jc w:val="center"/>
              <w:rPr>
                <w:rFonts w:ascii="Aptos Narrow" w:hAnsi="Aptos Narrow"/>
                <w:color w:val="000000"/>
                <w:lang w:val="fr-FR"/>
              </w:rPr>
            </w:pPr>
            <w:r w:rsidRPr="00A926A5">
              <w:rPr>
                <w:rFonts w:ascii="Aptos Narrow" w:hAnsi="Aptos Narrow"/>
                <w:color w:val="000000"/>
                <w:lang w:val="fr-FR"/>
              </w:rPr>
              <w:t>crème au beurre [glaçage]</w:t>
            </w:r>
          </w:p>
        </w:tc>
      </w:tr>
    </w:tbl>
    <w:bookmarkEnd w:id="0"/>
    <w:p w14:paraId="50450F2E" w14:textId="35A1B419" w:rsidR="00CA1560" w:rsidRPr="00A926A5" w:rsidRDefault="00CA1560" w:rsidP="00A926A5">
      <w:pPr>
        <w:pStyle w:val="Endofdocument-Annex"/>
        <w:spacing w:before="720"/>
        <w:ind w:left="10069"/>
        <w:rPr>
          <w:lang w:val="fr-FR"/>
        </w:rPr>
        <w:sectPr w:rsidR="00CA1560" w:rsidRPr="00A926A5" w:rsidSect="00D236B4">
          <w:headerReference w:type="even" r:id="rId16"/>
          <w:headerReference w:type="default" r:id="rId17"/>
          <w:headerReference w:type="first" r:id="rId18"/>
          <w:endnotePr>
            <w:numFmt w:val="decimal"/>
          </w:endnotePr>
          <w:pgSz w:w="16840" w:h="11907" w:orient="landscape" w:code="9"/>
          <w:pgMar w:top="1090" w:right="1800" w:bottom="1440" w:left="1800" w:header="510" w:footer="1021" w:gutter="0"/>
          <w:pgNumType w:start="1"/>
          <w:cols w:space="720"/>
          <w:titlePg/>
          <w:docGrid w:linePitch="299"/>
        </w:sectPr>
      </w:pPr>
      <w:r w:rsidRPr="00A926A5">
        <w:rPr>
          <w:lang w:val="fr-FR"/>
        </w:rPr>
        <w:t>[L</w:t>
      </w:r>
      <w:r w:rsidR="000C7BE0" w:rsidRPr="00A926A5">
        <w:rPr>
          <w:lang w:val="fr-FR"/>
        </w:rPr>
        <w:t>’</w:t>
      </w:r>
      <w:r w:rsidRPr="00A926A5">
        <w:rPr>
          <w:lang w:val="fr-FR"/>
        </w:rPr>
        <w:t xml:space="preserve">annexe II suit] </w:t>
      </w:r>
    </w:p>
    <w:p w14:paraId="04642FFB" w14:textId="44C90773" w:rsidR="00CA1560" w:rsidRPr="00A926A5" w:rsidRDefault="00CA1560" w:rsidP="00A926A5">
      <w:pPr>
        <w:spacing w:after="240"/>
        <w:jc w:val="center"/>
        <w:rPr>
          <w:b/>
          <w:bCs/>
          <w:szCs w:val="22"/>
          <w:lang w:val="fr-FR"/>
        </w:rPr>
      </w:pPr>
      <w:r w:rsidRPr="00A926A5">
        <w:rPr>
          <w:b/>
          <w:lang w:val="fr-FR"/>
        </w:rPr>
        <w:lastRenderedPageBreak/>
        <w:t xml:space="preserve">CLASSIFICATION DE NICE, </w:t>
      </w:r>
      <w:r w:rsidR="0031124F">
        <w:rPr>
          <w:b/>
          <w:lang w:val="fr-FR"/>
        </w:rPr>
        <w:t>13</w:t>
      </w:r>
      <w:r w:rsidR="0031124F" w:rsidRPr="0031124F">
        <w:rPr>
          <w:b/>
          <w:vertAlign w:val="superscript"/>
          <w:lang w:val="fr-FR"/>
        </w:rPr>
        <w:t>e</w:t>
      </w:r>
      <w:r w:rsidRPr="00A926A5">
        <w:rPr>
          <w:b/>
          <w:lang w:val="fr-FR"/>
        </w:rPr>
        <w:t> ÉDITION, VERSION 2026 – NCL(13</w:t>
      </w:r>
      <w:r w:rsidR="00A926A5">
        <w:rPr>
          <w:b/>
          <w:lang w:val="fr-FR"/>
        </w:rPr>
        <w:noBreakHyphen/>
      </w:r>
      <w:r w:rsidRPr="00A926A5">
        <w:rPr>
          <w:b/>
          <w:lang w:val="fr-FR"/>
        </w:rPr>
        <w:t>2026)</w:t>
      </w:r>
      <w:r w:rsidRPr="00A926A5">
        <w:rPr>
          <w:b/>
          <w:lang w:val="fr-FR"/>
        </w:rPr>
        <w:br/>
        <w:t>Entrée en vigueur</w:t>
      </w:r>
      <w:r w:rsidR="000C7BE0" w:rsidRPr="00A926A5">
        <w:rPr>
          <w:b/>
          <w:lang w:val="fr-FR"/>
        </w:rPr>
        <w:t> : 1</w:t>
      </w:r>
      <w:r w:rsidR="000C7BE0" w:rsidRPr="00A926A5">
        <w:rPr>
          <w:b/>
          <w:vertAlign w:val="superscript"/>
          <w:lang w:val="fr-FR"/>
        </w:rPr>
        <w:t>er</w:t>
      </w:r>
      <w:r w:rsidR="000C7BE0" w:rsidRPr="00A926A5">
        <w:rPr>
          <w:b/>
          <w:lang w:val="fr-FR"/>
        </w:rPr>
        <w:t> </w:t>
      </w:r>
      <w:r w:rsidRPr="00A926A5">
        <w:rPr>
          <w:b/>
          <w:lang w:val="fr-FR"/>
        </w:rPr>
        <w:t>janvier 2026</w:t>
      </w:r>
    </w:p>
    <w:p w14:paraId="7147AA03" w14:textId="61C48BE6" w:rsidR="0031124F" w:rsidRDefault="00CA1560" w:rsidP="0031124F">
      <w:pPr>
        <w:spacing w:after="220"/>
        <w:rPr>
          <w:szCs w:val="22"/>
          <w:lang w:val="fr-FR"/>
        </w:rPr>
      </w:pPr>
      <w:r w:rsidRPr="00A926A5">
        <w:rPr>
          <w:lang w:val="fr-FR"/>
        </w:rPr>
        <w:t>Le document Excel “Revision file 2026</w:t>
      </w:r>
      <w:r w:rsidR="00A926A5">
        <w:rPr>
          <w:lang w:val="fr-FR"/>
        </w:rPr>
        <w:noBreakHyphen/>
      </w:r>
      <w:r w:rsidRPr="00A926A5">
        <w:rPr>
          <w:lang w:val="fr-FR"/>
        </w:rPr>
        <w:t xml:space="preserve">13 (E/F)” présente la liste des produits et des services, ainsi que les intitulés des classes et les notes explicatives de la </w:t>
      </w:r>
      <w:r w:rsidR="0031124F">
        <w:rPr>
          <w:lang w:val="fr-FR"/>
        </w:rPr>
        <w:t>12</w:t>
      </w:r>
      <w:r w:rsidR="0031124F" w:rsidRPr="0031124F">
        <w:rPr>
          <w:vertAlign w:val="superscript"/>
          <w:lang w:val="fr-FR"/>
        </w:rPr>
        <w:t>e</w:t>
      </w:r>
      <w:r w:rsidRPr="00A926A5">
        <w:rPr>
          <w:lang w:val="fr-FR"/>
        </w:rPr>
        <w:t xml:space="preserve"> édition, version 2025 et de la </w:t>
      </w:r>
      <w:r w:rsidR="0031124F">
        <w:rPr>
          <w:lang w:val="fr-FR"/>
        </w:rPr>
        <w:t>13</w:t>
      </w:r>
      <w:r w:rsidR="0031124F" w:rsidRPr="0031124F">
        <w:rPr>
          <w:vertAlign w:val="superscript"/>
          <w:lang w:val="fr-FR"/>
        </w:rPr>
        <w:t>e</w:t>
      </w:r>
      <w:r w:rsidRPr="00A926A5">
        <w:rPr>
          <w:lang w:val="fr-FR"/>
        </w:rPr>
        <w:t> édition, version 2026, en anglais et en frança</w:t>
      </w:r>
      <w:r w:rsidR="00A926A5" w:rsidRPr="00A926A5">
        <w:rPr>
          <w:lang w:val="fr-FR"/>
        </w:rPr>
        <w:t>is.  Le</w:t>
      </w:r>
      <w:r w:rsidRPr="00A926A5">
        <w:rPr>
          <w:lang w:val="fr-FR"/>
        </w:rPr>
        <w:t>s changements qui ont été apportés à la version 2025 sont indiqués dans les colonnes “Action EN” pour le texte en anglais et “Action FR” pour le texte en français, comme suit</w:t>
      </w:r>
      <w:r w:rsidR="000C7BE0" w:rsidRPr="00A926A5">
        <w:rPr>
          <w:lang w:val="fr-FR"/>
        </w:rPr>
        <w:t> :</w:t>
      </w:r>
    </w:p>
    <w:p w14:paraId="1AA8B477" w14:textId="77777777" w:rsidR="0031124F" w:rsidRDefault="00CA1560" w:rsidP="0031124F">
      <w:pPr>
        <w:pStyle w:val="ListParagraph"/>
        <w:numPr>
          <w:ilvl w:val="0"/>
          <w:numId w:val="11"/>
        </w:numPr>
        <w:tabs>
          <w:tab w:val="left" w:pos="1134"/>
        </w:tabs>
        <w:spacing w:after="220"/>
        <w:ind w:left="567" w:firstLine="0"/>
        <w:contextualSpacing w:val="0"/>
        <w:rPr>
          <w:szCs w:val="22"/>
        </w:rPr>
      </w:pPr>
      <w:r w:rsidRPr="00A926A5">
        <w:t>“</w:t>
      </w:r>
      <w:r w:rsidRPr="00A926A5">
        <w:rPr>
          <w:i/>
          <w:iCs/>
        </w:rPr>
        <w:t>Changer</w:t>
      </w:r>
      <w:r w:rsidRPr="00A926A5">
        <w:t>” signifie qu</w:t>
      </w:r>
      <w:r w:rsidR="000C7BE0" w:rsidRPr="00A926A5">
        <w:t>’</w:t>
      </w:r>
      <w:r w:rsidRPr="00A926A5">
        <w:t>un endroit (intitulé de classe, note explicative, remarques générales) ou qu</w:t>
      </w:r>
      <w:r w:rsidR="000C7BE0" w:rsidRPr="00A926A5">
        <w:t>’</w:t>
      </w:r>
      <w:r w:rsidRPr="00A926A5">
        <w:t>une indication existante avec un numéro de base a été modifié (changement de libellé ou d</w:t>
      </w:r>
      <w:r w:rsidR="000C7BE0" w:rsidRPr="00A926A5">
        <w:t>’</w:t>
      </w:r>
      <w:r w:rsidRPr="00A926A5">
        <w:t>orthographe, ajout d</w:t>
      </w:r>
      <w:r w:rsidR="000C7BE0" w:rsidRPr="00A926A5">
        <w:t>’</w:t>
      </w:r>
      <w:r w:rsidRPr="00A926A5">
        <w:t>un terme synonyme, suppression d</w:t>
      </w:r>
      <w:r w:rsidR="000C7BE0" w:rsidRPr="00A926A5">
        <w:t>’</w:t>
      </w:r>
      <w:r w:rsidRPr="00A926A5">
        <w:t>un terme synonyme).</w:t>
      </w:r>
    </w:p>
    <w:p w14:paraId="4771EEC6" w14:textId="77777777" w:rsidR="0031124F" w:rsidRDefault="00CA1560" w:rsidP="0031124F">
      <w:pPr>
        <w:pStyle w:val="ListParagraph"/>
        <w:numPr>
          <w:ilvl w:val="0"/>
          <w:numId w:val="11"/>
        </w:numPr>
        <w:tabs>
          <w:tab w:val="left" w:pos="1134"/>
        </w:tabs>
        <w:spacing w:after="220"/>
        <w:ind w:left="567" w:firstLine="0"/>
        <w:contextualSpacing w:val="0"/>
        <w:rPr>
          <w:szCs w:val="22"/>
        </w:rPr>
      </w:pPr>
      <w:r w:rsidRPr="00A926A5">
        <w:t>“</w:t>
      </w:r>
      <w:r w:rsidRPr="00A926A5">
        <w:rPr>
          <w:i/>
          <w:iCs/>
        </w:rPr>
        <w:t>Supprimer</w:t>
      </w:r>
      <w:r w:rsidRPr="00A926A5">
        <w:t>” signifie que toutes les indications appartenant à un numéro de base ont été supprimées, c</w:t>
      </w:r>
      <w:r w:rsidR="000C7BE0" w:rsidRPr="00A926A5">
        <w:t>’</w:t>
      </w:r>
      <w:r w:rsidRPr="00A926A5">
        <w:t>est</w:t>
      </w:r>
      <w:r w:rsidR="00A926A5">
        <w:noBreakHyphen/>
      </w:r>
      <w:r w:rsidRPr="00A926A5">
        <w:t>à</w:t>
      </w:r>
      <w:r w:rsidR="00A926A5">
        <w:noBreakHyphen/>
      </w:r>
      <w:r w:rsidRPr="00A926A5">
        <w:t>dire que le numéro de base n</w:t>
      </w:r>
      <w:r w:rsidR="000C7BE0" w:rsidRPr="00A926A5">
        <w:t>’</w:t>
      </w:r>
      <w:r w:rsidRPr="00A926A5">
        <w:t>existe plus.</w:t>
      </w:r>
    </w:p>
    <w:p w14:paraId="138F8332" w14:textId="77777777" w:rsidR="0031124F" w:rsidRDefault="00CA1560" w:rsidP="0031124F">
      <w:pPr>
        <w:pStyle w:val="ListParagraph"/>
        <w:numPr>
          <w:ilvl w:val="0"/>
          <w:numId w:val="11"/>
        </w:numPr>
        <w:tabs>
          <w:tab w:val="left" w:pos="1134"/>
        </w:tabs>
        <w:spacing w:after="220"/>
        <w:ind w:left="567" w:firstLine="0"/>
        <w:contextualSpacing w:val="0"/>
        <w:rPr>
          <w:szCs w:val="22"/>
        </w:rPr>
      </w:pPr>
      <w:r w:rsidRPr="00A926A5">
        <w:t>“</w:t>
      </w:r>
      <w:r w:rsidRPr="00A926A5">
        <w:rPr>
          <w:i/>
          <w:iCs/>
        </w:rPr>
        <w:t>Ajouter</w:t>
      </w:r>
      <w:r w:rsidRPr="00A926A5">
        <w:t>” se réfère à une nouvelle indication avec un nouveau numéro de base.</w:t>
      </w:r>
    </w:p>
    <w:p w14:paraId="7C73D544" w14:textId="671C6262" w:rsidR="0031124F" w:rsidRDefault="00CA1560" w:rsidP="0031124F">
      <w:pPr>
        <w:pStyle w:val="ListParagraph"/>
        <w:numPr>
          <w:ilvl w:val="0"/>
          <w:numId w:val="11"/>
        </w:numPr>
        <w:tabs>
          <w:tab w:val="left" w:pos="1134"/>
        </w:tabs>
        <w:spacing w:after="220"/>
        <w:ind w:left="567" w:firstLine="0"/>
        <w:contextualSpacing w:val="0"/>
        <w:rPr>
          <w:szCs w:val="22"/>
        </w:rPr>
      </w:pPr>
      <w:r w:rsidRPr="00A926A5">
        <w:t>“</w:t>
      </w:r>
      <w:r w:rsidRPr="00A926A5">
        <w:rPr>
          <w:i/>
          <w:iCs/>
        </w:rPr>
        <w:t>Transférer</w:t>
      </w:r>
      <w:r w:rsidRPr="00A926A5">
        <w:t>” signifie qu</w:t>
      </w:r>
      <w:r w:rsidR="000C7BE0" w:rsidRPr="00A926A5">
        <w:t>’</w:t>
      </w:r>
      <w:r w:rsidRPr="00A926A5">
        <w:t xml:space="preserve">une indication existante a été transférée vers une autre classe, le nouveau numéro de base étant indiqué dans la colonne C (nouvelle classe dans la colonne D, ancienne classe dans la colonne A). </w:t>
      </w:r>
      <w:r w:rsidR="009D565C" w:rsidRPr="00A926A5">
        <w:t xml:space="preserve"> </w:t>
      </w:r>
      <w:r w:rsidRPr="00A926A5">
        <w:t>Lorsque le libellé de l</w:t>
      </w:r>
      <w:r w:rsidR="000C7BE0" w:rsidRPr="00A926A5">
        <w:t>’</w:t>
      </w:r>
      <w:r w:rsidRPr="00A926A5">
        <w:t>indication transférée a été modifié, l</w:t>
      </w:r>
      <w:r w:rsidR="000C7BE0" w:rsidRPr="00A926A5">
        <w:t>’</w:t>
      </w:r>
      <w:r w:rsidRPr="00A926A5">
        <w:t>action est indiquée comme “</w:t>
      </w:r>
      <w:r w:rsidRPr="00A926A5">
        <w:rPr>
          <w:i/>
          <w:iCs/>
        </w:rPr>
        <w:t xml:space="preserve">Changer </w:t>
      </w:r>
      <w:r w:rsidR="0031124F">
        <w:rPr>
          <w:i/>
          <w:iCs/>
        </w:rPr>
        <w:t>&amp;</w:t>
      </w:r>
      <w:r w:rsidRPr="00A926A5">
        <w:rPr>
          <w:i/>
          <w:iCs/>
        </w:rPr>
        <w:t xml:space="preserve"> Transférer</w:t>
      </w:r>
      <w:r w:rsidRPr="00A926A5">
        <w:t>”.</w:t>
      </w:r>
    </w:p>
    <w:p w14:paraId="07E9DA4F" w14:textId="77777777" w:rsidR="0031124F" w:rsidRDefault="00CA1560" w:rsidP="0031124F">
      <w:pPr>
        <w:spacing w:after="220"/>
        <w:rPr>
          <w:bCs/>
          <w:color w:val="0070C0"/>
          <w:szCs w:val="22"/>
          <w:lang w:val="fr-FR"/>
        </w:rPr>
      </w:pPr>
      <w:r w:rsidRPr="00A926A5">
        <w:rPr>
          <w:color w:val="0070C0"/>
          <w:lang w:val="fr-FR"/>
        </w:rPr>
        <w:t>La sélection de “X” dans la colonne C permet de filtrer tous les changements apportés à la version 2025 tels que décidés par le Comité d</w:t>
      </w:r>
      <w:r w:rsidR="000C7BE0" w:rsidRPr="00A926A5">
        <w:rPr>
          <w:color w:val="0070C0"/>
          <w:lang w:val="fr-FR"/>
        </w:rPr>
        <w:t>’</w:t>
      </w:r>
      <w:r w:rsidRPr="00A926A5">
        <w:rPr>
          <w:color w:val="0070C0"/>
          <w:lang w:val="fr-FR"/>
        </w:rPr>
        <w:t>experts.</w:t>
      </w:r>
    </w:p>
    <w:p w14:paraId="2CB9E942" w14:textId="02C9846C" w:rsidR="00CA1560" w:rsidRPr="00A926A5" w:rsidRDefault="00CA1560" w:rsidP="0031124F">
      <w:pPr>
        <w:spacing w:after="220"/>
        <w:rPr>
          <w:bCs/>
          <w:szCs w:val="22"/>
          <w:lang w:val="fr-FR"/>
        </w:rPr>
      </w:pPr>
      <w:bookmarkStart w:id="1" w:name="_Hlk167365177"/>
      <w:r w:rsidRPr="00A926A5">
        <w:rPr>
          <w:lang w:val="fr-FR"/>
        </w:rPr>
        <w:t>(Les indications marquées “Z” dans la colonne C sont des changements de format effectués pour des raisons techniqu</w:t>
      </w:r>
      <w:r w:rsidR="00A926A5" w:rsidRPr="00A926A5">
        <w:rPr>
          <w:lang w:val="fr-FR"/>
        </w:rPr>
        <w:t>es.  Le</w:t>
      </w:r>
      <w:r w:rsidRPr="00A926A5">
        <w:rPr>
          <w:lang w:val="fr-FR"/>
        </w:rPr>
        <w:t xml:space="preserve"> libellé de ces indications reste inchangé.)</w:t>
      </w:r>
    </w:p>
    <w:bookmarkEnd w:id="1"/>
    <w:p w14:paraId="73366177" w14:textId="7BBFEDD9" w:rsidR="00CA1560" w:rsidRPr="00A926A5" w:rsidRDefault="00CA1560" w:rsidP="00D236B4">
      <w:pPr>
        <w:pStyle w:val="Endofdocument-Annex"/>
        <w:spacing w:before="440"/>
        <w:rPr>
          <w:lang w:val="fr-FR"/>
        </w:rPr>
      </w:pPr>
      <w:r w:rsidRPr="00A926A5">
        <w:rPr>
          <w:lang w:val="fr-FR"/>
        </w:rPr>
        <w:t>[Fin de l</w:t>
      </w:r>
      <w:r w:rsidR="000C7BE0" w:rsidRPr="00A926A5">
        <w:rPr>
          <w:lang w:val="fr-FR"/>
        </w:rPr>
        <w:t>’</w:t>
      </w:r>
      <w:r w:rsidRPr="00A926A5">
        <w:rPr>
          <w:lang w:val="fr-FR"/>
        </w:rPr>
        <w:t>annexe II]</w:t>
      </w:r>
    </w:p>
    <w:sectPr w:rsidR="00CA1560" w:rsidRPr="00A926A5" w:rsidSect="00096EA4">
      <w:headerReference w:type="even" r:id="rId19"/>
      <w:headerReference w:type="default" r:id="rId20"/>
      <w:footerReference w:type="even" r:id="rId21"/>
      <w:footerReference w:type="default" r:id="rId22"/>
      <w:headerReference w:type="first" r:id="rId23"/>
      <w:footerReference w:type="first" r:id="rId2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992A" w14:textId="77777777" w:rsidR="00CA1560" w:rsidRDefault="00CA1560">
      <w:r>
        <w:separator/>
      </w:r>
    </w:p>
  </w:endnote>
  <w:endnote w:type="continuationSeparator" w:id="0">
    <w:p w14:paraId="5D586552" w14:textId="77777777" w:rsidR="00CA1560" w:rsidRDefault="00CA1560" w:rsidP="00A326CA">
      <w:r>
        <w:separator/>
      </w:r>
    </w:p>
    <w:p w14:paraId="2333F287" w14:textId="77777777" w:rsidR="00CA1560" w:rsidRPr="00A326CA" w:rsidRDefault="00CA1560" w:rsidP="00A326CA">
      <w:r>
        <w:rPr>
          <w:sz w:val="17"/>
        </w:rPr>
        <w:t>[Endnote continued from previous page]</w:t>
      </w:r>
    </w:p>
  </w:endnote>
  <w:endnote w:type="continuationNotice" w:id="1">
    <w:p w14:paraId="665F66A8" w14:textId="77777777" w:rsidR="00CA1560" w:rsidRPr="00A326CA" w:rsidRDefault="00CA1560"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EF" w14:textId="77777777"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8527" w14:textId="77777777"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168B" w14:textId="77777777"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1648" w14:textId="77777777" w:rsidR="00CA1560" w:rsidRDefault="00CA1560">
      <w:r>
        <w:separator/>
      </w:r>
    </w:p>
  </w:footnote>
  <w:footnote w:type="continuationSeparator" w:id="0">
    <w:p w14:paraId="7F024615" w14:textId="77777777" w:rsidR="00CA1560" w:rsidRDefault="00CA1560" w:rsidP="00A326CA">
      <w:r>
        <w:separator/>
      </w:r>
    </w:p>
    <w:p w14:paraId="154785BF" w14:textId="77777777" w:rsidR="00CA1560" w:rsidRPr="00A326CA" w:rsidRDefault="00CA1560"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5C63FC89" w14:textId="77777777" w:rsidR="00CA1560" w:rsidRPr="00A326CA" w:rsidRDefault="00CA1560"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E09" w14:textId="77777777" w:rsidR="00CA1560" w:rsidRDefault="00CA1560" w:rsidP="00A926A5">
    <w:pPr>
      <w:spacing w:after="48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43AE" w14:textId="77777777" w:rsidR="00CA1560" w:rsidRDefault="00CA1560" w:rsidP="00A669AC">
    <w:pPr>
      <w:spacing w:after="440"/>
      <w:jc w:val="right"/>
    </w:pPr>
    <w:r>
      <w:t>page </w:t>
    </w:r>
    <w:r>
      <w:fldChar w:fldCharType="begin"/>
    </w:r>
    <w:r>
      <w:instrText xml:space="preserve"> PAGE  \* MERGEFORMAT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8D16" w14:textId="67127ECF" w:rsidR="00CA1560" w:rsidRPr="00A926A5" w:rsidRDefault="00A926A5" w:rsidP="00D236B4">
    <w:pPr>
      <w:spacing w:after="440"/>
      <w:jc w:val="right"/>
      <w:rPr>
        <w:lang w:val="fr-FR"/>
      </w:rPr>
    </w:pPr>
    <w:r w:rsidRPr="00A926A5">
      <w:rPr>
        <w:lang w:val="fr-FR"/>
      </w:rPr>
      <w:t xml:space="preserve">Annexe I, </w:t>
    </w:r>
    <w:r w:rsidR="00CA1560" w:rsidRPr="00A926A5">
      <w:rPr>
        <w:lang w:val="fr-FR"/>
      </w:rPr>
      <w:t>page </w:t>
    </w:r>
    <w:r w:rsidR="00CA1560" w:rsidRPr="00A926A5">
      <w:rPr>
        <w:lang w:val="fr-FR"/>
      </w:rPr>
      <w:fldChar w:fldCharType="begin"/>
    </w:r>
    <w:r w:rsidR="00CA1560" w:rsidRPr="00A926A5">
      <w:rPr>
        <w:lang w:val="fr-FR"/>
      </w:rPr>
      <w:instrText xml:space="preserve"> PAGE  \* MERGEFORMAT </w:instrText>
    </w:r>
    <w:r w:rsidR="00CA1560" w:rsidRPr="00A926A5">
      <w:rPr>
        <w:lang w:val="fr-FR"/>
      </w:rPr>
      <w:fldChar w:fldCharType="separate"/>
    </w:r>
    <w:r w:rsidR="00CA1560" w:rsidRPr="00A926A5">
      <w:rPr>
        <w:lang w:val="fr-FR"/>
      </w:rPr>
      <w:t>2</w:t>
    </w:r>
    <w:r w:rsidR="00CA1560" w:rsidRPr="00A926A5">
      <w:rPr>
        <w:lang w:val="fr-F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9769" w14:textId="77777777" w:rsidR="00CA1560" w:rsidRDefault="00CA1560" w:rsidP="00A669AC">
    <w:pPr>
      <w:spacing w:after="440"/>
      <w:jc w:val="right"/>
    </w:pPr>
    <w:r>
      <w:t>Annexe I, page </w:t>
    </w:r>
    <w:r>
      <w:fldChar w:fldCharType="begin"/>
    </w:r>
    <w:r>
      <w:instrText xml:space="preserve"> PAGE  \* MERGEFORMAT </w:instrText>
    </w:r>
    <w:r>
      <w:fldChar w:fldCharType="separate"/>
    </w:r>
    <w: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003" w14:textId="77777777" w:rsidR="00CA1560" w:rsidRPr="00A669AC" w:rsidRDefault="00CA1560" w:rsidP="00A926A5">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595F" w14:textId="77777777" w:rsidR="00096EA4" w:rsidRDefault="00096EA4" w:rsidP="00096EA4">
    <w:pPr>
      <w:pStyle w:val="Header"/>
      <w:jc w:val="right"/>
      <w:rPr>
        <w:lang w:val="fr-CH"/>
      </w:rPr>
    </w:pPr>
  </w:p>
  <w:p w14:paraId="424E51E0" w14:textId="77777777"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1A7D956" w14:textId="77777777" w:rsidR="00096EA4" w:rsidRPr="00DD4C78" w:rsidRDefault="00096EA4" w:rsidP="00096EA4">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1F6B" w14:textId="34E31D63" w:rsidR="009319A3" w:rsidRDefault="00CA1560"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14:anchorId="474A0BAD" wp14:editId="28648F88">
              <wp:simplePos x="0" y="0"/>
              <wp:positionH relativeFrom="page">
                <wp:posOffset>0</wp:posOffset>
              </wp:positionH>
              <wp:positionV relativeFrom="page">
                <wp:posOffset>558800</wp:posOffset>
              </wp:positionV>
              <wp:extent cx="7620000" cy="317500"/>
              <wp:effectExtent l="0" t="0" r="0" b="0"/>
              <wp:wrapNone/>
              <wp:docPr id="76974577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F5B7"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A0BAD"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su3QEAAKEDAAAOAAAAZHJzL2Uyb0RvYy54bWysU9tu2zAMfR+wfxD0vtjO0mY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nB9SXvMKSUp97ZYX5AdW4jy6WuHPnxUMLBoVBxpqQld7O99mEufSmIzC3em79Nie/tHgDBjJE0f&#10;B55HD1M9UXVkUUNzIB4I853QXZPRAf7ibKQbqbj/uROoOOs/WdLifbFaxaNKzupivSQHzzP1eUZY&#10;SVAVD5zN5k2YD3Hn0LQddZrVt3BN+mmTqD1PdZyb7iCJc7zZeGjnfqp6/rO2vwEAAP//AwBQSwME&#10;FAAGAAgAAAAhAPTdYhfYAAAACAEAAA8AAABkcnMvZG93bnJldi54bWxMT01PwzAMvSPxHyIjcWMO&#10;X1NXmk4IxBXEGEi7ZY3XVjRO1WRr9+/nneDkZz/rfRTLyXfqQENsAxu4nWlQxFVwLdcG1l9vNxmo&#10;mCw72wUmA0eKsCwvLwqbuzDyJx1WqVYiwjG3BpqU+hwxVg15G2ehJxZuFwZvk6xDjW6wo4j7Du+0&#10;nqO3LYtDY3t6aaj6Xe29ge/33ebnQX/Ur/6xH8Okkf0Cjbm+mp6fQCWa0t8znONLdCgl0zbs2UXV&#10;GZAiyUCWyTyzYiZoK+heTlgW+L9AeQIAAP//AwBQSwECLQAUAAYACAAAACEAtoM4kv4AAADhAQAA&#10;EwAAAAAAAAAAAAAAAAAAAAAAW0NvbnRlbnRfVHlwZXNdLnhtbFBLAQItABQABgAIAAAAIQA4/SH/&#10;1gAAAJQBAAALAAAAAAAAAAAAAAAAAC8BAABfcmVscy8ucmVsc1BLAQItABQABgAIAAAAIQC9Kysu&#10;3QEAAKEDAAAOAAAAAAAAAAAAAAAAAC4CAABkcnMvZTJvRG9jLnhtbFBLAQItABQABgAIAAAAIQD0&#10;3WIX2AAAAAgBAAAPAAAAAAAAAAAAAAAAADcEAABkcnMvZG93bnJldi54bWxQSwUGAAAAAAQABADz&#10;AAAAPAUAAAAA&#10;" o:allowincell="f" filled="f" stroked="f">
              <v:textbox>
                <w:txbxContent>
                  <w:p w14:paraId="0813F5B7"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14:anchorId="7EAEB86C" wp14:editId="655A44B4">
              <wp:simplePos x="0" y="0"/>
              <wp:positionH relativeFrom="page">
                <wp:posOffset>0</wp:posOffset>
              </wp:positionH>
              <wp:positionV relativeFrom="page">
                <wp:posOffset>558800</wp:posOffset>
              </wp:positionV>
              <wp:extent cx="7620000" cy="317500"/>
              <wp:effectExtent l="0" t="0" r="0" b="0"/>
              <wp:wrapNone/>
              <wp:docPr id="63270240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CC952"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B86C"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o14AEAAKgDAAAOAAAAZHJzL2Uyb0RvYy54bWysU9tu2zAMfR+wfxD0vtjO0mYz4hRdiw4D&#10;ugvQ9QNkWYqF2aJGKbGzrx8lu2m2vg17EShSPjznkN5cjX3HDgq9AVvxYpFzpqyExthdxR+/3715&#10;x5kPwjaiA6sqflSeX21fv9oMrlRLaKFrFDICsb4cXMXbEFyZZV62qhd+AU5ZKmrAXgS64i5rUAyE&#10;3nfZMs8vswGwcQhSeU/Z26nItwlfayXDV629CqyrOHEL6cR01vHMthtR7lC41siZhvgHFr0wlpqe&#10;oG5FEGyP5gVUbySCBx0WEvoMtDZSJQ2kpsj/UvPQCqeSFjLHu5NN/v/Byi+HB/cNWRg/wEgDTCK8&#10;uwf5wzMLN62wO3WNCEOrREONi2hZNjhfzp9Gq33pI0g9fIaGhiz2ARLQqLGPrpBORug0gOPJdDUG&#10;Jim5vqQ55lSSVHtbrC8oji1E+fS1Qx8+KuhZDCqONNSELg73PkxPn57EZhbuTNelwXb2jwRhxkxi&#10;HwlP1MNYj8w0s7QopobmSHIQpnWh9aagBfzF2UCrUnH/cy9QcdZ9smTJ+2K1iruVLquL9ZIueF6p&#10;zyvCSoKqeOBsCm/CtI97h2bXUqdpCBauyUZtksJnVjN9Wofk0by6cd/O7+nV8w+2/Q0AAP//AwBQ&#10;SwMEFAAGAAgAAAAhAPTdYhfYAAAACAEAAA8AAABkcnMvZG93bnJldi54bWxMT01PwzAMvSPxHyIj&#10;cWMOX1NXmk4IxBXEGEi7ZY3XVjRO1WRr9+/nneDkZz/rfRTLyXfqQENsAxu4nWlQxFVwLdcG1l9v&#10;NxmomCw72wUmA0eKsCwvLwqbuzDyJx1WqVYiwjG3BpqU+hwxVg15G2ehJxZuFwZvk6xDjW6wo4j7&#10;Du+0nqO3LYtDY3t6aaj6Xe29ge/33ebnQX/Ur/6xH8Okkf0Cjbm+mp6fQCWa0t8znONLdCgl0zbs&#10;2UXVGZAiyUCWyTyzYiZoK+heTlgW+L9AeQIAAP//AwBQSwECLQAUAAYACAAAACEAtoM4kv4AAADh&#10;AQAAEwAAAAAAAAAAAAAAAAAAAAAAW0NvbnRlbnRfVHlwZXNdLnhtbFBLAQItABQABgAIAAAAIQA4&#10;/SH/1gAAAJQBAAALAAAAAAAAAAAAAAAAAC8BAABfcmVscy8ucmVsc1BLAQItABQABgAIAAAAIQCw&#10;wso14AEAAKgDAAAOAAAAAAAAAAAAAAAAAC4CAABkcnMvZTJvRG9jLnhtbFBLAQItABQABgAIAAAA&#10;IQD03WIX2AAAAAgBAAAPAAAAAAAAAAAAAAAAADoEAABkcnMvZG93bnJldi54bWxQSwUGAAAAAAQA&#10;BADzAAAAPwUAAAAA&#10;" o:allowincell="f" filled="f" stroked="f">
              <v:textbox>
                <w:txbxContent>
                  <w:p w14:paraId="4BDCC952"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14:anchorId="0FE61082" wp14:editId="7469FC0D">
              <wp:simplePos x="0" y="0"/>
              <wp:positionH relativeFrom="page">
                <wp:posOffset>0</wp:posOffset>
              </wp:positionH>
              <wp:positionV relativeFrom="page">
                <wp:posOffset>558800</wp:posOffset>
              </wp:positionV>
              <wp:extent cx="7620000" cy="317500"/>
              <wp:effectExtent l="0" t="0" r="0" b="0"/>
              <wp:wrapNone/>
              <wp:docPr id="2092091696"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CC2D6"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1082"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Tb4gEAAKgDAAAOAAAAZHJzL2Uyb0RvYy54bWysU9tu2zAMfR+wfxD0vtjO0mYz4hRdiw4D&#10;ugvQ9QNkWbKF2aJGKbGzrx8lp2m2vg17EShSPjznkN5cTUPP9gq9AVvxYpFzpqyExti24o/f7968&#10;48wHYRvRg1UVPyjPr7avX21GV6oldNA3ChmBWF+OruJdCK7MMi87NQi/AKcsFTXgIAJdsc0aFCOh&#10;D322zPPLbARsHIJU3lP2di7ybcLXWsnwVWuvAusrTtxCOjGddTyz7UaULQrXGXmkIf6BxSCMpaYn&#10;qFsRBNuheQE1GIngQYeFhCEDrY1USQOpKfK/1Dx0wqmkhczx7mST/3+w8sv+wX1DFqYPMNEAkwjv&#10;7kH+8MzCTSdsq64RYeyUaKhxES3LRufL46fRal/6CFKPn6GhIYtdgAQ0aRyiK6STEToN4HAyXU2B&#10;SUquL2mOOZUk1d4W6wuKYwtRPn3t0IePCgYWg4ojDTWhi/29D/PTpyexmYU70/dpsL39I0GYMZPY&#10;R8Iz9TDVEzNNxZexbxRTQ3MgOQjzutB6U9AB/uJspFWpuP+5E6g46z9ZsuR9sVrF3UqX1cV6SRc8&#10;r9TnFWElQVU8cDaHN2Hex51D03bUaR6ChWuyUZuk8JnVkT6tQ/LouLpx387v6dXzD7b9DQAA//8D&#10;AFBLAwQUAAYACAAAACEA9N1iF9gAAAAIAQAADwAAAGRycy9kb3ducmV2LnhtbExPTU/DMAy9I/Ef&#10;IiNxYw5fU1eaTgjEFcQYSLtljddWNE7VZGv37+ed4ORnP+t9FMvJd+pAQ2wDG7idaVDEVXAt1wbW&#10;X283GaiYLDvbBSYDR4qwLC8vCpu7MPInHVapViLCMbcGmpT6HDFWDXkbZ6EnFm4XBm+TrEONbrCj&#10;iPsO77Seo7cti0Nje3ppqPpd7b2B7/fd5udBf9Sv/rEfw6SR/QKNub6anp9AJZrS3zOc40t0KCXT&#10;NuzZRdUZkCLJQJbJPLNiJmgr6F5OWBb4v0B5AgAA//8DAFBLAQItABQABgAIAAAAIQC2gziS/gAA&#10;AOEBAAATAAAAAAAAAAAAAAAAAAAAAABbQ29udGVudF9UeXBlc10ueG1sUEsBAi0AFAAGAAgAAAAh&#10;ADj9If/WAAAAlAEAAAsAAAAAAAAAAAAAAAAALwEAAF9yZWxzLy5yZWxzUEsBAi0AFAAGAAgAAAAh&#10;ABEXpNviAQAAqAMAAA4AAAAAAAAAAAAAAAAALgIAAGRycy9lMm9Eb2MueG1sUEsBAi0AFAAGAAgA&#10;AAAhAPTdYhfYAAAACAEAAA8AAAAAAAAAAAAAAAAAPAQAAGRycy9kb3ducmV2LnhtbFBLBQYAAAAA&#10;BAAEAPMAAABBBQAAAAA=&#10;" o:allowincell="f" filled="f" stroked="f">
              <v:textbox>
                <w:txbxContent>
                  <w:p w14:paraId="393CC2D6"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14:paraId="0A2D1FB8" w14:textId="77777777"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00269324" w14:textId="77777777" w:rsidR="004921F7" w:rsidRPr="00DD4C78" w:rsidRDefault="004921F7" w:rsidP="00DD4C78">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13" w14:textId="3B5DD41C" w:rsidR="00A926A5" w:rsidRPr="00A669AC" w:rsidRDefault="00A926A5" w:rsidP="00A926A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C79F3"/>
    <w:multiLevelType w:val="hybridMultilevel"/>
    <w:tmpl w:val="F56E2B30"/>
    <w:lvl w:ilvl="0" w:tplc="18DE79AA">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94502117">
    <w:abstractNumId w:val="4"/>
  </w:num>
  <w:num w:numId="2" w16cid:durableId="228346314">
    <w:abstractNumId w:val="7"/>
  </w:num>
  <w:num w:numId="3" w16cid:durableId="2077702470">
    <w:abstractNumId w:val="0"/>
  </w:num>
  <w:num w:numId="4" w16cid:durableId="1990942663">
    <w:abstractNumId w:val="9"/>
  </w:num>
  <w:num w:numId="5" w16cid:durableId="729352839">
    <w:abstractNumId w:val="1"/>
  </w:num>
  <w:num w:numId="6" w16cid:durableId="271982688">
    <w:abstractNumId w:val="5"/>
  </w:num>
  <w:num w:numId="7" w16cid:durableId="1294365360">
    <w:abstractNumId w:val="10"/>
  </w:num>
  <w:num w:numId="8" w16cid:durableId="215119594">
    <w:abstractNumId w:val="3"/>
  </w:num>
  <w:num w:numId="9" w16cid:durableId="843209928">
    <w:abstractNumId w:val="8"/>
  </w:num>
  <w:num w:numId="10" w16cid:durableId="600996681">
    <w:abstractNumId w:val="6"/>
  </w:num>
  <w:num w:numId="11" w16cid:durableId="198935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CA1560"/>
    <w:rsid w:val="0000121D"/>
    <w:rsid w:val="00002628"/>
    <w:rsid w:val="00010053"/>
    <w:rsid w:val="0001121D"/>
    <w:rsid w:val="00026397"/>
    <w:rsid w:val="00030BB4"/>
    <w:rsid w:val="00033554"/>
    <w:rsid w:val="00033B61"/>
    <w:rsid w:val="0004379E"/>
    <w:rsid w:val="00064EFA"/>
    <w:rsid w:val="0007642A"/>
    <w:rsid w:val="000777BD"/>
    <w:rsid w:val="00081827"/>
    <w:rsid w:val="00094D3C"/>
    <w:rsid w:val="00096D61"/>
    <w:rsid w:val="00096EA4"/>
    <w:rsid w:val="000C20E6"/>
    <w:rsid w:val="000C26B7"/>
    <w:rsid w:val="000C4F36"/>
    <w:rsid w:val="000C7BE0"/>
    <w:rsid w:val="000D679A"/>
    <w:rsid w:val="000D74A8"/>
    <w:rsid w:val="000E451B"/>
    <w:rsid w:val="000E4932"/>
    <w:rsid w:val="000E6A7E"/>
    <w:rsid w:val="000E6C47"/>
    <w:rsid w:val="000E7629"/>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47726"/>
    <w:rsid w:val="002920A5"/>
    <w:rsid w:val="00294534"/>
    <w:rsid w:val="00295BAA"/>
    <w:rsid w:val="00297FCC"/>
    <w:rsid w:val="002A65C1"/>
    <w:rsid w:val="002E202E"/>
    <w:rsid w:val="002F6356"/>
    <w:rsid w:val="002F67F6"/>
    <w:rsid w:val="00300122"/>
    <w:rsid w:val="003030B7"/>
    <w:rsid w:val="00307E98"/>
    <w:rsid w:val="0031124F"/>
    <w:rsid w:val="00313032"/>
    <w:rsid w:val="003171DB"/>
    <w:rsid w:val="0032095F"/>
    <w:rsid w:val="00321EF7"/>
    <w:rsid w:val="00323DED"/>
    <w:rsid w:val="003320F1"/>
    <w:rsid w:val="00332496"/>
    <w:rsid w:val="00334B84"/>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25F6"/>
    <w:rsid w:val="004132B9"/>
    <w:rsid w:val="0041796E"/>
    <w:rsid w:val="00421DAF"/>
    <w:rsid w:val="0042403F"/>
    <w:rsid w:val="00426EA2"/>
    <w:rsid w:val="00432B5B"/>
    <w:rsid w:val="004448B7"/>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2618"/>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36EA7"/>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B57EF"/>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565C"/>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26A5"/>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27FF8"/>
    <w:rsid w:val="00B32412"/>
    <w:rsid w:val="00B5280B"/>
    <w:rsid w:val="00B63FE0"/>
    <w:rsid w:val="00B67083"/>
    <w:rsid w:val="00B70FCF"/>
    <w:rsid w:val="00B732B1"/>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D4607"/>
    <w:rsid w:val="00BE3D7E"/>
    <w:rsid w:val="00BE6A20"/>
    <w:rsid w:val="00BF12DC"/>
    <w:rsid w:val="00BF1458"/>
    <w:rsid w:val="00BF5E09"/>
    <w:rsid w:val="00BF6F5E"/>
    <w:rsid w:val="00C05AD1"/>
    <w:rsid w:val="00C10DDF"/>
    <w:rsid w:val="00C2151D"/>
    <w:rsid w:val="00C30669"/>
    <w:rsid w:val="00C313ED"/>
    <w:rsid w:val="00C52D12"/>
    <w:rsid w:val="00C5527E"/>
    <w:rsid w:val="00C55400"/>
    <w:rsid w:val="00C82F85"/>
    <w:rsid w:val="00C85F30"/>
    <w:rsid w:val="00C90726"/>
    <w:rsid w:val="00CA1560"/>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36B4"/>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B7448"/>
    <w:rsid w:val="00EE0442"/>
    <w:rsid w:val="00EE1300"/>
    <w:rsid w:val="00EE6096"/>
    <w:rsid w:val="00EF1CA7"/>
    <w:rsid w:val="00EF4D91"/>
    <w:rsid w:val="00EF5FA9"/>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49316"/>
  <w15:chartTrackingRefBased/>
  <w15:docId w15:val="{269016FD-6598-4C50-AF8F-12CA4496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locked/>
    <w:rsid w:val="00CA1560"/>
    <w:rPr>
      <w:rFonts w:ascii="Arial" w:eastAsia="SimSun" w:hAnsi="Arial" w:cs="Arial"/>
      <w:sz w:val="22"/>
      <w:lang w:eastAsia="zh-CN"/>
    </w:rPr>
  </w:style>
  <w:style w:type="paragraph" w:styleId="ListParagraph">
    <w:name w:val="List Paragraph"/>
    <w:basedOn w:val="Normal"/>
    <w:uiPriority w:val="34"/>
    <w:qFormat/>
    <w:rsid w:val="00CA1560"/>
    <w:pPr>
      <w:ind w:left="720"/>
      <w:contextualSpacing/>
    </w:pPr>
    <w:rPr>
      <w:lang w:val="fr-FR"/>
    </w:rPr>
  </w:style>
  <w:style w:type="character" w:customStyle="1" w:styleId="Heading1Char">
    <w:name w:val="Heading 1 Char"/>
    <w:link w:val="Heading1"/>
    <w:rsid w:val="00CA1560"/>
    <w:rPr>
      <w:rFonts w:ascii="Arial" w:eastAsia="SimSun" w:hAnsi="Arial" w:cs="Arial"/>
      <w:b/>
      <w:bCs/>
      <w:caps/>
      <w:kern w:val="32"/>
      <w:sz w:val="22"/>
      <w:szCs w:val="32"/>
      <w:lang w:eastAsia="zh-CN"/>
    </w:rPr>
  </w:style>
  <w:style w:type="character" w:styleId="UnresolvedMention">
    <w:name w:val="Unresolved Mention"/>
    <w:basedOn w:val="DefaultParagraphFont"/>
    <w:uiPriority w:val="99"/>
    <w:semiHidden/>
    <w:unhideWhenUsed/>
    <w:rsid w:val="00A926A5"/>
    <w:rPr>
      <w:color w:val="605E5C"/>
      <w:shd w:val="clear" w:color="auto" w:fill="E1DFDD"/>
    </w:rPr>
  </w:style>
  <w:style w:type="character" w:styleId="FollowedHyperlink">
    <w:name w:val="FollowedHyperlink"/>
    <w:basedOn w:val="DefaultParagraphFont"/>
    <w:rsid w:val="000335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wipo.int/nice/its4nice/ITSupport_and_download_area/20260101/revision_files/ncl-20260101-EFS-revision_file.xlsx"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access.wipo.int/mgs/?lang=f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ebaccess.wipo.int/mgs/?lang=fr" TargetMode="External"/><Relationship Id="rId23" Type="http://schemas.openxmlformats.org/officeDocument/2006/relationships/header" Target="header8.xml"/><Relationship Id="rId10" Type="http://schemas.openxmlformats.org/officeDocument/2006/relationships/hyperlink" Target="https://www.wipo.int/classifications/nice/fr/index.html"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6A2E-EF62-4D39-AA03-B09E50EE3810}">
  <ds:schemaRefs>
    <ds:schemaRef ds:uri="http://schemas.openxmlformats.org/officeDocument/2006/bibliography"/>
  </ds:schemaRefs>
</ds:datastoreItem>
</file>

<file path=customXml/itemProps2.xml><?xml version="1.0" encoding="utf-8"?>
<ds:datastoreItem xmlns:ds="http://schemas.openxmlformats.org/officeDocument/2006/customXml" ds:itemID="{2FBE03AB-90A6-4DDA-999C-57B25F67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1189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Système de Madrid : Avis no. 37/2025</vt:lpstr>
      <vt: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de Madrid : Avis no. 37/2025</dc:title>
  <dc:subject>Entrée en vigueur de la version 2026 de la treizième édition de la classification de Nice</dc:subject>
  <dc:creator>OMPI</dc:creator>
  <cp:keywords/>
  <cp:lastModifiedBy>DOUAY Marie-Laure</cp:lastModifiedBy>
  <cp:revision>13</cp:revision>
  <cp:lastPrinted>2013-12-12T12:33:00Z</cp:lastPrinted>
  <dcterms:created xsi:type="dcterms:W3CDTF">2025-11-05T12:51:00Z</dcterms:created>
  <dcterms:modified xsi:type="dcterms:W3CDTF">2025-11-14T11:04:00Z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2025-11-05T12:52:46Z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e58b1409-9e14-4954-bf9a-233d97b5615e</vt:lpwstr>
  </property>
  <property fmtid="{D5CDD505-2E9C-101B-9397-08002B2CF9AE}" pid="13" name="MSIP_Label_bfc084f7-b690-4c43-8ee6-d475b6d3461d_ContentBits">
    <vt:lpwstr>2</vt:lpwstr>
  </property>
  <property fmtid="{D5CDD505-2E9C-101B-9397-08002B2CF9AE}" pid="14" name="MSIP_Label_bfc084f7-b690-4c43-8ee6-d475b6d3461d_Tag">
    <vt:lpwstr>10, 3, 0, 1</vt:lpwstr>
  </property>
</Properties>
</file>