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1259ACCD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6632DE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7F3736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1227A431" w:rsidR="0027396E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="00876678">
        <w:rPr>
          <w:rFonts w:eastAsia="MS Mincho"/>
          <w:b/>
          <w:bCs/>
          <w:sz w:val="24"/>
          <w:szCs w:val="24"/>
          <w:lang w:val="es-ES_tradnl" w:eastAsia="ja-JP"/>
        </w:rPr>
        <w:t xml:space="preserve"> y r</w:t>
      </w:r>
      <w:r w:rsidR="00876678" w:rsidRPr="00876678">
        <w:rPr>
          <w:rFonts w:eastAsia="MS Mincho"/>
          <w:b/>
          <w:bCs/>
          <w:sz w:val="24"/>
          <w:szCs w:val="24"/>
          <w:lang w:val="es-ES_tradnl" w:eastAsia="ja-JP"/>
        </w:rPr>
        <w:t xml:space="preserve">etirada de la notificación efectuada en virtud de la Regla </w:t>
      </w:r>
      <w:proofErr w:type="gramStart"/>
      <w:r w:rsidR="00876678" w:rsidRPr="00876678">
        <w:rPr>
          <w:rFonts w:eastAsia="MS Mincho"/>
          <w:b/>
          <w:bCs/>
          <w:sz w:val="24"/>
          <w:szCs w:val="24"/>
          <w:lang w:val="es-ES_tradnl" w:eastAsia="ja-JP"/>
        </w:rPr>
        <w:t>34.3)a</w:t>
      </w:r>
      <w:proofErr w:type="gramEnd"/>
      <w:r w:rsidR="00876678" w:rsidRPr="00876678">
        <w:rPr>
          <w:rFonts w:eastAsia="MS Mincho"/>
          <w:b/>
          <w:bCs/>
          <w:sz w:val="24"/>
          <w:szCs w:val="24"/>
          <w:lang w:val="es-ES_tradnl" w:eastAsia="ja-JP"/>
        </w:rPr>
        <w:t>) del Reglamento del Protocolo de Madrid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876678" w:rsidRPr="00876678">
        <w:rPr>
          <w:b/>
          <w:sz w:val="24"/>
          <w:szCs w:val="24"/>
          <w:lang w:val="es-ES_tradnl"/>
        </w:rPr>
        <w:t>Brasil</w:t>
      </w:r>
    </w:p>
    <w:p w14:paraId="7BF4AA78" w14:textId="743CA6A4" w:rsidR="00876678" w:rsidRPr="00747CF2" w:rsidRDefault="00876678" w:rsidP="00290DA5">
      <w:pPr>
        <w:spacing w:after="220"/>
        <w:rPr>
          <w:sz w:val="24"/>
          <w:szCs w:val="24"/>
          <w:u w:val="single"/>
          <w:lang w:val="es-ES_tradnl"/>
        </w:rPr>
      </w:pPr>
      <w:r w:rsidRPr="00747CF2">
        <w:rPr>
          <w:rFonts w:eastAsia="MS Mincho"/>
          <w:sz w:val="24"/>
          <w:szCs w:val="24"/>
          <w:u w:val="single"/>
          <w:lang w:val="es-ES_tradnl" w:eastAsia="ja-JP"/>
        </w:rPr>
        <w:t>Modificación de los importes de la tasa individual</w:t>
      </w:r>
    </w:p>
    <w:p w14:paraId="16CE2E80" w14:textId="12DF2763" w:rsidR="002E5166" w:rsidRDefault="00FC7672" w:rsidP="00573981">
      <w:pPr>
        <w:pStyle w:val="ONUMFS"/>
        <w:rPr>
          <w:lang w:val="es-ES_tradnl"/>
        </w:rPr>
      </w:pPr>
      <w:r w:rsidRPr="00FC7672">
        <w:rPr>
          <w:lang w:val="es-ES_tradnl" w:eastAsia="ja-JP"/>
        </w:rPr>
        <w:t xml:space="preserve">El Gobierno de </w:t>
      </w:r>
      <w:r w:rsidR="00876678">
        <w:rPr>
          <w:lang w:val="es-ES_tradnl" w:eastAsia="ja-JP"/>
        </w:rPr>
        <w:t>Brasil</w:t>
      </w:r>
      <w:r w:rsidRPr="00FC7672">
        <w:rPr>
          <w:lang w:val="es-ES_tradnl" w:eastAsia="ja-JP"/>
        </w:rPr>
        <w:t xml:space="preserve"> ha notificado al </w:t>
      </w:r>
      <w:proofErr w:type="gramStart"/>
      <w:r w:rsidRPr="00FC7672">
        <w:rPr>
          <w:lang w:val="es-ES_tradnl" w:eastAsia="ja-JP"/>
        </w:rPr>
        <w:t>Director General</w:t>
      </w:r>
      <w:proofErr w:type="gramEnd"/>
      <w:r w:rsidRPr="00FC7672">
        <w:rPr>
          <w:lang w:val="es-ES_tradnl" w:eastAsia="ja-JP"/>
        </w:rPr>
        <w:t xml:space="preserve"> de la Organización Mundial de la Propiedad Intelectual (OMPI) una declaración </w:t>
      </w:r>
      <w:r w:rsidR="00876678" w:rsidRPr="00876678">
        <w:rPr>
          <w:lang w:val="es-ES_tradnl" w:eastAsia="ja-JP"/>
        </w:rPr>
        <w:t xml:space="preserve">que modifica los importes de la tasa individual pagadera respecto a </w:t>
      </w:r>
      <w:r w:rsidR="00876678">
        <w:rPr>
          <w:lang w:val="es-ES_tradnl" w:eastAsia="ja-JP"/>
        </w:rPr>
        <w:t>Brasil</w:t>
      </w:r>
      <w:r w:rsidR="00876678" w:rsidRPr="00876678">
        <w:rPr>
          <w:lang w:val="es-ES_tradnl" w:eastAsia="ja-JP"/>
        </w:rPr>
        <w:t xml:space="preserve"> en virtud del Artículo 8.7) del Protocolo de Madrid</w:t>
      </w:r>
      <w:r w:rsidR="00AF0D28">
        <w:rPr>
          <w:lang w:val="es-ES_tradnl" w:eastAsia="ja-JP"/>
        </w:rPr>
        <w:t>.</w:t>
      </w:r>
    </w:p>
    <w:p w14:paraId="7EDAB186" w14:textId="7676B31F" w:rsidR="008D2F0C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876678" w:rsidRPr="00254BB4">
        <w:rPr>
          <w:b/>
          <w:bCs/>
          <w:u w:val="single"/>
          <w:lang w:val="es-ES_tradnl" w:eastAsia="ja-JP"/>
        </w:rPr>
        <w:t>9</w:t>
      </w:r>
      <w:r w:rsidR="00DC07BF" w:rsidRPr="00254BB4">
        <w:rPr>
          <w:b/>
          <w:bCs/>
          <w:u w:val="single"/>
          <w:lang w:val="es-ES_tradnl" w:eastAsia="ja-JP"/>
        </w:rPr>
        <w:t xml:space="preserve"> de </w:t>
      </w:r>
      <w:r w:rsidR="00876678" w:rsidRPr="00254BB4">
        <w:rPr>
          <w:b/>
          <w:bCs/>
          <w:u w:val="single"/>
          <w:lang w:val="es-ES_tradnl" w:eastAsia="ja-JP"/>
        </w:rPr>
        <w:t xml:space="preserve">agosto </w:t>
      </w:r>
      <w:r w:rsidR="00DC07BF" w:rsidRPr="00254BB4">
        <w:rPr>
          <w:b/>
          <w:bCs/>
          <w:u w:val="single"/>
          <w:lang w:val="es-ES_tradnl" w:eastAsia="ja-JP"/>
        </w:rPr>
        <w:t>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BE45F8">
        <w:rPr>
          <w:lang w:val="es-ES_tradnl" w:eastAsia="ja-JP"/>
        </w:rPr>
        <w:t xml:space="preserve"> </w:t>
      </w:r>
      <w:r w:rsidR="00876678">
        <w:rPr>
          <w:lang w:val="es-ES_tradnl" w:eastAsia="ja-JP"/>
        </w:rPr>
        <w:t>Brasil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4413"/>
        <w:gridCol w:w="2126"/>
      </w:tblGrid>
      <w:tr w:rsidR="00725123" w:rsidRPr="00911F9C" w14:paraId="1C0D6840" w14:textId="77777777" w:rsidTr="00725123">
        <w:trPr>
          <w:trHeight w:val="1531"/>
        </w:trPr>
        <w:tc>
          <w:tcPr>
            <w:tcW w:w="6266" w:type="dxa"/>
            <w:gridSpan w:val="2"/>
            <w:shd w:val="clear" w:color="auto" w:fill="auto"/>
          </w:tcPr>
          <w:p w14:paraId="373948DE" w14:textId="77777777" w:rsidR="00725123" w:rsidRPr="00937AB7" w:rsidRDefault="00725123" w:rsidP="00981E55">
            <w:pPr>
              <w:rPr>
                <w:lang w:val="es-ES"/>
              </w:rPr>
            </w:pPr>
          </w:p>
          <w:p w14:paraId="2BAD39E7" w14:textId="77777777" w:rsidR="00725123" w:rsidRPr="00937AB7" w:rsidRDefault="00725123" w:rsidP="00981E55">
            <w:pPr>
              <w:jc w:val="center"/>
              <w:rPr>
                <w:b/>
                <w:bCs/>
                <w:lang w:val="es-ES"/>
              </w:rPr>
            </w:pPr>
          </w:p>
          <w:p w14:paraId="2F9310CF" w14:textId="77777777" w:rsidR="00725123" w:rsidRPr="00937AB7" w:rsidRDefault="00725123" w:rsidP="00981E55">
            <w:pPr>
              <w:jc w:val="center"/>
              <w:rPr>
                <w:b/>
                <w:bCs/>
                <w:lang w:val="es-ES"/>
              </w:rPr>
            </w:pPr>
          </w:p>
          <w:p w14:paraId="5A93A1FA" w14:textId="294CAA60" w:rsidR="00725123" w:rsidRDefault="00725123" w:rsidP="00981E55">
            <w:pPr>
              <w:jc w:val="center"/>
              <w:rPr>
                <w:b/>
                <w:bCs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6CB9CFC1" w14:textId="77777777" w:rsidR="00725123" w:rsidRPr="008A14A7" w:rsidRDefault="00725123" w:rsidP="00981E55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2F641A72" w14:textId="77777777" w:rsidR="00725123" w:rsidRDefault="00725123" w:rsidP="00981E55"/>
          <w:p w14:paraId="03CDAE8C" w14:textId="77777777" w:rsidR="00725123" w:rsidRPr="00790098" w:rsidRDefault="00725123" w:rsidP="00725123">
            <w:pPr>
              <w:jc w:val="center"/>
              <w:rPr>
                <w:b/>
                <w:bCs/>
                <w:lang w:val="es-ES"/>
              </w:rPr>
            </w:pPr>
            <w:r w:rsidRPr="00790098">
              <w:rPr>
                <w:b/>
                <w:bCs/>
                <w:lang w:val="es-ES"/>
              </w:rPr>
              <w:t>Importes</w:t>
            </w:r>
          </w:p>
          <w:p w14:paraId="04ADEAB5" w14:textId="77777777" w:rsidR="00725123" w:rsidRDefault="00725123" w:rsidP="00725123">
            <w:pPr>
              <w:jc w:val="center"/>
              <w:rPr>
                <w:b/>
                <w:bCs/>
              </w:rPr>
            </w:pPr>
          </w:p>
          <w:p w14:paraId="1D8896C9" w14:textId="1F11DDEC" w:rsidR="00725123" w:rsidRPr="008A14A7" w:rsidRDefault="00725123" w:rsidP="00725123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</w:tc>
      </w:tr>
      <w:tr w:rsidR="00725123" w:rsidRPr="00911F9C" w14:paraId="7C9BC141" w14:textId="77777777" w:rsidTr="00725123">
        <w:trPr>
          <w:trHeight w:val="2502"/>
        </w:trPr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14:paraId="022D821D" w14:textId="77777777" w:rsidR="00725123" w:rsidRPr="004E34B0" w:rsidRDefault="00725123" w:rsidP="00725123">
            <w:pPr>
              <w:jc w:val="center"/>
              <w:rPr>
                <w:lang w:val="es-ES_tradnl"/>
              </w:rPr>
            </w:pPr>
          </w:p>
          <w:p w14:paraId="26E54903" w14:textId="77777777" w:rsidR="00725123" w:rsidRPr="004E34B0" w:rsidRDefault="00725123" w:rsidP="00725123">
            <w:pPr>
              <w:jc w:val="center"/>
              <w:rPr>
                <w:lang w:val="es-ES_tradnl"/>
              </w:rPr>
            </w:pPr>
          </w:p>
          <w:p w14:paraId="452EAD97" w14:textId="77777777" w:rsidR="00725123" w:rsidRPr="004E34B0" w:rsidRDefault="00725123" w:rsidP="00725123">
            <w:pPr>
              <w:jc w:val="center"/>
              <w:rPr>
                <w:lang w:val="es-ES_tradnl"/>
              </w:rPr>
            </w:pPr>
          </w:p>
          <w:p w14:paraId="2AC65EDC" w14:textId="77777777" w:rsidR="00725123" w:rsidRPr="004E34B0" w:rsidRDefault="00725123" w:rsidP="00725123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14:paraId="1731F212" w14:textId="77777777" w:rsidR="00725123" w:rsidRPr="004E34B0" w:rsidRDefault="00725123" w:rsidP="00725123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14:paraId="72204F56" w14:textId="77777777" w:rsidR="00725123" w:rsidRPr="004E34B0" w:rsidRDefault="00725123" w:rsidP="00725123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14:paraId="38BF97EC" w14:textId="77777777" w:rsidR="00725123" w:rsidRPr="00A10F80" w:rsidRDefault="00725123" w:rsidP="00725123">
            <w:pPr>
              <w:jc w:val="center"/>
            </w:pPr>
          </w:p>
        </w:tc>
        <w:tc>
          <w:tcPr>
            <w:tcW w:w="4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89B13" w14:textId="77777777" w:rsidR="00725123" w:rsidRDefault="00725123" w:rsidP="00725123">
            <w:pPr>
              <w:rPr>
                <w:lang w:val="es-ES_tradnl"/>
              </w:rPr>
            </w:pPr>
          </w:p>
          <w:p w14:paraId="54F1F9B9" w14:textId="77777777" w:rsidR="00725123" w:rsidRPr="0043116C" w:rsidRDefault="00725123" w:rsidP="00725123">
            <w:pPr>
              <w:rPr>
                <w:color w:val="000000" w:themeColor="text1"/>
                <w:lang w:val="es-ES"/>
              </w:rPr>
            </w:pPr>
            <w:r w:rsidRPr="00C95EC7">
              <w:rPr>
                <w:color w:val="000000" w:themeColor="text1"/>
                <w:u w:val="single"/>
                <w:lang w:val="es-ES_tradnl"/>
              </w:rPr>
              <w:t>Primera parte</w:t>
            </w:r>
            <w:r w:rsidRPr="0043116C">
              <w:rPr>
                <w:color w:val="000000" w:themeColor="text1"/>
                <w:lang w:val="es-ES_tradnl"/>
              </w:rPr>
              <w:t>:</w:t>
            </w:r>
          </w:p>
          <w:p w14:paraId="62061588" w14:textId="77777777" w:rsidR="00725123" w:rsidRPr="004D7E10" w:rsidRDefault="00725123" w:rsidP="00725123">
            <w:pPr>
              <w:rPr>
                <w:b/>
                <w:lang w:val="es-ES"/>
              </w:rPr>
            </w:pPr>
          </w:p>
          <w:p w14:paraId="1E74EEC1" w14:textId="77777777" w:rsidR="00725123" w:rsidRPr="004E34B0" w:rsidRDefault="00725123" w:rsidP="00725123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 clase de productos o servicios</w:t>
            </w:r>
          </w:p>
          <w:p w14:paraId="06F82E9E" w14:textId="77777777" w:rsidR="00725123" w:rsidRPr="004E34B0" w:rsidRDefault="00725123" w:rsidP="0072512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7A212854" w14:textId="77777777" w:rsidR="00725123" w:rsidRDefault="00725123" w:rsidP="00725123">
            <w:pPr>
              <w:rPr>
                <w:rFonts w:eastAsia="MS Mincho"/>
                <w:color w:val="000000" w:themeColor="text1"/>
                <w:szCs w:val="22"/>
                <w:lang w:val="es-ES_tradnl" w:eastAsia="ja-JP"/>
              </w:rPr>
            </w:pPr>
            <w:r w:rsidRPr="00C95EC7">
              <w:rPr>
                <w:rFonts w:eastAsia="MS Mincho"/>
                <w:color w:val="000000" w:themeColor="text1"/>
                <w:szCs w:val="22"/>
                <w:u w:val="single"/>
                <w:lang w:val="es-ES_tradnl" w:eastAsia="ja-JP"/>
              </w:rPr>
              <w:t>Segunda parte</w:t>
            </w:r>
            <w:r w:rsidRPr="0043116C">
              <w:rPr>
                <w:rFonts w:eastAsia="MS Mincho"/>
                <w:color w:val="000000" w:themeColor="text1"/>
                <w:szCs w:val="22"/>
                <w:lang w:val="es-ES_tradnl" w:eastAsia="ja-JP"/>
              </w:rPr>
              <w:t>:</w:t>
            </w:r>
          </w:p>
          <w:p w14:paraId="651522E9" w14:textId="77777777" w:rsidR="00725123" w:rsidRPr="004E34B0" w:rsidRDefault="00725123" w:rsidP="00725123">
            <w:pPr>
              <w:rPr>
                <w:lang w:val="es-ES_tradnl"/>
              </w:rPr>
            </w:pPr>
          </w:p>
          <w:p w14:paraId="67D934C4" w14:textId="409152B5" w:rsidR="00725123" w:rsidRPr="00725123" w:rsidRDefault="00725123" w:rsidP="00725123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 clase de productos o servicios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98D17" w14:textId="77777777" w:rsidR="00725123" w:rsidRPr="004E34B0" w:rsidRDefault="00725123" w:rsidP="00725123">
            <w:pPr>
              <w:rPr>
                <w:lang w:val="es-ES_tradnl"/>
              </w:rPr>
            </w:pPr>
          </w:p>
          <w:p w14:paraId="68368A96" w14:textId="77777777" w:rsidR="00725123" w:rsidRDefault="00725123" w:rsidP="00725123">
            <w:pPr>
              <w:jc w:val="center"/>
              <w:rPr>
                <w:lang w:val="es-ES_tradnl"/>
              </w:rPr>
            </w:pPr>
          </w:p>
          <w:p w14:paraId="0F6F979A" w14:textId="77777777" w:rsidR="00725123" w:rsidRDefault="00725123" w:rsidP="00725123">
            <w:pPr>
              <w:jc w:val="center"/>
              <w:rPr>
                <w:lang w:val="es-ES_tradnl"/>
              </w:rPr>
            </w:pPr>
          </w:p>
          <w:p w14:paraId="4717B321" w14:textId="77777777" w:rsidR="00725123" w:rsidRPr="004E34B0" w:rsidRDefault="00725123" w:rsidP="0072512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  61</w:t>
            </w:r>
          </w:p>
          <w:p w14:paraId="733FDE10" w14:textId="77777777" w:rsidR="00725123" w:rsidRPr="004E34B0" w:rsidRDefault="00725123" w:rsidP="0072512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74370D49" w14:textId="77777777" w:rsidR="00725123" w:rsidRPr="004E34B0" w:rsidRDefault="00725123" w:rsidP="0072512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7F05A4EC" w14:textId="77777777" w:rsidR="00725123" w:rsidRDefault="00725123" w:rsidP="0072512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6C03CB12" w14:textId="221ECFF5" w:rsidR="00725123" w:rsidRPr="004E34B0" w:rsidRDefault="00725123" w:rsidP="0072512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109</w:t>
            </w:r>
          </w:p>
          <w:p w14:paraId="0293D695" w14:textId="77777777" w:rsidR="00725123" w:rsidRPr="00A52482" w:rsidRDefault="00725123" w:rsidP="00725123">
            <w:pPr>
              <w:rPr>
                <w:b/>
                <w:bCs/>
              </w:rPr>
            </w:pPr>
          </w:p>
        </w:tc>
      </w:tr>
      <w:tr w:rsidR="00725123" w:rsidRPr="00911F9C" w14:paraId="504ADB62" w14:textId="77777777" w:rsidTr="00725123">
        <w:trPr>
          <w:trHeight w:val="2024"/>
        </w:trPr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14:paraId="320EB88C" w14:textId="77777777" w:rsidR="00725123" w:rsidRPr="004E34B0" w:rsidRDefault="00725123" w:rsidP="00725123">
            <w:pPr>
              <w:rPr>
                <w:lang w:val="es-ES_tradnl"/>
              </w:rPr>
            </w:pPr>
          </w:p>
          <w:p w14:paraId="79CA9B63" w14:textId="77777777" w:rsidR="00725123" w:rsidRPr="004E34B0" w:rsidRDefault="00725123" w:rsidP="00725123">
            <w:pPr>
              <w:jc w:val="center"/>
              <w:rPr>
                <w:lang w:val="es-ES_tradnl"/>
              </w:rPr>
            </w:pPr>
          </w:p>
          <w:p w14:paraId="6CB81E92" w14:textId="77777777" w:rsidR="00725123" w:rsidRPr="004E34B0" w:rsidRDefault="00725123" w:rsidP="00725123">
            <w:pPr>
              <w:jc w:val="center"/>
              <w:rPr>
                <w:lang w:val="es-ES_tradnl"/>
              </w:rPr>
            </w:pPr>
          </w:p>
          <w:p w14:paraId="6E79BFBF" w14:textId="77777777" w:rsidR="00725123" w:rsidRPr="004E34B0" w:rsidRDefault="00725123" w:rsidP="00725123">
            <w:pPr>
              <w:jc w:val="center"/>
              <w:rPr>
                <w:lang w:val="es-ES_tradnl"/>
              </w:rPr>
            </w:pPr>
          </w:p>
          <w:p w14:paraId="4FBDF434" w14:textId="77777777" w:rsidR="00725123" w:rsidRPr="004E34B0" w:rsidRDefault="00725123" w:rsidP="00725123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14:paraId="454E456F" w14:textId="77777777" w:rsidR="00725123" w:rsidRPr="004E34B0" w:rsidRDefault="00725123" w:rsidP="00725123">
            <w:pPr>
              <w:rPr>
                <w:lang w:val="es-ES_tradnl"/>
              </w:rPr>
            </w:pPr>
          </w:p>
          <w:p w14:paraId="654E6122" w14:textId="77777777" w:rsidR="00725123" w:rsidRPr="00A10F80" w:rsidRDefault="00725123" w:rsidP="00725123"/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88383" w14:textId="77777777" w:rsidR="00725123" w:rsidRPr="004E34B0" w:rsidRDefault="00725123" w:rsidP="00725123">
            <w:pPr>
              <w:rPr>
                <w:lang w:val="es-ES_tradnl"/>
              </w:rPr>
            </w:pPr>
          </w:p>
          <w:p w14:paraId="7E89F654" w14:textId="77777777" w:rsidR="00725123" w:rsidRPr="004E34B0" w:rsidRDefault="00725123" w:rsidP="0072512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 clase de productos o servicios</w:t>
            </w:r>
          </w:p>
          <w:p w14:paraId="0DBBE823" w14:textId="77777777" w:rsidR="00725123" w:rsidRPr="004E34B0" w:rsidRDefault="00725123" w:rsidP="0072512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7CC5353E" w14:textId="77777777" w:rsidR="00725123" w:rsidRDefault="00725123" w:rsidP="00725123">
            <w:pPr>
              <w:rPr>
                <w:rFonts w:eastAsia="MS Mincho"/>
                <w:i/>
                <w:color w:val="000000" w:themeColor="text1"/>
                <w:szCs w:val="22"/>
                <w:lang w:val="es-ES_tradnl" w:eastAsia="ja-JP"/>
              </w:rPr>
            </w:pPr>
            <w:r w:rsidRPr="00963CCC">
              <w:rPr>
                <w:rFonts w:eastAsia="MS Mincho"/>
                <w:i/>
                <w:color w:val="000000" w:themeColor="text1"/>
                <w:szCs w:val="22"/>
                <w:lang w:val="es-ES_tradnl" w:eastAsia="ja-JP"/>
              </w:rPr>
              <w:t>Cuando el pago es efectuado durante el plazo de gracia</w:t>
            </w:r>
            <w:r w:rsidRPr="00EE3E24">
              <w:rPr>
                <w:rFonts w:eastAsia="MS Mincho"/>
                <w:i/>
                <w:color w:val="000000" w:themeColor="text1"/>
                <w:szCs w:val="22"/>
                <w:lang w:val="es-ES_tradnl" w:eastAsia="ja-JP"/>
              </w:rPr>
              <w:t>:</w:t>
            </w:r>
          </w:p>
          <w:p w14:paraId="34988402" w14:textId="77777777" w:rsidR="00725123" w:rsidRPr="004E34B0" w:rsidRDefault="00725123" w:rsidP="00725123">
            <w:pPr>
              <w:rPr>
                <w:lang w:val="es-ES_tradnl"/>
              </w:rPr>
            </w:pPr>
          </w:p>
          <w:p w14:paraId="5A0D1D90" w14:textId="77777777" w:rsidR="00725123" w:rsidRPr="004E34B0" w:rsidRDefault="00725123" w:rsidP="00725123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de productos o servicios</w:t>
            </w:r>
          </w:p>
          <w:p w14:paraId="792946F9" w14:textId="66CA854B" w:rsidR="00725123" w:rsidRPr="00725123" w:rsidRDefault="00725123" w:rsidP="00725123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3F92D" w14:textId="77777777" w:rsidR="00725123" w:rsidRPr="004E34B0" w:rsidRDefault="00725123" w:rsidP="0072512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0A9F908C" w14:textId="77777777" w:rsidR="00725123" w:rsidRPr="004E34B0" w:rsidRDefault="00725123" w:rsidP="006C7B7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146</w:t>
            </w:r>
          </w:p>
          <w:p w14:paraId="2678FCD7" w14:textId="77777777" w:rsidR="00725123" w:rsidRPr="004E34B0" w:rsidRDefault="00725123" w:rsidP="0072512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0A887D81" w14:textId="77777777" w:rsidR="00725123" w:rsidRPr="004E34B0" w:rsidRDefault="00725123" w:rsidP="0072512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31437696" w14:textId="77777777" w:rsidR="00725123" w:rsidRDefault="00725123" w:rsidP="0072512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55EF451E" w14:textId="77777777" w:rsidR="006C7B7F" w:rsidRDefault="006C7B7F" w:rsidP="0072512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04291F3A" w14:textId="3BD0D7B0" w:rsidR="00725123" w:rsidRPr="004E34B0" w:rsidRDefault="00725123" w:rsidP="00725123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292</w:t>
            </w:r>
          </w:p>
          <w:p w14:paraId="191B885B" w14:textId="77777777" w:rsidR="00725123" w:rsidRPr="00911F9C" w:rsidRDefault="00725123" w:rsidP="00725123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14:paraId="6A918E8A" w14:textId="77777777" w:rsidR="00725123" w:rsidRDefault="00725123" w:rsidP="00725123">
      <w:pPr>
        <w:pStyle w:val="ONUMFS"/>
        <w:numPr>
          <w:ilvl w:val="0"/>
          <w:numId w:val="0"/>
        </w:numPr>
        <w:rPr>
          <w:lang w:val="es-ES_tradnl"/>
        </w:rPr>
      </w:pPr>
    </w:p>
    <w:p w14:paraId="15641F2F" w14:textId="77777777" w:rsidR="00D67A42" w:rsidRDefault="00D67A42" w:rsidP="00D67A42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52B477A1" w14:textId="705E37DF" w:rsidR="00725123" w:rsidRDefault="00875258" w:rsidP="00875258">
      <w:pPr>
        <w:rPr>
          <w:lang w:val="es-ES_tradnl"/>
        </w:rPr>
      </w:pPr>
      <w:r>
        <w:rPr>
          <w:lang w:val="es-ES_tradnl"/>
        </w:rPr>
        <w:br w:type="page"/>
      </w:r>
    </w:p>
    <w:p w14:paraId="5F4D9E11" w14:textId="77777777" w:rsidR="00D67A42" w:rsidRPr="0027396E" w:rsidRDefault="00D67A42" w:rsidP="00D67A42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Pr="0088751E">
        <w:rPr>
          <w:lang w:val="es-ES_tradnl" w:eastAsia="ja-JP"/>
        </w:rPr>
        <w:t xml:space="preserve"> importes se</w:t>
      </w:r>
      <w:r w:rsidRPr="0027396E">
        <w:rPr>
          <w:lang w:val="es-ES_tradnl" w:eastAsia="ja-JP"/>
        </w:rPr>
        <w:t xml:space="preserve"> abonarán cuando</w:t>
      </w:r>
      <w:r>
        <w:rPr>
          <w:lang w:val="es-ES_tradnl" w:eastAsia="ja-JP"/>
        </w:rPr>
        <w:t xml:space="preserve"> </w:t>
      </w:r>
      <w:r>
        <w:rPr>
          <w:snapToGrid w:val="0"/>
          <w:lang w:val="es-ES_tradnl"/>
        </w:rPr>
        <w:t>Brasil</w:t>
      </w:r>
    </w:p>
    <w:p w14:paraId="3FB5ECD5" w14:textId="15E0EC4B" w:rsidR="00D67A42" w:rsidRDefault="00D67A42" w:rsidP="00D67A42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Pr="003F01E7">
        <w:rPr>
          <w:rFonts w:eastAsia="MS Mincho"/>
          <w:szCs w:val="22"/>
          <w:lang w:val="es-ES_tradnl" w:eastAsia="ja-JP"/>
        </w:rPr>
        <w:t>se designe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>
        <w:rPr>
          <w:rFonts w:eastAsia="MS Mincho"/>
          <w:szCs w:val="22"/>
          <w:lang w:val="es-ES_tradnl" w:eastAsia="ja-JP"/>
        </w:rPr>
        <w:t>recibida</w:t>
      </w:r>
      <w:r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>
        <w:rPr>
          <w:rFonts w:eastAsia="MS Mincho"/>
          <w:szCs w:val="22"/>
          <w:lang w:val="es-ES_tradnl" w:eastAsia="ja-JP"/>
        </w:rPr>
        <w:t>el </w:t>
      </w:r>
      <w:r>
        <w:rPr>
          <w:lang w:val="es-ES_tradnl" w:eastAsia="ja-JP"/>
        </w:rPr>
        <w:t xml:space="preserve">9 de agosto de 2025 </w:t>
      </w:r>
      <w:r w:rsidRPr="006A5B48">
        <w:rPr>
          <w:rFonts w:eastAsia="MS Mincho"/>
          <w:szCs w:val="22"/>
          <w:lang w:val="es-ES_tradnl" w:eastAsia="ja-JP"/>
        </w:rPr>
        <w:t xml:space="preserve">o </w:t>
      </w:r>
      <w:r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Pr="000048BF">
        <w:rPr>
          <w:rFonts w:eastAsia="MS Mincho"/>
          <w:szCs w:val="22"/>
          <w:lang w:val="es-ES_tradnl" w:eastAsia="ja-JP"/>
        </w:rPr>
        <w:t>fecha</w:t>
      </w:r>
      <w:r>
        <w:rPr>
          <w:rFonts w:eastAsia="MS Mincho"/>
          <w:szCs w:val="22"/>
          <w:lang w:val="es-ES_tradnl" w:eastAsia="ja-JP"/>
        </w:rPr>
        <w:t xml:space="preserve">;  </w:t>
      </w:r>
      <w:r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414B8E7B" w14:textId="77777777" w:rsidR="00D67A42" w:rsidRPr="00A76562" w:rsidRDefault="00D67A42" w:rsidP="00D67A4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0AA5DC21" w14:textId="77777777" w:rsidR="00D67A42" w:rsidRDefault="00D67A42" w:rsidP="00D67A42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se haya designado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>
        <w:rPr>
          <w:rFonts w:eastAsia="MS Mincho"/>
          <w:szCs w:val="22"/>
          <w:lang w:val="es-ES_tradnl" w:eastAsia="ja-JP"/>
        </w:rPr>
        <w:t>r</w:t>
      </w:r>
      <w:r w:rsidRPr="003F01E7">
        <w:rPr>
          <w:rFonts w:eastAsia="MS Mincho"/>
          <w:szCs w:val="22"/>
          <w:lang w:val="es-ES_tradnl" w:eastAsia="ja-JP"/>
        </w:rPr>
        <w:t>enovado</w:t>
      </w:r>
      <w:r>
        <w:rPr>
          <w:rFonts w:eastAsia="MS Mincho"/>
          <w:szCs w:val="22"/>
          <w:lang w:val="es-ES_tradnl" w:eastAsia="ja-JP"/>
        </w:rPr>
        <w:t xml:space="preserve">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2FF6501A" w14:textId="77777777" w:rsidR="00D67A42" w:rsidRPr="00D67A42" w:rsidRDefault="00D67A42" w:rsidP="00D67A42">
      <w:pPr>
        <w:pStyle w:val="ONUMFS"/>
        <w:numPr>
          <w:ilvl w:val="0"/>
          <w:numId w:val="0"/>
        </w:numPr>
        <w:rPr>
          <w:lang w:val="es-ES_tradnl"/>
        </w:rPr>
      </w:pPr>
    </w:p>
    <w:p w14:paraId="1BBA2F30" w14:textId="145CA395" w:rsidR="00D67A42" w:rsidRPr="00747CF2" w:rsidRDefault="00D67A42" w:rsidP="00D67A42">
      <w:pPr>
        <w:pStyle w:val="ONUMFS"/>
        <w:numPr>
          <w:ilvl w:val="0"/>
          <w:numId w:val="0"/>
        </w:numPr>
        <w:rPr>
          <w:u w:val="single"/>
          <w:lang w:val="es-ES_tradnl"/>
        </w:rPr>
      </w:pPr>
      <w:r w:rsidRPr="00747CF2">
        <w:rPr>
          <w:u w:val="single"/>
          <w:lang w:val="es-ES_tradnl"/>
        </w:rPr>
        <w:t xml:space="preserve">Retirada de la notificación efectuada en virtud de la Regla </w:t>
      </w:r>
      <w:proofErr w:type="gramStart"/>
      <w:r w:rsidRPr="00747CF2">
        <w:rPr>
          <w:u w:val="single"/>
          <w:lang w:val="es-ES_tradnl"/>
        </w:rPr>
        <w:t>34.3)a</w:t>
      </w:r>
      <w:proofErr w:type="gramEnd"/>
      <w:r w:rsidRPr="00747CF2">
        <w:rPr>
          <w:u w:val="single"/>
          <w:lang w:val="es-ES_tradnl"/>
        </w:rPr>
        <w:t xml:space="preserve">) del Reglamento del Protocolo de Madrid y declaración que establece nuevos importes de la tasa individual </w:t>
      </w:r>
    </w:p>
    <w:p w14:paraId="4D6EE809" w14:textId="00C0FA05" w:rsidR="00A84262" w:rsidRPr="00725123" w:rsidRDefault="00360FE7" w:rsidP="00725123">
      <w:pPr>
        <w:pStyle w:val="ONUMFS"/>
        <w:rPr>
          <w:lang w:val="es-ES_tradnl"/>
        </w:rPr>
      </w:pPr>
      <w:r w:rsidRPr="00360FE7">
        <w:rPr>
          <w:lang w:val="es-ES_tradnl"/>
        </w:rPr>
        <w:t xml:space="preserve">El </w:t>
      </w:r>
      <w:r w:rsidRPr="00FC7672">
        <w:rPr>
          <w:lang w:val="es-ES_tradnl" w:eastAsia="ja-JP"/>
        </w:rPr>
        <w:t xml:space="preserve">Gobierno de </w:t>
      </w:r>
      <w:r>
        <w:rPr>
          <w:lang w:val="es-ES_tradnl" w:eastAsia="ja-JP"/>
        </w:rPr>
        <w:t>Brasil</w:t>
      </w:r>
      <w:r w:rsidRPr="00FC7672">
        <w:rPr>
          <w:lang w:val="es-ES_tradnl" w:eastAsia="ja-JP"/>
        </w:rPr>
        <w:t xml:space="preserve"> ha notificado al </w:t>
      </w:r>
      <w:proofErr w:type="gramStart"/>
      <w:r w:rsidRPr="00FC7672">
        <w:rPr>
          <w:lang w:val="es-ES_tradnl" w:eastAsia="ja-JP"/>
        </w:rPr>
        <w:t>Director General</w:t>
      </w:r>
      <w:proofErr w:type="gramEnd"/>
      <w:r w:rsidRPr="00FC7672">
        <w:rPr>
          <w:lang w:val="es-ES_tradnl" w:eastAsia="ja-JP"/>
        </w:rPr>
        <w:t xml:space="preserve"> de la </w:t>
      </w:r>
      <w:r w:rsidRPr="00360FE7">
        <w:rPr>
          <w:lang w:val="es-ES_tradnl"/>
        </w:rPr>
        <w:t xml:space="preserve">OMPI </w:t>
      </w:r>
      <w:r>
        <w:rPr>
          <w:lang w:val="es-ES_tradnl"/>
        </w:rPr>
        <w:t xml:space="preserve">la retirada de su </w:t>
      </w:r>
      <w:r w:rsidRPr="00360FE7">
        <w:rPr>
          <w:lang w:val="es-ES_tradnl"/>
        </w:rPr>
        <w:t xml:space="preserve">notificación efectuada en virtud de la Regla </w:t>
      </w:r>
      <w:proofErr w:type="gramStart"/>
      <w:r w:rsidRPr="00360FE7">
        <w:rPr>
          <w:lang w:val="es-ES_tradnl"/>
        </w:rPr>
        <w:t>34.3)a</w:t>
      </w:r>
      <w:proofErr w:type="gramEnd"/>
      <w:r w:rsidRPr="00360FE7">
        <w:rPr>
          <w:lang w:val="es-ES_tradnl"/>
        </w:rPr>
        <w:t>) del Reglamento del Protocolo de Madrid según l</w:t>
      </w:r>
      <w:r>
        <w:rPr>
          <w:lang w:val="es-ES_tradnl"/>
        </w:rPr>
        <w:t xml:space="preserve">a </w:t>
      </w:r>
      <w:r w:rsidRPr="00360FE7">
        <w:rPr>
          <w:lang w:val="es-ES_tradnl"/>
        </w:rPr>
        <w:t xml:space="preserve">cual la tasa individual respecto a </w:t>
      </w:r>
      <w:r w:rsidR="003B40BA">
        <w:rPr>
          <w:lang w:val="es-ES_tradnl"/>
        </w:rPr>
        <w:t>una</w:t>
      </w:r>
      <w:r w:rsidRPr="00360FE7">
        <w:rPr>
          <w:lang w:val="es-ES_tradnl"/>
        </w:rPr>
        <w:t xml:space="preserve"> designación de Brasil </w:t>
      </w:r>
      <w:r w:rsidRPr="00360FE7">
        <w:rPr>
          <w:lang w:val="es-ES_tradnl" w:eastAsia="ja-JP"/>
        </w:rPr>
        <w:t>en virtud del Artículo 8.7) del Protocolo de Madrid</w:t>
      </w:r>
      <w:r w:rsidRPr="00360FE7">
        <w:rPr>
          <w:lang w:val="es-ES_tradnl"/>
        </w:rPr>
        <w:t xml:space="preserve"> debía pagarse en dos partes</w:t>
      </w:r>
      <w:r>
        <w:rPr>
          <w:lang w:val="es-ES_tradnl"/>
        </w:rPr>
        <w:t>, y una declaración</w:t>
      </w:r>
      <w:r w:rsidRPr="00360FE7">
        <w:rPr>
          <w:lang w:val="es-ES_tradnl"/>
        </w:rPr>
        <w:t xml:space="preserve"> </w:t>
      </w:r>
      <w:r w:rsidRPr="00876678">
        <w:rPr>
          <w:lang w:val="es-ES_tradnl" w:eastAsia="ja-JP"/>
        </w:rPr>
        <w:t xml:space="preserve">que modifica los importes de </w:t>
      </w:r>
      <w:r w:rsidR="003E25A0">
        <w:rPr>
          <w:lang w:val="es-ES_tradnl" w:eastAsia="ja-JP"/>
        </w:rPr>
        <w:t>esa</w:t>
      </w:r>
      <w:r w:rsidRPr="00876678">
        <w:rPr>
          <w:lang w:val="es-ES_tradnl" w:eastAsia="ja-JP"/>
        </w:rPr>
        <w:t xml:space="preserve"> tasa individua</w:t>
      </w:r>
      <w:r w:rsidR="00A94D0B">
        <w:rPr>
          <w:lang w:val="es-ES_tradnl" w:eastAsia="ja-JP"/>
        </w:rPr>
        <w:t>l</w:t>
      </w:r>
      <w:r>
        <w:rPr>
          <w:lang w:val="es-ES_tradnl" w:eastAsia="ja-JP"/>
        </w:rPr>
        <w:t>.</w:t>
      </w:r>
    </w:p>
    <w:p w14:paraId="3BB54DE1" w14:textId="670D362A" w:rsidR="003B40BA" w:rsidRDefault="00360FE7" w:rsidP="00360FE7">
      <w:pPr>
        <w:pStyle w:val="ONUMFS"/>
        <w:rPr>
          <w:lang w:val="es-ES_tradnl"/>
        </w:rPr>
      </w:pPr>
      <w:r w:rsidRPr="00360FE7">
        <w:rPr>
          <w:lang w:val="es-ES_tradnl"/>
        </w:rPr>
        <w:t xml:space="preserve">La </w:t>
      </w:r>
      <w:r>
        <w:rPr>
          <w:lang w:val="es-ES_tradnl"/>
        </w:rPr>
        <w:t>r</w:t>
      </w:r>
      <w:r w:rsidRPr="00D67A42">
        <w:rPr>
          <w:lang w:val="es-ES_tradnl"/>
        </w:rPr>
        <w:t>etirada</w:t>
      </w:r>
      <w:r w:rsidRPr="00360FE7">
        <w:rPr>
          <w:lang w:val="es-ES_tradnl"/>
        </w:rPr>
        <w:t xml:space="preserve"> </w:t>
      </w:r>
      <w:r>
        <w:rPr>
          <w:lang w:val="es-ES_tradnl"/>
        </w:rPr>
        <w:t>de la</w:t>
      </w:r>
      <w:r w:rsidRPr="00360FE7">
        <w:rPr>
          <w:lang w:val="es-ES_tradnl"/>
        </w:rPr>
        <w:t xml:space="preserve"> notificación </w:t>
      </w:r>
      <w:r w:rsidR="003B40BA">
        <w:rPr>
          <w:lang w:val="es-ES_tradnl"/>
        </w:rPr>
        <w:t xml:space="preserve">antes mencionada </w:t>
      </w:r>
      <w:r>
        <w:rPr>
          <w:lang w:val="es-ES_tradnl"/>
        </w:rPr>
        <w:t xml:space="preserve">y la declaración que establece los nuevos importes de la tasa individual </w:t>
      </w:r>
      <w:r w:rsidR="003B40BA" w:rsidRPr="003B40BA">
        <w:rPr>
          <w:lang w:val="es-ES_tradnl"/>
        </w:rPr>
        <w:t>surtirá</w:t>
      </w:r>
      <w:r w:rsidR="003B40BA">
        <w:rPr>
          <w:lang w:val="es-ES_tradnl"/>
        </w:rPr>
        <w:t>n</w:t>
      </w:r>
      <w:r w:rsidR="003B40BA" w:rsidRPr="003B40BA">
        <w:rPr>
          <w:lang w:val="es-ES_tradnl"/>
        </w:rPr>
        <w:t xml:space="preserve"> efecto</w:t>
      </w:r>
      <w:r w:rsidR="003B40BA">
        <w:rPr>
          <w:lang w:val="es-ES_tradnl"/>
        </w:rPr>
        <w:t xml:space="preserve"> el </w:t>
      </w:r>
      <w:r w:rsidR="003B40BA" w:rsidRPr="00FF5874">
        <w:rPr>
          <w:b/>
          <w:bCs/>
          <w:u w:val="single"/>
          <w:lang w:val="es-ES_tradnl"/>
        </w:rPr>
        <w:t>20 de septiembre de 2025</w:t>
      </w:r>
      <w:r w:rsidR="003B40BA">
        <w:rPr>
          <w:lang w:val="es-ES_tradnl"/>
        </w:rPr>
        <w:t>.  P</w:t>
      </w:r>
      <w:r w:rsidR="003B40BA" w:rsidRPr="003B40BA">
        <w:rPr>
          <w:lang w:val="es-ES_tradnl"/>
        </w:rPr>
        <w:t>or consiguiente</w:t>
      </w:r>
      <w:r w:rsidR="003B40BA">
        <w:rPr>
          <w:lang w:val="es-ES_tradnl"/>
        </w:rPr>
        <w:t>, a</w:t>
      </w:r>
      <w:r w:rsidR="003B40BA" w:rsidRPr="003B40BA">
        <w:rPr>
          <w:lang w:val="es-ES_tradnl"/>
        </w:rPr>
        <w:t xml:space="preserve"> partir de esa fecha,</w:t>
      </w:r>
      <w:r w:rsidR="003B40BA">
        <w:rPr>
          <w:lang w:val="es-ES_tradnl"/>
        </w:rPr>
        <w:t xml:space="preserve"> la tasa individual</w:t>
      </w:r>
      <w:r w:rsidR="003B40BA" w:rsidRPr="003B40BA">
        <w:rPr>
          <w:lang w:val="es-ES_tradnl"/>
        </w:rPr>
        <w:t xml:space="preserve"> </w:t>
      </w:r>
      <w:r w:rsidR="003B40BA" w:rsidRPr="00360FE7">
        <w:rPr>
          <w:lang w:val="es-ES_tradnl"/>
        </w:rPr>
        <w:t xml:space="preserve">respecto a </w:t>
      </w:r>
      <w:r w:rsidR="003B40BA">
        <w:rPr>
          <w:lang w:val="es-ES_tradnl"/>
        </w:rPr>
        <w:t>una</w:t>
      </w:r>
      <w:r w:rsidR="003B40BA" w:rsidRPr="00360FE7">
        <w:rPr>
          <w:lang w:val="es-ES_tradnl"/>
        </w:rPr>
        <w:t xml:space="preserve"> designación de Brasil</w:t>
      </w:r>
      <w:r w:rsidR="003B40BA">
        <w:rPr>
          <w:lang w:val="es-ES_tradnl"/>
        </w:rPr>
        <w:t xml:space="preserve"> </w:t>
      </w:r>
      <w:r w:rsidR="003B40BA" w:rsidRPr="00360FE7">
        <w:rPr>
          <w:lang w:val="es-ES_tradnl"/>
        </w:rPr>
        <w:t>deb</w:t>
      </w:r>
      <w:r w:rsidR="003B40BA">
        <w:rPr>
          <w:lang w:val="es-ES_tradnl"/>
        </w:rPr>
        <w:t>erá</w:t>
      </w:r>
      <w:r w:rsidR="003B40BA" w:rsidRPr="00360FE7">
        <w:rPr>
          <w:lang w:val="es-ES_tradnl"/>
        </w:rPr>
        <w:t xml:space="preserve"> </w:t>
      </w:r>
      <w:r w:rsidR="003B40BA" w:rsidRPr="003B40BA">
        <w:rPr>
          <w:lang w:val="es-ES_tradnl"/>
        </w:rPr>
        <w:t>abonarse en un pago único</w:t>
      </w:r>
      <w:r w:rsidR="003B40BA">
        <w:rPr>
          <w:lang w:val="es-ES_tradnl"/>
        </w:rPr>
        <w:t xml:space="preserve"> y los importes de </w:t>
      </w:r>
      <w:r w:rsidR="009D2EA0">
        <w:rPr>
          <w:lang w:val="es-ES_tradnl"/>
        </w:rPr>
        <w:t>dicha</w:t>
      </w:r>
      <w:r w:rsidR="003B40BA">
        <w:rPr>
          <w:lang w:val="es-ES_tradnl"/>
        </w:rPr>
        <w:t xml:space="preserve"> tasa serán los siguientes</w:t>
      </w:r>
      <w:r w:rsidR="003B40BA" w:rsidRPr="00C020EF">
        <w:rPr>
          <w:lang w:val="es-ES_tradnl"/>
        </w:rPr>
        <w:t xml:space="preserve">:  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36"/>
        <w:gridCol w:w="2268"/>
      </w:tblGrid>
      <w:tr w:rsidR="00A84262" w:rsidRPr="00A84262" w14:paraId="0F5A33E5" w14:textId="77777777" w:rsidTr="002226DD">
        <w:trPr>
          <w:trHeight w:val="1739"/>
        </w:trPr>
        <w:tc>
          <w:tcPr>
            <w:tcW w:w="6266" w:type="dxa"/>
            <w:gridSpan w:val="2"/>
            <w:shd w:val="clear" w:color="auto" w:fill="auto"/>
          </w:tcPr>
          <w:p w14:paraId="6A998C38" w14:textId="77777777" w:rsidR="00A84262" w:rsidRPr="004E34B0" w:rsidRDefault="00A84262" w:rsidP="00650404">
            <w:pPr>
              <w:rPr>
                <w:lang w:val="es-ES_tradnl"/>
              </w:rPr>
            </w:pPr>
          </w:p>
          <w:p w14:paraId="1FA5389B" w14:textId="77777777" w:rsidR="00A84262" w:rsidRPr="004E34B0" w:rsidRDefault="00A84262" w:rsidP="00650404">
            <w:pPr>
              <w:jc w:val="center"/>
              <w:rPr>
                <w:b/>
                <w:bCs/>
                <w:lang w:val="es-ES_tradnl"/>
              </w:rPr>
            </w:pPr>
          </w:p>
          <w:p w14:paraId="20795A3E" w14:textId="77777777" w:rsidR="00A84262" w:rsidRDefault="00A84262" w:rsidP="00650404">
            <w:pPr>
              <w:jc w:val="center"/>
              <w:rPr>
                <w:b/>
                <w:bCs/>
                <w:lang w:val="es-ES_tradnl"/>
              </w:rPr>
            </w:pPr>
          </w:p>
          <w:p w14:paraId="758FD29A" w14:textId="07A0BB18" w:rsidR="00A84262" w:rsidRPr="00A84262" w:rsidRDefault="00A84262" w:rsidP="00A84262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</w:tc>
        <w:tc>
          <w:tcPr>
            <w:tcW w:w="2268" w:type="dxa"/>
            <w:shd w:val="clear" w:color="auto" w:fill="auto"/>
          </w:tcPr>
          <w:p w14:paraId="298F656B" w14:textId="77777777" w:rsidR="00A84262" w:rsidRDefault="00A84262" w:rsidP="00650404">
            <w:pPr>
              <w:jc w:val="center"/>
              <w:rPr>
                <w:b/>
                <w:bCs/>
              </w:rPr>
            </w:pPr>
          </w:p>
          <w:p w14:paraId="7D327CEE" w14:textId="77777777" w:rsidR="00A84262" w:rsidRPr="00790098" w:rsidRDefault="00A84262" w:rsidP="00650404">
            <w:pPr>
              <w:jc w:val="center"/>
              <w:rPr>
                <w:b/>
                <w:bCs/>
                <w:lang w:val="es-ES"/>
              </w:rPr>
            </w:pPr>
            <w:r w:rsidRPr="00790098">
              <w:rPr>
                <w:b/>
                <w:bCs/>
                <w:lang w:val="es-ES"/>
              </w:rPr>
              <w:t>Importes</w:t>
            </w:r>
          </w:p>
          <w:p w14:paraId="14EFA61B" w14:textId="77777777" w:rsidR="00A84262" w:rsidRDefault="00A84262" w:rsidP="00650404">
            <w:pPr>
              <w:jc w:val="center"/>
              <w:rPr>
                <w:b/>
                <w:bCs/>
              </w:rPr>
            </w:pPr>
          </w:p>
          <w:p w14:paraId="48C42629" w14:textId="77777777" w:rsidR="00A84262" w:rsidRDefault="00A84262" w:rsidP="00650404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27F8D042" w14:textId="77777777" w:rsidR="00A84262" w:rsidRPr="004E34B0" w:rsidRDefault="00A84262" w:rsidP="00A84262">
            <w:pPr>
              <w:rPr>
                <w:lang w:val="es-ES_tradnl"/>
              </w:rPr>
            </w:pPr>
          </w:p>
        </w:tc>
      </w:tr>
      <w:tr w:rsidR="00A84262" w:rsidRPr="00615097" w14:paraId="4B7496AB" w14:textId="77777777" w:rsidTr="002226DD">
        <w:trPr>
          <w:trHeight w:val="1254"/>
        </w:trPr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14:paraId="03889CA4" w14:textId="77777777" w:rsidR="00A84262" w:rsidRPr="004E34B0" w:rsidRDefault="00A84262" w:rsidP="00650404">
            <w:pPr>
              <w:jc w:val="center"/>
              <w:rPr>
                <w:lang w:val="es-ES_tradnl"/>
              </w:rPr>
            </w:pPr>
          </w:p>
          <w:p w14:paraId="0BBAB9B7" w14:textId="77777777" w:rsidR="00A84262" w:rsidRPr="004E34B0" w:rsidRDefault="00A84262" w:rsidP="0027356D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14:paraId="15735EC6" w14:textId="77777777" w:rsidR="00A84262" w:rsidRPr="004E34B0" w:rsidRDefault="00A84262" w:rsidP="00650404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14:paraId="06079BBD" w14:textId="77777777" w:rsidR="00A84262" w:rsidRPr="004E34B0" w:rsidRDefault="00A84262" w:rsidP="00650404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14:paraId="6CEE51E9" w14:textId="77777777" w:rsidR="00A84262" w:rsidRPr="004E34B0" w:rsidRDefault="00A84262" w:rsidP="00650404">
            <w:pPr>
              <w:jc w:val="center"/>
              <w:rPr>
                <w:lang w:val="es-ES_tradnl"/>
              </w:rPr>
            </w:pPr>
          </w:p>
        </w:tc>
        <w:tc>
          <w:tcPr>
            <w:tcW w:w="44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2A46F" w14:textId="77777777" w:rsidR="00A84262" w:rsidRPr="004D7E10" w:rsidRDefault="00A84262" w:rsidP="00650404">
            <w:pPr>
              <w:rPr>
                <w:b/>
                <w:lang w:val="es-ES"/>
              </w:rPr>
            </w:pPr>
          </w:p>
          <w:p w14:paraId="086AFD2F" w14:textId="77777777" w:rsidR="00C00FB9" w:rsidRDefault="00C00FB9" w:rsidP="00A84262">
            <w:pPr>
              <w:rPr>
                <w:lang w:val="es-ES_tradnl"/>
              </w:rPr>
            </w:pPr>
          </w:p>
          <w:p w14:paraId="30ECD7A5" w14:textId="6839B1E8" w:rsidR="00A84262" w:rsidRPr="004E34B0" w:rsidRDefault="00A84262" w:rsidP="00A84262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 clase de productos o servicios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E9684" w14:textId="77777777" w:rsidR="00A84262" w:rsidRPr="004E34B0" w:rsidRDefault="00A84262" w:rsidP="00650404">
            <w:pPr>
              <w:rPr>
                <w:lang w:val="es-ES_tradnl"/>
              </w:rPr>
            </w:pPr>
          </w:p>
          <w:p w14:paraId="38C7BADD" w14:textId="77777777" w:rsidR="00C00FB9" w:rsidRDefault="00C00FB9" w:rsidP="0027356D">
            <w:pPr>
              <w:jc w:val="center"/>
              <w:rPr>
                <w:lang w:val="es-ES_tradnl"/>
              </w:rPr>
            </w:pPr>
          </w:p>
          <w:p w14:paraId="40A3154A" w14:textId="2AE62A9B" w:rsidR="00A84262" w:rsidRPr="004E34B0" w:rsidRDefault="00F03985" w:rsidP="0027356D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251</w:t>
            </w:r>
          </w:p>
        </w:tc>
      </w:tr>
      <w:tr w:rsidR="00A84262" w:rsidRPr="00615097" w14:paraId="57549A8D" w14:textId="77777777" w:rsidTr="002226DD">
        <w:trPr>
          <w:trHeight w:val="2307"/>
        </w:trPr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14:paraId="52C4EF58" w14:textId="77777777" w:rsidR="00A84262" w:rsidRPr="004E34B0" w:rsidRDefault="00A84262" w:rsidP="00650404">
            <w:pPr>
              <w:rPr>
                <w:lang w:val="es-ES_tradnl"/>
              </w:rPr>
            </w:pPr>
          </w:p>
          <w:p w14:paraId="681ED8E9" w14:textId="77777777" w:rsidR="00A84262" w:rsidRPr="004E34B0" w:rsidRDefault="00A84262" w:rsidP="00650404">
            <w:pPr>
              <w:jc w:val="center"/>
              <w:rPr>
                <w:lang w:val="es-ES_tradnl"/>
              </w:rPr>
            </w:pPr>
          </w:p>
          <w:p w14:paraId="0274499A" w14:textId="77777777" w:rsidR="00A84262" w:rsidRPr="004E34B0" w:rsidRDefault="00A84262" w:rsidP="00650404">
            <w:pPr>
              <w:jc w:val="center"/>
              <w:rPr>
                <w:lang w:val="es-ES_tradnl"/>
              </w:rPr>
            </w:pPr>
          </w:p>
          <w:p w14:paraId="42383C16" w14:textId="77777777" w:rsidR="00A84262" w:rsidRPr="004E34B0" w:rsidRDefault="00A84262" w:rsidP="00650404">
            <w:pPr>
              <w:jc w:val="center"/>
              <w:rPr>
                <w:lang w:val="es-ES_tradnl"/>
              </w:rPr>
            </w:pPr>
          </w:p>
          <w:p w14:paraId="0265F91B" w14:textId="77777777" w:rsidR="00A84262" w:rsidRPr="004E34B0" w:rsidRDefault="00A84262" w:rsidP="00650404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14:paraId="1D123483" w14:textId="77777777" w:rsidR="00A84262" w:rsidRPr="004E34B0" w:rsidRDefault="00A84262" w:rsidP="00650404">
            <w:pPr>
              <w:rPr>
                <w:lang w:val="es-ES_tradnl"/>
              </w:rPr>
            </w:pPr>
          </w:p>
          <w:p w14:paraId="5E7545CE" w14:textId="77777777" w:rsidR="00A84262" w:rsidRPr="004E34B0" w:rsidRDefault="00A84262" w:rsidP="00650404">
            <w:pPr>
              <w:rPr>
                <w:lang w:val="es-ES_tradnl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3D3DD" w14:textId="77777777" w:rsidR="00A84262" w:rsidRPr="004E34B0" w:rsidRDefault="00A84262" w:rsidP="00650404">
            <w:pPr>
              <w:rPr>
                <w:lang w:val="es-ES_tradnl"/>
              </w:rPr>
            </w:pPr>
          </w:p>
          <w:p w14:paraId="31E3B1EF" w14:textId="77777777" w:rsidR="00A84262" w:rsidRPr="004E34B0" w:rsidRDefault="00A84262" w:rsidP="0065040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 clase de productos o servicios</w:t>
            </w:r>
          </w:p>
          <w:p w14:paraId="072DDFD7" w14:textId="77777777" w:rsidR="00A84262" w:rsidRPr="004E34B0" w:rsidRDefault="00A84262" w:rsidP="0065040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05F0EF8F" w14:textId="77777777" w:rsidR="00A84262" w:rsidRDefault="00A84262" w:rsidP="00650404">
            <w:pPr>
              <w:rPr>
                <w:rFonts w:eastAsia="MS Mincho"/>
                <w:i/>
                <w:color w:val="000000" w:themeColor="text1"/>
                <w:szCs w:val="22"/>
                <w:lang w:val="es-ES_tradnl" w:eastAsia="ja-JP"/>
              </w:rPr>
            </w:pPr>
            <w:r w:rsidRPr="00963CCC">
              <w:rPr>
                <w:rFonts w:eastAsia="MS Mincho"/>
                <w:i/>
                <w:color w:val="000000" w:themeColor="text1"/>
                <w:szCs w:val="22"/>
                <w:lang w:val="es-ES_tradnl" w:eastAsia="ja-JP"/>
              </w:rPr>
              <w:t>Cuando el pago es efectuado durante el plazo de gracia</w:t>
            </w:r>
            <w:r w:rsidRPr="00EE3E24">
              <w:rPr>
                <w:rFonts w:eastAsia="MS Mincho"/>
                <w:i/>
                <w:color w:val="000000" w:themeColor="text1"/>
                <w:szCs w:val="22"/>
                <w:lang w:val="es-ES_tradnl" w:eastAsia="ja-JP"/>
              </w:rPr>
              <w:t>:</w:t>
            </w:r>
          </w:p>
          <w:p w14:paraId="0722FA20" w14:textId="77777777" w:rsidR="00A84262" w:rsidRPr="004E34B0" w:rsidRDefault="00A84262" w:rsidP="00650404">
            <w:pPr>
              <w:rPr>
                <w:lang w:val="es-ES_tradnl"/>
              </w:rPr>
            </w:pPr>
          </w:p>
          <w:p w14:paraId="63E24170" w14:textId="77777777" w:rsidR="00A84262" w:rsidRPr="004E34B0" w:rsidRDefault="00A84262" w:rsidP="00650404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de productos o servicios</w:t>
            </w:r>
          </w:p>
          <w:p w14:paraId="79F55F25" w14:textId="77777777" w:rsidR="00A84262" w:rsidRPr="004E34B0" w:rsidRDefault="00A84262" w:rsidP="00650404">
            <w:pPr>
              <w:rPr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FE409" w14:textId="77777777" w:rsidR="00A84262" w:rsidRPr="004E34B0" w:rsidRDefault="00A84262" w:rsidP="0065040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380ADE9F" w14:textId="25FDC675" w:rsidR="00A84262" w:rsidRPr="004E34B0" w:rsidRDefault="00587EC0" w:rsidP="00587EC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146</w:t>
            </w:r>
          </w:p>
          <w:p w14:paraId="140B5733" w14:textId="77777777" w:rsidR="00A84262" w:rsidRPr="004E34B0" w:rsidRDefault="00A84262" w:rsidP="0065040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121D066A" w14:textId="77777777" w:rsidR="00A84262" w:rsidRPr="004E34B0" w:rsidRDefault="00A84262" w:rsidP="0065040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7E8BBD89" w14:textId="77777777" w:rsidR="00A84262" w:rsidRDefault="00A84262" w:rsidP="0065040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25B04DB2" w14:textId="77777777" w:rsidR="006A4BE9" w:rsidRDefault="006A4BE9" w:rsidP="00587EC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3D15FE16" w14:textId="305E1DF7" w:rsidR="00A84262" w:rsidRPr="004E34B0" w:rsidRDefault="00A84262" w:rsidP="00587EC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292</w:t>
            </w:r>
          </w:p>
          <w:p w14:paraId="1BFB3CE7" w14:textId="77777777" w:rsidR="00A84262" w:rsidRPr="00A52482" w:rsidRDefault="00A84262" w:rsidP="00650404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3CB7195B" w14:textId="77777777" w:rsidR="00A84262" w:rsidRPr="004E34B0" w:rsidRDefault="00A84262" w:rsidP="00A84262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14:paraId="5084B42D" w14:textId="77777777" w:rsidR="003B40BA" w:rsidRDefault="003B40BA" w:rsidP="00953692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57B4C5BC" w:rsidR="0027396E" w:rsidRPr="0027396E" w:rsidRDefault="003B40BA" w:rsidP="00573981">
      <w:pPr>
        <w:pStyle w:val="ONUMFS"/>
        <w:rPr>
          <w:lang w:val="es-ES_tradnl"/>
        </w:rPr>
      </w:pPr>
      <w:r>
        <w:rPr>
          <w:lang w:val="es-ES_tradnl" w:eastAsia="ja-JP"/>
        </w:rPr>
        <w:t>Los</w:t>
      </w:r>
      <w:r w:rsidR="00AF0D28">
        <w:rPr>
          <w:lang w:val="es-ES_tradnl" w:eastAsia="ja-JP"/>
        </w:rPr>
        <w:t xml:space="preserve">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</w:t>
      </w:r>
      <w:r w:rsidR="00BE45F8">
        <w:rPr>
          <w:lang w:val="es-ES_tradnl" w:eastAsia="ja-JP"/>
        </w:rPr>
        <w:t xml:space="preserve"> </w:t>
      </w:r>
      <w:r w:rsidR="004D2C4D">
        <w:rPr>
          <w:snapToGrid w:val="0"/>
          <w:lang w:val="es-ES_tradnl"/>
        </w:rPr>
        <w:t>Brasil</w:t>
      </w:r>
    </w:p>
    <w:p w14:paraId="526C7506" w14:textId="5D6728E4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8915A1" w:rsidRPr="003F01E7">
        <w:rPr>
          <w:rFonts w:eastAsia="MS Mincho"/>
          <w:szCs w:val="22"/>
          <w:lang w:val="es-ES_tradnl" w:eastAsia="ja-JP"/>
        </w:rPr>
        <w:t>se designe</w:t>
      </w:r>
      <w:r w:rsidR="008915A1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E54679">
        <w:rPr>
          <w:lang w:val="es-ES_tradnl" w:eastAsia="ja-JP"/>
        </w:rPr>
        <w:t>2</w:t>
      </w:r>
      <w:r w:rsidR="00DC07BF">
        <w:rPr>
          <w:lang w:val="es-ES_tradnl" w:eastAsia="ja-JP"/>
        </w:rPr>
        <w:t>0</w:t>
      </w:r>
      <w:r w:rsidR="00B86D35">
        <w:rPr>
          <w:lang w:val="es-ES_tradnl" w:eastAsia="ja-JP"/>
        </w:rPr>
        <w:t> </w:t>
      </w:r>
      <w:r w:rsidR="00E54679" w:rsidRPr="008915A1">
        <w:rPr>
          <w:lang w:val="es-ES"/>
        </w:rPr>
        <w:t>de</w:t>
      </w:r>
      <w:r w:rsidR="008915A1" w:rsidRPr="008915A1">
        <w:rPr>
          <w:lang w:val="es-ES"/>
        </w:rPr>
        <w:t> </w:t>
      </w:r>
      <w:r w:rsidR="000014EF">
        <w:rPr>
          <w:lang w:val="es-ES"/>
        </w:rPr>
        <w:t xml:space="preserve">septiembre </w:t>
      </w:r>
      <w:r w:rsidR="00E54679">
        <w:rPr>
          <w:lang w:val="es-ES_tradnl" w:eastAsia="ja-JP"/>
        </w:rPr>
        <w:t>de 202</w:t>
      </w:r>
      <w:r w:rsidR="00DC07BF">
        <w:rPr>
          <w:lang w:val="es-ES_tradnl" w:eastAsia="ja-JP"/>
        </w:rPr>
        <w:t>5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3031801C" w14:textId="760C8D22" w:rsidR="00725123" w:rsidRDefault="00875258" w:rsidP="00875258">
      <w:pPr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br w:type="page"/>
      </w:r>
    </w:p>
    <w:p w14:paraId="25D24225" w14:textId="68A6A01F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0FE05D65" w14:textId="0ADB0C11" w:rsidR="00D67A42" w:rsidRPr="004D7ECB" w:rsidRDefault="00C7073A" w:rsidP="004D7ECB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FB0935">
        <w:rPr>
          <w:rFonts w:eastAsia="MS Mincho"/>
          <w:szCs w:val="22"/>
          <w:lang w:val="es-ES_tradnl" w:eastAsia="ja-JP"/>
        </w:rPr>
        <w:t>se haya designado</w:t>
      </w:r>
      <w:r w:rsidR="00FB0935" w:rsidRPr="00A76562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 xml:space="preserve">en un registro internacional </w:t>
      </w:r>
      <w:r w:rsidR="00FB0935">
        <w:rPr>
          <w:rFonts w:eastAsia="MS Mincho"/>
          <w:szCs w:val="22"/>
          <w:lang w:val="es-ES_tradnl" w:eastAsia="ja-JP"/>
        </w:rPr>
        <w:t>r</w:t>
      </w:r>
      <w:r w:rsidR="00FB0935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1E7D3491" w:rsidR="000255C9" w:rsidRPr="00DE624B" w:rsidRDefault="00701EEF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7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E2086E">
        <w:rPr>
          <w:lang w:val="es-ES_tradnl"/>
        </w:rPr>
        <w:t>ju</w:t>
      </w:r>
      <w:r>
        <w:rPr>
          <w:lang w:val="es-ES_tradnl"/>
        </w:rPr>
        <w:t>l</w:t>
      </w:r>
      <w:r w:rsidR="00E2086E">
        <w:rPr>
          <w:lang w:val="es-ES_tradnl"/>
        </w:rPr>
        <w:t>io</w:t>
      </w:r>
      <w:r w:rsidR="00772C7E">
        <w:rPr>
          <w:lang w:val="es-ES_tradnl"/>
        </w:rPr>
        <w:t xml:space="preserve"> de 202</w:t>
      </w:r>
      <w:r w:rsidR="007F3736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6376" w14:textId="77777777" w:rsidR="00AD2D8E" w:rsidRDefault="00AD2D8E">
      <w:r>
        <w:separator/>
      </w:r>
    </w:p>
  </w:endnote>
  <w:endnote w:type="continuationSeparator" w:id="0">
    <w:p w14:paraId="35195B22" w14:textId="77777777" w:rsidR="00AD2D8E" w:rsidRDefault="00AD2D8E" w:rsidP="003B38C1">
      <w:r>
        <w:separator/>
      </w:r>
    </w:p>
    <w:p w14:paraId="28CA0982" w14:textId="77777777" w:rsidR="00AD2D8E" w:rsidRPr="003B38C1" w:rsidRDefault="00AD2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8679336" w14:textId="77777777" w:rsidR="00AD2D8E" w:rsidRPr="003B38C1" w:rsidRDefault="00AD2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54E1" w14:textId="77777777" w:rsidR="00AD2D8E" w:rsidRDefault="00AD2D8E">
      <w:r>
        <w:separator/>
      </w:r>
    </w:p>
  </w:footnote>
  <w:footnote w:type="continuationSeparator" w:id="0">
    <w:p w14:paraId="325BA7CB" w14:textId="77777777" w:rsidR="00AD2D8E" w:rsidRDefault="00AD2D8E" w:rsidP="008B60B2">
      <w:r>
        <w:separator/>
      </w:r>
    </w:p>
    <w:p w14:paraId="0140EE31" w14:textId="77777777" w:rsidR="00AD2D8E" w:rsidRPr="00ED77FB" w:rsidRDefault="00AD2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88CF425" w14:textId="77777777" w:rsidR="00AD2D8E" w:rsidRPr="00ED77FB" w:rsidRDefault="00AD2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14EF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56D67"/>
    <w:rsid w:val="00065151"/>
    <w:rsid w:val="000728FF"/>
    <w:rsid w:val="00075432"/>
    <w:rsid w:val="00076149"/>
    <w:rsid w:val="00077BE0"/>
    <w:rsid w:val="000804C3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508E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64A"/>
    <w:rsid w:val="00123701"/>
    <w:rsid w:val="001272E3"/>
    <w:rsid w:val="00131BD8"/>
    <w:rsid w:val="001335FF"/>
    <w:rsid w:val="00133B7C"/>
    <w:rsid w:val="00133F53"/>
    <w:rsid w:val="001362EE"/>
    <w:rsid w:val="0014031B"/>
    <w:rsid w:val="00144C17"/>
    <w:rsid w:val="0014556A"/>
    <w:rsid w:val="0015037D"/>
    <w:rsid w:val="00150ECF"/>
    <w:rsid w:val="00163C76"/>
    <w:rsid w:val="00163F0D"/>
    <w:rsid w:val="00166299"/>
    <w:rsid w:val="00166D90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1EBD"/>
    <w:rsid w:val="001D6B4C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6F66"/>
    <w:rsid w:val="002077BC"/>
    <w:rsid w:val="00213E14"/>
    <w:rsid w:val="0022087F"/>
    <w:rsid w:val="002226DD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BB4"/>
    <w:rsid w:val="00254F87"/>
    <w:rsid w:val="00257193"/>
    <w:rsid w:val="002608BD"/>
    <w:rsid w:val="002634C4"/>
    <w:rsid w:val="0026441D"/>
    <w:rsid w:val="00266F5B"/>
    <w:rsid w:val="00271292"/>
    <w:rsid w:val="00271540"/>
    <w:rsid w:val="0027356D"/>
    <w:rsid w:val="0027396E"/>
    <w:rsid w:val="00275D8E"/>
    <w:rsid w:val="00285313"/>
    <w:rsid w:val="002859E2"/>
    <w:rsid w:val="00290DA5"/>
    <w:rsid w:val="0029191F"/>
    <w:rsid w:val="002928D3"/>
    <w:rsid w:val="00295B6B"/>
    <w:rsid w:val="002A10D1"/>
    <w:rsid w:val="002A2E4F"/>
    <w:rsid w:val="002B2B21"/>
    <w:rsid w:val="002B5E1D"/>
    <w:rsid w:val="002C1554"/>
    <w:rsid w:val="002C2267"/>
    <w:rsid w:val="002C32AD"/>
    <w:rsid w:val="002C34BE"/>
    <w:rsid w:val="002C38D8"/>
    <w:rsid w:val="002C3FF9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5B43"/>
    <w:rsid w:val="003075C4"/>
    <w:rsid w:val="003110E9"/>
    <w:rsid w:val="00312F7F"/>
    <w:rsid w:val="00313383"/>
    <w:rsid w:val="00314C87"/>
    <w:rsid w:val="003160F7"/>
    <w:rsid w:val="00317670"/>
    <w:rsid w:val="00327B82"/>
    <w:rsid w:val="00335D7D"/>
    <w:rsid w:val="00335EC1"/>
    <w:rsid w:val="00337B3D"/>
    <w:rsid w:val="00345134"/>
    <w:rsid w:val="00347330"/>
    <w:rsid w:val="003517A0"/>
    <w:rsid w:val="00357985"/>
    <w:rsid w:val="00360FE7"/>
    <w:rsid w:val="00361450"/>
    <w:rsid w:val="003660B0"/>
    <w:rsid w:val="003673CF"/>
    <w:rsid w:val="00373854"/>
    <w:rsid w:val="00373DE8"/>
    <w:rsid w:val="003802A4"/>
    <w:rsid w:val="00380429"/>
    <w:rsid w:val="003845C1"/>
    <w:rsid w:val="003875E4"/>
    <w:rsid w:val="003879B9"/>
    <w:rsid w:val="003911F0"/>
    <w:rsid w:val="003926A7"/>
    <w:rsid w:val="003976FC"/>
    <w:rsid w:val="00397D6B"/>
    <w:rsid w:val="003A5E3A"/>
    <w:rsid w:val="003A6F89"/>
    <w:rsid w:val="003B01F4"/>
    <w:rsid w:val="003B38C1"/>
    <w:rsid w:val="003B40BA"/>
    <w:rsid w:val="003B46CB"/>
    <w:rsid w:val="003C22D1"/>
    <w:rsid w:val="003C2450"/>
    <w:rsid w:val="003C6569"/>
    <w:rsid w:val="003D0843"/>
    <w:rsid w:val="003D1301"/>
    <w:rsid w:val="003D30DA"/>
    <w:rsid w:val="003D3119"/>
    <w:rsid w:val="003D44E9"/>
    <w:rsid w:val="003D7D3C"/>
    <w:rsid w:val="003E0D9F"/>
    <w:rsid w:val="003E25A0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4034D"/>
    <w:rsid w:val="00441F79"/>
    <w:rsid w:val="00447718"/>
    <w:rsid w:val="00447A31"/>
    <w:rsid w:val="004522FF"/>
    <w:rsid w:val="00452C01"/>
    <w:rsid w:val="00455407"/>
    <w:rsid w:val="004630B4"/>
    <w:rsid w:val="004647DA"/>
    <w:rsid w:val="00464F68"/>
    <w:rsid w:val="00466166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4A74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D2C4D"/>
    <w:rsid w:val="004D7ECB"/>
    <w:rsid w:val="004E0225"/>
    <w:rsid w:val="004E0F8A"/>
    <w:rsid w:val="004E34B0"/>
    <w:rsid w:val="004E6B32"/>
    <w:rsid w:val="004E7D00"/>
    <w:rsid w:val="004F5A30"/>
    <w:rsid w:val="00500BC9"/>
    <w:rsid w:val="005019FF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8EF"/>
    <w:rsid w:val="00542B1F"/>
    <w:rsid w:val="00546473"/>
    <w:rsid w:val="00546A94"/>
    <w:rsid w:val="0054762F"/>
    <w:rsid w:val="00547DE7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2684"/>
    <w:rsid w:val="00585C7E"/>
    <w:rsid w:val="005868B8"/>
    <w:rsid w:val="00587EC0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D4086"/>
    <w:rsid w:val="005E2346"/>
    <w:rsid w:val="005E5CFA"/>
    <w:rsid w:val="005F2F3B"/>
    <w:rsid w:val="00600876"/>
    <w:rsid w:val="00601B0F"/>
    <w:rsid w:val="00605827"/>
    <w:rsid w:val="00610854"/>
    <w:rsid w:val="00620ED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32DE"/>
    <w:rsid w:val="006646EC"/>
    <w:rsid w:val="00665525"/>
    <w:rsid w:val="006659A7"/>
    <w:rsid w:val="006713CA"/>
    <w:rsid w:val="006727BA"/>
    <w:rsid w:val="00674ABA"/>
    <w:rsid w:val="00675FAB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4BE9"/>
    <w:rsid w:val="006A5B48"/>
    <w:rsid w:val="006A7458"/>
    <w:rsid w:val="006B2A4F"/>
    <w:rsid w:val="006B31EE"/>
    <w:rsid w:val="006B56F6"/>
    <w:rsid w:val="006B5F50"/>
    <w:rsid w:val="006C2CE7"/>
    <w:rsid w:val="006C7B7F"/>
    <w:rsid w:val="006D03AF"/>
    <w:rsid w:val="006D1292"/>
    <w:rsid w:val="006D529E"/>
    <w:rsid w:val="006F073B"/>
    <w:rsid w:val="006F1C9B"/>
    <w:rsid w:val="006F2878"/>
    <w:rsid w:val="006F33FF"/>
    <w:rsid w:val="006F353D"/>
    <w:rsid w:val="00701EEF"/>
    <w:rsid w:val="00703ED1"/>
    <w:rsid w:val="007117E6"/>
    <w:rsid w:val="0071378F"/>
    <w:rsid w:val="007145B6"/>
    <w:rsid w:val="00715924"/>
    <w:rsid w:val="00721187"/>
    <w:rsid w:val="00723889"/>
    <w:rsid w:val="00725123"/>
    <w:rsid w:val="00733022"/>
    <w:rsid w:val="00734549"/>
    <w:rsid w:val="00740C5B"/>
    <w:rsid w:val="00741470"/>
    <w:rsid w:val="00747CF2"/>
    <w:rsid w:val="0075340D"/>
    <w:rsid w:val="00756B15"/>
    <w:rsid w:val="00757B62"/>
    <w:rsid w:val="00760E7C"/>
    <w:rsid w:val="00761685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134C"/>
    <w:rsid w:val="00797D67"/>
    <w:rsid w:val="007A2D1A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3736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37C2F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75258"/>
    <w:rsid w:val="00876678"/>
    <w:rsid w:val="00885618"/>
    <w:rsid w:val="0088683C"/>
    <w:rsid w:val="0088751E"/>
    <w:rsid w:val="00890E46"/>
    <w:rsid w:val="008915A1"/>
    <w:rsid w:val="008948BE"/>
    <w:rsid w:val="008977D0"/>
    <w:rsid w:val="008A0191"/>
    <w:rsid w:val="008A032F"/>
    <w:rsid w:val="008A1EA8"/>
    <w:rsid w:val="008A4F9D"/>
    <w:rsid w:val="008B1511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BB1"/>
    <w:rsid w:val="00910CB7"/>
    <w:rsid w:val="009162E2"/>
    <w:rsid w:val="00916E0C"/>
    <w:rsid w:val="00916EE2"/>
    <w:rsid w:val="00922789"/>
    <w:rsid w:val="00922804"/>
    <w:rsid w:val="009378BE"/>
    <w:rsid w:val="00937AB7"/>
    <w:rsid w:val="00940793"/>
    <w:rsid w:val="009419FB"/>
    <w:rsid w:val="00953692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C7ED3"/>
    <w:rsid w:val="009D2EA0"/>
    <w:rsid w:val="009D4EC3"/>
    <w:rsid w:val="009D6D67"/>
    <w:rsid w:val="009E0C6F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0216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4262"/>
    <w:rsid w:val="00A8534F"/>
    <w:rsid w:val="00A869B7"/>
    <w:rsid w:val="00A9349C"/>
    <w:rsid w:val="00A94D0B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255F"/>
    <w:rsid w:val="00AC3562"/>
    <w:rsid w:val="00AD2D8E"/>
    <w:rsid w:val="00AD38EE"/>
    <w:rsid w:val="00AE74EB"/>
    <w:rsid w:val="00AF0A6B"/>
    <w:rsid w:val="00AF0D28"/>
    <w:rsid w:val="00AF35CF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795E"/>
    <w:rsid w:val="00B83157"/>
    <w:rsid w:val="00B83438"/>
    <w:rsid w:val="00B86D35"/>
    <w:rsid w:val="00B9734B"/>
    <w:rsid w:val="00B97A85"/>
    <w:rsid w:val="00BA59F8"/>
    <w:rsid w:val="00BA63F6"/>
    <w:rsid w:val="00BA6DE5"/>
    <w:rsid w:val="00BA7416"/>
    <w:rsid w:val="00BB0977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35D4"/>
    <w:rsid w:val="00BE45F8"/>
    <w:rsid w:val="00BE55D6"/>
    <w:rsid w:val="00BE5857"/>
    <w:rsid w:val="00BF3038"/>
    <w:rsid w:val="00BF4D90"/>
    <w:rsid w:val="00C00FB9"/>
    <w:rsid w:val="00C023DA"/>
    <w:rsid w:val="00C04C13"/>
    <w:rsid w:val="00C112EE"/>
    <w:rsid w:val="00C11BFE"/>
    <w:rsid w:val="00C14E91"/>
    <w:rsid w:val="00C219F0"/>
    <w:rsid w:val="00C265CA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3D16"/>
    <w:rsid w:val="00C74E2F"/>
    <w:rsid w:val="00C7617D"/>
    <w:rsid w:val="00C7675A"/>
    <w:rsid w:val="00C771EA"/>
    <w:rsid w:val="00C80F8F"/>
    <w:rsid w:val="00C91B25"/>
    <w:rsid w:val="00C93067"/>
    <w:rsid w:val="00C95095"/>
    <w:rsid w:val="00C95217"/>
    <w:rsid w:val="00C965E4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67A42"/>
    <w:rsid w:val="00D71B4D"/>
    <w:rsid w:val="00D72402"/>
    <w:rsid w:val="00D76F38"/>
    <w:rsid w:val="00D84272"/>
    <w:rsid w:val="00D87D75"/>
    <w:rsid w:val="00D90EE5"/>
    <w:rsid w:val="00D92810"/>
    <w:rsid w:val="00D93D55"/>
    <w:rsid w:val="00D94B0C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07B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086E"/>
    <w:rsid w:val="00E213EE"/>
    <w:rsid w:val="00E22E0B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0B74"/>
    <w:rsid w:val="00E935EA"/>
    <w:rsid w:val="00E9538E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67D"/>
    <w:rsid w:val="00F011ED"/>
    <w:rsid w:val="00F03985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31C2"/>
    <w:rsid w:val="00FA58D7"/>
    <w:rsid w:val="00FB0935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F0B65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 7/2025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 7/2025</dc:title>
  <dc:subject>Modificación de los importes de la tasa individual y retirada de la notificación efectuada en virtud de la Regla 34.3)a) del Reglamento del Protocolo de Madrid:  Brasil</dc:subject>
  <dc:creator>OMPI</dc:creator>
  <cp:keywords/>
  <dc:description/>
  <cp:lastModifiedBy>DOUAY Marie-Laure</cp:lastModifiedBy>
  <cp:revision>46</cp:revision>
  <cp:lastPrinted>2023-03-22T12:36:00Z</cp:lastPrinted>
  <dcterms:created xsi:type="dcterms:W3CDTF">2025-06-17T09:57:00Z</dcterms:created>
  <dcterms:modified xsi:type="dcterms:W3CDTF">2025-07-07T09:22:00Z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