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A60DC2" w14:paraId="03CDA70F" w14:textId="77777777" w:rsidTr="00E1369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FE49035" w14:textId="77777777" w:rsidR="00163F61" w:rsidRPr="00A60DC2" w:rsidRDefault="00163F61" w:rsidP="003C2450">
            <w:pPr>
              <w:keepNext/>
              <w:keepLines/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E7D3E75" w14:textId="7EF8B2DB" w:rsidR="00163F61" w:rsidRPr="00A60DC2" w:rsidRDefault="00A60DC2" w:rsidP="003C2450">
            <w:pPr>
              <w:keepNext/>
              <w:keepLines/>
              <w:rPr>
                <w:lang w:val="es-ES_tradnl"/>
              </w:rPr>
            </w:pPr>
            <w:r w:rsidRPr="00A60DC2">
              <w:rPr>
                <w:noProof/>
                <w:lang w:val="es-ES_tradnl" w:eastAsia="en-US"/>
              </w:rPr>
              <w:drawing>
                <wp:inline distT="0" distB="0" distL="0" distR="0" wp14:anchorId="25F28667" wp14:editId="24CD673E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5D1FC6D" w14:textId="77777777" w:rsidR="00163F61" w:rsidRPr="00A60DC2" w:rsidRDefault="00163F61" w:rsidP="003C2450">
            <w:pPr>
              <w:keepNext/>
              <w:keepLines/>
              <w:jc w:val="right"/>
              <w:rPr>
                <w:lang w:val="es-ES_tradnl"/>
              </w:rPr>
            </w:pPr>
          </w:p>
        </w:tc>
      </w:tr>
      <w:tr w:rsidR="00163F61" w:rsidRPr="00A60DC2" w14:paraId="137DE58E" w14:textId="77777777" w:rsidTr="00E1369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038EAC8A" w14:textId="77777777" w:rsidR="00163F61" w:rsidRPr="00A60DC2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163F61" w:rsidRPr="00A60DC2" w14:paraId="1CCF90C5" w14:textId="77777777" w:rsidTr="00E1369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FDC2DA2" w14:textId="263B7028" w:rsidR="00163F61" w:rsidRPr="00A60DC2" w:rsidRDefault="00163F61" w:rsidP="001E1943">
            <w:pPr>
              <w:jc w:val="right"/>
              <w:rPr>
                <w:lang w:val="es-ES_tradnl"/>
              </w:rPr>
            </w:pPr>
            <w:r w:rsidRPr="00A60DC2">
              <w:rPr>
                <w:rFonts w:ascii="Arial Black" w:hAnsi="Arial Black"/>
                <w:caps/>
                <w:sz w:val="15"/>
                <w:lang w:val="es-ES_tradnl"/>
              </w:rPr>
              <w:t xml:space="preserve">AVISO N.º </w:t>
            </w:r>
            <w:r w:rsidR="008F2EEE">
              <w:rPr>
                <w:rFonts w:ascii="Arial Black" w:hAnsi="Arial Black"/>
                <w:caps/>
                <w:sz w:val="15"/>
                <w:lang w:val="es-ES_tradnl"/>
              </w:rPr>
              <w:t>37</w:t>
            </w:r>
            <w:r w:rsidRPr="00A60DC2">
              <w:rPr>
                <w:rFonts w:ascii="Arial Black" w:hAnsi="Arial Black"/>
                <w:caps/>
                <w:sz w:val="15"/>
                <w:lang w:val="es-ES_tradnl"/>
              </w:rPr>
              <w:t>/2025</w:t>
            </w:r>
          </w:p>
        </w:tc>
      </w:tr>
    </w:tbl>
    <w:p w14:paraId="61F1A523" w14:textId="77777777" w:rsidR="00163F61" w:rsidRPr="00A60DC2" w:rsidRDefault="00163F61" w:rsidP="001F53AC">
      <w:pPr>
        <w:autoSpaceDE w:val="0"/>
        <w:autoSpaceDN w:val="0"/>
        <w:adjustRightInd w:val="0"/>
        <w:spacing w:before="1100" w:after="660"/>
        <w:rPr>
          <w:b/>
          <w:bCs/>
          <w:sz w:val="28"/>
          <w:szCs w:val="28"/>
          <w:lang w:val="es-ES_tradnl"/>
        </w:rPr>
      </w:pPr>
      <w:r w:rsidRPr="00A60DC2">
        <w:rPr>
          <w:b/>
          <w:sz w:val="28"/>
          <w:lang w:val="es-ES_tradnl"/>
        </w:rPr>
        <w:t>Protocolo de Madrid relativo al Registro Internacional de Marcas</w:t>
      </w:r>
    </w:p>
    <w:p w14:paraId="3F9CF892" w14:textId="647D37D9" w:rsidR="000E402F" w:rsidRPr="00A60DC2" w:rsidRDefault="000E402F" w:rsidP="000E402F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es-ES_tradnl"/>
        </w:rPr>
      </w:pPr>
      <w:r w:rsidRPr="00A60DC2">
        <w:rPr>
          <w:b/>
          <w:sz w:val="24"/>
          <w:lang w:val="es-ES_tradnl"/>
        </w:rPr>
        <w:t xml:space="preserve">Entrada en vigor de </w:t>
      </w:r>
      <w:r w:rsidR="00E74E25">
        <w:rPr>
          <w:b/>
          <w:sz w:val="24"/>
          <w:lang w:val="es-ES_tradnl"/>
        </w:rPr>
        <w:t xml:space="preserve">la </w:t>
      </w:r>
      <w:r w:rsidRPr="00A60DC2">
        <w:rPr>
          <w:b/>
          <w:sz w:val="24"/>
          <w:lang w:val="es-ES_tradnl"/>
        </w:rPr>
        <w:t>decimotercera edición de la Clasificación de Niza</w:t>
      </w:r>
    </w:p>
    <w:p w14:paraId="67C29FA6" w14:textId="1AA40219" w:rsidR="000E402F" w:rsidRPr="00A60DC2" w:rsidRDefault="000E402F" w:rsidP="000E402F">
      <w:pPr>
        <w:pStyle w:val="ONUME"/>
        <w:rPr>
          <w:lang w:val="es-ES_tradnl"/>
        </w:rPr>
      </w:pPr>
      <w:r w:rsidRPr="00A60DC2">
        <w:rPr>
          <w:lang w:val="es-ES_tradnl"/>
        </w:rPr>
        <w:t xml:space="preserve">La decimotercera edición de la </w:t>
      </w:r>
      <w:r w:rsidRPr="001F53AC">
        <w:rPr>
          <w:i/>
          <w:iCs/>
          <w:lang w:val="es-ES_tradnl"/>
        </w:rPr>
        <w:t>Clasificación Internacional de Productos y Servicios para el Registro de las Marcas</w:t>
      </w:r>
      <w:r w:rsidRPr="00A60DC2">
        <w:rPr>
          <w:lang w:val="es-ES_tradnl"/>
        </w:rPr>
        <w:t xml:space="preserve"> (Clasificación de Niza) entrará en vigor el</w:t>
      </w:r>
      <w:r w:rsidR="00A60DC2" w:rsidRPr="00A60DC2">
        <w:rPr>
          <w:lang w:val="es-ES_tradnl"/>
        </w:rPr>
        <w:t> </w:t>
      </w:r>
      <w:r w:rsidRPr="00A60DC2">
        <w:rPr>
          <w:lang w:val="es-ES_tradnl"/>
        </w:rPr>
        <w:t>1 de enero de 2026.</w:t>
      </w:r>
      <w:r w:rsidR="00A60DC2" w:rsidRPr="00A60DC2">
        <w:rPr>
          <w:lang w:val="es-ES_tradnl"/>
        </w:rPr>
        <w:t xml:space="preserve"> </w:t>
      </w:r>
      <w:r w:rsidRPr="00A60DC2">
        <w:rPr>
          <w:lang w:val="es-ES_tradnl"/>
        </w:rPr>
        <w:t>Esta</w:t>
      </w:r>
      <w:r w:rsidR="00E74E25">
        <w:rPr>
          <w:lang w:val="es-ES_tradnl"/>
        </w:rPr>
        <w:t> nueva edic</w:t>
      </w:r>
      <w:r w:rsidRPr="00A60DC2">
        <w:rPr>
          <w:lang w:val="es-ES_tradnl"/>
        </w:rPr>
        <w:t>ión está disponible en el sitio web de la Organización Mundial de la Propiedad Intelectual (OMPI) en la siguiente dirección:</w:t>
      </w:r>
      <w:r w:rsidR="00A60DC2" w:rsidRPr="00A60DC2">
        <w:rPr>
          <w:lang w:val="es-ES_tradnl"/>
        </w:rPr>
        <w:t xml:space="preserve"> </w:t>
      </w:r>
      <w:hyperlink r:id="rId9" w:history="1">
        <w:r w:rsidR="00212A1D" w:rsidRPr="00212A1D">
          <w:rPr>
            <w:rStyle w:val="Hyperlink"/>
          </w:rPr>
          <w:t>https://www.wipo.int/es/web/classification-nice/</w:t>
        </w:r>
      </w:hyperlink>
      <w:r w:rsidRPr="00A60DC2">
        <w:rPr>
          <w:lang w:val="es-ES_tradnl"/>
        </w:rPr>
        <w:t>.</w:t>
      </w:r>
    </w:p>
    <w:p w14:paraId="3073A0A9" w14:textId="58E7C669" w:rsidR="000E402F" w:rsidRPr="00A60DC2" w:rsidRDefault="000E402F" w:rsidP="000E402F">
      <w:pPr>
        <w:pStyle w:val="ONUME"/>
        <w:rPr>
          <w:lang w:val="es-ES_tradnl"/>
        </w:rPr>
      </w:pPr>
      <w:r w:rsidRPr="00A60DC2">
        <w:rPr>
          <w:lang w:val="es-ES_tradnl"/>
        </w:rPr>
        <w:t xml:space="preserve">La presente notificación tiene por objeto recordar a las </w:t>
      </w:r>
      <w:r w:rsidR="00E74E25">
        <w:rPr>
          <w:lang w:val="es-ES_tradnl"/>
        </w:rPr>
        <w:t>O</w:t>
      </w:r>
      <w:r w:rsidRPr="00A60DC2">
        <w:rPr>
          <w:lang w:val="es-ES_tradnl"/>
        </w:rPr>
        <w:t>ficinas de l</w:t>
      </w:r>
      <w:r w:rsidR="00E74E25">
        <w:rPr>
          <w:lang w:val="es-ES_tradnl"/>
        </w:rPr>
        <w:t>a</w:t>
      </w:r>
      <w:r w:rsidRPr="00A60DC2">
        <w:rPr>
          <w:lang w:val="es-ES_tradnl"/>
        </w:rPr>
        <w:t xml:space="preserve">s </w:t>
      </w:r>
      <w:r w:rsidR="00E74E25">
        <w:rPr>
          <w:lang w:val="es-ES_tradnl"/>
        </w:rPr>
        <w:t>Partes Contratantes</w:t>
      </w:r>
      <w:r w:rsidRPr="00A60DC2">
        <w:rPr>
          <w:lang w:val="es-ES_tradnl"/>
        </w:rPr>
        <w:t xml:space="preserve"> de la Unión de Madrid, </w:t>
      </w:r>
      <w:r w:rsidR="00E74E25">
        <w:rPr>
          <w:lang w:val="es-ES_tradnl"/>
        </w:rPr>
        <w:t xml:space="preserve">así como </w:t>
      </w:r>
      <w:r w:rsidRPr="00A60DC2">
        <w:rPr>
          <w:lang w:val="es-ES_tradnl"/>
        </w:rPr>
        <w:t>a los solicitantes y a los titulares</w:t>
      </w:r>
      <w:r w:rsidR="00E74E25">
        <w:rPr>
          <w:lang w:val="es-ES_tradnl"/>
        </w:rPr>
        <w:t>,</w:t>
      </w:r>
      <w:r w:rsidRPr="00A60DC2">
        <w:rPr>
          <w:lang w:val="es-ES_tradnl"/>
        </w:rPr>
        <w:t xml:space="preserve"> la práctica seguida por la Oficina Internacional de la OMPI cuando examina las solicitudes internacionales durante la transición a la decimotercera edición de la Clasificación de Niza.</w:t>
      </w:r>
    </w:p>
    <w:p w14:paraId="5EE748D0" w14:textId="4EB37FDD" w:rsidR="000E402F" w:rsidRPr="00A60DC2" w:rsidRDefault="000E402F" w:rsidP="000E402F">
      <w:pPr>
        <w:pStyle w:val="ONUME"/>
        <w:rPr>
          <w:lang w:val="es-ES_tradnl"/>
        </w:rPr>
      </w:pPr>
      <w:r w:rsidRPr="00A60DC2">
        <w:rPr>
          <w:lang w:val="es-ES_tradnl"/>
        </w:rPr>
        <w:t>La Oficina Internacional de la OMPI aplicará la decimotercera edición de la Clasificación de Niza a:</w:t>
      </w:r>
    </w:p>
    <w:p w14:paraId="69E13019" w14:textId="25592141" w:rsidR="000E402F" w:rsidRPr="00A60DC2" w:rsidRDefault="00BC45A2" w:rsidP="000E402F">
      <w:pPr>
        <w:pStyle w:val="ONUME"/>
        <w:numPr>
          <w:ilvl w:val="0"/>
          <w:numId w:val="0"/>
        </w:numPr>
        <w:ind w:left="1134" w:hanging="567"/>
        <w:rPr>
          <w:lang w:val="es-ES_tradnl"/>
        </w:rPr>
      </w:pPr>
      <w:r>
        <w:rPr>
          <w:lang w:val="es-ES_tradnl"/>
        </w:rPr>
        <w:t>–</w:t>
      </w:r>
      <w:r w:rsidR="000E402F" w:rsidRPr="00A60DC2">
        <w:rPr>
          <w:lang w:val="es-ES_tradnl"/>
        </w:rPr>
        <w:tab/>
        <w:t>Cualquier solicitud internacional recibida por la Oficina de origen a partir del</w:t>
      </w:r>
      <w:r w:rsidR="001F53AC">
        <w:rPr>
          <w:lang w:val="es-ES_tradnl"/>
        </w:rPr>
        <w:t> </w:t>
      </w:r>
      <w:r w:rsidR="000E402F" w:rsidRPr="00A60DC2">
        <w:rPr>
          <w:lang w:val="es-ES_tradnl"/>
        </w:rPr>
        <w:t>1</w:t>
      </w:r>
      <w:r w:rsidR="001F53AC">
        <w:rPr>
          <w:lang w:val="es-ES_tradnl"/>
        </w:rPr>
        <w:t> </w:t>
      </w:r>
      <w:r w:rsidR="000E402F" w:rsidRPr="00A60DC2">
        <w:rPr>
          <w:lang w:val="es-ES_tradnl"/>
        </w:rPr>
        <w:t>de</w:t>
      </w:r>
      <w:r w:rsidR="001F53AC">
        <w:rPr>
          <w:lang w:val="es-ES_tradnl"/>
        </w:rPr>
        <w:t> </w:t>
      </w:r>
      <w:r w:rsidR="000E402F" w:rsidRPr="00A60DC2">
        <w:rPr>
          <w:lang w:val="es-ES_tradnl"/>
        </w:rPr>
        <w:t>enero de 2026.</w:t>
      </w:r>
    </w:p>
    <w:p w14:paraId="7EFF156E" w14:textId="07FBC705" w:rsidR="000E402F" w:rsidRPr="00A60DC2" w:rsidRDefault="00BC45A2" w:rsidP="000E402F">
      <w:pPr>
        <w:pStyle w:val="ONUME"/>
        <w:numPr>
          <w:ilvl w:val="0"/>
          <w:numId w:val="0"/>
        </w:numPr>
        <w:ind w:left="1134" w:hanging="567"/>
        <w:rPr>
          <w:lang w:val="es-ES_tradnl"/>
        </w:rPr>
      </w:pPr>
      <w:r>
        <w:rPr>
          <w:lang w:val="es-ES_tradnl"/>
        </w:rPr>
        <w:t>–</w:t>
      </w:r>
      <w:r w:rsidR="000E402F" w:rsidRPr="00A60DC2">
        <w:rPr>
          <w:lang w:val="es-ES_tradnl"/>
        </w:rPr>
        <w:tab/>
        <w:t>Toda solicitud internacional recibida por la Oficina Internacional de la OMPI a partir del</w:t>
      </w:r>
      <w:r w:rsidR="00A60DC2" w:rsidRPr="00A60DC2">
        <w:rPr>
          <w:lang w:val="es-ES_tradnl"/>
        </w:rPr>
        <w:t> </w:t>
      </w:r>
      <w:r w:rsidR="000E402F" w:rsidRPr="00A60DC2">
        <w:rPr>
          <w:lang w:val="es-ES_tradnl"/>
        </w:rPr>
        <w:t>1 de enero de 2026, cuando dicha solicitud sea recibida por la Oficina Internacional de la OMPI tras el plazo de dos meses mencionado en el Artículo</w:t>
      </w:r>
      <w:r w:rsidR="00DD34E1" w:rsidRPr="00A60DC2">
        <w:rPr>
          <w:lang w:val="es-ES_tradnl"/>
        </w:rPr>
        <w:t> </w:t>
      </w:r>
      <w:r w:rsidR="000E402F" w:rsidRPr="00A60DC2">
        <w:rPr>
          <w:lang w:val="es-ES_tradnl"/>
        </w:rPr>
        <w:t>3.4) del Protocolo de Madrid relativo al Registro Internacional de Marcas.</w:t>
      </w:r>
    </w:p>
    <w:p w14:paraId="1AE621D0" w14:textId="22663D45" w:rsidR="000E402F" w:rsidRPr="00A60DC2" w:rsidRDefault="000E402F" w:rsidP="000E402F">
      <w:pPr>
        <w:pStyle w:val="ONUME"/>
        <w:rPr>
          <w:lang w:val="es-ES_tradnl"/>
        </w:rPr>
      </w:pPr>
      <w:r w:rsidRPr="00A60DC2">
        <w:rPr>
          <w:lang w:val="es-ES_tradnl"/>
        </w:rPr>
        <w:t xml:space="preserve">Para todos los registros internacionales clasificados conforme a </w:t>
      </w:r>
      <w:r w:rsidR="00E74E25">
        <w:rPr>
          <w:lang w:val="es-ES_tradnl"/>
        </w:rPr>
        <w:t xml:space="preserve">la </w:t>
      </w:r>
      <w:r w:rsidRPr="00A60DC2">
        <w:rPr>
          <w:lang w:val="es-ES_tradnl"/>
        </w:rPr>
        <w:t xml:space="preserve">decimotercera edición de la Clasificación de Niza, la Oficina Internacional de la OMPI añadirá la abreviatura </w:t>
      </w:r>
      <w:r w:rsidR="000E1541">
        <w:rPr>
          <w:lang w:val="es-ES_tradnl"/>
        </w:rPr>
        <w:t>“</w:t>
      </w:r>
      <w:proofErr w:type="gramStart"/>
      <w:r w:rsidR="00E74E25" w:rsidRPr="00E74E25">
        <w:rPr>
          <w:lang w:val="es-ES_tradnl"/>
        </w:rPr>
        <w:t>NCL(</w:t>
      </w:r>
      <w:proofErr w:type="gramEnd"/>
      <w:r w:rsidR="00E74E25" w:rsidRPr="00E74E25">
        <w:rPr>
          <w:lang w:val="es-ES_tradnl"/>
        </w:rPr>
        <w:t>13</w:t>
      </w:r>
      <w:r w:rsidR="00E74E25">
        <w:rPr>
          <w:lang w:val="es-ES_tradnl"/>
        </w:rPr>
        <w:noBreakHyphen/>
      </w:r>
      <w:r w:rsidR="00E74E25" w:rsidRPr="00E74E25">
        <w:rPr>
          <w:lang w:val="es-ES_tradnl"/>
        </w:rPr>
        <w:t>2026</w:t>
      </w:r>
      <w:r w:rsidRPr="00A60DC2">
        <w:rPr>
          <w:lang w:val="es-ES_tradnl"/>
        </w:rPr>
        <w:t>)</w:t>
      </w:r>
      <w:r w:rsidR="000E1541">
        <w:rPr>
          <w:lang w:val="es-ES_tradnl"/>
        </w:rPr>
        <w:t>”</w:t>
      </w:r>
      <w:r w:rsidRPr="00A60DC2">
        <w:rPr>
          <w:lang w:val="es-ES_tradnl"/>
        </w:rPr>
        <w:t xml:space="preserve"> junto a la lista de productos y servicios en las notificaciones enviadas a las Partes Contratantes designadas, los certificados de registro y las publicaciones.</w:t>
      </w:r>
    </w:p>
    <w:p w14:paraId="09ABDDFD" w14:textId="2878E49A" w:rsidR="000E402F" w:rsidRPr="00A60DC2" w:rsidRDefault="000E402F" w:rsidP="000E402F">
      <w:pPr>
        <w:pStyle w:val="ONUME"/>
        <w:rPr>
          <w:lang w:val="es-ES_tradnl"/>
        </w:rPr>
      </w:pPr>
      <w:r w:rsidRPr="00A60DC2">
        <w:rPr>
          <w:lang w:val="es-ES_tradnl"/>
        </w:rPr>
        <w:t>De conformidad con su práctica habitual, la Oficina Internacional de la OMPI no reclasificará la lista de productos y servicios de los registros internacionales con fecha anterior al 1</w:t>
      </w:r>
      <w:r w:rsidR="001F53AC">
        <w:rPr>
          <w:lang w:val="es-ES_tradnl"/>
        </w:rPr>
        <w:t> </w:t>
      </w:r>
      <w:r w:rsidRPr="00A60DC2">
        <w:rPr>
          <w:lang w:val="es-ES_tradnl"/>
        </w:rPr>
        <w:t>de enero de 2026 según la decimotercera edición de la Clasificación de</w:t>
      </w:r>
      <w:r w:rsidR="001F53AC">
        <w:rPr>
          <w:lang w:val="es-ES_tradnl"/>
        </w:rPr>
        <w:t> </w:t>
      </w:r>
      <w:r w:rsidRPr="00A60DC2">
        <w:rPr>
          <w:lang w:val="es-ES_tradnl"/>
        </w:rPr>
        <w:t>Niza.</w:t>
      </w:r>
    </w:p>
    <w:p w14:paraId="216FF9F2" w14:textId="60E528FF" w:rsidR="000E402F" w:rsidRPr="00A60DC2" w:rsidRDefault="000E402F" w:rsidP="000E402F">
      <w:pPr>
        <w:pStyle w:val="ONUME"/>
        <w:rPr>
          <w:lang w:val="es-ES_tradnl"/>
        </w:rPr>
      </w:pPr>
      <w:r w:rsidRPr="00A60DC2">
        <w:rPr>
          <w:color w:val="000000" w:themeColor="text1"/>
          <w:lang w:val="es-ES_tradnl"/>
        </w:rPr>
        <w:t>El Gestor de Productos y Servicios del Sistema de Madrid (disponible en:</w:t>
      </w:r>
      <w:r w:rsidR="00A60DC2" w:rsidRPr="00A60DC2">
        <w:rPr>
          <w:color w:val="000000" w:themeColor="text1"/>
          <w:lang w:val="es-ES_tradnl"/>
        </w:rPr>
        <w:t xml:space="preserve"> </w:t>
      </w:r>
      <w:hyperlink r:id="rId10" w:history="1">
        <w:r w:rsidR="00212A1D">
          <w:rPr>
            <w:rStyle w:val="Hyperlink"/>
            <w:lang w:val="es-ES_tradnl"/>
          </w:rPr>
          <w:t>https://webaccess.wipo.int/mgs/?lang=es</w:t>
        </w:r>
      </w:hyperlink>
      <w:r w:rsidRPr="00A60DC2">
        <w:rPr>
          <w:lang w:val="es-ES_tradnl"/>
        </w:rPr>
        <w:t>) se actualizará para reflejar los cambios introducidos por la decimotercera edición de la Clasificación de Niza.</w:t>
      </w:r>
    </w:p>
    <w:p w14:paraId="5FD473E2" w14:textId="492D635F" w:rsidR="000E402F" w:rsidRPr="00A60DC2" w:rsidRDefault="000E402F" w:rsidP="001F53AC">
      <w:pPr>
        <w:pStyle w:val="ONUME"/>
        <w:keepLines/>
        <w:rPr>
          <w:lang w:val="es-ES_tradnl"/>
        </w:rPr>
      </w:pPr>
      <w:r w:rsidRPr="00A60DC2">
        <w:rPr>
          <w:lang w:val="es-ES_tradnl"/>
        </w:rPr>
        <w:t>Algunas indicaciones han pasado a distintas clases en la nueva edición de la Clasificación de Niza.</w:t>
      </w:r>
      <w:r w:rsidR="00A60DC2" w:rsidRPr="00A60DC2">
        <w:rPr>
          <w:lang w:val="es-ES_tradnl"/>
        </w:rPr>
        <w:t xml:space="preserve"> </w:t>
      </w:r>
      <w:r w:rsidRPr="00A60DC2">
        <w:rPr>
          <w:lang w:val="es-ES_tradnl"/>
        </w:rPr>
        <w:t xml:space="preserve">La lista completa de las indicaciones reclasificadas figura en el </w:t>
      </w:r>
      <w:r w:rsidR="00A60DC2" w:rsidRPr="00A60DC2">
        <w:rPr>
          <w:lang w:val="es-ES_tradnl"/>
        </w:rPr>
        <w:t>A</w:t>
      </w:r>
      <w:r w:rsidRPr="00A60DC2">
        <w:rPr>
          <w:lang w:val="es-ES_tradnl"/>
        </w:rPr>
        <w:t>nexo</w:t>
      </w:r>
      <w:r w:rsidR="00A60DC2" w:rsidRPr="00A60DC2">
        <w:rPr>
          <w:lang w:val="es-ES_tradnl"/>
        </w:rPr>
        <w:t> </w:t>
      </w:r>
      <w:r w:rsidRPr="00A60DC2">
        <w:rPr>
          <w:lang w:val="es-ES_tradnl"/>
        </w:rPr>
        <w:t xml:space="preserve">I del presente </w:t>
      </w:r>
      <w:r w:rsidR="001F53AC">
        <w:rPr>
          <w:lang w:val="es-ES_tradnl"/>
        </w:rPr>
        <w:t>Aviso</w:t>
      </w:r>
      <w:r w:rsidRPr="00A60DC2">
        <w:rPr>
          <w:lang w:val="es-ES_tradnl"/>
        </w:rPr>
        <w:t>.</w:t>
      </w:r>
      <w:r w:rsidR="00A60DC2" w:rsidRPr="00A60DC2">
        <w:rPr>
          <w:lang w:val="es-ES_tradnl"/>
        </w:rPr>
        <w:t xml:space="preserve"> </w:t>
      </w:r>
      <w:r w:rsidRPr="00A60DC2">
        <w:rPr>
          <w:lang w:val="es-ES_tradnl"/>
        </w:rPr>
        <w:t>Revise cuidadosamente esta lista al preparar las solicitudes, especialmente si su solicitud o registro de base se clasificó según la duodécima edición o ediciones anteriores.</w:t>
      </w:r>
    </w:p>
    <w:p w14:paraId="402E0876" w14:textId="77777777" w:rsidR="00E74E25" w:rsidRDefault="000E402F" w:rsidP="000E402F">
      <w:pPr>
        <w:pStyle w:val="ONUME"/>
        <w:rPr>
          <w:lang w:val="es-ES_tradnl"/>
        </w:rPr>
      </w:pPr>
      <w:r w:rsidRPr="00A60DC2">
        <w:rPr>
          <w:lang w:val="es-ES_tradnl"/>
        </w:rPr>
        <w:lastRenderedPageBreak/>
        <w:t xml:space="preserve">Para obtener información completa sobre otras modificaciones introducidas por la nueva edición de la Clasificación de Niza, incluidas las adiciones, supresiones y cambios en las indicaciones existentes, las partes interesadas deben consultar </w:t>
      </w:r>
    </w:p>
    <w:p w14:paraId="56BD92F1" w14:textId="2E7CEF98" w:rsidR="00E74E25" w:rsidRDefault="00E74E25" w:rsidP="000E402F">
      <w:pPr>
        <w:pStyle w:val="ONUME"/>
        <w:rPr>
          <w:lang w:val="es-ES_tradnl"/>
        </w:rPr>
      </w:pPr>
      <w:r w:rsidRPr="00E74E25">
        <w:rPr>
          <w:lang w:val="es-ES_tradnl"/>
        </w:rPr>
        <w:t xml:space="preserve">Para obtener información completa sobre otras modificaciones introducidas por la nueva edición de la Clasificación de Niza, incluidas las adiciones, supresiones y cambios en las indicaciones existentes, las partes interesadas deben consultar la pestaña </w:t>
      </w:r>
      <w:r w:rsidR="00C30AB3">
        <w:rPr>
          <w:lang w:val="es-ES_tradnl"/>
        </w:rPr>
        <w:t>“</w:t>
      </w:r>
      <w:r w:rsidRPr="00E74E25">
        <w:rPr>
          <w:lang w:val="es-ES_tradnl"/>
        </w:rPr>
        <w:t>Modificaciones</w:t>
      </w:r>
      <w:r w:rsidR="00C30AB3">
        <w:rPr>
          <w:lang w:val="es-ES_tradnl"/>
        </w:rPr>
        <w:t>”</w:t>
      </w:r>
      <w:r w:rsidRPr="00E74E25">
        <w:rPr>
          <w:lang w:val="es-ES_tradnl"/>
        </w:rPr>
        <w:t xml:space="preserve"> de la publicación oficial de la Clasificación de Niza (NCLPUB) en:</w:t>
      </w:r>
      <w:r>
        <w:rPr>
          <w:lang w:val="es-ES_tradnl"/>
        </w:rPr>
        <w:t xml:space="preserve">  </w:t>
      </w:r>
      <w:hyperlink r:id="rId11" w:history="1">
        <w:r w:rsidRPr="00E528EB">
          <w:rPr>
            <w:rStyle w:val="Hyperlink"/>
            <w:lang w:val="es-ES_tradnl"/>
          </w:rPr>
          <w:t>https://nclpub.wipo.int/esen/</w:t>
        </w:r>
      </w:hyperlink>
      <w:r>
        <w:rPr>
          <w:lang w:val="es-ES_tradnl"/>
        </w:rPr>
        <w:t xml:space="preserve">.  </w:t>
      </w:r>
    </w:p>
    <w:p w14:paraId="76062DE1" w14:textId="4B12DBEB" w:rsidR="000E402F" w:rsidRPr="00E74E25" w:rsidRDefault="000E1541" w:rsidP="00A4473B">
      <w:pPr>
        <w:pStyle w:val="ONUME"/>
        <w:rPr>
          <w:lang w:val="es-ES_tradnl"/>
        </w:rPr>
      </w:pPr>
      <w:r w:rsidRPr="000E1541">
        <w:rPr>
          <w:lang w:val="es-ES_tradnl"/>
        </w:rPr>
        <w:t xml:space="preserve">Un archivo de revisión que detalla los cambios entre la duodécima y la decimotercera edición de la Clasificación de Niza también está disponible en formato Microsoft Excel y se puede consultar en: </w:t>
      </w:r>
      <w:hyperlink r:id="rId12" w:history="1">
        <w:r w:rsidR="000E402F" w:rsidRPr="00E74E25">
          <w:rPr>
            <w:rStyle w:val="Hyperlink"/>
            <w:lang w:val="es-ES_tradnl"/>
          </w:rPr>
          <w:t>https://www.wipo.int/nice/its4nice/ITSupport_and_download_area/20260101/revision_files/ncl-20260101-EFS-revision_file.xlsx</w:t>
        </w:r>
      </w:hyperlink>
      <w:r w:rsidR="000E402F" w:rsidRPr="00E74E25">
        <w:rPr>
          <w:lang w:val="es-ES_tradnl"/>
        </w:rPr>
        <w:t>.</w:t>
      </w:r>
      <w:r w:rsidR="00A60DC2" w:rsidRPr="00E74E25">
        <w:rPr>
          <w:lang w:val="es-ES_tradnl"/>
        </w:rPr>
        <w:t xml:space="preserve"> </w:t>
      </w:r>
      <w:r w:rsidR="000E402F" w:rsidRPr="00E74E25">
        <w:rPr>
          <w:lang w:val="es-ES_tradnl"/>
        </w:rPr>
        <w:t>En el anexo II de</w:t>
      </w:r>
      <w:r w:rsidR="001F53AC" w:rsidRPr="00E74E25">
        <w:rPr>
          <w:lang w:val="es-ES_tradnl"/>
        </w:rPr>
        <w:t>l</w:t>
      </w:r>
      <w:r w:rsidR="000E402F" w:rsidRPr="00E74E25">
        <w:rPr>
          <w:lang w:val="es-ES_tradnl"/>
        </w:rPr>
        <w:t xml:space="preserve"> presente </w:t>
      </w:r>
      <w:r w:rsidR="001F53AC" w:rsidRPr="00E74E25">
        <w:rPr>
          <w:lang w:val="es-ES_tradnl"/>
        </w:rPr>
        <w:t>Aviso</w:t>
      </w:r>
      <w:r w:rsidR="000E402F" w:rsidRPr="00E74E25">
        <w:rPr>
          <w:lang w:val="es-ES_tradnl"/>
        </w:rPr>
        <w:t xml:space="preserve"> </w:t>
      </w:r>
      <w:r w:rsidRPr="000E1541">
        <w:rPr>
          <w:lang w:val="es-ES_tradnl"/>
        </w:rPr>
        <w:t>se ofrece orientación sobre cómo interpretar el archivo de revisión</w:t>
      </w:r>
      <w:r>
        <w:rPr>
          <w:lang w:val="es-ES_tradnl"/>
        </w:rPr>
        <w:t xml:space="preserve">.  </w:t>
      </w:r>
    </w:p>
    <w:p w14:paraId="27CB51C1" w14:textId="4DD9E317" w:rsidR="00A669AC" w:rsidRPr="00A60DC2" w:rsidRDefault="00F65AB5" w:rsidP="001F53AC">
      <w:pPr>
        <w:pStyle w:val="Endofdocument-Annex"/>
        <w:rPr>
          <w:lang w:val="es-ES_tradnl"/>
        </w:rPr>
      </w:pPr>
      <w:r>
        <w:rPr>
          <w:lang w:val="es-ES_tradnl"/>
        </w:rPr>
        <w:t>14</w:t>
      </w:r>
      <w:r w:rsidR="000E402F" w:rsidRPr="00A60DC2">
        <w:rPr>
          <w:lang w:val="es-ES_tradnl"/>
        </w:rPr>
        <w:t xml:space="preserve"> de </w:t>
      </w:r>
      <w:r>
        <w:rPr>
          <w:lang w:val="es-ES_tradnl"/>
        </w:rPr>
        <w:t>nov</w:t>
      </w:r>
      <w:r w:rsidR="000E402F" w:rsidRPr="00A60DC2">
        <w:rPr>
          <w:lang w:val="es-ES_tradnl"/>
        </w:rPr>
        <w:t>iembre de 2025</w:t>
      </w:r>
    </w:p>
    <w:p w14:paraId="52BF8776" w14:textId="77777777" w:rsidR="000E402F" w:rsidRPr="00A60DC2" w:rsidRDefault="000E402F" w:rsidP="00B40CAC">
      <w:pPr>
        <w:pStyle w:val="Endofdocument-Annex"/>
        <w:spacing w:before="440"/>
        <w:rPr>
          <w:lang w:val="es-ES_tradnl"/>
        </w:rPr>
        <w:sectPr w:rsidR="000E402F" w:rsidRPr="00A60DC2" w:rsidSect="000E402F">
          <w:headerReference w:type="even" r:id="rId13"/>
          <w:headerReference w:type="default" r:id="rId14"/>
          <w:endnotePr>
            <w:numFmt w:val="decimal"/>
          </w:endnotePr>
          <w:pgSz w:w="11907" w:h="16840" w:code="9"/>
          <w:pgMar w:top="567" w:right="1134" w:bottom="1135" w:left="1418" w:header="510" w:footer="1021" w:gutter="0"/>
          <w:cols w:space="720"/>
          <w:titlePg/>
          <w:docGrid w:linePitch="299"/>
        </w:sectPr>
      </w:pPr>
    </w:p>
    <w:p w14:paraId="1DAD2BC3" w14:textId="5FDCC656" w:rsidR="000E402F" w:rsidRPr="00A60DC2" w:rsidRDefault="000E402F" w:rsidP="007F4F1C">
      <w:pPr>
        <w:pStyle w:val="Heading1"/>
        <w:spacing w:before="0" w:after="0"/>
        <w:rPr>
          <w:lang w:val="es-ES_tradnl"/>
        </w:rPr>
      </w:pPr>
      <w:bookmarkStart w:id="1" w:name="_Hlk212819028"/>
      <w:r w:rsidRPr="00A60DC2">
        <w:rPr>
          <w:lang w:val="es-ES_tradnl"/>
        </w:rPr>
        <w:lastRenderedPageBreak/>
        <w:t xml:space="preserve">Anexo I: Lista de productos y servicios reclasificados conforme a la </w:t>
      </w:r>
      <w:proofErr w:type="gramStart"/>
      <w:r w:rsidR="000E1541">
        <w:rPr>
          <w:lang w:val="es-ES_tradnl"/>
        </w:rPr>
        <w:t>NCL(</w:t>
      </w:r>
      <w:proofErr w:type="gramEnd"/>
      <w:r w:rsidRPr="00A60DC2">
        <w:rPr>
          <w:lang w:val="es-ES_tradnl"/>
        </w:rPr>
        <w:t>13-2026</w:t>
      </w:r>
      <w:r w:rsidR="000E1541">
        <w:rPr>
          <w:lang w:val="es-ES_tradnl"/>
        </w:rPr>
        <w:t>)</w:t>
      </w:r>
    </w:p>
    <w:p w14:paraId="048CB8FD" w14:textId="77777777" w:rsidR="007F4F1C" w:rsidRDefault="007F4F1C" w:rsidP="007F4F1C">
      <w:pPr>
        <w:rPr>
          <w:lang w:val="es-ES_tradnl"/>
        </w:rPr>
      </w:pPr>
    </w:p>
    <w:p w14:paraId="17748D91" w14:textId="61CA3B10" w:rsidR="000E402F" w:rsidRPr="000E1541" w:rsidRDefault="000E402F" w:rsidP="00F96165">
      <w:pPr>
        <w:pStyle w:val="ONUME"/>
        <w:spacing w:before="120" w:after="120"/>
        <w:rPr>
          <w:lang w:val="es-ES_tradnl"/>
        </w:rPr>
      </w:pPr>
      <w:r w:rsidRPr="000E1541">
        <w:rPr>
          <w:lang w:val="es-ES_tradnl"/>
        </w:rPr>
        <w:t xml:space="preserve">En el siguiente cuadro solo figuran los </w:t>
      </w:r>
      <w:r w:rsidR="000E1541" w:rsidRPr="000E1541">
        <w:rPr>
          <w:lang w:val="es-ES_tradnl"/>
        </w:rPr>
        <w:t xml:space="preserve">números </w:t>
      </w:r>
      <w:r w:rsidRPr="000E1541">
        <w:rPr>
          <w:lang w:val="es-ES_tradnl"/>
        </w:rPr>
        <w:t xml:space="preserve">básicos que se han reclasificado en la </w:t>
      </w:r>
      <w:proofErr w:type="gramStart"/>
      <w:r w:rsidR="000E1541" w:rsidRPr="000E1541">
        <w:rPr>
          <w:lang w:val="es-ES_tradnl"/>
        </w:rPr>
        <w:t>NCL(</w:t>
      </w:r>
      <w:proofErr w:type="gramEnd"/>
      <w:r w:rsidRPr="000E1541">
        <w:rPr>
          <w:lang w:val="es-ES_tradnl"/>
        </w:rPr>
        <w:t>13-2026</w:t>
      </w:r>
      <w:r w:rsidR="000E1541" w:rsidRPr="000E1541">
        <w:rPr>
          <w:lang w:val="es-ES_tradnl"/>
        </w:rPr>
        <w:t>)</w:t>
      </w:r>
      <w:r w:rsidRPr="000E1541">
        <w:rPr>
          <w:lang w:val="es-ES_tradnl"/>
        </w:rPr>
        <w:t>.</w:t>
      </w:r>
      <w:r w:rsidR="00A60DC2" w:rsidRPr="000E1541">
        <w:rPr>
          <w:lang w:val="es-ES_tradnl"/>
        </w:rPr>
        <w:t xml:space="preserve"> </w:t>
      </w:r>
      <w:r w:rsidRPr="000E1541">
        <w:rPr>
          <w:lang w:val="es-ES_tradnl"/>
        </w:rPr>
        <w:t xml:space="preserve">Se puede consultar más información sobre otros cambios en </w:t>
      </w:r>
      <w:r w:rsidR="000E1541" w:rsidRPr="000E1541">
        <w:rPr>
          <w:lang w:val="es-ES_tradnl"/>
        </w:rPr>
        <w:t>la pestaña “Modificaciones” de la publicación oficial de la Clasificación de Niza (</w:t>
      </w:r>
      <w:hyperlink r:id="rId15" w:history="1">
        <w:r w:rsidR="000E1541" w:rsidRPr="000E1541">
          <w:rPr>
            <w:rStyle w:val="Hyperlink"/>
            <w:lang w:val="es-ES_tradnl"/>
          </w:rPr>
          <w:t>NCLPUB</w:t>
        </w:r>
      </w:hyperlink>
      <w:r w:rsidR="000E1541" w:rsidRPr="000E1541">
        <w:rPr>
          <w:lang w:val="es-ES_tradnl"/>
        </w:rPr>
        <w:t xml:space="preserve">).  </w:t>
      </w:r>
      <w:proofErr w:type="gramStart"/>
      <w:r w:rsidR="000E1541" w:rsidRPr="000E1541">
        <w:rPr>
          <w:lang w:val="es-ES_tradnl"/>
        </w:rPr>
        <w:t>NCL(</w:t>
      </w:r>
      <w:proofErr w:type="gramEnd"/>
      <w:r w:rsidR="000E1541" w:rsidRPr="000E1541">
        <w:rPr>
          <w:lang w:val="es-ES_tradnl"/>
        </w:rPr>
        <w:t xml:space="preserve">13-2026) entrará </w:t>
      </w:r>
      <w:r w:rsidRPr="000E1541">
        <w:rPr>
          <w:lang w:val="es-ES_tradnl"/>
        </w:rPr>
        <w:t>en vigor el 1 de enero de 2026.</w:t>
      </w:r>
      <w:r w:rsidR="000E1541">
        <w:rPr>
          <w:lang w:val="es-ES_tradnl"/>
        </w:rPr>
        <w:t xml:space="preserve">  </w:t>
      </w:r>
    </w:p>
    <w:tbl>
      <w:tblPr>
        <w:tblW w:w="12940" w:type="dxa"/>
        <w:tblLook w:val="04A0" w:firstRow="1" w:lastRow="0" w:firstColumn="1" w:lastColumn="0" w:noHBand="0" w:noVBand="1"/>
      </w:tblPr>
      <w:tblGrid>
        <w:gridCol w:w="1494"/>
        <w:gridCol w:w="813"/>
        <w:gridCol w:w="3595"/>
        <w:gridCol w:w="1150"/>
        <w:gridCol w:w="1536"/>
        <w:gridCol w:w="817"/>
        <w:gridCol w:w="3590"/>
      </w:tblGrid>
      <w:tr w:rsidR="00DD34E1" w:rsidRPr="00A60DC2" w14:paraId="443BE281" w14:textId="77777777" w:rsidTr="00A37B09">
        <w:trPr>
          <w:trHeight w:val="290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bookmarkEnd w:id="1"/>
          <w:p w14:paraId="15973E7D" w14:textId="77777777" w:rsidR="00DD34E1" w:rsidRPr="00A60DC2" w:rsidRDefault="00DD34E1" w:rsidP="00DD34E1">
            <w:pPr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val="es-ES_tradnl"/>
              </w:rPr>
            </w:pPr>
            <w:r w:rsidRPr="00A60DC2"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val="es-ES_tradnl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450B40" w14:textId="77777777" w:rsidR="00DD34E1" w:rsidRPr="00A60DC2" w:rsidRDefault="00DD34E1" w:rsidP="00DD34E1">
            <w:pPr>
              <w:rPr>
                <w:rFonts w:ascii="Aptos Narrow" w:eastAsia="Times New Roman" w:hAnsi="Aptos Narrow" w:cs="Times New Roman"/>
                <w:color w:val="000000"/>
                <w:szCs w:val="22"/>
                <w:lang w:val="es-ES_tradnl"/>
              </w:rPr>
            </w:pPr>
            <w:r w:rsidRPr="00A60DC2">
              <w:rPr>
                <w:rFonts w:ascii="Aptos Narrow" w:eastAsia="Times New Roman" w:hAnsi="Aptos Narrow" w:cs="Times New Roman"/>
                <w:color w:val="000000"/>
                <w:szCs w:val="22"/>
                <w:lang w:val="es-ES_tradnl"/>
              </w:rPr>
              <w:t> </w:t>
            </w:r>
          </w:p>
        </w:tc>
        <w:tc>
          <w:tcPr>
            <w:tcW w:w="593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1CD8389" w14:textId="77777777" w:rsidR="00DD34E1" w:rsidRPr="00A60DC2" w:rsidRDefault="00DD34E1" w:rsidP="00DD34E1">
            <w:pPr>
              <w:rPr>
                <w:rFonts w:ascii="Aptos Narrow" w:eastAsia="Times New Roman" w:hAnsi="Aptos Narrow" w:cs="Times New Roman"/>
                <w:color w:val="000000"/>
                <w:szCs w:val="22"/>
                <w:lang w:val="es-ES_tradnl"/>
              </w:rPr>
            </w:pPr>
            <w:r w:rsidRPr="00A60DC2">
              <w:rPr>
                <w:rFonts w:ascii="Aptos Narrow" w:eastAsia="Times New Roman" w:hAnsi="Aptos Narrow" w:cs="Times New Roman"/>
                <w:color w:val="000000"/>
                <w:szCs w:val="22"/>
                <w:lang w:val="es-ES_tradnl"/>
              </w:rPr>
              <w:t> </w:t>
            </w:r>
          </w:p>
        </w:tc>
      </w:tr>
      <w:tr w:rsidR="00DD34E1" w:rsidRPr="00A60DC2" w14:paraId="12E9D8A4" w14:textId="77777777" w:rsidTr="00A37B09">
        <w:trPr>
          <w:trHeight w:val="290"/>
        </w:trPr>
        <w:tc>
          <w:tcPr>
            <w:tcW w:w="590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86D507F" w14:textId="4CAAB61F" w:rsidR="00DD34E1" w:rsidRPr="00A60DC2" w:rsidRDefault="00DD34E1" w:rsidP="00DD34E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val="es-ES_tradnl"/>
              </w:rPr>
            </w:pPr>
            <w:proofErr w:type="gramStart"/>
            <w:r w:rsidRPr="00A60DC2">
              <w:rPr>
                <w:rFonts w:eastAsia="Times New Roman"/>
                <w:b/>
                <w:bCs/>
                <w:color w:val="000000"/>
                <w:sz w:val="20"/>
                <w:lang w:val="es-ES_tradnl"/>
              </w:rPr>
              <w:t>NCL</w:t>
            </w:r>
            <w:r w:rsidR="00C30AB3">
              <w:rPr>
                <w:rFonts w:eastAsia="Times New Roman"/>
                <w:b/>
                <w:bCs/>
                <w:color w:val="000000"/>
                <w:sz w:val="20"/>
                <w:lang w:val="es-ES_tradnl"/>
              </w:rPr>
              <w:t>(</w:t>
            </w:r>
            <w:proofErr w:type="gramEnd"/>
            <w:r w:rsidRPr="00A60DC2">
              <w:rPr>
                <w:rFonts w:eastAsia="DengXian"/>
                <w:b/>
                <w:bCs/>
                <w:color w:val="000000"/>
                <w:sz w:val="20"/>
                <w:lang w:val="es-ES_tradnl"/>
              </w:rPr>
              <w:t>12-</w:t>
            </w:r>
            <w:r w:rsidRPr="00A60DC2">
              <w:rPr>
                <w:rFonts w:eastAsia="Times New Roman"/>
                <w:b/>
                <w:bCs/>
                <w:color w:val="000000"/>
                <w:sz w:val="20"/>
                <w:lang w:val="es-ES_tradnl"/>
              </w:rPr>
              <w:t>2025</w:t>
            </w:r>
            <w:r w:rsidR="00C30AB3">
              <w:rPr>
                <w:rFonts w:eastAsia="Times New Roman"/>
                <w:b/>
                <w:bCs/>
                <w:color w:val="000000"/>
                <w:sz w:val="20"/>
                <w:lang w:val="es-ES_tradnl"/>
              </w:rPr>
              <w:t>)</w:t>
            </w:r>
          </w:p>
        </w:tc>
        <w:tc>
          <w:tcPr>
            <w:tcW w:w="11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B5FC9E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</w:p>
        </w:tc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4A90320" w14:textId="743A87FA" w:rsidR="00DD34E1" w:rsidRPr="00A60DC2" w:rsidRDefault="00DD34E1" w:rsidP="00DD34E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val="es-ES_tradnl"/>
              </w:rPr>
            </w:pPr>
            <w:proofErr w:type="gramStart"/>
            <w:r w:rsidRPr="00A60DC2">
              <w:rPr>
                <w:rFonts w:eastAsia="Times New Roman"/>
                <w:b/>
                <w:bCs/>
                <w:color w:val="000000"/>
                <w:sz w:val="20"/>
                <w:lang w:val="es-ES_tradnl"/>
              </w:rPr>
              <w:t>NCL</w:t>
            </w:r>
            <w:r w:rsidR="00C30AB3">
              <w:rPr>
                <w:rFonts w:eastAsia="Times New Roman"/>
                <w:b/>
                <w:bCs/>
                <w:color w:val="000000"/>
                <w:sz w:val="20"/>
                <w:lang w:val="es-ES_tradnl"/>
              </w:rPr>
              <w:t>(</w:t>
            </w:r>
            <w:proofErr w:type="gramEnd"/>
            <w:r w:rsidRPr="00A60DC2">
              <w:rPr>
                <w:rFonts w:eastAsia="DengXian"/>
                <w:b/>
                <w:bCs/>
                <w:color w:val="000000"/>
                <w:sz w:val="20"/>
                <w:lang w:val="es-ES_tradnl"/>
              </w:rPr>
              <w:t>13-</w:t>
            </w:r>
            <w:r w:rsidRPr="00A60DC2">
              <w:rPr>
                <w:rFonts w:eastAsia="Times New Roman"/>
                <w:b/>
                <w:bCs/>
                <w:color w:val="000000"/>
                <w:sz w:val="20"/>
                <w:lang w:val="es-ES_tradnl"/>
              </w:rPr>
              <w:t>2026</w:t>
            </w:r>
            <w:r w:rsidR="00C30AB3">
              <w:rPr>
                <w:rFonts w:eastAsia="Times New Roman"/>
                <w:b/>
                <w:bCs/>
                <w:color w:val="000000"/>
                <w:sz w:val="20"/>
                <w:lang w:val="es-ES_tradnl"/>
              </w:rPr>
              <w:t>)</w:t>
            </w:r>
          </w:p>
        </w:tc>
      </w:tr>
      <w:tr w:rsidR="00DD34E1" w:rsidRPr="00A60DC2" w14:paraId="4DE3AFCB" w14:textId="77777777" w:rsidTr="00A37B09">
        <w:trPr>
          <w:trHeight w:val="300"/>
        </w:trPr>
        <w:tc>
          <w:tcPr>
            <w:tcW w:w="590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028C25A" w14:textId="15F04DED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</w:p>
        </w:tc>
        <w:tc>
          <w:tcPr>
            <w:tcW w:w="11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B4C812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06C180F" w14:textId="3EEA2808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</w:p>
        </w:tc>
      </w:tr>
      <w:tr w:rsidR="00DD34E1" w:rsidRPr="00A60DC2" w14:paraId="60D36BF7" w14:textId="77777777" w:rsidTr="00A37B09">
        <w:trPr>
          <w:trHeight w:val="290"/>
        </w:trPr>
        <w:tc>
          <w:tcPr>
            <w:tcW w:w="14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2DBEF5E" w14:textId="6D375A2A" w:rsidR="00DD34E1" w:rsidRPr="00A60DC2" w:rsidRDefault="00DD34E1" w:rsidP="00DD34E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val="es-ES_tradnl"/>
              </w:rPr>
            </w:pPr>
            <w:proofErr w:type="spellStart"/>
            <w:r w:rsidRPr="00A60DC2">
              <w:rPr>
                <w:rFonts w:eastAsia="Times New Roman"/>
                <w:b/>
                <w:bCs/>
                <w:color w:val="000000"/>
                <w:sz w:val="20"/>
                <w:lang w:val="es-ES_tradnl"/>
              </w:rPr>
              <w:t>N.°</w:t>
            </w:r>
            <w:proofErr w:type="spellEnd"/>
            <w:r w:rsidRPr="00A60DC2">
              <w:rPr>
                <w:rFonts w:eastAsia="Times New Roman"/>
                <w:b/>
                <w:bCs/>
                <w:color w:val="000000"/>
                <w:sz w:val="20"/>
                <w:lang w:val="es-ES_tradnl"/>
              </w:rPr>
              <w:t xml:space="preserve"> de base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A7AA850" w14:textId="77777777" w:rsidR="00DD34E1" w:rsidRPr="00A60DC2" w:rsidRDefault="00DD34E1" w:rsidP="00DD34E1">
            <w:pPr>
              <w:jc w:val="center"/>
              <w:rPr>
                <w:rFonts w:eastAsia="DengXian"/>
                <w:b/>
                <w:bCs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b/>
                <w:bCs/>
                <w:color w:val="000000"/>
                <w:sz w:val="20"/>
                <w:lang w:val="es-ES_tradnl"/>
              </w:rPr>
              <w:t>Clase</w:t>
            </w:r>
          </w:p>
        </w:tc>
        <w:tc>
          <w:tcPr>
            <w:tcW w:w="35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E97E3A0" w14:textId="77777777" w:rsidR="00DD34E1" w:rsidRPr="00A60DC2" w:rsidRDefault="00DD34E1" w:rsidP="00DD34E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b/>
                <w:bCs/>
                <w:color w:val="000000"/>
                <w:sz w:val="20"/>
                <w:lang w:val="es-ES_tradnl"/>
              </w:rPr>
              <w:t>Productos y servicios (ES)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4042D70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</w:p>
        </w:tc>
        <w:tc>
          <w:tcPr>
            <w:tcW w:w="1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F502A5B" w14:textId="116BB9BC" w:rsidR="00DD34E1" w:rsidRPr="00A60DC2" w:rsidRDefault="00DD34E1" w:rsidP="00DD34E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b/>
                <w:bCs/>
                <w:color w:val="000000"/>
                <w:sz w:val="20"/>
                <w:lang w:val="es-ES_tradnl"/>
              </w:rPr>
              <w:t>Nuevo</w:t>
            </w:r>
            <w:r w:rsidRPr="00A60DC2">
              <w:rPr>
                <w:rFonts w:eastAsia="Times New Roman"/>
                <w:b/>
                <w:bCs/>
                <w:color w:val="000000"/>
                <w:sz w:val="20"/>
                <w:lang w:val="es-ES_tradnl"/>
              </w:rPr>
              <w:t xml:space="preserve"> </w:t>
            </w:r>
            <w:proofErr w:type="spellStart"/>
            <w:r w:rsidRPr="00A60DC2">
              <w:rPr>
                <w:rFonts w:eastAsia="Times New Roman"/>
                <w:b/>
                <w:bCs/>
                <w:color w:val="000000"/>
                <w:sz w:val="20"/>
                <w:lang w:val="es-ES_tradnl"/>
              </w:rPr>
              <w:t>n.°</w:t>
            </w:r>
            <w:proofErr w:type="spellEnd"/>
            <w:r w:rsidRPr="00A60DC2">
              <w:rPr>
                <w:rFonts w:eastAsia="Times New Roman"/>
                <w:b/>
                <w:bCs/>
                <w:color w:val="000000"/>
                <w:sz w:val="20"/>
                <w:lang w:val="es-ES_tradnl"/>
              </w:rPr>
              <w:t xml:space="preserve"> de base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175CAE3" w14:textId="45B42832" w:rsidR="00DD34E1" w:rsidRPr="00A60DC2" w:rsidRDefault="00DD34E1" w:rsidP="00DD34E1">
            <w:pPr>
              <w:jc w:val="center"/>
              <w:rPr>
                <w:rFonts w:eastAsia="DengXian"/>
                <w:b/>
                <w:bCs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b/>
                <w:bCs/>
                <w:color w:val="000000"/>
                <w:sz w:val="20"/>
                <w:lang w:val="es-ES_tradnl"/>
              </w:rPr>
              <w:t>Nueva clase</w:t>
            </w:r>
          </w:p>
        </w:tc>
        <w:tc>
          <w:tcPr>
            <w:tcW w:w="35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EF53A89" w14:textId="77777777" w:rsidR="00DD34E1" w:rsidRPr="00A60DC2" w:rsidRDefault="00DD34E1" w:rsidP="00DD34E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b/>
                <w:bCs/>
                <w:color w:val="000000"/>
                <w:sz w:val="20"/>
                <w:lang w:val="es-ES_tradnl"/>
              </w:rPr>
              <w:t>Productos y servicios (ES)</w:t>
            </w:r>
          </w:p>
        </w:tc>
      </w:tr>
      <w:tr w:rsidR="00DD34E1" w:rsidRPr="00A60DC2" w14:paraId="1CCA8A28" w14:textId="77777777" w:rsidTr="00A37B09">
        <w:trPr>
          <w:trHeight w:val="290"/>
        </w:trPr>
        <w:tc>
          <w:tcPr>
            <w:tcW w:w="1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1C689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8A4D82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</w:p>
        </w:tc>
        <w:tc>
          <w:tcPr>
            <w:tcW w:w="3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CC68F7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DE3A56B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4DE3F9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F82BA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</w:p>
        </w:tc>
        <w:tc>
          <w:tcPr>
            <w:tcW w:w="3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6E70B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</w:p>
        </w:tc>
      </w:tr>
      <w:tr w:rsidR="00DD34E1" w:rsidRPr="00A60DC2" w14:paraId="7B3A09D4" w14:textId="77777777" w:rsidTr="00A37B09">
        <w:trPr>
          <w:trHeight w:val="300"/>
        </w:trPr>
        <w:tc>
          <w:tcPr>
            <w:tcW w:w="1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2EF6F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83310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</w:p>
        </w:tc>
        <w:tc>
          <w:tcPr>
            <w:tcW w:w="3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BE06D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E3D99DA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41B88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E11A5B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</w:p>
        </w:tc>
        <w:tc>
          <w:tcPr>
            <w:tcW w:w="3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CE8C1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</w:p>
        </w:tc>
      </w:tr>
      <w:tr w:rsidR="00DD34E1" w:rsidRPr="00A60DC2" w14:paraId="5D4DE66D" w14:textId="77777777" w:rsidTr="00A37B09">
        <w:trPr>
          <w:trHeight w:val="330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98026C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030159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A1E58A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3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FC629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terpenos [aceites esenciales]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91E372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CF4A01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010743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56EE0B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F6E222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terpenos</w:t>
            </w:r>
          </w:p>
        </w:tc>
      </w:tr>
      <w:tr w:rsidR="00DD34E1" w:rsidRPr="00A60DC2" w14:paraId="2EDAAD57" w14:textId="77777777" w:rsidTr="00A37B09">
        <w:trPr>
          <w:trHeight w:val="330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DC6A8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090331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0AD374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9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5EDA5C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gafas [óptica] / anteojos [óptica]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EBF7BA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B8199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10032</w:t>
            </w: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79B0E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10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044513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gafas de óptica / anteojos de óptica</w:t>
            </w:r>
          </w:p>
        </w:tc>
      </w:tr>
      <w:tr w:rsidR="00DD34E1" w:rsidRPr="00A60DC2" w14:paraId="1555C95E" w14:textId="77777777" w:rsidTr="00A37B09">
        <w:trPr>
          <w:trHeight w:val="330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38A85E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090334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9FD5C0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9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7D1B0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lentes para gafas / lentes para anteojos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94037C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568EE1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100329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4179E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10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FAE5FC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lentes para gafas / lentes para anteojos</w:t>
            </w:r>
          </w:p>
        </w:tc>
      </w:tr>
      <w:tr w:rsidR="00DD34E1" w:rsidRPr="00A60DC2" w14:paraId="22E0CB9A" w14:textId="77777777" w:rsidTr="00A37B09">
        <w:trPr>
          <w:trHeight w:val="330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AE64E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090359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01F8ED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9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B79DF3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monturas de gafas / monturas de anteojos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3344E0" w14:textId="77777777" w:rsidR="00DD34E1" w:rsidRPr="00A60DC2" w:rsidRDefault="00DD34E1" w:rsidP="00DD34E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b/>
                <w:bCs/>
                <w:color w:val="000000"/>
                <w:sz w:val="20"/>
                <w:lang w:val="es-ES_tradnl"/>
              </w:rPr>
              <w:t>Transferir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617CD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100330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BBF74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10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5CB6E1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monturas de gafas / monturas de anteojos</w:t>
            </w:r>
          </w:p>
        </w:tc>
      </w:tr>
      <w:tr w:rsidR="00DD34E1" w:rsidRPr="00A60DC2" w14:paraId="51521638" w14:textId="77777777" w:rsidTr="00A37B09">
        <w:trPr>
          <w:trHeight w:val="330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EFA226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090115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2C3F0F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9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7BDF37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cadenas para gafas / cadenas para anteojos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2F26BC" w14:textId="77777777" w:rsidR="00DD34E1" w:rsidRPr="00A60DC2" w:rsidRDefault="00DD34E1" w:rsidP="00DD34E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val="es-ES_tradnl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EDC78C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100331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D2A1D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10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1575BA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cadenas para gafas / cadenas para anteojos</w:t>
            </w:r>
          </w:p>
        </w:tc>
      </w:tr>
      <w:tr w:rsidR="00DD34E1" w:rsidRPr="00A60DC2" w14:paraId="00BA29AF" w14:textId="77777777" w:rsidTr="00A37B09">
        <w:trPr>
          <w:trHeight w:val="330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B3E48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090156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1251F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9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FA15B8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cordones para gafas / cordones para anteojos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1FE645" w14:textId="77777777" w:rsidR="00DD34E1" w:rsidRPr="00A60DC2" w:rsidRDefault="00DD34E1" w:rsidP="00DD34E1">
            <w:pPr>
              <w:jc w:val="center"/>
              <w:rPr>
                <w:rFonts w:eastAsia="DengXian"/>
                <w:b/>
                <w:bCs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b/>
                <w:bCs/>
                <w:color w:val="000000"/>
                <w:sz w:val="20"/>
                <w:lang w:val="es-ES_tradnl"/>
              </w:rPr>
              <w:t>o</w:t>
            </w:r>
          </w:p>
          <w:p w14:paraId="4CD1C846" w14:textId="77777777" w:rsidR="00DD34E1" w:rsidRPr="00A60DC2" w:rsidRDefault="00DD34E1" w:rsidP="00DD34E1">
            <w:pPr>
              <w:jc w:val="center"/>
              <w:rPr>
                <w:rFonts w:eastAsia="DengXian"/>
                <w:b/>
                <w:bCs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b/>
                <w:bCs/>
                <w:color w:val="000000"/>
                <w:sz w:val="20"/>
                <w:lang w:val="es-ES_tradnl"/>
              </w:rPr>
              <w:t xml:space="preserve">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FD02DE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100332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63C588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10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9DC5CD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cordones para gafas / cordones para anteojos</w:t>
            </w:r>
          </w:p>
        </w:tc>
      </w:tr>
      <w:tr w:rsidR="00DD34E1" w:rsidRPr="00A60DC2" w14:paraId="096C5EEC" w14:textId="77777777" w:rsidTr="001F53AC">
        <w:trPr>
          <w:trHeight w:val="330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DDABF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090885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D7F65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9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AD18E6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gafas para corregir la deficiencia de visión cromática / gafas para corregir el daltonismo</w:t>
            </w:r>
          </w:p>
        </w:tc>
        <w:tc>
          <w:tcPr>
            <w:tcW w:w="1102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14:paraId="63A0FA8E" w14:textId="37F019B7" w:rsidR="00DD34E1" w:rsidRPr="00A60DC2" w:rsidRDefault="000E1541" w:rsidP="00DD34E1">
            <w:pPr>
              <w:jc w:val="center"/>
              <w:rPr>
                <w:rFonts w:eastAsia="DengXian"/>
                <w:b/>
                <w:bCs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b/>
                <w:bCs/>
                <w:color w:val="000000"/>
                <w:sz w:val="20"/>
                <w:lang w:val="es-ES_tradnl"/>
              </w:rPr>
              <w:t>Transferir</w:t>
            </w:r>
          </w:p>
          <w:p w14:paraId="31B912F9" w14:textId="586E5310" w:rsidR="00DD34E1" w:rsidRPr="00A60DC2" w:rsidRDefault="00DD34E1" w:rsidP="00DD34E1">
            <w:pPr>
              <w:jc w:val="center"/>
              <w:rPr>
                <w:rFonts w:eastAsia="DengXian"/>
                <w:b/>
                <w:bCs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b/>
                <w:bCs/>
                <w:color w:val="000000"/>
                <w:sz w:val="20"/>
                <w:lang w:val="es-ES_tradnl"/>
              </w:rPr>
              <w:t xml:space="preserve">y </w:t>
            </w:r>
            <w:r w:rsidR="000E1541" w:rsidRPr="00A60DC2">
              <w:rPr>
                <w:rFonts w:eastAsia="DengXian"/>
                <w:b/>
                <w:bCs/>
                <w:color w:val="000000"/>
                <w:sz w:val="20"/>
                <w:lang w:val="es-ES_tradnl"/>
              </w:rPr>
              <w:t>Cambiar</w:t>
            </w:r>
          </w:p>
          <w:p w14:paraId="241997D3" w14:textId="77777777" w:rsidR="00DD34E1" w:rsidRPr="00A60DC2" w:rsidRDefault="00DD34E1" w:rsidP="00DD34E1">
            <w:pPr>
              <w:jc w:val="center"/>
              <w:rPr>
                <w:rFonts w:eastAsia="DengXian"/>
                <w:b/>
                <w:bCs/>
                <w:color w:val="000000"/>
                <w:sz w:val="20"/>
                <w:lang w:val="es-ES_tradnl"/>
              </w:rPr>
            </w:pPr>
          </w:p>
          <w:p w14:paraId="04E24A6E" w14:textId="77777777" w:rsidR="00DD34E1" w:rsidRPr="00A60DC2" w:rsidRDefault="00DD34E1" w:rsidP="00DD34E1">
            <w:pPr>
              <w:jc w:val="center"/>
              <w:rPr>
                <w:rFonts w:eastAsia="DengXian"/>
                <w:b/>
                <w:bCs/>
                <w:color w:val="000000"/>
                <w:sz w:val="20"/>
                <w:lang w:val="es-ES_tradnl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4E0A17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100333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61408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10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9B6486" w14:textId="77777777" w:rsidR="00DD34E1" w:rsidRPr="00A60DC2" w:rsidRDefault="00DD34E1" w:rsidP="00DD34E1">
            <w:pPr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gafas para corregir la deficiencia de visión cromática / gafas para corregir el daltonismo / anteojos para corregir la deficiencia de visión cromática / anteojos para corregir el daltonismo</w:t>
            </w:r>
          </w:p>
        </w:tc>
      </w:tr>
      <w:tr w:rsidR="00DD34E1" w:rsidRPr="00A60DC2" w14:paraId="00060773" w14:textId="77777777" w:rsidTr="001F53AC">
        <w:trPr>
          <w:trHeight w:val="330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8228FA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090567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6ABCDD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9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DC2D0D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estuches para gafas / estuches para anteojos</w:t>
            </w:r>
          </w:p>
        </w:tc>
        <w:tc>
          <w:tcPr>
            <w:tcW w:w="1102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14:paraId="3BB8F921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b/>
                <w:bCs/>
                <w:noProof/>
                <w:color w:val="000000"/>
                <w:sz w:val="20"/>
                <w:lang w:val="es-ES_tradnl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C70481" wp14:editId="3B048EC6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-5080</wp:posOffset>
                      </wp:positionV>
                      <wp:extent cx="190500" cy="114300"/>
                      <wp:effectExtent l="0" t="19050" r="38100" b="38100"/>
                      <wp:wrapNone/>
                      <wp:docPr id="576607842" name="Arrow: Righ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14300"/>
                              </a:xfrm>
                              <a:prstGeom prst="rightArrow">
                                <a:avLst>
                                  <a:gd name="adj1" fmla="val 34273"/>
                                  <a:gd name="adj2" fmla="val 50000"/>
                                </a:avLst>
                              </a:prstGeom>
                              <a:solidFill>
                                <a:srgbClr val="156082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0AC6F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4" o:spid="_x0000_s1026" type="#_x0000_t13" style="position:absolute;margin-left:13.65pt;margin-top:-.4pt;width:1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" adj="15120,7099" fillcolor="#156082" strokecolor="#042433" strokeweight="1pt"/>
                  </w:pict>
                </mc:Fallback>
              </mc:AlternateConten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3A43AD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100334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4311C6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10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0DAF2C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estuches para gafas / estuches para anteojos</w:t>
            </w:r>
          </w:p>
        </w:tc>
      </w:tr>
      <w:tr w:rsidR="00DD34E1" w:rsidRPr="00A60DC2" w14:paraId="3EEE4DB3" w14:textId="77777777" w:rsidTr="001F53AC">
        <w:trPr>
          <w:trHeight w:val="358"/>
        </w:trPr>
        <w:tc>
          <w:tcPr>
            <w:tcW w:w="1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587FCD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090554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2B97B8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9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683079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lentes de contacto / lentillas</w:t>
            </w:r>
          </w:p>
        </w:tc>
        <w:tc>
          <w:tcPr>
            <w:tcW w:w="1102" w:type="dxa"/>
            <w:tcBorders>
              <w:left w:val="nil"/>
              <w:right w:val="single" w:sz="8" w:space="0" w:color="auto"/>
            </w:tcBorders>
            <w:noWrap/>
            <w:vAlign w:val="center"/>
            <w:hideMark/>
          </w:tcPr>
          <w:p w14:paraId="4718764E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7F68A1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100335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DD973F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10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000C8E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lentes de contacto / lentillas</w:t>
            </w:r>
          </w:p>
        </w:tc>
      </w:tr>
      <w:tr w:rsidR="00DD34E1" w:rsidRPr="00A60DC2" w14:paraId="06DB727B" w14:textId="77777777" w:rsidTr="00A60DC2">
        <w:trPr>
          <w:trHeight w:val="330"/>
        </w:trPr>
        <w:tc>
          <w:tcPr>
            <w:tcW w:w="1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2799A5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090555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3E2064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9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6D60D0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estuches para lentes de contacto / estuches para lentillas</w:t>
            </w:r>
          </w:p>
        </w:tc>
        <w:tc>
          <w:tcPr>
            <w:tcW w:w="1102" w:type="dxa"/>
            <w:tcBorders>
              <w:left w:val="nil"/>
              <w:right w:val="single" w:sz="8" w:space="0" w:color="auto"/>
            </w:tcBorders>
            <w:noWrap/>
            <w:vAlign w:val="center"/>
            <w:hideMark/>
          </w:tcPr>
          <w:p w14:paraId="0E27E627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B530CC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100336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1DD8A6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10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0D50A4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estuches para lentes de contacto / estuches para lentillas</w:t>
            </w:r>
          </w:p>
        </w:tc>
      </w:tr>
      <w:tr w:rsidR="00DD34E1" w:rsidRPr="00A60DC2" w14:paraId="1D6B2E71" w14:textId="77777777" w:rsidTr="00A37B09">
        <w:trPr>
          <w:trHeight w:val="330"/>
        </w:trPr>
        <w:tc>
          <w:tcPr>
            <w:tcW w:w="1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C3966D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lastRenderedPageBreak/>
              <w:t>090886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6EA0DA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9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1D8915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estuches para lentes de contacto con funciones de limpieza ultrasónica integradas</w:t>
            </w:r>
          </w:p>
        </w:tc>
        <w:tc>
          <w:tcPr>
            <w:tcW w:w="1102" w:type="dxa"/>
            <w:tcBorders>
              <w:left w:val="nil"/>
              <w:right w:val="single" w:sz="8" w:space="0" w:color="auto"/>
            </w:tcBorders>
            <w:noWrap/>
            <w:vAlign w:val="center"/>
            <w:hideMark/>
          </w:tcPr>
          <w:p w14:paraId="2C20EC2E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117CCD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100337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ED8103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10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7B474E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estuches para lentes de contacto con funciones de limpieza ultrasónica integradas / estuches para lentillas con funciones de limpieza ultrasónica integradas</w:t>
            </w:r>
          </w:p>
        </w:tc>
      </w:tr>
      <w:tr w:rsidR="00DD34E1" w:rsidRPr="00A60DC2" w14:paraId="610AD8A7" w14:textId="77777777" w:rsidTr="00A37B09">
        <w:trPr>
          <w:trHeight w:val="330"/>
        </w:trPr>
        <w:tc>
          <w:tcPr>
            <w:tcW w:w="1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E153E2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090159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5BCCBB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9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A14A6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lentes correctoras [óptica]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701AA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57BD30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100338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019987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10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6BA7A2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lentes correctoras</w:t>
            </w:r>
          </w:p>
        </w:tc>
      </w:tr>
      <w:tr w:rsidR="00DD34E1" w:rsidRPr="00A60DC2" w14:paraId="5F6FDEF2" w14:textId="77777777" w:rsidTr="00A37B09">
        <w:trPr>
          <w:trHeight w:val="330"/>
        </w:trPr>
        <w:tc>
          <w:tcPr>
            <w:tcW w:w="14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266099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090648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4B6EE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9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FAB14A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gafas de sol / anteojos de sol</w:t>
            </w:r>
          </w:p>
        </w:tc>
        <w:tc>
          <w:tcPr>
            <w:tcW w:w="1102" w:type="dxa"/>
            <w:tcBorders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701BDB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E96E55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100339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AA18C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10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545C91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gafas de sol / anteojos de sol</w:t>
            </w:r>
          </w:p>
        </w:tc>
      </w:tr>
      <w:tr w:rsidR="00DD34E1" w:rsidRPr="00A60DC2" w14:paraId="7B3C5202" w14:textId="77777777" w:rsidTr="00A37B09">
        <w:trPr>
          <w:trHeight w:val="330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8D390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090923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9197F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9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040358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gafas de sol para animales de compañía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00F128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304920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100340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720FF1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10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A56AF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gafas de sol para animales de compañía / anteojos de sol para animales de compañía</w:t>
            </w:r>
          </w:p>
        </w:tc>
      </w:tr>
      <w:tr w:rsidR="00DD34E1" w:rsidRPr="00A60DC2" w14:paraId="309616C8" w14:textId="77777777" w:rsidTr="00A37B09">
        <w:trPr>
          <w:trHeight w:val="330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232025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090046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50A60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9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BBE40A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gafas antideslumbrantes / anteojos antirreflejo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27FAF8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3E3CB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100341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D6CB92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10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4C7E4D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gafas antirreflejo / anteojos antirreflejo</w:t>
            </w:r>
          </w:p>
        </w:tc>
      </w:tr>
      <w:tr w:rsidR="00DD34E1" w:rsidRPr="00A60DC2" w14:paraId="3CE68F97" w14:textId="77777777" w:rsidTr="00A37B09">
        <w:trPr>
          <w:trHeight w:val="330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4C316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090397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CE0F6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9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7EF92A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quevedos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2971C9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FF0856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100342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EF7653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10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9B38FF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quevedos</w:t>
            </w:r>
          </w:p>
        </w:tc>
      </w:tr>
      <w:tr w:rsidR="00DD34E1" w:rsidRPr="00A60DC2" w14:paraId="3AA07FE9" w14:textId="77777777" w:rsidTr="00A37B09">
        <w:trPr>
          <w:trHeight w:val="330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F5E8E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090297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7B7175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9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C89B9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autobombas contra incendios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FC2731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86A5B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120352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4D996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12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6C0FA1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autobombas contra incendios</w:t>
            </w:r>
          </w:p>
        </w:tc>
      </w:tr>
      <w:tr w:rsidR="00DD34E1" w:rsidRPr="00A60DC2" w14:paraId="4DBF5D6C" w14:textId="77777777" w:rsidTr="00A37B09">
        <w:trPr>
          <w:trHeight w:val="330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57EC94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090601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BC8EC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9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F7F9CC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barcos-bomba contra incendios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36EED0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46406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120353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E1870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12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6C6DDC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barcos-bomba contra incendios</w:t>
            </w:r>
          </w:p>
        </w:tc>
      </w:tr>
      <w:tr w:rsidR="00DD34E1" w:rsidRPr="00A60DC2" w14:paraId="2CF657C9" w14:textId="77777777" w:rsidTr="00A37B09">
        <w:trPr>
          <w:trHeight w:val="330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6FE388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090073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8B670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9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FBE551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balsas salvavidas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992D5F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6E39EE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120354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B11D93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12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C8807F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balsas salvavidas</w:t>
            </w:r>
          </w:p>
        </w:tc>
      </w:tr>
      <w:tr w:rsidR="00DD34E1" w:rsidRPr="00A60DC2" w14:paraId="7C471D2C" w14:textId="77777777" w:rsidTr="00A37B09">
        <w:trPr>
          <w:trHeight w:val="330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29716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090816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BACB08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9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0BD9E8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botes salvavidas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B38328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BB6256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120355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837AF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12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3D287E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botes salvavidas</w:t>
            </w:r>
          </w:p>
        </w:tc>
      </w:tr>
      <w:tr w:rsidR="00DD34E1" w:rsidRPr="00A60DC2" w14:paraId="68B65FB2" w14:textId="77777777" w:rsidTr="00A37B09">
        <w:trPr>
          <w:trHeight w:val="330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7120D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090895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BC5A50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9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15D84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sillas de evacuación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CD8278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1316A1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120356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7DA94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12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695388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sillas de evacuación</w:t>
            </w:r>
          </w:p>
        </w:tc>
      </w:tr>
      <w:tr w:rsidR="00DD34E1" w:rsidRPr="00A60DC2" w14:paraId="38343112" w14:textId="77777777" w:rsidTr="00A37B09">
        <w:trPr>
          <w:trHeight w:val="330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8220F5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280125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37230F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28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48B7EF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kayaks de mar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C54295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984A82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120358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6F4B25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12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A2B62F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kayaks de mar</w:t>
            </w:r>
          </w:p>
        </w:tc>
      </w:tr>
      <w:tr w:rsidR="00DD34E1" w:rsidRPr="00A60DC2" w14:paraId="73C98157" w14:textId="77777777" w:rsidTr="00A37B09">
        <w:trPr>
          <w:trHeight w:val="330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4B4D17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210012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9451E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21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D80F7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boquillas para mangueras de riego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896151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67353F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170141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727D0A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17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33C998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lanzas para mangueras de riego</w:t>
            </w:r>
          </w:p>
        </w:tc>
      </w:tr>
      <w:tr w:rsidR="00DD34E1" w:rsidRPr="00A60DC2" w14:paraId="4E600312" w14:textId="77777777" w:rsidTr="00A37B09">
        <w:trPr>
          <w:trHeight w:val="330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73DE7E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100070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2B533A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10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24AE89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limpiadores linguales [raspadores de lengua] / raspadores de lengua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48AF23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73A4BC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210479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83A406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21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387151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raspadores de lengua</w:t>
            </w:r>
          </w:p>
        </w:tc>
      </w:tr>
      <w:tr w:rsidR="00DD34E1" w:rsidRPr="00A60DC2" w14:paraId="6BE86C99" w14:textId="77777777" w:rsidTr="00A37B09">
        <w:trPr>
          <w:trHeight w:val="330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2B0CA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110351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251AC2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11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807B76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prendas de vestir electrotérmicas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0D48CB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AE4EF1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250206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173A0F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25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1B285E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prendas de vestir electrotérmicas</w:t>
            </w:r>
          </w:p>
        </w:tc>
      </w:tr>
      <w:tr w:rsidR="00DD34E1" w:rsidRPr="00A60DC2" w14:paraId="4971C194" w14:textId="77777777" w:rsidTr="00A37B09">
        <w:trPr>
          <w:trHeight w:val="330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B0A3D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110345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4AC4A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11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B25C76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calcetines electrotérmicos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9202F1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87BCDA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250207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64E738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25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06F1A8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calcetines electrotérmicos</w:t>
            </w:r>
          </w:p>
        </w:tc>
      </w:tr>
      <w:tr w:rsidR="00DD34E1" w:rsidRPr="00A60DC2" w14:paraId="6DEBDBBC" w14:textId="77777777" w:rsidTr="00A37B09">
        <w:trPr>
          <w:trHeight w:val="330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1C2BCD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110088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91391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11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06F13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folgos calentados eléctricamente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B21E17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951AA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250208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FEC385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25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9F9A37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folgos electrotérmicos o no</w:t>
            </w:r>
          </w:p>
        </w:tc>
      </w:tr>
      <w:tr w:rsidR="00DD34E1" w:rsidRPr="00A60DC2" w14:paraId="03B0D423" w14:textId="77777777" w:rsidTr="00A37B09">
        <w:trPr>
          <w:trHeight w:val="330"/>
        </w:trPr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BE80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290011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DEA12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29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9AFDE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crema de mantequilla / crema de manteca [mantequilla]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CD71A" w14:textId="77777777" w:rsidR="00DD34E1" w:rsidRPr="00A60DC2" w:rsidRDefault="00DD34E1" w:rsidP="00DD34E1">
            <w:pPr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4D92A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300329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BD621" w14:textId="77777777" w:rsidR="00DD34E1" w:rsidRPr="00A60DC2" w:rsidRDefault="00DD34E1" w:rsidP="00DD34E1">
            <w:pPr>
              <w:jc w:val="center"/>
              <w:rPr>
                <w:rFonts w:eastAsia="DengXian"/>
                <w:color w:val="000000"/>
                <w:sz w:val="20"/>
                <w:lang w:val="es-ES_tradnl"/>
              </w:rPr>
            </w:pPr>
            <w:r w:rsidRPr="00A60DC2">
              <w:rPr>
                <w:rFonts w:eastAsia="DengXian"/>
                <w:color w:val="000000"/>
                <w:sz w:val="20"/>
                <w:lang w:val="es-ES_tradnl"/>
              </w:rPr>
              <w:t>30</w:t>
            </w:r>
          </w:p>
        </w:tc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12A0D5" w14:textId="77777777" w:rsidR="00DD34E1" w:rsidRPr="00A60DC2" w:rsidRDefault="00DD34E1" w:rsidP="00DD34E1">
            <w:pPr>
              <w:jc w:val="center"/>
              <w:rPr>
                <w:rFonts w:eastAsia="Times New Roman"/>
                <w:color w:val="000000"/>
                <w:sz w:val="20"/>
                <w:lang w:val="es-ES_tradnl"/>
              </w:rPr>
            </w:pPr>
            <w:r w:rsidRPr="00A60DC2">
              <w:rPr>
                <w:rFonts w:eastAsia="Times New Roman"/>
                <w:color w:val="000000"/>
                <w:sz w:val="20"/>
                <w:lang w:val="es-ES_tradnl"/>
              </w:rPr>
              <w:t>crema de mantequilla [glaseado] / crema de manteca [glaseado]</w:t>
            </w:r>
          </w:p>
        </w:tc>
      </w:tr>
    </w:tbl>
    <w:p w14:paraId="0CCDF836" w14:textId="22E30FC2" w:rsidR="000D08FF" w:rsidRPr="00A60DC2" w:rsidRDefault="00A669AC" w:rsidP="000E402F">
      <w:pPr>
        <w:pStyle w:val="Endofdocument-Annex"/>
        <w:ind w:left="8647"/>
        <w:rPr>
          <w:lang w:val="es-ES_tradnl"/>
        </w:rPr>
        <w:sectPr w:rsidR="000D08FF" w:rsidRPr="00A60DC2" w:rsidSect="000E402F">
          <w:headerReference w:type="even" r:id="rId16"/>
          <w:headerReference w:type="default" r:id="rId17"/>
          <w:headerReference w:type="first" r:id="rId18"/>
          <w:endnotePr>
            <w:numFmt w:val="decimal"/>
          </w:endnotePr>
          <w:pgSz w:w="16840" w:h="11907" w:orient="landscape" w:code="9"/>
          <w:pgMar w:top="1440" w:right="1800" w:bottom="1440" w:left="1800" w:header="510" w:footer="1021" w:gutter="0"/>
          <w:pgNumType w:start="1"/>
          <w:cols w:space="720"/>
          <w:titlePg/>
          <w:docGrid w:linePitch="299"/>
        </w:sectPr>
      </w:pPr>
      <w:r w:rsidRPr="00A60DC2">
        <w:rPr>
          <w:lang w:val="es-ES_tradnl"/>
        </w:rPr>
        <w:t>[</w:t>
      </w:r>
      <w:r w:rsidR="00DD34E1" w:rsidRPr="00A60DC2">
        <w:rPr>
          <w:lang w:val="es-ES_tradnl"/>
        </w:rPr>
        <w:t xml:space="preserve">Sigue el </w:t>
      </w:r>
      <w:r w:rsidR="00A60DC2" w:rsidRPr="00A60DC2">
        <w:rPr>
          <w:lang w:val="es-ES_tradnl"/>
        </w:rPr>
        <w:t>A</w:t>
      </w:r>
      <w:r w:rsidR="00DD34E1" w:rsidRPr="00A60DC2">
        <w:rPr>
          <w:lang w:val="es-ES_tradnl"/>
        </w:rPr>
        <w:t xml:space="preserve">nexo </w:t>
      </w:r>
      <w:r w:rsidRPr="00A60DC2">
        <w:rPr>
          <w:lang w:val="es-ES_tradnl"/>
        </w:rPr>
        <w:t xml:space="preserve">II] </w:t>
      </w:r>
    </w:p>
    <w:p w14:paraId="65F6AC94" w14:textId="5107685E" w:rsidR="00DD34E1" w:rsidRPr="00A60DC2" w:rsidRDefault="00DD34E1" w:rsidP="00DD34E1">
      <w:pPr>
        <w:jc w:val="center"/>
        <w:rPr>
          <w:b/>
          <w:bCs/>
          <w:lang w:val="es-ES_tradnl"/>
        </w:rPr>
      </w:pPr>
      <w:r w:rsidRPr="00A60DC2">
        <w:rPr>
          <w:b/>
          <w:bCs/>
          <w:lang w:val="es-ES_tradnl"/>
        </w:rPr>
        <w:lastRenderedPageBreak/>
        <w:t xml:space="preserve">CLASIFICACIÓN DE NIZA, 13.ª EDICIÓN, VERSIÓN 2026 – </w:t>
      </w:r>
      <w:proofErr w:type="gramStart"/>
      <w:r w:rsidRPr="00A60DC2">
        <w:rPr>
          <w:b/>
          <w:bCs/>
          <w:lang w:val="es-ES_tradnl"/>
        </w:rPr>
        <w:t>NCL(</w:t>
      </w:r>
      <w:proofErr w:type="gramEnd"/>
      <w:r w:rsidRPr="00A60DC2">
        <w:rPr>
          <w:b/>
          <w:bCs/>
          <w:lang w:val="es-ES_tradnl"/>
        </w:rPr>
        <w:t>13-2026)</w:t>
      </w:r>
      <w:r w:rsidRPr="00A60DC2">
        <w:rPr>
          <w:lang w:val="es-ES_tradnl"/>
        </w:rPr>
        <w:br/>
      </w:r>
      <w:r w:rsidRPr="00A60DC2">
        <w:rPr>
          <w:b/>
          <w:bCs/>
          <w:lang w:val="es-ES_tradnl"/>
        </w:rPr>
        <w:t>Fecha de entrada en vigor:</w:t>
      </w:r>
      <w:r w:rsidR="00A60DC2" w:rsidRPr="00A60DC2">
        <w:rPr>
          <w:b/>
          <w:bCs/>
          <w:lang w:val="es-ES_tradnl"/>
        </w:rPr>
        <w:t xml:space="preserve"> </w:t>
      </w:r>
      <w:r w:rsidRPr="00A60DC2">
        <w:rPr>
          <w:b/>
          <w:bCs/>
          <w:lang w:val="es-ES_tradnl"/>
        </w:rPr>
        <w:t>1 de enero de 2026</w:t>
      </w:r>
    </w:p>
    <w:p w14:paraId="2D61F703" w14:textId="77777777" w:rsidR="00DD34E1" w:rsidRPr="00A60DC2" w:rsidRDefault="00DD34E1" w:rsidP="00DD34E1">
      <w:pPr>
        <w:rPr>
          <w:szCs w:val="22"/>
          <w:lang w:val="es-ES_tradnl"/>
        </w:rPr>
      </w:pPr>
    </w:p>
    <w:p w14:paraId="224DF367" w14:textId="6846C2CC" w:rsidR="00DD34E1" w:rsidRPr="00A60DC2" w:rsidRDefault="00DD34E1" w:rsidP="00DD34E1">
      <w:pPr>
        <w:jc w:val="both"/>
        <w:rPr>
          <w:lang w:val="es-ES_tradnl"/>
        </w:rPr>
      </w:pPr>
      <w:r w:rsidRPr="00A60DC2">
        <w:rPr>
          <w:lang w:val="es-ES_tradnl"/>
        </w:rPr>
        <w:t xml:space="preserve">El documento de Excel </w:t>
      </w:r>
      <w:r w:rsidR="000E1541">
        <w:rPr>
          <w:lang w:val="es-ES_tradnl"/>
        </w:rPr>
        <w:t>“</w:t>
      </w:r>
      <w:proofErr w:type="spellStart"/>
      <w:r w:rsidRPr="00A60DC2">
        <w:rPr>
          <w:lang w:val="es-ES_tradnl"/>
        </w:rPr>
        <w:t>Revision</w:t>
      </w:r>
      <w:proofErr w:type="spellEnd"/>
      <w:r w:rsidRPr="00A60DC2">
        <w:rPr>
          <w:lang w:val="es-ES_tradnl"/>
        </w:rPr>
        <w:t xml:space="preserve"> file 2026-13 (E/F/S)</w:t>
      </w:r>
      <w:r w:rsidR="000E1541">
        <w:rPr>
          <w:lang w:val="es-ES_tradnl"/>
        </w:rPr>
        <w:t>”</w:t>
      </w:r>
      <w:r w:rsidRPr="00A60DC2">
        <w:rPr>
          <w:lang w:val="es-ES_tradnl"/>
        </w:rPr>
        <w:t xml:space="preserve"> contiene la Lista de Productos y Servicios, así como los Títulos de las Clases y las Notas Explicativas de la 12.ª edición, versión 2025 y de la 13.ª edición, versión 2026, en inglés, francés y español.</w:t>
      </w:r>
      <w:r w:rsidR="00A60DC2" w:rsidRPr="00A60DC2">
        <w:rPr>
          <w:lang w:val="es-ES_tradnl"/>
        </w:rPr>
        <w:t xml:space="preserve"> </w:t>
      </w:r>
      <w:r w:rsidRPr="00A60DC2">
        <w:rPr>
          <w:lang w:val="es-ES_tradnl"/>
        </w:rPr>
        <w:t xml:space="preserve">Los cambios realizados en la versión 2025 se indican en las columnas </w:t>
      </w:r>
      <w:r w:rsidR="000E1541">
        <w:rPr>
          <w:lang w:val="es-ES_tradnl"/>
        </w:rPr>
        <w:t>“</w:t>
      </w:r>
      <w:proofErr w:type="spellStart"/>
      <w:r w:rsidRPr="00A60DC2">
        <w:rPr>
          <w:i/>
          <w:iCs/>
          <w:lang w:val="es-ES_tradnl"/>
        </w:rPr>
        <w:t>Action</w:t>
      </w:r>
      <w:proofErr w:type="spellEnd"/>
      <w:r w:rsidRPr="00A60DC2">
        <w:rPr>
          <w:i/>
          <w:iCs/>
          <w:lang w:val="es-ES_tradnl"/>
        </w:rPr>
        <w:t xml:space="preserve"> EN</w:t>
      </w:r>
      <w:r w:rsidR="000E1541">
        <w:rPr>
          <w:lang w:val="es-ES_tradnl"/>
        </w:rPr>
        <w:t>”</w:t>
      </w:r>
      <w:r w:rsidRPr="00A60DC2">
        <w:rPr>
          <w:lang w:val="es-ES_tradnl"/>
        </w:rPr>
        <w:t xml:space="preserve"> para la versión en inglés, </w:t>
      </w:r>
      <w:r w:rsidR="000E1541">
        <w:rPr>
          <w:lang w:val="es-ES_tradnl"/>
        </w:rPr>
        <w:t>“</w:t>
      </w:r>
      <w:proofErr w:type="spellStart"/>
      <w:r w:rsidRPr="00A60DC2">
        <w:rPr>
          <w:i/>
          <w:iCs/>
          <w:lang w:val="es-ES_tradnl"/>
        </w:rPr>
        <w:t>Action</w:t>
      </w:r>
      <w:proofErr w:type="spellEnd"/>
      <w:r w:rsidRPr="00A60DC2">
        <w:rPr>
          <w:i/>
          <w:iCs/>
          <w:lang w:val="es-ES_tradnl"/>
        </w:rPr>
        <w:t xml:space="preserve"> FR</w:t>
      </w:r>
      <w:r w:rsidR="000E1541">
        <w:rPr>
          <w:lang w:val="es-ES_tradnl"/>
        </w:rPr>
        <w:t>”</w:t>
      </w:r>
      <w:r w:rsidRPr="00A60DC2">
        <w:rPr>
          <w:lang w:val="es-ES_tradnl"/>
        </w:rPr>
        <w:t xml:space="preserve"> para la versión en francés y </w:t>
      </w:r>
      <w:r w:rsidR="000E1541">
        <w:rPr>
          <w:lang w:val="es-ES_tradnl"/>
        </w:rPr>
        <w:t>“</w:t>
      </w:r>
      <w:r w:rsidRPr="00A60DC2">
        <w:rPr>
          <w:i/>
          <w:iCs/>
          <w:lang w:val="es-ES_tradnl"/>
        </w:rPr>
        <w:t>Acción ES</w:t>
      </w:r>
      <w:r w:rsidR="000E1541">
        <w:rPr>
          <w:lang w:val="es-ES_tradnl"/>
        </w:rPr>
        <w:t>”</w:t>
      </w:r>
      <w:r w:rsidRPr="00A60DC2">
        <w:rPr>
          <w:lang w:val="es-ES_tradnl"/>
        </w:rPr>
        <w:t xml:space="preserve"> (columna N) para la versión en español, de la siguiente manera:</w:t>
      </w:r>
    </w:p>
    <w:p w14:paraId="237F6A92" w14:textId="77777777" w:rsidR="00DD34E1" w:rsidRPr="00A60DC2" w:rsidRDefault="00DD34E1" w:rsidP="00DD34E1">
      <w:pPr>
        <w:jc w:val="both"/>
        <w:rPr>
          <w:lang w:val="es-ES_tradnl"/>
        </w:rPr>
      </w:pPr>
    </w:p>
    <w:p w14:paraId="6A2826B2" w14:textId="1D67293D" w:rsidR="00DD34E1" w:rsidRPr="00A60DC2" w:rsidRDefault="00DD34E1" w:rsidP="00DD34E1">
      <w:pPr>
        <w:ind w:left="708"/>
        <w:jc w:val="both"/>
        <w:rPr>
          <w:lang w:val="es-ES_tradnl"/>
        </w:rPr>
      </w:pPr>
      <w:r w:rsidRPr="00A60DC2">
        <w:rPr>
          <w:lang w:val="es-ES_tradnl"/>
        </w:rPr>
        <w:t>–</w:t>
      </w:r>
      <w:r w:rsidR="00A60DC2" w:rsidRPr="00A60DC2">
        <w:rPr>
          <w:lang w:val="es-ES_tradnl"/>
        </w:rPr>
        <w:t xml:space="preserve"> </w:t>
      </w:r>
      <w:r w:rsidR="000E1541">
        <w:rPr>
          <w:lang w:val="es-ES_tradnl"/>
        </w:rPr>
        <w:t>“</w:t>
      </w:r>
      <w:r w:rsidRPr="00A60DC2">
        <w:rPr>
          <w:i/>
          <w:iCs/>
          <w:lang w:val="es-ES_tradnl"/>
        </w:rPr>
        <w:t>Cambiar</w:t>
      </w:r>
      <w:r w:rsidR="000E1541">
        <w:rPr>
          <w:lang w:val="es-ES_tradnl"/>
        </w:rPr>
        <w:t>”</w:t>
      </w:r>
      <w:r w:rsidRPr="00A60DC2">
        <w:rPr>
          <w:lang w:val="es-ES_tradnl"/>
        </w:rPr>
        <w:t xml:space="preserve"> significa que se ha modificado un lugar (título de clase, nota explicativa, observaciones generales) o una indicación perteneciente a un número de base existente (cambio de redacción y/u ortografía, término sinónimo añadido, término sinónimo suprimido).</w:t>
      </w:r>
    </w:p>
    <w:p w14:paraId="21617BB1" w14:textId="77777777" w:rsidR="00DD34E1" w:rsidRPr="00A60DC2" w:rsidRDefault="00DD34E1" w:rsidP="00DD34E1">
      <w:pPr>
        <w:ind w:left="708"/>
        <w:jc w:val="both"/>
        <w:rPr>
          <w:lang w:val="es-ES_tradnl"/>
        </w:rPr>
      </w:pPr>
    </w:p>
    <w:p w14:paraId="33D306E6" w14:textId="4C4FCFCC" w:rsidR="00DD34E1" w:rsidRPr="00A60DC2" w:rsidRDefault="00DD34E1" w:rsidP="00DD34E1">
      <w:pPr>
        <w:ind w:left="708"/>
        <w:jc w:val="both"/>
        <w:rPr>
          <w:lang w:val="es-ES_tradnl"/>
        </w:rPr>
      </w:pPr>
      <w:r w:rsidRPr="00A60DC2">
        <w:rPr>
          <w:i/>
          <w:lang w:val="es-ES_tradnl"/>
        </w:rPr>
        <w:t>–</w:t>
      </w:r>
      <w:r w:rsidR="00A60DC2" w:rsidRPr="00A60DC2">
        <w:rPr>
          <w:i/>
          <w:lang w:val="es-ES_tradnl"/>
        </w:rPr>
        <w:t xml:space="preserve"> </w:t>
      </w:r>
      <w:r w:rsidR="000E1541">
        <w:rPr>
          <w:i/>
          <w:lang w:val="es-ES_tradnl"/>
        </w:rPr>
        <w:t>“</w:t>
      </w:r>
      <w:r w:rsidRPr="00A60DC2">
        <w:rPr>
          <w:i/>
          <w:lang w:val="es-ES_tradnl"/>
        </w:rPr>
        <w:t>Suprimir</w:t>
      </w:r>
      <w:r w:rsidR="000E1541">
        <w:rPr>
          <w:i/>
          <w:lang w:val="es-ES_tradnl"/>
        </w:rPr>
        <w:t>”</w:t>
      </w:r>
      <w:r w:rsidRPr="00A60DC2">
        <w:rPr>
          <w:lang w:val="es-ES_tradnl"/>
        </w:rPr>
        <w:t xml:space="preserve"> significa que todas las indicaciones pertenecientes a un número de base fueron suprimidas, o sea, el número de base ya no existe.</w:t>
      </w:r>
    </w:p>
    <w:p w14:paraId="41BC77FA" w14:textId="77777777" w:rsidR="00DD34E1" w:rsidRPr="00A60DC2" w:rsidRDefault="00DD34E1" w:rsidP="00DD34E1">
      <w:pPr>
        <w:ind w:left="708"/>
        <w:jc w:val="both"/>
        <w:rPr>
          <w:lang w:val="es-ES_tradnl"/>
        </w:rPr>
      </w:pPr>
    </w:p>
    <w:p w14:paraId="7653842A" w14:textId="1DD6E8B5" w:rsidR="00DD34E1" w:rsidRPr="00A60DC2" w:rsidRDefault="00DD34E1" w:rsidP="00DD34E1">
      <w:pPr>
        <w:ind w:left="708"/>
        <w:jc w:val="both"/>
        <w:rPr>
          <w:lang w:val="es-ES_tradnl"/>
        </w:rPr>
      </w:pPr>
      <w:r w:rsidRPr="00A60DC2">
        <w:rPr>
          <w:i/>
          <w:lang w:val="es-ES_tradnl"/>
        </w:rPr>
        <w:t>–</w:t>
      </w:r>
      <w:r w:rsidR="00A60DC2" w:rsidRPr="00A60DC2">
        <w:rPr>
          <w:i/>
          <w:lang w:val="es-ES_tradnl"/>
        </w:rPr>
        <w:t xml:space="preserve"> </w:t>
      </w:r>
      <w:r w:rsidR="000E1541">
        <w:rPr>
          <w:i/>
          <w:lang w:val="es-ES_tradnl"/>
        </w:rPr>
        <w:t>“</w:t>
      </w:r>
      <w:r w:rsidRPr="00A60DC2">
        <w:rPr>
          <w:i/>
          <w:lang w:val="es-ES_tradnl"/>
        </w:rPr>
        <w:t>Añadir</w:t>
      </w:r>
      <w:r w:rsidR="000E1541">
        <w:rPr>
          <w:i/>
          <w:lang w:val="es-ES_tradnl"/>
        </w:rPr>
        <w:t>”</w:t>
      </w:r>
      <w:r w:rsidRPr="00A60DC2">
        <w:rPr>
          <w:lang w:val="es-ES_tradnl"/>
        </w:rPr>
        <w:t xml:space="preserve"> señala las nuevas indicaciones de productos o servicios, que llevan un nuevo número de base.</w:t>
      </w:r>
    </w:p>
    <w:p w14:paraId="7D0230FF" w14:textId="77777777" w:rsidR="00DD34E1" w:rsidRPr="00A60DC2" w:rsidRDefault="00DD34E1" w:rsidP="00DD34E1">
      <w:pPr>
        <w:ind w:left="708"/>
        <w:jc w:val="both"/>
        <w:rPr>
          <w:lang w:val="es-ES_tradnl"/>
        </w:rPr>
      </w:pPr>
    </w:p>
    <w:p w14:paraId="581E9CA6" w14:textId="3CD6CA90" w:rsidR="00DD34E1" w:rsidRPr="00A60DC2" w:rsidRDefault="00DD34E1" w:rsidP="00DD34E1">
      <w:pPr>
        <w:ind w:left="720"/>
        <w:jc w:val="both"/>
        <w:rPr>
          <w:lang w:val="es-ES_tradnl"/>
        </w:rPr>
      </w:pPr>
      <w:r w:rsidRPr="00A60DC2">
        <w:rPr>
          <w:i/>
          <w:lang w:val="es-ES_tradnl"/>
        </w:rPr>
        <w:t>–</w:t>
      </w:r>
      <w:r w:rsidR="00A60DC2" w:rsidRPr="00A60DC2">
        <w:rPr>
          <w:i/>
          <w:lang w:val="es-ES_tradnl"/>
        </w:rPr>
        <w:t xml:space="preserve"> </w:t>
      </w:r>
      <w:r w:rsidR="000E1541">
        <w:rPr>
          <w:i/>
          <w:lang w:val="es-ES_tradnl"/>
        </w:rPr>
        <w:t>“</w:t>
      </w:r>
      <w:r w:rsidRPr="00A60DC2">
        <w:rPr>
          <w:i/>
          <w:lang w:val="es-ES_tradnl"/>
        </w:rPr>
        <w:t>Transferir</w:t>
      </w:r>
      <w:r w:rsidR="000E1541">
        <w:rPr>
          <w:i/>
          <w:lang w:val="es-ES_tradnl"/>
        </w:rPr>
        <w:t>”</w:t>
      </w:r>
      <w:r w:rsidRPr="00A60DC2">
        <w:rPr>
          <w:i/>
          <w:lang w:val="es-ES_tradnl"/>
        </w:rPr>
        <w:t xml:space="preserve"> </w:t>
      </w:r>
      <w:r w:rsidRPr="00A60DC2">
        <w:rPr>
          <w:lang w:val="es-ES_tradnl"/>
        </w:rPr>
        <w:t xml:space="preserve">significa que la indicación ha sido transferida a otra clase. El nuevo número de base aparece en la columna C (nueva clase en la columna D, clase anterior en la columna A). </w:t>
      </w:r>
      <w:r w:rsidR="000E1541">
        <w:rPr>
          <w:lang w:val="es-ES_tradnl"/>
        </w:rPr>
        <w:t>“</w:t>
      </w:r>
      <w:r w:rsidRPr="00A60DC2">
        <w:rPr>
          <w:i/>
          <w:lang w:val="es-ES_tradnl"/>
        </w:rPr>
        <w:t>Cambiar &amp; transferir</w:t>
      </w:r>
      <w:r w:rsidR="000E1541">
        <w:rPr>
          <w:lang w:val="es-ES_tradnl"/>
        </w:rPr>
        <w:t>”</w:t>
      </w:r>
      <w:r w:rsidRPr="00A60DC2">
        <w:rPr>
          <w:lang w:val="es-ES_tradnl"/>
        </w:rPr>
        <w:t xml:space="preserve"> significa que la indicación transferida ha sufrido además cambios de redacción y/u ortografía.</w:t>
      </w:r>
    </w:p>
    <w:p w14:paraId="69E47EE7" w14:textId="77777777" w:rsidR="00DD34E1" w:rsidRPr="00A60DC2" w:rsidRDefault="00DD34E1" w:rsidP="00DD34E1">
      <w:pPr>
        <w:ind w:left="720"/>
        <w:jc w:val="both"/>
        <w:rPr>
          <w:lang w:val="es-ES_tradnl"/>
        </w:rPr>
      </w:pPr>
    </w:p>
    <w:p w14:paraId="3F15E56C" w14:textId="1C37FF79" w:rsidR="00DD34E1" w:rsidRDefault="00DD34E1" w:rsidP="00DD34E1">
      <w:pPr>
        <w:rPr>
          <w:bCs/>
          <w:color w:val="0070C0"/>
          <w:szCs w:val="22"/>
          <w:lang w:val="es-ES_tradnl"/>
        </w:rPr>
      </w:pPr>
      <w:r w:rsidRPr="00A60DC2">
        <w:rPr>
          <w:bCs/>
          <w:color w:val="0070C0"/>
          <w:szCs w:val="22"/>
          <w:lang w:val="es-ES_tradnl"/>
        </w:rPr>
        <w:t xml:space="preserve">Al seleccionar </w:t>
      </w:r>
      <w:r w:rsidR="000E1541">
        <w:rPr>
          <w:bCs/>
          <w:color w:val="0070C0"/>
          <w:szCs w:val="22"/>
          <w:lang w:val="es-ES_tradnl"/>
        </w:rPr>
        <w:t>“</w:t>
      </w:r>
      <w:r w:rsidRPr="00A60DC2">
        <w:rPr>
          <w:bCs/>
          <w:color w:val="0070C0"/>
          <w:szCs w:val="22"/>
          <w:lang w:val="es-ES_tradnl"/>
        </w:rPr>
        <w:t>X</w:t>
      </w:r>
      <w:r w:rsidR="000E1541">
        <w:rPr>
          <w:bCs/>
          <w:color w:val="0070C0"/>
          <w:szCs w:val="22"/>
          <w:lang w:val="es-ES_tradnl"/>
        </w:rPr>
        <w:t>”</w:t>
      </w:r>
      <w:r w:rsidRPr="00A60DC2">
        <w:rPr>
          <w:bCs/>
          <w:color w:val="0070C0"/>
          <w:szCs w:val="22"/>
          <w:lang w:val="es-ES_tradnl"/>
        </w:rPr>
        <w:t xml:space="preserve"> en la columna </w:t>
      </w:r>
      <w:r w:rsidR="000E1541">
        <w:rPr>
          <w:bCs/>
          <w:color w:val="0070C0"/>
          <w:szCs w:val="22"/>
          <w:lang w:val="es-ES_tradnl"/>
        </w:rPr>
        <w:t>E</w:t>
      </w:r>
      <w:r w:rsidRPr="00A60DC2">
        <w:rPr>
          <w:bCs/>
          <w:color w:val="0070C0"/>
          <w:szCs w:val="22"/>
          <w:lang w:val="es-ES_tradnl"/>
        </w:rPr>
        <w:t>, se pueden filtrar todos los cambios de la versión 2025 tal como fueron adoptados por el Comité de Expertos.</w:t>
      </w:r>
    </w:p>
    <w:p w14:paraId="14CB97BA" w14:textId="77777777" w:rsidR="00EB2B45" w:rsidRDefault="00EB2B45" w:rsidP="00DD34E1">
      <w:pPr>
        <w:rPr>
          <w:bCs/>
          <w:color w:val="0070C0"/>
          <w:szCs w:val="22"/>
          <w:lang w:val="es-ES_tradnl"/>
        </w:rPr>
      </w:pPr>
    </w:p>
    <w:p w14:paraId="48CA815A" w14:textId="50B6B5EA" w:rsidR="00EB2B45" w:rsidRPr="00A60DC2" w:rsidRDefault="00EB2B45" w:rsidP="00EB2B45">
      <w:pPr>
        <w:rPr>
          <w:bCs/>
          <w:color w:val="0070C0"/>
          <w:szCs w:val="22"/>
          <w:lang w:val="es-ES_tradnl"/>
        </w:rPr>
      </w:pPr>
      <w:r w:rsidRPr="00EB2B45">
        <w:rPr>
          <w:color w:val="0070C0"/>
          <w:szCs w:val="22"/>
        </w:rPr>
        <w:t xml:space="preserve">Al seleccionar </w:t>
      </w:r>
      <w:r w:rsidR="000E1541">
        <w:rPr>
          <w:color w:val="0070C0"/>
          <w:szCs w:val="22"/>
        </w:rPr>
        <w:t>“</w:t>
      </w:r>
      <w:r w:rsidRPr="00EB2B45">
        <w:rPr>
          <w:color w:val="0070C0"/>
          <w:szCs w:val="22"/>
        </w:rPr>
        <w:t>O</w:t>
      </w:r>
      <w:r w:rsidR="000E1541">
        <w:rPr>
          <w:color w:val="0070C0"/>
          <w:szCs w:val="22"/>
        </w:rPr>
        <w:t>”</w:t>
      </w:r>
      <w:r w:rsidRPr="00EB2B45">
        <w:rPr>
          <w:color w:val="0070C0"/>
          <w:szCs w:val="22"/>
        </w:rPr>
        <w:t xml:space="preserve"> en la columna E</w:t>
      </w:r>
      <w:r w:rsidRPr="00046E9E">
        <w:rPr>
          <w:color w:val="0070C0"/>
          <w:szCs w:val="22"/>
        </w:rPr>
        <w:t xml:space="preserve">, </w:t>
      </w:r>
      <w:r w:rsidRPr="00EB2B45">
        <w:rPr>
          <w:bCs/>
          <w:color w:val="0070C0"/>
          <w:szCs w:val="22"/>
        </w:rPr>
        <w:t>se pueden filtrar todos los cambios realizados en la versión en español con el objetivo de mejorar la traducción (estos cambios no corresponden a ningún cambio en inglés o francés).</w:t>
      </w:r>
    </w:p>
    <w:p w14:paraId="460F441D" w14:textId="77777777" w:rsidR="00DD34E1" w:rsidRPr="00A60DC2" w:rsidRDefault="00DD34E1" w:rsidP="00DD34E1">
      <w:pPr>
        <w:ind w:left="708"/>
        <w:jc w:val="both"/>
        <w:rPr>
          <w:b/>
          <w:bCs/>
          <w:lang w:val="es-ES_tradnl"/>
        </w:rPr>
      </w:pPr>
    </w:p>
    <w:p w14:paraId="15733125" w14:textId="4A2EA03A" w:rsidR="00DD34E1" w:rsidRPr="00A60DC2" w:rsidRDefault="00DD34E1" w:rsidP="001F53AC">
      <w:pPr>
        <w:rPr>
          <w:lang w:val="es-ES_tradnl"/>
        </w:rPr>
      </w:pPr>
      <w:bookmarkStart w:id="2" w:name="_Hlk167365177"/>
      <w:r w:rsidRPr="00A60DC2">
        <w:rPr>
          <w:lang w:val="es-ES_tradnl"/>
        </w:rPr>
        <w:t xml:space="preserve">(Las indicaciones marcadas con una </w:t>
      </w:r>
      <w:r w:rsidR="000E1541">
        <w:rPr>
          <w:lang w:val="es-ES_tradnl"/>
        </w:rPr>
        <w:t>“</w:t>
      </w:r>
      <w:r w:rsidRPr="00A60DC2">
        <w:rPr>
          <w:lang w:val="es-ES_tradnl"/>
        </w:rPr>
        <w:t>Z</w:t>
      </w:r>
      <w:r w:rsidR="000E1541">
        <w:rPr>
          <w:lang w:val="es-ES_tradnl"/>
        </w:rPr>
        <w:t>”</w:t>
      </w:r>
      <w:r w:rsidRPr="00A60DC2">
        <w:rPr>
          <w:lang w:val="es-ES_tradnl"/>
        </w:rPr>
        <w:t xml:space="preserve"> en la columna </w:t>
      </w:r>
      <w:r w:rsidR="000E1541">
        <w:rPr>
          <w:lang w:val="es-ES_tradnl"/>
        </w:rPr>
        <w:t>E</w:t>
      </w:r>
      <w:r w:rsidRPr="00A60DC2">
        <w:rPr>
          <w:lang w:val="es-ES_tradnl"/>
        </w:rPr>
        <w:t xml:space="preserve"> son cambios de formato en inglés y francés realizados por razones técnicas. La redacción de estas indicaciones no ha cambiado).</w:t>
      </w:r>
    </w:p>
    <w:bookmarkEnd w:id="2"/>
    <w:p w14:paraId="6810E553" w14:textId="7B1719B1" w:rsidR="00A669AC" w:rsidRPr="00A60DC2" w:rsidRDefault="000D08FF" w:rsidP="001F53AC">
      <w:pPr>
        <w:pStyle w:val="Endofdocument-Annex"/>
        <w:spacing w:after="0"/>
        <w:rPr>
          <w:lang w:val="es-ES_tradnl"/>
        </w:rPr>
      </w:pPr>
      <w:r w:rsidRPr="00A60DC2">
        <w:rPr>
          <w:lang w:val="es-ES_tradnl"/>
        </w:rPr>
        <w:t>[</w:t>
      </w:r>
      <w:r w:rsidR="00DD34E1" w:rsidRPr="00A60DC2">
        <w:rPr>
          <w:lang w:val="es-ES_tradnl"/>
        </w:rPr>
        <w:t xml:space="preserve">Fin del </w:t>
      </w:r>
      <w:r w:rsidR="00A60DC2" w:rsidRPr="00A60DC2">
        <w:rPr>
          <w:lang w:val="es-ES_tradnl"/>
        </w:rPr>
        <w:t>A</w:t>
      </w:r>
      <w:r w:rsidR="00DD34E1" w:rsidRPr="00A60DC2">
        <w:rPr>
          <w:lang w:val="es-ES_tradnl"/>
        </w:rPr>
        <w:t>nexo</w:t>
      </w:r>
      <w:r w:rsidRPr="00A60DC2">
        <w:rPr>
          <w:lang w:val="es-ES_tradnl"/>
        </w:rPr>
        <w:t xml:space="preserve"> II]</w:t>
      </w:r>
    </w:p>
    <w:sectPr w:rsidR="00A669AC" w:rsidRPr="00A60DC2" w:rsidSect="000D08FF">
      <w:headerReference w:type="first" r:id="rId19"/>
      <w:endnotePr>
        <w:numFmt w:val="decimal"/>
      </w:endnotePr>
      <w:pgSz w:w="11907" w:h="16840" w:code="9"/>
      <w:pgMar w:top="1800" w:right="1440" w:bottom="1800" w:left="1440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CBD27" w14:textId="77777777" w:rsidR="00E24C81" w:rsidRDefault="00E24C81">
      <w:r>
        <w:separator/>
      </w:r>
    </w:p>
  </w:endnote>
  <w:endnote w:type="continuationSeparator" w:id="0">
    <w:p w14:paraId="4F7285A4" w14:textId="77777777" w:rsidR="00E24C81" w:rsidRDefault="00E24C81" w:rsidP="003B38C1">
      <w:r>
        <w:separator/>
      </w:r>
    </w:p>
    <w:p w14:paraId="777DC1A3" w14:textId="77777777" w:rsidR="00E24C81" w:rsidRPr="00A60DC2" w:rsidRDefault="00E24C81" w:rsidP="003B38C1">
      <w:pPr>
        <w:spacing w:after="60"/>
        <w:rPr>
          <w:sz w:val="17"/>
          <w:lang w:val="en-US"/>
        </w:rPr>
      </w:pPr>
      <w:r w:rsidRPr="00A60DC2">
        <w:rPr>
          <w:sz w:val="17"/>
          <w:lang w:val="en-US"/>
        </w:rPr>
        <w:t>[Endnote continued from previous page]</w:t>
      </w:r>
    </w:p>
  </w:endnote>
  <w:endnote w:type="continuationNotice" w:id="1">
    <w:p w14:paraId="2BCCD743" w14:textId="77777777" w:rsidR="00E24C81" w:rsidRPr="00A60DC2" w:rsidRDefault="00E24C81" w:rsidP="003B38C1">
      <w:pPr>
        <w:spacing w:before="60"/>
        <w:jc w:val="right"/>
        <w:rPr>
          <w:sz w:val="17"/>
          <w:szCs w:val="17"/>
          <w:lang w:val="en-US"/>
        </w:rPr>
      </w:pPr>
      <w:r w:rsidRPr="00A60DC2">
        <w:rPr>
          <w:sz w:val="17"/>
          <w:szCs w:val="17"/>
          <w:lang w:val="en-US"/>
        </w:rPr>
        <w:t xml:space="preserve">[Endnote </w:t>
      </w:r>
      <w:proofErr w:type="gramStart"/>
      <w:r w:rsidRPr="00A60DC2">
        <w:rPr>
          <w:sz w:val="17"/>
          <w:szCs w:val="17"/>
          <w:lang w:val="en-US"/>
        </w:rPr>
        <w:t>continued on</w:t>
      </w:r>
      <w:proofErr w:type="gramEnd"/>
      <w:r w:rsidRPr="00A60DC2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1FF8E" w14:textId="77777777" w:rsidR="00E24C81" w:rsidRDefault="00E24C81">
      <w:r>
        <w:separator/>
      </w:r>
    </w:p>
  </w:footnote>
  <w:footnote w:type="continuationSeparator" w:id="0">
    <w:p w14:paraId="3225638C" w14:textId="77777777" w:rsidR="00E24C81" w:rsidRDefault="00E24C81" w:rsidP="008B60B2">
      <w:r>
        <w:separator/>
      </w:r>
    </w:p>
    <w:p w14:paraId="5F68C674" w14:textId="77777777" w:rsidR="00E24C81" w:rsidRPr="00A60DC2" w:rsidRDefault="00E24C81" w:rsidP="008B60B2">
      <w:pPr>
        <w:spacing w:after="60"/>
        <w:rPr>
          <w:sz w:val="17"/>
          <w:szCs w:val="17"/>
          <w:lang w:val="en-US"/>
        </w:rPr>
      </w:pPr>
      <w:r w:rsidRPr="00A60DC2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FCBAF11" w14:textId="77777777" w:rsidR="00E24C81" w:rsidRPr="00A60DC2" w:rsidRDefault="00E24C81" w:rsidP="008B60B2">
      <w:pPr>
        <w:spacing w:before="60"/>
        <w:jc w:val="right"/>
        <w:rPr>
          <w:sz w:val="17"/>
          <w:szCs w:val="17"/>
          <w:lang w:val="en-US"/>
        </w:rPr>
      </w:pPr>
      <w:r w:rsidRPr="00A60DC2">
        <w:rPr>
          <w:sz w:val="17"/>
          <w:szCs w:val="17"/>
          <w:lang w:val="en-US"/>
        </w:rPr>
        <w:t xml:space="preserve">[Footnote </w:t>
      </w:r>
      <w:proofErr w:type="gramStart"/>
      <w:r w:rsidRPr="00A60DC2">
        <w:rPr>
          <w:sz w:val="17"/>
          <w:szCs w:val="17"/>
          <w:lang w:val="en-US"/>
        </w:rPr>
        <w:t>continued on</w:t>
      </w:r>
      <w:proofErr w:type="gramEnd"/>
      <w:r w:rsidRPr="00A60DC2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C955" w14:textId="77777777" w:rsidR="00623DAC" w:rsidRDefault="00623DAC" w:rsidP="00B40CAC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AA0FF0"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67B15" w14:textId="24B41ED6" w:rsidR="00163F61" w:rsidRDefault="001E2A93" w:rsidP="00A669AC">
    <w:pPr>
      <w:spacing w:after="440"/>
      <w:jc w:val="right"/>
    </w:pPr>
    <w:r>
      <w:t xml:space="preserve">página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340D3F">
      <w:t>3</w:t>
    </w:r>
    <w:r w:rsidR="00163F6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CEB4" w14:textId="77777777" w:rsidR="00A669AC" w:rsidRDefault="00A669AC" w:rsidP="00B40CAC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35B7" w14:textId="08727A17" w:rsidR="00A669AC" w:rsidRDefault="00A669AC" w:rsidP="00A60DC2">
    <w:pPr>
      <w:spacing w:after="240"/>
      <w:ind w:right="340"/>
      <w:jc w:val="right"/>
    </w:pPr>
    <w:r>
      <w:t xml:space="preserve">Anexo I, página </w:t>
    </w: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AC47" w14:textId="3E9A8C17" w:rsidR="00A669AC" w:rsidRPr="00A669AC" w:rsidRDefault="00A669AC" w:rsidP="00A669AC">
    <w:pPr>
      <w:pStyle w:val="Header"/>
      <w:spacing w:after="440"/>
      <w:jc w:val="right"/>
    </w:pPr>
    <w:r>
      <w:t>ANEXO I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46D9" w14:textId="48D9C81A" w:rsidR="000D08FF" w:rsidRPr="00A669AC" w:rsidRDefault="000D08FF" w:rsidP="00A669AC">
    <w:pPr>
      <w:pStyle w:val="Header"/>
      <w:spacing w:after="440"/>
      <w:jc w:val="right"/>
    </w:pPr>
    <w:r>
      <w:t>ANEXO 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0F4C79F3"/>
    <w:multiLevelType w:val="hybridMultilevel"/>
    <w:tmpl w:val="F56E2B30"/>
    <w:lvl w:ilvl="0" w:tplc="18DE79AA"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2103367">
    <w:abstractNumId w:val="0"/>
  </w:num>
  <w:num w:numId="2" w16cid:durableId="873033039">
    <w:abstractNumId w:val="3"/>
  </w:num>
  <w:num w:numId="3" w16cid:durableId="1458985954">
    <w:abstractNumId w:val="7"/>
  </w:num>
  <w:num w:numId="4" w16cid:durableId="1440179366">
    <w:abstractNumId w:val="0"/>
  </w:num>
  <w:num w:numId="5" w16cid:durableId="495267067">
    <w:abstractNumId w:val="9"/>
  </w:num>
  <w:num w:numId="6" w16cid:durableId="1373841233">
    <w:abstractNumId w:val="1"/>
  </w:num>
  <w:num w:numId="7" w16cid:durableId="642584367">
    <w:abstractNumId w:val="4"/>
  </w:num>
  <w:num w:numId="8" w16cid:durableId="1546523786">
    <w:abstractNumId w:val="5"/>
  </w:num>
  <w:num w:numId="9" w16cid:durableId="772093951">
    <w:abstractNumId w:val="8"/>
  </w:num>
  <w:num w:numId="10" w16cid:durableId="17440031">
    <w:abstractNumId w:val="10"/>
  </w:num>
  <w:num w:numId="11" w16cid:durableId="1840804275">
    <w:abstractNumId w:val="6"/>
  </w:num>
  <w:num w:numId="12" w16cid:durableId="417137073">
    <w:abstractNumId w:val="5"/>
  </w:num>
  <w:num w:numId="13" w16cid:durableId="1989356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16"/>
    <w:rsid w:val="00005CFF"/>
    <w:rsid w:val="00006BB9"/>
    <w:rsid w:val="000112B6"/>
    <w:rsid w:val="000123A6"/>
    <w:rsid w:val="000131CA"/>
    <w:rsid w:val="00013F2F"/>
    <w:rsid w:val="0001498A"/>
    <w:rsid w:val="0001557D"/>
    <w:rsid w:val="00015B6B"/>
    <w:rsid w:val="00020224"/>
    <w:rsid w:val="00021D7E"/>
    <w:rsid w:val="00025D22"/>
    <w:rsid w:val="00025F96"/>
    <w:rsid w:val="00026C13"/>
    <w:rsid w:val="0002779E"/>
    <w:rsid w:val="0003773A"/>
    <w:rsid w:val="0004259A"/>
    <w:rsid w:val="00043313"/>
    <w:rsid w:val="0004381C"/>
    <w:rsid w:val="00043CAA"/>
    <w:rsid w:val="00046E9E"/>
    <w:rsid w:val="00051F71"/>
    <w:rsid w:val="000531DC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0CFA"/>
    <w:rsid w:val="00081370"/>
    <w:rsid w:val="00084F1A"/>
    <w:rsid w:val="00086FE7"/>
    <w:rsid w:val="000915A1"/>
    <w:rsid w:val="000968ED"/>
    <w:rsid w:val="000A31D2"/>
    <w:rsid w:val="000A3911"/>
    <w:rsid w:val="000A525D"/>
    <w:rsid w:val="000A59C3"/>
    <w:rsid w:val="000A6C51"/>
    <w:rsid w:val="000A7ECE"/>
    <w:rsid w:val="000B518F"/>
    <w:rsid w:val="000B56C6"/>
    <w:rsid w:val="000C1C6D"/>
    <w:rsid w:val="000C1DE8"/>
    <w:rsid w:val="000C2665"/>
    <w:rsid w:val="000D08FF"/>
    <w:rsid w:val="000D13EF"/>
    <w:rsid w:val="000D1797"/>
    <w:rsid w:val="000D3921"/>
    <w:rsid w:val="000D77B0"/>
    <w:rsid w:val="000E0029"/>
    <w:rsid w:val="000E1541"/>
    <w:rsid w:val="000E402F"/>
    <w:rsid w:val="000E73ED"/>
    <w:rsid w:val="000F2C6F"/>
    <w:rsid w:val="000F37ED"/>
    <w:rsid w:val="000F42AB"/>
    <w:rsid w:val="000F5E56"/>
    <w:rsid w:val="000F735D"/>
    <w:rsid w:val="0010204E"/>
    <w:rsid w:val="00103147"/>
    <w:rsid w:val="00106646"/>
    <w:rsid w:val="001126E8"/>
    <w:rsid w:val="00113C32"/>
    <w:rsid w:val="0011566E"/>
    <w:rsid w:val="001170B8"/>
    <w:rsid w:val="00121CFE"/>
    <w:rsid w:val="0012343B"/>
    <w:rsid w:val="00125119"/>
    <w:rsid w:val="00125D9D"/>
    <w:rsid w:val="001272E3"/>
    <w:rsid w:val="00131BD8"/>
    <w:rsid w:val="00133F53"/>
    <w:rsid w:val="001362EE"/>
    <w:rsid w:val="00137070"/>
    <w:rsid w:val="001370D1"/>
    <w:rsid w:val="001444F5"/>
    <w:rsid w:val="00144D9E"/>
    <w:rsid w:val="001465F7"/>
    <w:rsid w:val="0015037D"/>
    <w:rsid w:val="00153AE0"/>
    <w:rsid w:val="0015403C"/>
    <w:rsid w:val="00160247"/>
    <w:rsid w:val="001619AF"/>
    <w:rsid w:val="00163F61"/>
    <w:rsid w:val="00166299"/>
    <w:rsid w:val="00170557"/>
    <w:rsid w:val="00174715"/>
    <w:rsid w:val="00174735"/>
    <w:rsid w:val="0017496A"/>
    <w:rsid w:val="00175939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235D"/>
    <w:rsid w:val="001B4A26"/>
    <w:rsid w:val="001B7101"/>
    <w:rsid w:val="001C0965"/>
    <w:rsid w:val="001C2D7E"/>
    <w:rsid w:val="001C60E5"/>
    <w:rsid w:val="001C6B17"/>
    <w:rsid w:val="001C76FA"/>
    <w:rsid w:val="001D0B52"/>
    <w:rsid w:val="001D15DD"/>
    <w:rsid w:val="001D4A89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53AC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12A1D"/>
    <w:rsid w:val="0022259F"/>
    <w:rsid w:val="0022434D"/>
    <w:rsid w:val="0022493E"/>
    <w:rsid w:val="00224A8A"/>
    <w:rsid w:val="00230943"/>
    <w:rsid w:val="00232C88"/>
    <w:rsid w:val="0023598F"/>
    <w:rsid w:val="002408FD"/>
    <w:rsid w:val="00244124"/>
    <w:rsid w:val="00246ACA"/>
    <w:rsid w:val="00250D81"/>
    <w:rsid w:val="00251890"/>
    <w:rsid w:val="0025278E"/>
    <w:rsid w:val="002534CF"/>
    <w:rsid w:val="00253685"/>
    <w:rsid w:val="00253A4B"/>
    <w:rsid w:val="0025542A"/>
    <w:rsid w:val="00256717"/>
    <w:rsid w:val="00257653"/>
    <w:rsid w:val="00260B68"/>
    <w:rsid w:val="002614B5"/>
    <w:rsid w:val="00262D96"/>
    <w:rsid w:val="002634C4"/>
    <w:rsid w:val="0026383E"/>
    <w:rsid w:val="00263E64"/>
    <w:rsid w:val="00266B6C"/>
    <w:rsid w:val="00271540"/>
    <w:rsid w:val="00275FE3"/>
    <w:rsid w:val="00277E98"/>
    <w:rsid w:val="00277F4D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A7E11"/>
    <w:rsid w:val="002B0BFD"/>
    <w:rsid w:val="002B1941"/>
    <w:rsid w:val="002B2200"/>
    <w:rsid w:val="002B5782"/>
    <w:rsid w:val="002B6590"/>
    <w:rsid w:val="002C1554"/>
    <w:rsid w:val="002C168C"/>
    <w:rsid w:val="002C38D8"/>
    <w:rsid w:val="002C3C7A"/>
    <w:rsid w:val="002C544F"/>
    <w:rsid w:val="002C76DE"/>
    <w:rsid w:val="002D3329"/>
    <w:rsid w:val="002D58E7"/>
    <w:rsid w:val="002D64E7"/>
    <w:rsid w:val="002E33EB"/>
    <w:rsid w:val="002F016B"/>
    <w:rsid w:val="002F1FE6"/>
    <w:rsid w:val="002F4E68"/>
    <w:rsid w:val="002F5591"/>
    <w:rsid w:val="002F56A3"/>
    <w:rsid w:val="002F589C"/>
    <w:rsid w:val="002F75AD"/>
    <w:rsid w:val="003000B0"/>
    <w:rsid w:val="00300795"/>
    <w:rsid w:val="00301B6D"/>
    <w:rsid w:val="00312F7F"/>
    <w:rsid w:val="003156C6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0D3F"/>
    <w:rsid w:val="00344F02"/>
    <w:rsid w:val="00345BBD"/>
    <w:rsid w:val="00346555"/>
    <w:rsid w:val="00346FA5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0D38"/>
    <w:rsid w:val="00384087"/>
    <w:rsid w:val="003845C1"/>
    <w:rsid w:val="00385B28"/>
    <w:rsid w:val="003866D5"/>
    <w:rsid w:val="003875B1"/>
    <w:rsid w:val="00395B20"/>
    <w:rsid w:val="00396BC4"/>
    <w:rsid w:val="00396CD6"/>
    <w:rsid w:val="003A0562"/>
    <w:rsid w:val="003A1108"/>
    <w:rsid w:val="003A2DF9"/>
    <w:rsid w:val="003A2E70"/>
    <w:rsid w:val="003A3050"/>
    <w:rsid w:val="003A3CE7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C2A20"/>
    <w:rsid w:val="003D2562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4D5A"/>
    <w:rsid w:val="00446430"/>
    <w:rsid w:val="00460876"/>
    <w:rsid w:val="004630B4"/>
    <w:rsid w:val="004647DA"/>
    <w:rsid w:val="00466BC7"/>
    <w:rsid w:val="0047006A"/>
    <w:rsid w:val="00471444"/>
    <w:rsid w:val="00474062"/>
    <w:rsid w:val="0047673E"/>
    <w:rsid w:val="00477D6B"/>
    <w:rsid w:val="00477EF9"/>
    <w:rsid w:val="00481841"/>
    <w:rsid w:val="00482D76"/>
    <w:rsid w:val="004854BE"/>
    <w:rsid w:val="00486F21"/>
    <w:rsid w:val="00487D92"/>
    <w:rsid w:val="00492DDA"/>
    <w:rsid w:val="004935CA"/>
    <w:rsid w:val="004936FC"/>
    <w:rsid w:val="00493F3A"/>
    <w:rsid w:val="004947C5"/>
    <w:rsid w:val="004A112B"/>
    <w:rsid w:val="004A1A05"/>
    <w:rsid w:val="004A2350"/>
    <w:rsid w:val="004B0093"/>
    <w:rsid w:val="004B279C"/>
    <w:rsid w:val="004B336C"/>
    <w:rsid w:val="004B37D3"/>
    <w:rsid w:val="004B5AB6"/>
    <w:rsid w:val="004C7C7E"/>
    <w:rsid w:val="004D5C6C"/>
    <w:rsid w:val="004D7917"/>
    <w:rsid w:val="004E1955"/>
    <w:rsid w:val="004E1BB8"/>
    <w:rsid w:val="004E2CBA"/>
    <w:rsid w:val="004E3193"/>
    <w:rsid w:val="004E7B72"/>
    <w:rsid w:val="004F0C0D"/>
    <w:rsid w:val="004F1650"/>
    <w:rsid w:val="004F1909"/>
    <w:rsid w:val="004F5536"/>
    <w:rsid w:val="004F5A30"/>
    <w:rsid w:val="004F5C07"/>
    <w:rsid w:val="00500786"/>
    <w:rsid w:val="00501740"/>
    <w:rsid w:val="005019FF"/>
    <w:rsid w:val="00502D4A"/>
    <w:rsid w:val="00510485"/>
    <w:rsid w:val="0051306F"/>
    <w:rsid w:val="0051310C"/>
    <w:rsid w:val="005162FD"/>
    <w:rsid w:val="00520ADD"/>
    <w:rsid w:val="005219BC"/>
    <w:rsid w:val="00523157"/>
    <w:rsid w:val="005233BA"/>
    <w:rsid w:val="005243B1"/>
    <w:rsid w:val="005265FF"/>
    <w:rsid w:val="0052730B"/>
    <w:rsid w:val="0053057A"/>
    <w:rsid w:val="00530695"/>
    <w:rsid w:val="00536124"/>
    <w:rsid w:val="005409D1"/>
    <w:rsid w:val="0054278F"/>
    <w:rsid w:val="00542CCC"/>
    <w:rsid w:val="00542E6D"/>
    <w:rsid w:val="00543082"/>
    <w:rsid w:val="00543BB9"/>
    <w:rsid w:val="00543DBC"/>
    <w:rsid w:val="00545D2F"/>
    <w:rsid w:val="00546473"/>
    <w:rsid w:val="00546A94"/>
    <w:rsid w:val="00547D86"/>
    <w:rsid w:val="00560A29"/>
    <w:rsid w:val="005621EC"/>
    <w:rsid w:val="005633D6"/>
    <w:rsid w:val="00563C83"/>
    <w:rsid w:val="00563FB7"/>
    <w:rsid w:val="00566749"/>
    <w:rsid w:val="00566C48"/>
    <w:rsid w:val="005703A2"/>
    <w:rsid w:val="0057102B"/>
    <w:rsid w:val="005739D6"/>
    <w:rsid w:val="00575BCC"/>
    <w:rsid w:val="00582217"/>
    <w:rsid w:val="00582D09"/>
    <w:rsid w:val="00582D8C"/>
    <w:rsid w:val="00585621"/>
    <w:rsid w:val="00585704"/>
    <w:rsid w:val="005868B8"/>
    <w:rsid w:val="005909A2"/>
    <w:rsid w:val="00590A30"/>
    <w:rsid w:val="0059245B"/>
    <w:rsid w:val="005978EB"/>
    <w:rsid w:val="005A0E31"/>
    <w:rsid w:val="005A192B"/>
    <w:rsid w:val="005A1BDA"/>
    <w:rsid w:val="005A3FBF"/>
    <w:rsid w:val="005A417E"/>
    <w:rsid w:val="005A7177"/>
    <w:rsid w:val="005B08DA"/>
    <w:rsid w:val="005B5479"/>
    <w:rsid w:val="005C6649"/>
    <w:rsid w:val="005C7065"/>
    <w:rsid w:val="005C720D"/>
    <w:rsid w:val="005D047A"/>
    <w:rsid w:val="005D1699"/>
    <w:rsid w:val="005D1905"/>
    <w:rsid w:val="005D37A6"/>
    <w:rsid w:val="005E58F6"/>
    <w:rsid w:val="005E628E"/>
    <w:rsid w:val="005F2F3B"/>
    <w:rsid w:val="00602D7F"/>
    <w:rsid w:val="006050DC"/>
    <w:rsid w:val="00605827"/>
    <w:rsid w:val="0061049B"/>
    <w:rsid w:val="00610FD9"/>
    <w:rsid w:val="00612606"/>
    <w:rsid w:val="00613134"/>
    <w:rsid w:val="006132AD"/>
    <w:rsid w:val="00614990"/>
    <w:rsid w:val="00620082"/>
    <w:rsid w:val="00623DAC"/>
    <w:rsid w:val="00624C81"/>
    <w:rsid w:val="00633529"/>
    <w:rsid w:val="00634AEE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16AD"/>
    <w:rsid w:val="006659A7"/>
    <w:rsid w:val="00665B2A"/>
    <w:rsid w:val="006713CA"/>
    <w:rsid w:val="00674ABA"/>
    <w:rsid w:val="00674FED"/>
    <w:rsid w:val="00675AF3"/>
    <w:rsid w:val="00676C5C"/>
    <w:rsid w:val="00682C41"/>
    <w:rsid w:val="00684699"/>
    <w:rsid w:val="00687B7E"/>
    <w:rsid w:val="00690A72"/>
    <w:rsid w:val="00691770"/>
    <w:rsid w:val="00692B61"/>
    <w:rsid w:val="006946BE"/>
    <w:rsid w:val="006A143E"/>
    <w:rsid w:val="006A27A6"/>
    <w:rsid w:val="006A4F13"/>
    <w:rsid w:val="006B0983"/>
    <w:rsid w:val="006B0BE3"/>
    <w:rsid w:val="006B2D57"/>
    <w:rsid w:val="006B2D74"/>
    <w:rsid w:val="006B4537"/>
    <w:rsid w:val="006B5A54"/>
    <w:rsid w:val="006B777E"/>
    <w:rsid w:val="006C26EC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2067"/>
    <w:rsid w:val="006E5237"/>
    <w:rsid w:val="006E6086"/>
    <w:rsid w:val="006F073B"/>
    <w:rsid w:val="006F1DB0"/>
    <w:rsid w:val="006F33FF"/>
    <w:rsid w:val="007005CC"/>
    <w:rsid w:val="007011F2"/>
    <w:rsid w:val="00705009"/>
    <w:rsid w:val="007149F3"/>
    <w:rsid w:val="00717FA6"/>
    <w:rsid w:val="007227A5"/>
    <w:rsid w:val="0072589C"/>
    <w:rsid w:val="007303D8"/>
    <w:rsid w:val="00741959"/>
    <w:rsid w:val="00742998"/>
    <w:rsid w:val="00743469"/>
    <w:rsid w:val="0074425A"/>
    <w:rsid w:val="00747B00"/>
    <w:rsid w:val="00753A06"/>
    <w:rsid w:val="0075497F"/>
    <w:rsid w:val="00756067"/>
    <w:rsid w:val="00760CDD"/>
    <w:rsid w:val="0076188F"/>
    <w:rsid w:val="00763837"/>
    <w:rsid w:val="007641F5"/>
    <w:rsid w:val="0076609B"/>
    <w:rsid w:val="00767C4D"/>
    <w:rsid w:val="00770D3E"/>
    <w:rsid w:val="007733E1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6C6"/>
    <w:rsid w:val="007A3DAE"/>
    <w:rsid w:val="007A69A5"/>
    <w:rsid w:val="007B63B0"/>
    <w:rsid w:val="007B75F1"/>
    <w:rsid w:val="007B7F73"/>
    <w:rsid w:val="007C0174"/>
    <w:rsid w:val="007C1B95"/>
    <w:rsid w:val="007C3E9B"/>
    <w:rsid w:val="007C42CE"/>
    <w:rsid w:val="007C49B6"/>
    <w:rsid w:val="007C6B91"/>
    <w:rsid w:val="007C76CF"/>
    <w:rsid w:val="007D0A9D"/>
    <w:rsid w:val="007D1613"/>
    <w:rsid w:val="007D1643"/>
    <w:rsid w:val="007D250A"/>
    <w:rsid w:val="007D5512"/>
    <w:rsid w:val="007E13CB"/>
    <w:rsid w:val="007E6E2E"/>
    <w:rsid w:val="007F4BB0"/>
    <w:rsid w:val="007F4D09"/>
    <w:rsid w:val="007F4F1C"/>
    <w:rsid w:val="007F62D1"/>
    <w:rsid w:val="007F7839"/>
    <w:rsid w:val="008004EF"/>
    <w:rsid w:val="00800950"/>
    <w:rsid w:val="00804EC4"/>
    <w:rsid w:val="00805484"/>
    <w:rsid w:val="008058A1"/>
    <w:rsid w:val="00807ED2"/>
    <w:rsid w:val="00811B3B"/>
    <w:rsid w:val="00824519"/>
    <w:rsid w:val="00825023"/>
    <w:rsid w:val="008267DC"/>
    <w:rsid w:val="00836053"/>
    <w:rsid w:val="00841ED0"/>
    <w:rsid w:val="008476AF"/>
    <w:rsid w:val="00851A1D"/>
    <w:rsid w:val="00853FA8"/>
    <w:rsid w:val="00854071"/>
    <w:rsid w:val="00855612"/>
    <w:rsid w:val="00864DDA"/>
    <w:rsid w:val="00873F28"/>
    <w:rsid w:val="008769F2"/>
    <w:rsid w:val="00880CA0"/>
    <w:rsid w:val="00882893"/>
    <w:rsid w:val="008831AC"/>
    <w:rsid w:val="00883598"/>
    <w:rsid w:val="00885618"/>
    <w:rsid w:val="00886684"/>
    <w:rsid w:val="00886C4A"/>
    <w:rsid w:val="00890EE3"/>
    <w:rsid w:val="008929D1"/>
    <w:rsid w:val="00893018"/>
    <w:rsid w:val="008948BE"/>
    <w:rsid w:val="00896DD3"/>
    <w:rsid w:val="008977D0"/>
    <w:rsid w:val="008977E8"/>
    <w:rsid w:val="008A0DCE"/>
    <w:rsid w:val="008A175B"/>
    <w:rsid w:val="008A4B45"/>
    <w:rsid w:val="008A529A"/>
    <w:rsid w:val="008A53D1"/>
    <w:rsid w:val="008B21CD"/>
    <w:rsid w:val="008B23F7"/>
    <w:rsid w:val="008B2CC1"/>
    <w:rsid w:val="008B60B2"/>
    <w:rsid w:val="008C2D2F"/>
    <w:rsid w:val="008C2FE6"/>
    <w:rsid w:val="008D17BD"/>
    <w:rsid w:val="008D4690"/>
    <w:rsid w:val="008D5107"/>
    <w:rsid w:val="008D5C1D"/>
    <w:rsid w:val="008D7D27"/>
    <w:rsid w:val="008E327C"/>
    <w:rsid w:val="008E3588"/>
    <w:rsid w:val="008E5B83"/>
    <w:rsid w:val="008F0911"/>
    <w:rsid w:val="008F0DC3"/>
    <w:rsid w:val="008F1F70"/>
    <w:rsid w:val="008F2EEE"/>
    <w:rsid w:val="008F3E4B"/>
    <w:rsid w:val="008F61FA"/>
    <w:rsid w:val="00905BFF"/>
    <w:rsid w:val="00906E66"/>
    <w:rsid w:val="00906E74"/>
    <w:rsid w:val="0090731E"/>
    <w:rsid w:val="009156FD"/>
    <w:rsid w:val="00916EE2"/>
    <w:rsid w:val="00917A56"/>
    <w:rsid w:val="00917F86"/>
    <w:rsid w:val="00922789"/>
    <w:rsid w:val="0092333B"/>
    <w:rsid w:val="00924970"/>
    <w:rsid w:val="00930A99"/>
    <w:rsid w:val="009378BE"/>
    <w:rsid w:val="00940793"/>
    <w:rsid w:val="00942E5D"/>
    <w:rsid w:val="00943E32"/>
    <w:rsid w:val="009442EC"/>
    <w:rsid w:val="00944577"/>
    <w:rsid w:val="009449F2"/>
    <w:rsid w:val="00945CE8"/>
    <w:rsid w:val="00953BD9"/>
    <w:rsid w:val="009543FA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3DFD"/>
    <w:rsid w:val="009A591F"/>
    <w:rsid w:val="009B0D97"/>
    <w:rsid w:val="009B1B7B"/>
    <w:rsid w:val="009B2901"/>
    <w:rsid w:val="009B69F0"/>
    <w:rsid w:val="009C03F5"/>
    <w:rsid w:val="009C0C04"/>
    <w:rsid w:val="009C66E0"/>
    <w:rsid w:val="009C6E30"/>
    <w:rsid w:val="009D4892"/>
    <w:rsid w:val="009D596B"/>
    <w:rsid w:val="009D64E4"/>
    <w:rsid w:val="009D75F7"/>
    <w:rsid w:val="009D7EAF"/>
    <w:rsid w:val="009E1869"/>
    <w:rsid w:val="009E2791"/>
    <w:rsid w:val="009E3F6F"/>
    <w:rsid w:val="009E3FBC"/>
    <w:rsid w:val="009E4DA2"/>
    <w:rsid w:val="009E5F9F"/>
    <w:rsid w:val="009E72BA"/>
    <w:rsid w:val="009F2A14"/>
    <w:rsid w:val="009F2AB1"/>
    <w:rsid w:val="009F499F"/>
    <w:rsid w:val="00A04B6E"/>
    <w:rsid w:val="00A15258"/>
    <w:rsid w:val="00A1570B"/>
    <w:rsid w:val="00A20BCE"/>
    <w:rsid w:val="00A21684"/>
    <w:rsid w:val="00A24E7B"/>
    <w:rsid w:val="00A25430"/>
    <w:rsid w:val="00A26154"/>
    <w:rsid w:val="00A2622E"/>
    <w:rsid w:val="00A27748"/>
    <w:rsid w:val="00A30E3F"/>
    <w:rsid w:val="00A34B65"/>
    <w:rsid w:val="00A353ED"/>
    <w:rsid w:val="00A35C1B"/>
    <w:rsid w:val="00A36B8F"/>
    <w:rsid w:val="00A36E85"/>
    <w:rsid w:val="00A42DAF"/>
    <w:rsid w:val="00A433F5"/>
    <w:rsid w:val="00A43C0A"/>
    <w:rsid w:val="00A456E7"/>
    <w:rsid w:val="00A45BD8"/>
    <w:rsid w:val="00A47BCE"/>
    <w:rsid w:val="00A50747"/>
    <w:rsid w:val="00A52B85"/>
    <w:rsid w:val="00A551BB"/>
    <w:rsid w:val="00A60DC2"/>
    <w:rsid w:val="00A62B02"/>
    <w:rsid w:val="00A62B04"/>
    <w:rsid w:val="00A669AC"/>
    <w:rsid w:val="00A66C34"/>
    <w:rsid w:val="00A67AA9"/>
    <w:rsid w:val="00A71066"/>
    <w:rsid w:val="00A72656"/>
    <w:rsid w:val="00A73E05"/>
    <w:rsid w:val="00A81E8A"/>
    <w:rsid w:val="00A83681"/>
    <w:rsid w:val="00A853D0"/>
    <w:rsid w:val="00A85763"/>
    <w:rsid w:val="00A869B7"/>
    <w:rsid w:val="00A87226"/>
    <w:rsid w:val="00A9158D"/>
    <w:rsid w:val="00A94E39"/>
    <w:rsid w:val="00AA0FF0"/>
    <w:rsid w:val="00AA1EEF"/>
    <w:rsid w:val="00AA1FD3"/>
    <w:rsid w:val="00AA6A5B"/>
    <w:rsid w:val="00AB74E9"/>
    <w:rsid w:val="00AC205C"/>
    <w:rsid w:val="00AC2CDF"/>
    <w:rsid w:val="00AC4204"/>
    <w:rsid w:val="00AC76CA"/>
    <w:rsid w:val="00AD0A43"/>
    <w:rsid w:val="00AD38EE"/>
    <w:rsid w:val="00AD6CB9"/>
    <w:rsid w:val="00AD760C"/>
    <w:rsid w:val="00AF0A6B"/>
    <w:rsid w:val="00AF145C"/>
    <w:rsid w:val="00AF2F61"/>
    <w:rsid w:val="00AF5108"/>
    <w:rsid w:val="00AF5441"/>
    <w:rsid w:val="00B030E8"/>
    <w:rsid w:val="00B05A69"/>
    <w:rsid w:val="00B1322D"/>
    <w:rsid w:val="00B140E1"/>
    <w:rsid w:val="00B14162"/>
    <w:rsid w:val="00B17D7F"/>
    <w:rsid w:val="00B21387"/>
    <w:rsid w:val="00B21BA5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45A2"/>
    <w:rsid w:val="00BC4E99"/>
    <w:rsid w:val="00BC65EF"/>
    <w:rsid w:val="00BD1984"/>
    <w:rsid w:val="00BD1BF1"/>
    <w:rsid w:val="00BD1ECD"/>
    <w:rsid w:val="00BE55D6"/>
    <w:rsid w:val="00BE5857"/>
    <w:rsid w:val="00BE5C1F"/>
    <w:rsid w:val="00BE7746"/>
    <w:rsid w:val="00BF5953"/>
    <w:rsid w:val="00C07897"/>
    <w:rsid w:val="00C1071D"/>
    <w:rsid w:val="00C11BFE"/>
    <w:rsid w:val="00C11DD0"/>
    <w:rsid w:val="00C146FC"/>
    <w:rsid w:val="00C20357"/>
    <w:rsid w:val="00C24084"/>
    <w:rsid w:val="00C30AB3"/>
    <w:rsid w:val="00C30B85"/>
    <w:rsid w:val="00C313ED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79A"/>
    <w:rsid w:val="00C659D2"/>
    <w:rsid w:val="00C67841"/>
    <w:rsid w:val="00C7062A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A773B"/>
    <w:rsid w:val="00CB132F"/>
    <w:rsid w:val="00CB13CA"/>
    <w:rsid w:val="00CB22AD"/>
    <w:rsid w:val="00CB5A5D"/>
    <w:rsid w:val="00CC09E6"/>
    <w:rsid w:val="00CC0F48"/>
    <w:rsid w:val="00CC3325"/>
    <w:rsid w:val="00CC4BFD"/>
    <w:rsid w:val="00CC5016"/>
    <w:rsid w:val="00CD1A92"/>
    <w:rsid w:val="00CD3F54"/>
    <w:rsid w:val="00CD489A"/>
    <w:rsid w:val="00CD5722"/>
    <w:rsid w:val="00CE0A51"/>
    <w:rsid w:val="00CE0F4D"/>
    <w:rsid w:val="00CE4F09"/>
    <w:rsid w:val="00CE54EF"/>
    <w:rsid w:val="00CE6390"/>
    <w:rsid w:val="00CE6CEE"/>
    <w:rsid w:val="00CF188F"/>
    <w:rsid w:val="00CF2509"/>
    <w:rsid w:val="00CF4536"/>
    <w:rsid w:val="00CF7028"/>
    <w:rsid w:val="00D01FB2"/>
    <w:rsid w:val="00D101C6"/>
    <w:rsid w:val="00D2176F"/>
    <w:rsid w:val="00D21966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0084"/>
    <w:rsid w:val="00D515F4"/>
    <w:rsid w:val="00D52A1B"/>
    <w:rsid w:val="00D53866"/>
    <w:rsid w:val="00D563F9"/>
    <w:rsid w:val="00D57F87"/>
    <w:rsid w:val="00D57F90"/>
    <w:rsid w:val="00D660B5"/>
    <w:rsid w:val="00D670E2"/>
    <w:rsid w:val="00D71B4D"/>
    <w:rsid w:val="00D76C5C"/>
    <w:rsid w:val="00D76F38"/>
    <w:rsid w:val="00D77464"/>
    <w:rsid w:val="00D7782C"/>
    <w:rsid w:val="00D826FA"/>
    <w:rsid w:val="00D86986"/>
    <w:rsid w:val="00D8708D"/>
    <w:rsid w:val="00D87C3F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34E1"/>
    <w:rsid w:val="00DD59EE"/>
    <w:rsid w:val="00DD7011"/>
    <w:rsid w:val="00DE58BB"/>
    <w:rsid w:val="00DE6B21"/>
    <w:rsid w:val="00DE764B"/>
    <w:rsid w:val="00DE7687"/>
    <w:rsid w:val="00DF0AA9"/>
    <w:rsid w:val="00DF582F"/>
    <w:rsid w:val="00DF7ACD"/>
    <w:rsid w:val="00E00B14"/>
    <w:rsid w:val="00E1152F"/>
    <w:rsid w:val="00E1203E"/>
    <w:rsid w:val="00E13693"/>
    <w:rsid w:val="00E13CD6"/>
    <w:rsid w:val="00E210C4"/>
    <w:rsid w:val="00E213EE"/>
    <w:rsid w:val="00E24C81"/>
    <w:rsid w:val="00E301B4"/>
    <w:rsid w:val="00E30640"/>
    <w:rsid w:val="00E31103"/>
    <w:rsid w:val="00E31164"/>
    <w:rsid w:val="00E335FE"/>
    <w:rsid w:val="00E42B9A"/>
    <w:rsid w:val="00E45AD6"/>
    <w:rsid w:val="00E45B7C"/>
    <w:rsid w:val="00E51B99"/>
    <w:rsid w:val="00E52B54"/>
    <w:rsid w:val="00E52C2C"/>
    <w:rsid w:val="00E53213"/>
    <w:rsid w:val="00E532DC"/>
    <w:rsid w:val="00E57473"/>
    <w:rsid w:val="00E62339"/>
    <w:rsid w:val="00E6635C"/>
    <w:rsid w:val="00E66C2C"/>
    <w:rsid w:val="00E70BFB"/>
    <w:rsid w:val="00E73486"/>
    <w:rsid w:val="00E73517"/>
    <w:rsid w:val="00E74760"/>
    <w:rsid w:val="00E74E25"/>
    <w:rsid w:val="00E77F3F"/>
    <w:rsid w:val="00E80539"/>
    <w:rsid w:val="00E86D8A"/>
    <w:rsid w:val="00E86E08"/>
    <w:rsid w:val="00E87F90"/>
    <w:rsid w:val="00E91DA5"/>
    <w:rsid w:val="00E92295"/>
    <w:rsid w:val="00E93B30"/>
    <w:rsid w:val="00E94F9B"/>
    <w:rsid w:val="00EA2F7F"/>
    <w:rsid w:val="00EA3A47"/>
    <w:rsid w:val="00EA6D64"/>
    <w:rsid w:val="00EB0E6B"/>
    <w:rsid w:val="00EB10D1"/>
    <w:rsid w:val="00EB2B45"/>
    <w:rsid w:val="00EB50E5"/>
    <w:rsid w:val="00EC23FC"/>
    <w:rsid w:val="00EC4E49"/>
    <w:rsid w:val="00EC572A"/>
    <w:rsid w:val="00ED0BB0"/>
    <w:rsid w:val="00ED4C4F"/>
    <w:rsid w:val="00ED52AB"/>
    <w:rsid w:val="00ED77C7"/>
    <w:rsid w:val="00ED77FB"/>
    <w:rsid w:val="00EE1AC1"/>
    <w:rsid w:val="00EE45FA"/>
    <w:rsid w:val="00EE5748"/>
    <w:rsid w:val="00EE581A"/>
    <w:rsid w:val="00EE791B"/>
    <w:rsid w:val="00EF0146"/>
    <w:rsid w:val="00EF13B7"/>
    <w:rsid w:val="00EF540A"/>
    <w:rsid w:val="00EF620D"/>
    <w:rsid w:val="00F05EC7"/>
    <w:rsid w:val="00F06DF3"/>
    <w:rsid w:val="00F0720F"/>
    <w:rsid w:val="00F165F2"/>
    <w:rsid w:val="00F201C4"/>
    <w:rsid w:val="00F243BD"/>
    <w:rsid w:val="00F27DC7"/>
    <w:rsid w:val="00F30605"/>
    <w:rsid w:val="00F34E89"/>
    <w:rsid w:val="00F3702D"/>
    <w:rsid w:val="00F37F68"/>
    <w:rsid w:val="00F407E2"/>
    <w:rsid w:val="00F439BC"/>
    <w:rsid w:val="00F4517C"/>
    <w:rsid w:val="00F52AC0"/>
    <w:rsid w:val="00F6258E"/>
    <w:rsid w:val="00F62CDB"/>
    <w:rsid w:val="00F64B5E"/>
    <w:rsid w:val="00F65629"/>
    <w:rsid w:val="00F65AB5"/>
    <w:rsid w:val="00F66152"/>
    <w:rsid w:val="00F712C8"/>
    <w:rsid w:val="00F7315B"/>
    <w:rsid w:val="00F7339C"/>
    <w:rsid w:val="00F73B93"/>
    <w:rsid w:val="00F73F3A"/>
    <w:rsid w:val="00F74C2E"/>
    <w:rsid w:val="00F74FCB"/>
    <w:rsid w:val="00F7721F"/>
    <w:rsid w:val="00F830BB"/>
    <w:rsid w:val="00F878DB"/>
    <w:rsid w:val="00F87C3E"/>
    <w:rsid w:val="00F87D6D"/>
    <w:rsid w:val="00F90CF1"/>
    <w:rsid w:val="00FA36AE"/>
    <w:rsid w:val="00FB2ADB"/>
    <w:rsid w:val="00FB30CF"/>
    <w:rsid w:val="00FB3AF4"/>
    <w:rsid w:val="00FC25CF"/>
    <w:rsid w:val="00FC3D36"/>
    <w:rsid w:val="00FC4C8A"/>
    <w:rsid w:val="00FC5D60"/>
    <w:rsid w:val="00FC72E7"/>
    <w:rsid w:val="00FD5775"/>
    <w:rsid w:val="00FE104E"/>
    <w:rsid w:val="00FE24DA"/>
    <w:rsid w:val="00FE795A"/>
    <w:rsid w:val="00FF005F"/>
    <w:rsid w:val="00FF3EC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94EFD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7062A"/>
    <w:pPr>
      <w:keepNext/>
      <w:spacing w:before="440" w:after="22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A669AC"/>
    <w:pPr>
      <w:spacing w:before="660" w:after="220"/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A669AC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346FA5"/>
    <w:rPr>
      <w:rFonts w:ascii="Arial" w:eastAsia="SimSun" w:hAnsi="Arial" w:cs="Arial"/>
      <w:sz w:val="22"/>
      <w:lang w:eastAsia="zh-CN"/>
    </w:rPr>
  </w:style>
  <w:style w:type="paragraph" w:customStyle="1" w:styleId="1TreatyHeading1">
    <w:name w:val="1 Treaty Heading 1"/>
    <w:basedOn w:val="Normal"/>
    <w:qFormat/>
    <w:rsid w:val="00A669AC"/>
    <w:pPr>
      <w:spacing w:before="57" w:after="300" w:line="300" w:lineRule="exact"/>
      <w:jc w:val="both"/>
      <w:outlineLvl w:val="0"/>
    </w:pPr>
    <w:rPr>
      <w:rFonts w:eastAsia="Times New Roman"/>
      <w:b/>
      <w:bCs/>
      <w:sz w:val="24"/>
      <w:lang w:eastAsia="en-US"/>
    </w:rPr>
  </w:style>
  <w:style w:type="paragraph" w:customStyle="1" w:styleId="TreatyDates">
    <w:name w:val="TreatyDates"/>
    <w:basedOn w:val="Normal"/>
    <w:qFormat/>
    <w:rsid w:val="00A669AC"/>
    <w:pPr>
      <w:spacing w:line="300" w:lineRule="exact"/>
      <w:ind w:left="567" w:right="-23"/>
    </w:pPr>
    <w:rPr>
      <w:rFonts w:eastAsia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E4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wipo.int/nice/its4nice/ITSupport_and_download_area/20260101/revision_files/ncl-20260101-EFS-revision_file.xlsx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clpub.wipo.int/ese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clpub.wipo.int/esen/" TargetMode="External"/><Relationship Id="rId10" Type="http://schemas.openxmlformats.org/officeDocument/2006/relationships/hyperlink" Target="https://webaccess.wipo.int/mgs/?lang=es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s://www.wipo.int/es/web/classification-nice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224E5-4938-4C23-AD16-C72C2702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1394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37/2025</vt:lpstr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37/2025</dc:title>
  <dc:subject>Entrada en vigor de la versión 2026 de la decimotercera edición de la Clasificación de Niza</dc:subject>
  <dc:creator>OMPI</dc:creator>
  <cp:keywords/>
  <cp:lastModifiedBy>Comment</cp:lastModifiedBy>
  <cp:revision>7</cp:revision>
  <cp:lastPrinted>2025-12-08T09:58:00Z</cp:lastPrinted>
  <dcterms:created xsi:type="dcterms:W3CDTF">2025-12-04T15:37:00Z</dcterms:created>
  <dcterms:modified xsi:type="dcterms:W3CDTF">2025-12-08T10:02:00Z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