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4404904C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4167F4">
              <w:rPr>
                <w:rFonts w:ascii="Arial Black" w:hAnsi="Arial Black"/>
                <w:color w:val="000000"/>
                <w:sz w:val="15"/>
                <w:lang w:val="es-ES_tradnl"/>
              </w:rPr>
              <w:t>27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7F3736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3C7B6A55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F84BE7">
        <w:rPr>
          <w:b/>
          <w:sz w:val="24"/>
          <w:szCs w:val="24"/>
          <w:lang w:val="es-ES_tradnl"/>
        </w:rPr>
        <w:t>Cuba</w:t>
      </w:r>
    </w:p>
    <w:p w14:paraId="16CE2E80" w14:textId="7E20808F" w:rsidR="002E5166" w:rsidRPr="00AD34C8" w:rsidRDefault="00AD34C8" w:rsidP="00AD34C8">
      <w:pPr>
        <w:pStyle w:val="ONUMFS"/>
        <w:rPr>
          <w:lang w:val="es-ES_tradnl" w:eastAsia="ja-JP"/>
        </w:rPr>
      </w:pPr>
      <w:r w:rsidRPr="00190B3C">
        <w:rPr>
          <w:lang w:val="es-ES_tradnl" w:eastAsia="ja-JP"/>
        </w:rPr>
        <w:t xml:space="preserve">De conformidad con la Regla </w:t>
      </w:r>
      <w:proofErr w:type="gramStart"/>
      <w:r w:rsidRPr="00190B3C">
        <w:rPr>
          <w:lang w:val="es-ES_tradnl" w:eastAsia="ja-JP"/>
        </w:rPr>
        <w:t>35.2)d</w:t>
      </w:r>
      <w:proofErr w:type="gramEnd"/>
      <w:r w:rsidRPr="00190B3C">
        <w:rPr>
          <w:lang w:val="es-ES_tradnl" w:eastAsia="ja-JP"/>
        </w:rPr>
        <w:t xml:space="preserve">) del Reglamento del Protocolo de Madrid, el </w:t>
      </w:r>
      <w:proofErr w:type="gramStart"/>
      <w:r w:rsidRPr="00190B3C">
        <w:rPr>
          <w:lang w:val="es-ES_tradnl" w:eastAsia="ja-JP"/>
        </w:rPr>
        <w:t>Director</w:t>
      </w:r>
      <w:r w:rsidR="0010735F">
        <w:rPr>
          <w:lang w:val="es-ES_tradnl" w:eastAsia="ja-JP"/>
        </w:rPr>
        <w:t> </w:t>
      </w:r>
      <w:r w:rsidRPr="00190B3C">
        <w:rPr>
          <w:lang w:val="es-ES_tradnl" w:eastAsia="ja-JP"/>
        </w:rPr>
        <w:t>General</w:t>
      </w:r>
      <w:proofErr w:type="gramEnd"/>
      <w:r w:rsidRPr="00190B3C">
        <w:rPr>
          <w:lang w:val="es-ES_tradnl" w:eastAsia="ja-JP"/>
        </w:rPr>
        <w:t xml:space="preserve"> de la Organización Mundial de la Propiedad Intelectual (OMPI) ha establecido nuevos importes, en francos suizos, de la tasa individual pagadera respecto de </w:t>
      </w:r>
      <w:r w:rsidR="00F84BE7">
        <w:rPr>
          <w:lang w:val="es-ES_tradnl" w:eastAsia="ja-JP"/>
        </w:rPr>
        <w:t>Cuba</w:t>
      </w:r>
      <w:r w:rsidRPr="00190B3C">
        <w:rPr>
          <w:lang w:val="es-ES_tradnl" w:eastAsia="ja-JP"/>
        </w:rPr>
        <w:t xml:space="preserve"> cuando se designe en una solicitud internacional, 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F84BE7">
        <w:rPr>
          <w:lang w:val="es-ES_tradnl" w:eastAsia="ja-JP"/>
        </w:rPr>
        <w:t>Cuba</w:t>
      </w:r>
      <w:r w:rsidRPr="00190B3C">
        <w:rPr>
          <w:lang w:val="es-ES_tradnl" w:eastAsia="ja-JP"/>
        </w:rPr>
        <w:t xml:space="preserve">.  </w:t>
      </w:r>
    </w:p>
    <w:p w14:paraId="50A31C55" w14:textId="1751EE79" w:rsidR="00250302" w:rsidRPr="004901C0" w:rsidRDefault="00F36F09" w:rsidP="004901C0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E26245">
        <w:rPr>
          <w:lang w:val="es-ES_tradnl" w:eastAsia="ja-JP"/>
        </w:rPr>
        <w:t>9</w:t>
      </w:r>
      <w:r w:rsidR="00DC07BF">
        <w:rPr>
          <w:lang w:val="es-ES_tradnl" w:eastAsia="ja-JP"/>
        </w:rPr>
        <w:t xml:space="preserve"> de </w:t>
      </w:r>
      <w:r w:rsidR="001A1F49">
        <w:rPr>
          <w:lang w:val="es-ES_tradnl" w:eastAsia="ja-JP"/>
        </w:rPr>
        <w:t>noviembre</w:t>
      </w:r>
      <w:r w:rsidR="002C4749">
        <w:rPr>
          <w:lang w:val="es-ES_tradnl" w:eastAsia="ja-JP"/>
        </w:rPr>
        <w:t xml:space="preserve"> </w:t>
      </w:r>
      <w:r w:rsidR="00DC07BF">
        <w:rPr>
          <w:lang w:val="es-ES_tradnl" w:eastAsia="ja-JP"/>
        </w:rPr>
        <w:t>de 2025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BE45F8">
        <w:rPr>
          <w:lang w:val="es-ES_tradnl" w:eastAsia="ja-JP"/>
        </w:rPr>
        <w:t xml:space="preserve"> </w:t>
      </w:r>
      <w:r w:rsidR="00F84BE7">
        <w:rPr>
          <w:lang w:val="es-ES_tradnl" w:eastAsia="ja-JP"/>
        </w:rPr>
        <w:t>Cuba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4438"/>
        <w:gridCol w:w="1418"/>
        <w:gridCol w:w="1553"/>
      </w:tblGrid>
      <w:tr w:rsidR="004901C0" w:rsidRPr="00615097" w14:paraId="2A018439" w14:textId="77777777" w:rsidTr="00E410AA">
        <w:trPr>
          <w:trHeight w:val="760"/>
        </w:trPr>
        <w:tc>
          <w:tcPr>
            <w:tcW w:w="6266" w:type="dxa"/>
            <w:gridSpan w:val="2"/>
            <w:vMerge w:val="restart"/>
          </w:tcPr>
          <w:p w14:paraId="2F92D48F" w14:textId="77777777" w:rsidR="004901C0" w:rsidRPr="004E34B0" w:rsidRDefault="004901C0" w:rsidP="00A820FE">
            <w:pPr>
              <w:rPr>
                <w:lang w:val="es-ES_tradnl"/>
              </w:rPr>
            </w:pPr>
          </w:p>
          <w:p w14:paraId="2EF148A5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797C9B7C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3C65D111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29125E1B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40B0FEFC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14:paraId="6132E6D5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  <w:tc>
          <w:tcPr>
            <w:tcW w:w="2971" w:type="dxa"/>
            <w:gridSpan w:val="2"/>
            <w:tcBorders>
              <w:bottom w:val="single" w:sz="4" w:space="0" w:color="auto"/>
            </w:tcBorders>
          </w:tcPr>
          <w:p w14:paraId="78CE58AF" w14:textId="77777777" w:rsidR="004901C0" w:rsidRPr="004E34B0" w:rsidRDefault="004901C0" w:rsidP="00A820FE">
            <w:pPr>
              <w:rPr>
                <w:lang w:val="es-ES_tradnl"/>
              </w:rPr>
            </w:pPr>
          </w:p>
          <w:p w14:paraId="1F2D3394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14:paraId="24206DF0" w14:textId="77777777" w:rsidR="004901C0" w:rsidRPr="004E34B0" w:rsidRDefault="004901C0" w:rsidP="00A820FE">
            <w:pPr>
              <w:jc w:val="center"/>
              <w:rPr>
                <w:lang w:val="es-ES_tradnl"/>
              </w:rPr>
            </w:pPr>
          </w:p>
          <w:p w14:paraId="0B265A5F" w14:textId="77777777" w:rsidR="004901C0" w:rsidRPr="004E34B0" w:rsidRDefault="004901C0" w:rsidP="00A820FE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14:paraId="59659B3E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</w:tr>
      <w:tr w:rsidR="004901C0" w:rsidRPr="00AA54AE" w14:paraId="06B2FDEB" w14:textId="77777777" w:rsidTr="00E410AA">
        <w:trPr>
          <w:trHeight w:val="760"/>
        </w:trPr>
        <w:tc>
          <w:tcPr>
            <w:tcW w:w="6266" w:type="dxa"/>
            <w:gridSpan w:val="2"/>
            <w:vMerge/>
          </w:tcPr>
          <w:p w14:paraId="173A4B5D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69DB4B" w14:textId="77777777" w:rsidR="004901C0" w:rsidRDefault="004901C0" w:rsidP="00A820FE">
            <w:pPr>
              <w:jc w:val="center"/>
              <w:rPr>
                <w:lang w:val="es-CU" w:eastAsia="ja-JP"/>
              </w:rPr>
            </w:pPr>
          </w:p>
          <w:p w14:paraId="049FDEA4" w14:textId="77777777" w:rsidR="00971F64" w:rsidRDefault="004901C0" w:rsidP="00971F64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14:paraId="73E0338C" w14:textId="0358976E" w:rsidR="00B84F72" w:rsidRDefault="00AB54BB" w:rsidP="00971F64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8</w:t>
            </w:r>
            <w:r w:rsidR="00971F64">
              <w:rPr>
                <w:lang w:val="es-ES_tradnl" w:eastAsia="ja-JP"/>
              </w:rPr>
              <w:t xml:space="preserve"> de </w:t>
            </w:r>
            <w:r w:rsidR="001A1F49">
              <w:rPr>
                <w:lang w:val="es-ES_tradnl" w:eastAsia="ja-JP"/>
              </w:rPr>
              <w:t>noviembre</w:t>
            </w:r>
            <w:r w:rsidR="00971F64">
              <w:rPr>
                <w:lang w:val="es-ES_tradnl" w:eastAsia="ja-JP"/>
              </w:rPr>
              <w:t xml:space="preserve"> </w:t>
            </w:r>
          </w:p>
          <w:p w14:paraId="130AA404" w14:textId="1A9F7F37" w:rsidR="004901C0" w:rsidRDefault="00971F64" w:rsidP="00971F64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de 2025</w:t>
            </w:r>
          </w:p>
          <w:p w14:paraId="2C40BF15" w14:textId="2CF9C24D" w:rsidR="00971F64" w:rsidRPr="00893138" w:rsidRDefault="00971F64" w:rsidP="00971F64">
            <w:pPr>
              <w:jc w:val="center"/>
              <w:rPr>
                <w:lang w:val="es-CU" w:eastAsia="ja-JP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4AEF52E2" w14:textId="77777777" w:rsidR="004901C0" w:rsidRDefault="004901C0" w:rsidP="00A820FE">
            <w:pPr>
              <w:rPr>
                <w:lang w:val="es-ES_tradnl"/>
              </w:rPr>
            </w:pPr>
          </w:p>
          <w:p w14:paraId="5A4B822A" w14:textId="77777777" w:rsidR="004901C0" w:rsidRDefault="004901C0" w:rsidP="00A820FE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 xml:space="preserve">a partir del </w:t>
            </w:r>
          </w:p>
          <w:p w14:paraId="2D995603" w14:textId="6A45CCF9" w:rsidR="00AF0C8C" w:rsidRDefault="00E26245" w:rsidP="00A820FE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9</w:t>
            </w:r>
            <w:r w:rsidR="00971F64" w:rsidRPr="00971F64">
              <w:rPr>
                <w:b/>
                <w:lang w:val="es-ES_tradnl" w:eastAsia="ja-JP"/>
              </w:rPr>
              <w:t xml:space="preserve"> de </w:t>
            </w:r>
            <w:r w:rsidR="001A1F49">
              <w:rPr>
                <w:b/>
                <w:lang w:val="es-ES_tradnl" w:eastAsia="ja-JP"/>
              </w:rPr>
              <w:t>noviembre</w:t>
            </w:r>
            <w:r w:rsidR="00971F64" w:rsidRPr="00971F64">
              <w:rPr>
                <w:b/>
                <w:lang w:val="es-ES_tradnl" w:eastAsia="ja-JP"/>
              </w:rPr>
              <w:t xml:space="preserve"> </w:t>
            </w:r>
          </w:p>
          <w:p w14:paraId="6CAEBDC4" w14:textId="76FEF210" w:rsidR="004901C0" w:rsidRPr="004E34B0" w:rsidRDefault="00971F64" w:rsidP="00A820FE">
            <w:pPr>
              <w:jc w:val="center"/>
              <w:rPr>
                <w:lang w:val="es-ES_tradnl"/>
              </w:rPr>
            </w:pPr>
            <w:r w:rsidRPr="00971F64">
              <w:rPr>
                <w:b/>
                <w:lang w:val="es-ES_tradnl" w:eastAsia="ja-JP"/>
              </w:rPr>
              <w:t>de 2025</w:t>
            </w:r>
          </w:p>
        </w:tc>
      </w:tr>
      <w:tr w:rsidR="007C5D42" w:rsidRPr="00615097" w14:paraId="6F36D6AA" w14:textId="77777777" w:rsidTr="00E410AA">
        <w:trPr>
          <w:trHeight w:val="256"/>
        </w:trPr>
        <w:tc>
          <w:tcPr>
            <w:tcW w:w="1828" w:type="dxa"/>
            <w:vMerge w:val="restart"/>
            <w:tcBorders>
              <w:right w:val="single" w:sz="4" w:space="0" w:color="auto"/>
            </w:tcBorders>
          </w:tcPr>
          <w:p w14:paraId="1BC3E1A3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</w:p>
          <w:p w14:paraId="44B3E5B5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</w:p>
          <w:p w14:paraId="44803323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</w:p>
          <w:p w14:paraId="05368C27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</w:p>
          <w:p w14:paraId="5E6F4AEA" w14:textId="77777777" w:rsidR="006E3CD1" w:rsidRDefault="006E3CD1" w:rsidP="00BA215F">
            <w:pPr>
              <w:jc w:val="center"/>
              <w:rPr>
                <w:lang w:val="es-ES_tradnl"/>
              </w:rPr>
            </w:pPr>
          </w:p>
          <w:p w14:paraId="2184A244" w14:textId="77777777" w:rsidR="006E3CD1" w:rsidRDefault="006E3CD1" w:rsidP="00BA215F">
            <w:pPr>
              <w:jc w:val="center"/>
              <w:rPr>
                <w:lang w:val="es-ES_tradnl"/>
              </w:rPr>
            </w:pPr>
          </w:p>
          <w:p w14:paraId="70BA24DB" w14:textId="6E99E8CB" w:rsidR="007C5D42" w:rsidRPr="004E34B0" w:rsidRDefault="007C5D42" w:rsidP="00BA215F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14:paraId="3024CF0F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14:paraId="0F284E3D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14:paraId="184E4132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7D623" w14:textId="77777777" w:rsidR="007C5D42" w:rsidRPr="004E34B0" w:rsidRDefault="007C5D42" w:rsidP="007C5D42">
            <w:pPr>
              <w:rPr>
                <w:lang w:val="es-ES_tradnl"/>
              </w:rPr>
            </w:pPr>
          </w:p>
          <w:p w14:paraId="12266CB8" w14:textId="59826360" w:rsidR="00E410AA" w:rsidRPr="00E410AA" w:rsidRDefault="00E410AA" w:rsidP="007C5D42">
            <w:pPr>
              <w:rPr>
                <w:lang w:val="es-ES"/>
              </w:rPr>
            </w:pPr>
            <w:r w:rsidRPr="00E410AA">
              <w:rPr>
                <w:u w:val="single"/>
                <w:lang w:val="es-ES"/>
              </w:rPr>
              <w:t>Primera parte de la tasa individual</w:t>
            </w:r>
            <w:r w:rsidRPr="00E410AA">
              <w:rPr>
                <w:lang w:val="es-ES"/>
              </w:rPr>
              <w:t>:</w:t>
            </w:r>
          </w:p>
          <w:p w14:paraId="235BE89A" w14:textId="77777777" w:rsidR="00E410AA" w:rsidRDefault="00E410AA" w:rsidP="007C5D42">
            <w:pPr>
              <w:rPr>
                <w:lang w:val="es-ES_tradnl"/>
              </w:rPr>
            </w:pPr>
          </w:p>
          <w:p w14:paraId="104EC1CD" w14:textId="77777777" w:rsidR="007C5D42" w:rsidRDefault="007C5D42" w:rsidP="007C5D42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E410AA" w:rsidRPr="00E410AA">
              <w:rPr>
                <w:lang w:val="es-ES"/>
              </w:rPr>
              <w:t>tres clases</w:t>
            </w:r>
            <w:r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5D3163B0" w14:textId="77777777" w:rsidR="00183C8C" w:rsidRDefault="00183C8C" w:rsidP="007C5D42">
            <w:pPr>
              <w:rPr>
                <w:rFonts w:eastAsia="MS Mincho"/>
                <w:szCs w:val="22"/>
                <w:lang w:val="es-ES_tradnl" w:eastAsia="ja-JP"/>
              </w:rPr>
            </w:pPr>
          </w:p>
          <w:p w14:paraId="4C4EAE51" w14:textId="10AFB8FF" w:rsidR="00183C8C" w:rsidRPr="004E34B0" w:rsidRDefault="00183C8C" w:rsidP="007C5D42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 w:rsidRPr="00E410AA">
              <w:rPr>
                <w:lang w:val="es-ES"/>
              </w:rPr>
              <w:t>tres clases</w:t>
            </w:r>
            <w:r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Pr="00183C8C">
              <w:rPr>
                <w:rFonts w:eastAsia="MS Mincho"/>
                <w:szCs w:val="22"/>
                <w:lang w:val="es-ES_tradnl" w:eastAsia="ja-JP"/>
              </w:rPr>
              <w:t>cuando se trate de una marca colectiva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2DD9E2" w14:textId="77777777" w:rsidR="007C5D42" w:rsidRPr="0054007C" w:rsidRDefault="007C5D42" w:rsidP="007C5D42">
            <w:pPr>
              <w:jc w:val="center"/>
              <w:rPr>
                <w:bCs/>
                <w:lang w:val="es-ES"/>
              </w:rPr>
            </w:pPr>
          </w:p>
          <w:p w14:paraId="4E7D2583" w14:textId="77777777" w:rsidR="00FE25E5" w:rsidRPr="00183C8C" w:rsidRDefault="00FE25E5" w:rsidP="007C5D42">
            <w:pPr>
              <w:jc w:val="center"/>
              <w:rPr>
                <w:bCs/>
                <w:lang w:val="es-ES"/>
              </w:rPr>
            </w:pPr>
          </w:p>
          <w:p w14:paraId="68E9FC2E" w14:textId="77777777" w:rsidR="00FE25E5" w:rsidRPr="00183C8C" w:rsidRDefault="00FE25E5" w:rsidP="007C5D42">
            <w:pPr>
              <w:jc w:val="center"/>
              <w:rPr>
                <w:bCs/>
                <w:lang w:val="es-ES"/>
              </w:rPr>
            </w:pPr>
          </w:p>
          <w:p w14:paraId="73528F3C" w14:textId="77777777" w:rsidR="007C5D42" w:rsidRDefault="003C7E03" w:rsidP="007C5D42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7C5D42">
              <w:rPr>
                <w:bCs/>
              </w:rPr>
              <w:t>4</w:t>
            </w:r>
          </w:p>
          <w:p w14:paraId="658545C8" w14:textId="77777777" w:rsidR="00A54C40" w:rsidRDefault="00A54C40" w:rsidP="007C5D42">
            <w:pPr>
              <w:jc w:val="center"/>
              <w:rPr>
                <w:bCs/>
              </w:rPr>
            </w:pPr>
          </w:p>
          <w:p w14:paraId="6E95B572" w14:textId="77777777" w:rsidR="00A54C40" w:rsidRDefault="00A54C40" w:rsidP="007C5D42">
            <w:pPr>
              <w:jc w:val="center"/>
              <w:rPr>
                <w:bCs/>
              </w:rPr>
            </w:pPr>
          </w:p>
          <w:p w14:paraId="7F4C1F7C" w14:textId="28875AF4" w:rsidR="00A54C40" w:rsidRPr="00986FFC" w:rsidRDefault="00A54C40" w:rsidP="007C5D42">
            <w:pPr>
              <w:jc w:val="center"/>
              <w:rPr>
                <w:bCs/>
              </w:rPr>
            </w:pPr>
            <w:r>
              <w:rPr>
                <w:bCs/>
              </w:rPr>
              <w:t>320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EE7E1" w14:textId="77777777" w:rsidR="007C5D42" w:rsidRPr="00812F8E" w:rsidRDefault="007C5D42" w:rsidP="007C5D42">
            <w:pPr>
              <w:jc w:val="center"/>
              <w:rPr>
                <w:b/>
              </w:rPr>
            </w:pPr>
          </w:p>
          <w:p w14:paraId="22AACD1D" w14:textId="77777777" w:rsidR="00FE25E5" w:rsidRDefault="00FE25E5" w:rsidP="007C5D42">
            <w:pPr>
              <w:jc w:val="center"/>
              <w:rPr>
                <w:b/>
              </w:rPr>
            </w:pPr>
          </w:p>
          <w:p w14:paraId="3DFBC46F" w14:textId="77777777" w:rsidR="00FE25E5" w:rsidRDefault="00FE25E5" w:rsidP="007C5D42">
            <w:pPr>
              <w:jc w:val="center"/>
              <w:rPr>
                <w:b/>
              </w:rPr>
            </w:pPr>
          </w:p>
          <w:p w14:paraId="34982E1C" w14:textId="77777777" w:rsidR="007C5D42" w:rsidRDefault="009E3373" w:rsidP="007C5D42">
            <w:pPr>
              <w:jc w:val="center"/>
              <w:rPr>
                <w:b/>
              </w:rPr>
            </w:pPr>
            <w:r>
              <w:rPr>
                <w:b/>
              </w:rPr>
              <w:t>239</w:t>
            </w:r>
          </w:p>
          <w:p w14:paraId="6FA0FCF3" w14:textId="77777777" w:rsidR="00A54C40" w:rsidRDefault="00A54C40" w:rsidP="007C5D42">
            <w:pPr>
              <w:jc w:val="center"/>
              <w:rPr>
                <w:b/>
              </w:rPr>
            </w:pPr>
          </w:p>
          <w:p w14:paraId="5249C092" w14:textId="77777777" w:rsidR="00A54C40" w:rsidRDefault="00A54C40" w:rsidP="007C5D42">
            <w:pPr>
              <w:jc w:val="center"/>
              <w:rPr>
                <w:b/>
              </w:rPr>
            </w:pPr>
          </w:p>
          <w:p w14:paraId="63BD4617" w14:textId="50EB3CFA" w:rsidR="00A54C40" w:rsidRPr="00037F7B" w:rsidRDefault="00A54C40" w:rsidP="007C5D42">
            <w:pPr>
              <w:jc w:val="center"/>
              <w:rPr>
                <w:b/>
              </w:rPr>
            </w:pPr>
            <w:r>
              <w:rPr>
                <w:b/>
              </w:rPr>
              <w:t>279</w:t>
            </w:r>
          </w:p>
        </w:tc>
      </w:tr>
      <w:tr w:rsidR="00A54C40" w:rsidRPr="00615097" w14:paraId="794CF98E" w14:textId="77777777" w:rsidTr="00BF4867">
        <w:trPr>
          <w:trHeight w:val="253"/>
        </w:trPr>
        <w:tc>
          <w:tcPr>
            <w:tcW w:w="1828" w:type="dxa"/>
            <w:vMerge/>
            <w:tcBorders>
              <w:right w:val="single" w:sz="4" w:space="0" w:color="auto"/>
            </w:tcBorders>
          </w:tcPr>
          <w:p w14:paraId="25D630B2" w14:textId="77777777" w:rsidR="00A54C40" w:rsidRPr="004E34B0" w:rsidRDefault="00A54C40" w:rsidP="007C5D42">
            <w:pPr>
              <w:jc w:val="center"/>
              <w:rPr>
                <w:lang w:val="es-ES_tradnl"/>
              </w:rPr>
            </w:pPr>
          </w:p>
        </w:tc>
        <w:tc>
          <w:tcPr>
            <w:tcW w:w="4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16D6BC" w14:textId="77777777" w:rsidR="00A54C40" w:rsidRPr="004E34B0" w:rsidRDefault="00A54C40" w:rsidP="007C5D42">
            <w:pPr>
              <w:rPr>
                <w:lang w:val="es-ES_tradnl"/>
              </w:rPr>
            </w:pPr>
          </w:p>
          <w:p w14:paraId="6338C983" w14:textId="77777777" w:rsidR="00A54C40" w:rsidRPr="00A54C40" w:rsidRDefault="00A54C40" w:rsidP="00A54C40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14:paraId="041E119F" w14:textId="4027E014" w:rsidR="00A54C40" w:rsidRPr="001537E2" w:rsidRDefault="00A54C40" w:rsidP="00A54C40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  <w:r w:rsidRPr="001537E2">
              <w:rPr>
                <w:lang w:val="es-CU"/>
              </w:rPr>
              <w:t xml:space="preserve">independientemente del </w:t>
            </w:r>
            <w:r w:rsidR="009B7B03" w:rsidRPr="009B7B03">
              <w:rPr>
                <w:lang w:val="es-CU"/>
              </w:rPr>
              <w:t>tipo de marca</w:t>
            </w:r>
          </w:p>
          <w:p w14:paraId="530954E8" w14:textId="77777777" w:rsidR="00A54C40" w:rsidRPr="004E34B0" w:rsidRDefault="00A54C40" w:rsidP="007C5D4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280B3AB3" w14:textId="77777777" w:rsidR="00A54C40" w:rsidRDefault="00A54C40" w:rsidP="00A54C40">
            <w:pPr>
              <w:rPr>
                <w:lang w:val="es-ES"/>
              </w:rPr>
            </w:pPr>
            <w:r w:rsidRPr="001537E2">
              <w:rPr>
                <w:u w:val="single"/>
                <w:lang w:val="es-ES"/>
              </w:rPr>
              <w:t>Segunda parte de la tasa individual</w:t>
            </w:r>
            <w:r w:rsidRPr="001537E2">
              <w:rPr>
                <w:lang w:val="es-ES"/>
              </w:rPr>
              <w:t>:</w:t>
            </w:r>
          </w:p>
          <w:p w14:paraId="7838BB5E" w14:textId="1096C147" w:rsidR="00A54C40" w:rsidRPr="00A54C40" w:rsidRDefault="00A54C40" w:rsidP="007C5D42">
            <w:pPr>
              <w:autoSpaceDE w:val="0"/>
              <w:autoSpaceDN w:val="0"/>
              <w:adjustRightInd w:val="0"/>
              <w:rPr>
                <w:lang w:val="es-C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87BFD" w14:textId="77777777" w:rsidR="00A54C40" w:rsidRPr="00A54C40" w:rsidRDefault="00A54C40" w:rsidP="007C5D42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6F536E25" w14:textId="77777777" w:rsidR="00A54C40" w:rsidRPr="00A54C40" w:rsidRDefault="00A54C40" w:rsidP="007C5D42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4222FE39" w14:textId="6B8F30E3" w:rsidR="00A54C40" w:rsidRPr="00986FFC" w:rsidRDefault="00A54C40" w:rsidP="007C5D4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91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60747" w14:textId="77777777" w:rsidR="00A54C40" w:rsidRPr="00812F8E" w:rsidRDefault="00A54C40" w:rsidP="007C5D4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42469B9" w14:textId="77777777" w:rsidR="00A54C40" w:rsidRDefault="00A54C40" w:rsidP="009E337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23A7FFD" w14:textId="6EB5810B" w:rsidR="00A54C40" w:rsidRPr="00037F7B" w:rsidRDefault="00A54C40" w:rsidP="009E337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80</w:t>
            </w:r>
          </w:p>
        </w:tc>
      </w:tr>
      <w:tr w:rsidR="00A54C40" w:rsidRPr="00183C8C" w14:paraId="158ACF23" w14:textId="77777777" w:rsidTr="00DA53EA">
        <w:trPr>
          <w:trHeight w:val="253"/>
        </w:trPr>
        <w:tc>
          <w:tcPr>
            <w:tcW w:w="1828" w:type="dxa"/>
            <w:vMerge/>
            <w:tcBorders>
              <w:right w:val="single" w:sz="4" w:space="0" w:color="auto"/>
            </w:tcBorders>
          </w:tcPr>
          <w:p w14:paraId="190EA4F7" w14:textId="77777777" w:rsidR="00A54C40" w:rsidRPr="004E34B0" w:rsidRDefault="00A54C40" w:rsidP="007C5D42">
            <w:pPr>
              <w:jc w:val="center"/>
              <w:rPr>
                <w:lang w:val="es-ES_tradnl"/>
              </w:rPr>
            </w:pPr>
          </w:p>
        </w:tc>
        <w:tc>
          <w:tcPr>
            <w:tcW w:w="44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09401E" w14:textId="56AED49E" w:rsidR="00A54C40" w:rsidRPr="00A54C40" w:rsidRDefault="00A54C40" w:rsidP="007C5D4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D84F5" w14:textId="77777777" w:rsidR="00A54C40" w:rsidRPr="00986FFC" w:rsidRDefault="00A54C40" w:rsidP="007C5D42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22A92D" w14:textId="77777777" w:rsidR="00A54C40" w:rsidRDefault="00A54C40" w:rsidP="007C5D42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  <w:p w14:paraId="4C4CF7AD" w14:textId="77777777" w:rsidR="00A54C40" w:rsidRDefault="00A54C40" w:rsidP="007C5D42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  <w:p w14:paraId="009FBA58" w14:textId="77777777" w:rsidR="00A54C40" w:rsidRPr="00A54C40" w:rsidRDefault="00A54C40" w:rsidP="007C5D42">
            <w:pPr>
              <w:jc w:val="center"/>
              <w:rPr>
                <w:b/>
                <w:lang w:val="es-ES"/>
              </w:rPr>
            </w:pPr>
          </w:p>
          <w:p w14:paraId="7C5C97CA" w14:textId="77777777" w:rsidR="00A54C40" w:rsidRDefault="00A54C40" w:rsidP="007C5D42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  <w:p w14:paraId="39127E7A" w14:textId="7B910BB6" w:rsidR="00A54C40" w:rsidRPr="005C271C" w:rsidRDefault="00A54C40" w:rsidP="001F7FAB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  <w:r>
              <w:rPr>
                <w:rFonts w:eastAsia="MS Mincho"/>
                <w:b/>
                <w:szCs w:val="22"/>
                <w:lang w:val="es-ES" w:eastAsia="ja-JP"/>
              </w:rPr>
              <w:t>72</w:t>
            </w:r>
          </w:p>
        </w:tc>
      </w:tr>
      <w:tr w:rsidR="00A54C40" w:rsidRPr="00A54C40" w14:paraId="057ECEEA" w14:textId="77777777" w:rsidTr="00AA54AE">
        <w:trPr>
          <w:trHeight w:val="898"/>
        </w:trPr>
        <w:tc>
          <w:tcPr>
            <w:tcW w:w="1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3929C4" w14:textId="77777777" w:rsidR="00A54C40" w:rsidRPr="004E34B0" w:rsidRDefault="00A54C40" w:rsidP="007C5D42">
            <w:pPr>
              <w:jc w:val="center"/>
              <w:rPr>
                <w:lang w:val="es-ES_tradnl"/>
              </w:rPr>
            </w:pP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A093" w14:textId="77777777" w:rsidR="001F7FAB" w:rsidRPr="001F7FAB" w:rsidRDefault="00A54C40" w:rsidP="001F7FAB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1F7FAB">
              <w:rPr>
                <w:lang w:val="es-CU"/>
              </w:rPr>
              <w:t>independientemente del número de</w:t>
            </w:r>
          </w:p>
          <w:p w14:paraId="3F7E28AD" w14:textId="3B2404B0" w:rsidR="00A54C40" w:rsidRPr="001F7FAB" w:rsidRDefault="00A54C40" w:rsidP="001F7FAB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  <w:r w:rsidRPr="001F7FAB">
              <w:rPr>
                <w:lang w:val="es-CU"/>
              </w:rPr>
              <w:t>clases o del tipo de marca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A13B" w14:textId="77777777" w:rsidR="00A54C40" w:rsidRPr="0054007C" w:rsidRDefault="00A54C40" w:rsidP="007C5D42">
            <w:pPr>
              <w:jc w:val="center"/>
              <w:rPr>
                <w:bCs/>
                <w:lang w:val="es-ES"/>
              </w:rPr>
            </w:pPr>
          </w:p>
          <w:p w14:paraId="33CC2471" w14:textId="75F9512B" w:rsidR="00A54C40" w:rsidRPr="00A54C40" w:rsidRDefault="00A54C40" w:rsidP="001F7FAB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  <w:r>
              <w:rPr>
                <w:rFonts w:eastAsia="MS Mincho"/>
                <w:bCs/>
                <w:szCs w:val="22"/>
                <w:lang w:val="es-ES" w:eastAsia="ja-JP"/>
              </w:rPr>
              <w:t>82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C7B9" w14:textId="36F50DF4" w:rsidR="00A54C40" w:rsidRPr="00A54C40" w:rsidRDefault="00A54C40" w:rsidP="007C5D42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</w:tbl>
    <w:p w14:paraId="199A8569" w14:textId="77777777" w:rsidR="00A54C40" w:rsidRDefault="00A54C40" w:rsidP="00A54C40">
      <w:pPr>
        <w:rPr>
          <w:lang w:val="es-ES_tradnl"/>
        </w:rPr>
      </w:pPr>
      <w:r>
        <w:rPr>
          <w:lang w:val="es-ES_tradnl"/>
        </w:rPr>
        <w:br w:type="page"/>
      </w:r>
    </w:p>
    <w:p w14:paraId="0C7AE01C" w14:textId="77777777" w:rsidR="00E410AA" w:rsidRDefault="00E410AA" w:rsidP="004901C0">
      <w:pPr>
        <w:rPr>
          <w:lang w:val="es-ES_tradnl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423"/>
        <w:gridCol w:w="1418"/>
        <w:gridCol w:w="1559"/>
      </w:tblGrid>
      <w:tr w:rsidR="00E410AA" w14:paraId="08D75AEF" w14:textId="77777777" w:rsidTr="00AA54AE">
        <w:trPr>
          <w:trHeight w:val="630"/>
        </w:trPr>
        <w:tc>
          <w:tcPr>
            <w:tcW w:w="6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5CA84" w14:textId="77777777" w:rsidR="00E410AA" w:rsidRPr="00AF0D28" w:rsidRDefault="00E410AA" w:rsidP="00D61913">
            <w:pPr>
              <w:rPr>
                <w:lang w:val="es-CU"/>
              </w:rPr>
            </w:pPr>
          </w:p>
          <w:p w14:paraId="0CA716C1" w14:textId="77777777" w:rsidR="00E410AA" w:rsidRPr="00AF0D28" w:rsidRDefault="00E410AA" w:rsidP="00D61913">
            <w:pPr>
              <w:jc w:val="center"/>
              <w:rPr>
                <w:b/>
                <w:bCs/>
                <w:lang w:val="es-CU"/>
              </w:rPr>
            </w:pPr>
          </w:p>
          <w:p w14:paraId="012093B4" w14:textId="77777777" w:rsidR="00E410AA" w:rsidRPr="00AF0D28" w:rsidRDefault="00E410AA" w:rsidP="00D61913">
            <w:pPr>
              <w:jc w:val="center"/>
              <w:rPr>
                <w:b/>
                <w:bCs/>
                <w:lang w:val="es-CU"/>
              </w:rPr>
            </w:pPr>
          </w:p>
          <w:p w14:paraId="59CF0C99" w14:textId="77777777" w:rsidR="00E410AA" w:rsidRPr="00AF0D28" w:rsidRDefault="00E410AA" w:rsidP="00D61913">
            <w:pPr>
              <w:jc w:val="center"/>
              <w:rPr>
                <w:b/>
                <w:bCs/>
                <w:lang w:val="es-CU"/>
              </w:rPr>
            </w:pPr>
          </w:p>
          <w:p w14:paraId="772329DD" w14:textId="77777777" w:rsidR="00E410AA" w:rsidRPr="00A61328" w:rsidRDefault="00E410AA" w:rsidP="00D61913">
            <w:pPr>
              <w:jc w:val="center"/>
              <w:rPr>
                <w:b/>
                <w:bCs/>
                <w:lang w:val="es-ES"/>
              </w:rPr>
            </w:pPr>
          </w:p>
          <w:p w14:paraId="1B09F840" w14:textId="77777777" w:rsidR="00E410AA" w:rsidRDefault="00E410AA" w:rsidP="00D61913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78E" w14:textId="77777777" w:rsidR="00E410AA" w:rsidRDefault="00E410AA" w:rsidP="00D61913"/>
          <w:p w14:paraId="6348674A" w14:textId="77777777" w:rsidR="00E410AA" w:rsidRPr="00454A4F" w:rsidRDefault="00E410AA" w:rsidP="00D61913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6BAF6084" w14:textId="77777777" w:rsidR="00E410AA" w:rsidRDefault="00E410AA" w:rsidP="00D61913">
            <w:pPr>
              <w:jc w:val="center"/>
              <w:rPr>
                <w:b/>
                <w:bCs/>
              </w:rPr>
            </w:pPr>
          </w:p>
          <w:p w14:paraId="4216919A" w14:textId="77777777" w:rsidR="00E410AA" w:rsidRDefault="00E410AA" w:rsidP="00D61913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76DC9F47" w14:textId="77777777" w:rsidR="00E410AA" w:rsidRDefault="00E410AA" w:rsidP="00D61913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E410AA" w:rsidRPr="00AA54AE" w14:paraId="7E98B289" w14:textId="77777777" w:rsidTr="00AA54AE">
        <w:trPr>
          <w:trHeight w:val="630"/>
        </w:trPr>
        <w:tc>
          <w:tcPr>
            <w:tcW w:w="6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B48" w14:textId="77777777" w:rsidR="00E410AA" w:rsidRDefault="00E410AA" w:rsidP="00D6191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D56F" w14:textId="77777777" w:rsidR="00E410AA" w:rsidRPr="00DC42FA" w:rsidRDefault="00E410AA" w:rsidP="00D61913">
            <w:pPr>
              <w:jc w:val="center"/>
              <w:rPr>
                <w:lang w:val="es-CU" w:eastAsia="ja-JP"/>
              </w:rPr>
            </w:pPr>
          </w:p>
          <w:p w14:paraId="684C537C" w14:textId="77777777" w:rsidR="001537E2" w:rsidRDefault="001537E2" w:rsidP="001537E2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14:paraId="532B9A3B" w14:textId="2F6C6A55" w:rsidR="001537E2" w:rsidRDefault="00AB54BB" w:rsidP="001537E2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8</w:t>
            </w:r>
            <w:r w:rsidR="001537E2">
              <w:rPr>
                <w:lang w:val="es-ES_tradnl" w:eastAsia="ja-JP"/>
              </w:rPr>
              <w:t xml:space="preserve"> de noviembre </w:t>
            </w:r>
          </w:p>
          <w:p w14:paraId="4AC8AFA3" w14:textId="77777777" w:rsidR="001537E2" w:rsidRDefault="001537E2" w:rsidP="001537E2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de 2025</w:t>
            </w:r>
          </w:p>
          <w:p w14:paraId="01AD2DE2" w14:textId="77777777" w:rsidR="00E410AA" w:rsidRPr="001537E2" w:rsidRDefault="00E410AA" w:rsidP="00D61913">
            <w:pPr>
              <w:jc w:val="center"/>
              <w:rPr>
                <w:lang w:val="es-ES_tradnl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F417" w14:textId="77777777" w:rsidR="00E410AA" w:rsidRPr="000E3C14" w:rsidRDefault="00E410AA" w:rsidP="00D61913">
            <w:pPr>
              <w:jc w:val="center"/>
              <w:rPr>
                <w:b/>
                <w:lang w:val="es-CU"/>
              </w:rPr>
            </w:pPr>
          </w:p>
          <w:p w14:paraId="5A82843E" w14:textId="77777777" w:rsidR="001537E2" w:rsidRDefault="001537E2" w:rsidP="001537E2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 xml:space="preserve">a partir del </w:t>
            </w:r>
          </w:p>
          <w:p w14:paraId="5C181D75" w14:textId="1D4C8862" w:rsidR="001537E2" w:rsidRDefault="00E26245" w:rsidP="001537E2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9</w:t>
            </w:r>
            <w:r w:rsidR="001537E2" w:rsidRPr="00971F64">
              <w:rPr>
                <w:b/>
                <w:lang w:val="es-ES_tradnl" w:eastAsia="ja-JP"/>
              </w:rPr>
              <w:t xml:space="preserve"> de </w:t>
            </w:r>
            <w:r w:rsidR="001537E2">
              <w:rPr>
                <w:b/>
                <w:lang w:val="es-ES_tradnl" w:eastAsia="ja-JP"/>
              </w:rPr>
              <w:t>noviembre</w:t>
            </w:r>
            <w:r w:rsidR="001537E2" w:rsidRPr="00971F64">
              <w:rPr>
                <w:b/>
                <w:lang w:val="es-ES_tradnl" w:eastAsia="ja-JP"/>
              </w:rPr>
              <w:t xml:space="preserve"> </w:t>
            </w:r>
          </w:p>
          <w:p w14:paraId="2FC39E32" w14:textId="242EF0AA" w:rsidR="00E410AA" w:rsidRPr="000E3C14" w:rsidRDefault="001537E2" w:rsidP="001537E2">
            <w:pPr>
              <w:jc w:val="center"/>
              <w:rPr>
                <w:b/>
                <w:i/>
                <w:iCs/>
                <w:lang w:val="es-CU" w:eastAsia="ja-JP"/>
              </w:rPr>
            </w:pPr>
            <w:r w:rsidRPr="00971F64">
              <w:rPr>
                <w:b/>
                <w:lang w:val="es-ES_tradnl" w:eastAsia="ja-JP"/>
              </w:rPr>
              <w:t>de 2025</w:t>
            </w:r>
          </w:p>
        </w:tc>
      </w:tr>
      <w:tr w:rsidR="00A54C40" w14:paraId="57A0F3E1" w14:textId="77777777" w:rsidTr="00AA54AE">
        <w:trPr>
          <w:trHeight w:val="49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631D2" w14:textId="77777777" w:rsidR="00A54C40" w:rsidRPr="000E3C14" w:rsidRDefault="00A54C40" w:rsidP="00D61913">
            <w:pPr>
              <w:jc w:val="center"/>
              <w:rPr>
                <w:lang w:val="es-CU"/>
              </w:rPr>
            </w:pPr>
          </w:p>
          <w:p w14:paraId="78780A6F" w14:textId="77777777" w:rsidR="00A54C40" w:rsidRDefault="00A54C40" w:rsidP="00D61913">
            <w:pPr>
              <w:jc w:val="center"/>
              <w:rPr>
                <w:szCs w:val="22"/>
                <w:lang w:val="es-CU"/>
              </w:rPr>
            </w:pPr>
          </w:p>
          <w:p w14:paraId="05596EF7" w14:textId="77777777" w:rsidR="00A54C40" w:rsidRDefault="00A54C40" w:rsidP="00D61913">
            <w:pPr>
              <w:jc w:val="center"/>
              <w:rPr>
                <w:szCs w:val="22"/>
                <w:lang w:val="es-CU"/>
              </w:rPr>
            </w:pPr>
          </w:p>
          <w:p w14:paraId="101B8677" w14:textId="77777777" w:rsidR="00A54C40" w:rsidRPr="00AA54AE" w:rsidRDefault="00A54C40" w:rsidP="00D61913">
            <w:pPr>
              <w:rPr>
                <w:lang w:val="es-ES"/>
              </w:rPr>
            </w:pPr>
          </w:p>
          <w:p w14:paraId="0B022B52" w14:textId="77777777" w:rsidR="00A54C40" w:rsidRPr="00AA54AE" w:rsidRDefault="00A54C40" w:rsidP="00D61913">
            <w:pPr>
              <w:jc w:val="center"/>
              <w:rPr>
                <w:lang w:val="es-ES"/>
              </w:rPr>
            </w:pPr>
          </w:p>
          <w:p w14:paraId="6D44A315" w14:textId="77777777" w:rsidR="00A54C40" w:rsidRDefault="00A54C40" w:rsidP="00D61913">
            <w:pPr>
              <w:jc w:val="center"/>
              <w:rPr>
                <w:szCs w:val="22"/>
                <w:lang w:val="es-CU"/>
              </w:rPr>
            </w:pPr>
          </w:p>
          <w:p w14:paraId="7D31429A" w14:textId="77777777" w:rsidR="00A54C40" w:rsidRDefault="00A54C40" w:rsidP="00D61913">
            <w:pPr>
              <w:jc w:val="center"/>
              <w:rPr>
                <w:szCs w:val="22"/>
                <w:lang w:val="es-CU"/>
              </w:rPr>
            </w:pPr>
          </w:p>
          <w:p w14:paraId="65D51663" w14:textId="77777777" w:rsidR="00A54C40" w:rsidRDefault="00A54C40" w:rsidP="00D61913">
            <w:pPr>
              <w:jc w:val="center"/>
              <w:rPr>
                <w:szCs w:val="22"/>
                <w:lang w:val="es-CU"/>
              </w:rPr>
            </w:pPr>
          </w:p>
          <w:p w14:paraId="3AC8CB54" w14:textId="77777777" w:rsidR="00A54C40" w:rsidRDefault="00A54C40" w:rsidP="00D61913">
            <w:pPr>
              <w:jc w:val="center"/>
              <w:rPr>
                <w:szCs w:val="22"/>
                <w:lang w:val="es-CU"/>
              </w:rPr>
            </w:pPr>
          </w:p>
          <w:p w14:paraId="00638D44" w14:textId="77777777" w:rsidR="00A54C40" w:rsidRDefault="00A54C40" w:rsidP="00A54C40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5FB22F76" w14:textId="30353C5C" w:rsidR="00A54C40" w:rsidRDefault="00A54C40" w:rsidP="00D61913"/>
        </w:tc>
        <w:tc>
          <w:tcPr>
            <w:tcW w:w="44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0DF1AC" w14:textId="77777777" w:rsidR="00A54C40" w:rsidRDefault="00A54C40" w:rsidP="00D61913"/>
          <w:p w14:paraId="32FD4228" w14:textId="77777777" w:rsidR="00A54C40" w:rsidRPr="00454A4F" w:rsidRDefault="00A54C40" w:rsidP="004A203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A2037">
              <w:rPr>
                <w:szCs w:val="22"/>
                <w:lang w:val="es-CU"/>
              </w:rPr>
              <w:t>por tres clases de productos o servicios</w:t>
            </w:r>
          </w:p>
          <w:p w14:paraId="38DFB6F3" w14:textId="77777777" w:rsidR="00A54C40" w:rsidRPr="004A2037" w:rsidRDefault="00A54C40" w:rsidP="004A2037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797A4783" w14:textId="77777777" w:rsidR="00A54C40" w:rsidRDefault="00A54C40" w:rsidP="00E410A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A2037">
              <w:rPr>
                <w:szCs w:val="22"/>
                <w:lang w:val="es-CU"/>
              </w:rPr>
              <w:t>por tres clases de productos o servicios</w:t>
            </w:r>
            <w:r>
              <w:rPr>
                <w:szCs w:val="22"/>
                <w:lang w:val="es-CU"/>
              </w:rPr>
              <w:t xml:space="preserve"> </w:t>
            </w:r>
          </w:p>
          <w:p w14:paraId="6316787B" w14:textId="77777777" w:rsidR="00A54C40" w:rsidRDefault="00A54C40" w:rsidP="004A203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  <w:r w:rsidRPr="004A2037">
              <w:rPr>
                <w:szCs w:val="22"/>
                <w:lang w:val="es-CU"/>
              </w:rPr>
              <w:t>cuando el pago es efectuado durante el plazo de gracia</w:t>
            </w:r>
          </w:p>
          <w:p w14:paraId="7018E551" w14:textId="77777777" w:rsidR="00A54C40" w:rsidRDefault="00A54C40" w:rsidP="004A203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14:paraId="06223E14" w14:textId="77777777" w:rsidR="00A54C40" w:rsidRDefault="00A54C40" w:rsidP="004A203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A2037">
              <w:rPr>
                <w:szCs w:val="22"/>
                <w:lang w:val="es-CU"/>
              </w:rPr>
              <w:t xml:space="preserve">por </w:t>
            </w:r>
            <w:r>
              <w:rPr>
                <w:szCs w:val="22"/>
                <w:lang w:val="es-CU"/>
              </w:rPr>
              <w:t xml:space="preserve">cada </w:t>
            </w:r>
            <w:r w:rsidRPr="004A2037">
              <w:rPr>
                <w:szCs w:val="22"/>
                <w:lang w:val="es-CU"/>
              </w:rPr>
              <w:t xml:space="preserve">clase </w:t>
            </w:r>
            <w:r>
              <w:rPr>
                <w:szCs w:val="22"/>
                <w:lang w:val="es-CU"/>
              </w:rPr>
              <w:t>adicional</w:t>
            </w:r>
          </w:p>
          <w:p w14:paraId="6AB43D3C" w14:textId="77777777" w:rsidR="00A54C40" w:rsidRPr="00454A4F" w:rsidRDefault="00A54C40" w:rsidP="004A2037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1F9E1AF0" w14:textId="77777777" w:rsidR="00A54C40" w:rsidRDefault="00A54C40" w:rsidP="004A2037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5C271C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  <w:p w14:paraId="0F7C317F" w14:textId="77777777" w:rsidR="00A54C40" w:rsidRDefault="00A54C40" w:rsidP="004A203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ES_tradnl"/>
              </w:rPr>
            </w:pPr>
          </w:p>
          <w:p w14:paraId="2A83937B" w14:textId="77777777" w:rsidR="00A54C40" w:rsidRPr="00454A4F" w:rsidRDefault="00A54C40" w:rsidP="004A203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A2037">
              <w:rPr>
                <w:szCs w:val="22"/>
                <w:lang w:val="es-CU"/>
              </w:rPr>
              <w:t>por tres clases de productos o servicios</w:t>
            </w:r>
          </w:p>
          <w:p w14:paraId="14BD8DF5" w14:textId="77777777" w:rsidR="00A54C40" w:rsidRPr="004A2037" w:rsidRDefault="00A54C40" w:rsidP="004A2037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46FBB34A" w14:textId="77777777" w:rsidR="00A54C40" w:rsidRDefault="00A54C40" w:rsidP="004A203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A2037">
              <w:rPr>
                <w:szCs w:val="22"/>
                <w:lang w:val="es-CU"/>
              </w:rPr>
              <w:t>por tres clases de productos o servicios</w:t>
            </w:r>
            <w:r>
              <w:rPr>
                <w:szCs w:val="22"/>
                <w:lang w:val="es-CU"/>
              </w:rPr>
              <w:t xml:space="preserve"> </w:t>
            </w:r>
          </w:p>
          <w:p w14:paraId="4119FC11" w14:textId="77777777" w:rsidR="00A54C40" w:rsidRDefault="00A54C40" w:rsidP="004A203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  <w:r w:rsidRPr="004A2037">
              <w:rPr>
                <w:szCs w:val="22"/>
                <w:lang w:val="es-CU"/>
              </w:rPr>
              <w:t>cuando el pago es efectuado durante el plazo de gracia</w:t>
            </w:r>
          </w:p>
          <w:p w14:paraId="1CE7FE61" w14:textId="77777777" w:rsidR="00A54C40" w:rsidRDefault="00A54C40" w:rsidP="004A203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14:paraId="74A1FC28" w14:textId="0B169FCA" w:rsidR="00A54C40" w:rsidRPr="001537E2" w:rsidRDefault="00A54C40" w:rsidP="00AA54A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ind w:left="1213" w:hanging="1179"/>
              <w:rPr>
                <w:szCs w:val="22"/>
                <w:lang w:val="es-CU"/>
              </w:rPr>
            </w:pPr>
            <w:r w:rsidRPr="004A2037">
              <w:rPr>
                <w:szCs w:val="22"/>
                <w:lang w:val="es-CU"/>
              </w:rPr>
              <w:t xml:space="preserve">por </w:t>
            </w:r>
            <w:r>
              <w:rPr>
                <w:szCs w:val="22"/>
                <w:lang w:val="es-CU"/>
              </w:rPr>
              <w:t xml:space="preserve">cada </w:t>
            </w:r>
            <w:r w:rsidRPr="004A2037">
              <w:rPr>
                <w:szCs w:val="22"/>
                <w:lang w:val="es-CU"/>
              </w:rPr>
              <w:t xml:space="preserve">clase </w:t>
            </w:r>
            <w:r>
              <w:rPr>
                <w:szCs w:val="22"/>
                <w:lang w:val="es-CU"/>
              </w:rPr>
              <w:t>adicional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38425" w14:textId="77777777" w:rsidR="00A54C40" w:rsidRPr="00E410AA" w:rsidRDefault="00A54C40" w:rsidP="00D61913">
            <w:pPr>
              <w:jc w:val="center"/>
              <w:rPr>
                <w:bCs/>
                <w:lang w:val="es-ES"/>
              </w:rPr>
            </w:pPr>
          </w:p>
          <w:p w14:paraId="4BA44008" w14:textId="77777777" w:rsidR="00A54C40" w:rsidRDefault="00A54C40" w:rsidP="00A54C40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Pr="00B230A1">
              <w:rPr>
                <w:bCs/>
              </w:rPr>
              <w:t>4</w:t>
            </w:r>
          </w:p>
          <w:p w14:paraId="773947A6" w14:textId="77777777" w:rsidR="00A54C40" w:rsidRDefault="00A54C40" w:rsidP="00FE25E5">
            <w:pPr>
              <w:jc w:val="center"/>
              <w:rPr>
                <w:bCs/>
              </w:rPr>
            </w:pPr>
          </w:p>
          <w:p w14:paraId="6B7E95DA" w14:textId="77777777" w:rsidR="00A54C40" w:rsidRDefault="00A54C40" w:rsidP="00FE25E5">
            <w:pPr>
              <w:jc w:val="center"/>
              <w:rPr>
                <w:bCs/>
              </w:rPr>
            </w:pPr>
          </w:p>
          <w:p w14:paraId="7247B16C" w14:textId="77777777" w:rsidR="00A54C40" w:rsidRDefault="00A54C40" w:rsidP="00FE25E5">
            <w:pPr>
              <w:jc w:val="center"/>
              <w:rPr>
                <w:bCs/>
              </w:rPr>
            </w:pPr>
          </w:p>
          <w:p w14:paraId="436E655C" w14:textId="77777777" w:rsidR="00A54C40" w:rsidRDefault="00A54C40" w:rsidP="00FE25E5">
            <w:pPr>
              <w:jc w:val="center"/>
              <w:rPr>
                <w:bCs/>
              </w:rPr>
            </w:pPr>
            <w:r>
              <w:rPr>
                <w:bCs/>
              </w:rPr>
              <w:t>329</w:t>
            </w:r>
          </w:p>
          <w:p w14:paraId="7D334E43" w14:textId="77777777" w:rsidR="00A54C40" w:rsidRDefault="00A54C40" w:rsidP="00FE25E5">
            <w:pPr>
              <w:jc w:val="center"/>
              <w:rPr>
                <w:bCs/>
              </w:rPr>
            </w:pPr>
          </w:p>
          <w:p w14:paraId="344E6A5C" w14:textId="77777777" w:rsidR="00A54C40" w:rsidRPr="00B230A1" w:rsidRDefault="00A54C40" w:rsidP="00FE25E5">
            <w:pPr>
              <w:jc w:val="center"/>
              <w:rPr>
                <w:bCs/>
              </w:rPr>
            </w:pPr>
            <w:r>
              <w:rPr>
                <w:bCs/>
              </w:rPr>
              <w:t>91</w:t>
            </w:r>
          </w:p>
          <w:p w14:paraId="3F531560" w14:textId="77777777" w:rsidR="00A54C40" w:rsidRPr="00B230A1" w:rsidRDefault="00A54C40" w:rsidP="00D61913">
            <w:pPr>
              <w:jc w:val="center"/>
              <w:rPr>
                <w:bCs/>
              </w:rPr>
            </w:pPr>
          </w:p>
          <w:p w14:paraId="7167E86D" w14:textId="77777777" w:rsidR="00A54C40" w:rsidRDefault="00A54C40" w:rsidP="00D6191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A4C94A9" w14:textId="77777777" w:rsidR="00A54C40" w:rsidRDefault="00A54C40" w:rsidP="00D6191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6EFE300" w14:textId="77777777" w:rsidR="00A54C40" w:rsidRDefault="00A54C40" w:rsidP="00AA54AE">
            <w:pPr>
              <w:spacing w:before="120"/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320</w:t>
            </w:r>
          </w:p>
          <w:p w14:paraId="5BE4350A" w14:textId="77777777" w:rsidR="00A54C40" w:rsidRDefault="00A54C40" w:rsidP="003D04FD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CD3A9C1" w14:textId="77777777" w:rsidR="00A54C40" w:rsidRDefault="00A54C40" w:rsidP="003D04FD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F244B3F" w14:textId="77777777" w:rsidR="00A54C40" w:rsidRDefault="00A54C40" w:rsidP="003D04FD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E678C92" w14:textId="77777777" w:rsidR="00A54C40" w:rsidRDefault="00A54C40" w:rsidP="003D04FD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375</w:t>
            </w:r>
          </w:p>
          <w:p w14:paraId="1588B155" w14:textId="77777777" w:rsidR="00A54C40" w:rsidRDefault="00A54C40" w:rsidP="008C5195">
            <w:pPr>
              <w:rPr>
                <w:rFonts w:eastAsia="MS Mincho"/>
                <w:bCs/>
                <w:szCs w:val="22"/>
                <w:lang w:eastAsia="ja-JP"/>
              </w:rPr>
            </w:pPr>
          </w:p>
          <w:p w14:paraId="27E23DBB" w14:textId="1B6E23F1" w:rsidR="00A54C40" w:rsidRPr="00266F5B" w:rsidRDefault="00A54C40" w:rsidP="008F0E40">
            <w:pPr>
              <w:jc w:val="center"/>
              <w:rPr>
                <w:bCs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7004F" w14:textId="77777777" w:rsidR="00A54C40" w:rsidRPr="00CC3325" w:rsidRDefault="00A54C40" w:rsidP="00D61913">
            <w:pPr>
              <w:jc w:val="center"/>
              <w:rPr>
                <w:b/>
              </w:rPr>
            </w:pPr>
          </w:p>
          <w:p w14:paraId="4540F6E6" w14:textId="77777777" w:rsidR="00A54C40" w:rsidRDefault="00A54C40" w:rsidP="00A54C40">
            <w:pPr>
              <w:jc w:val="center"/>
              <w:rPr>
                <w:b/>
              </w:rPr>
            </w:pPr>
            <w:r>
              <w:rPr>
                <w:b/>
              </w:rPr>
              <w:t>239</w:t>
            </w:r>
          </w:p>
          <w:p w14:paraId="684C9F82" w14:textId="77777777" w:rsidR="00A54C40" w:rsidRDefault="00A54C40" w:rsidP="00FE25E5">
            <w:pPr>
              <w:jc w:val="center"/>
              <w:rPr>
                <w:b/>
              </w:rPr>
            </w:pPr>
          </w:p>
          <w:p w14:paraId="5E9022C7" w14:textId="77777777" w:rsidR="00A54C40" w:rsidRDefault="00A54C40" w:rsidP="00FE25E5">
            <w:pPr>
              <w:jc w:val="center"/>
              <w:rPr>
                <w:b/>
              </w:rPr>
            </w:pPr>
          </w:p>
          <w:p w14:paraId="5A93235A" w14:textId="77777777" w:rsidR="00A54C40" w:rsidRDefault="00A54C40" w:rsidP="00FE25E5">
            <w:pPr>
              <w:jc w:val="center"/>
              <w:rPr>
                <w:b/>
              </w:rPr>
            </w:pPr>
          </w:p>
          <w:p w14:paraId="59C02596" w14:textId="77777777" w:rsidR="00A54C40" w:rsidRDefault="00A54C40" w:rsidP="00FE25E5">
            <w:pPr>
              <w:jc w:val="center"/>
              <w:rPr>
                <w:b/>
              </w:rPr>
            </w:pPr>
            <w:r>
              <w:rPr>
                <w:b/>
              </w:rPr>
              <w:t>287</w:t>
            </w:r>
          </w:p>
          <w:p w14:paraId="3B6EC8EE" w14:textId="77777777" w:rsidR="00A54C40" w:rsidRDefault="00A54C40" w:rsidP="00FE25E5">
            <w:pPr>
              <w:jc w:val="center"/>
              <w:rPr>
                <w:b/>
              </w:rPr>
            </w:pPr>
          </w:p>
          <w:p w14:paraId="241F1958" w14:textId="77777777" w:rsidR="00A54C40" w:rsidRDefault="00A54C40" w:rsidP="00FE25E5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  <w:p w14:paraId="581C185D" w14:textId="77777777" w:rsidR="00A54C40" w:rsidRDefault="00A54C40" w:rsidP="00FE25E5">
            <w:pPr>
              <w:jc w:val="center"/>
              <w:rPr>
                <w:b/>
              </w:rPr>
            </w:pPr>
          </w:p>
          <w:p w14:paraId="48DF87FE" w14:textId="77777777" w:rsidR="00A54C40" w:rsidRDefault="00A54C40" w:rsidP="00FE25E5">
            <w:pPr>
              <w:jc w:val="center"/>
              <w:rPr>
                <w:b/>
              </w:rPr>
            </w:pPr>
          </w:p>
          <w:p w14:paraId="4270FDCE" w14:textId="77777777" w:rsidR="00A54C40" w:rsidRDefault="00A54C40" w:rsidP="00FE25E5">
            <w:pPr>
              <w:jc w:val="center"/>
              <w:rPr>
                <w:b/>
              </w:rPr>
            </w:pPr>
          </w:p>
          <w:p w14:paraId="03C59C36" w14:textId="77777777" w:rsidR="00A54C40" w:rsidRDefault="00A54C40" w:rsidP="00AA54A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279</w:t>
            </w:r>
          </w:p>
          <w:p w14:paraId="4F0664F6" w14:textId="77777777" w:rsidR="00A54C40" w:rsidRDefault="00A54C40" w:rsidP="00FE25E5">
            <w:pPr>
              <w:jc w:val="center"/>
              <w:rPr>
                <w:b/>
              </w:rPr>
            </w:pPr>
          </w:p>
          <w:p w14:paraId="435C04B0" w14:textId="77777777" w:rsidR="00A54C40" w:rsidRDefault="00A54C40" w:rsidP="00FE25E5">
            <w:pPr>
              <w:jc w:val="center"/>
              <w:rPr>
                <w:b/>
              </w:rPr>
            </w:pPr>
          </w:p>
          <w:p w14:paraId="3C2CAD2D" w14:textId="77777777" w:rsidR="00A54C40" w:rsidRDefault="00A54C40" w:rsidP="00FE25E5">
            <w:pPr>
              <w:jc w:val="center"/>
              <w:rPr>
                <w:b/>
              </w:rPr>
            </w:pPr>
          </w:p>
          <w:p w14:paraId="18FC7E01" w14:textId="77777777" w:rsidR="00A54C40" w:rsidRDefault="00A54C40" w:rsidP="00FE25E5">
            <w:pPr>
              <w:jc w:val="center"/>
              <w:rPr>
                <w:b/>
              </w:rPr>
            </w:pPr>
            <w:r>
              <w:rPr>
                <w:b/>
              </w:rPr>
              <w:t>327</w:t>
            </w:r>
          </w:p>
          <w:p w14:paraId="297A99FF" w14:textId="77777777" w:rsidR="00A54C40" w:rsidRDefault="00A54C40" w:rsidP="00FE25E5">
            <w:pPr>
              <w:jc w:val="center"/>
              <w:rPr>
                <w:b/>
              </w:rPr>
            </w:pPr>
          </w:p>
          <w:p w14:paraId="44BB11A6" w14:textId="4366E2FC" w:rsidR="00A54C40" w:rsidRPr="00CC3325" w:rsidRDefault="00A54C40" w:rsidP="008F0E40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14:paraId="5B454907" w14:textId="748B3EC7" w:rsidR="004901C0" w:rsidRDefault="004901C0" w:rsidP="00DD2B04">
      <w:pPr>
        <w:rPr>
          <w:lang w:val="es-ES_tradnl"/>
        </w:rPr>
      </w:pPr>
    </w:p>
    <w:p w14:paraId="2533D355" w14:textId="4FCC30C7" w:rsidR="004901C0" w:rsidRPr="0027396E" w:rsidRDefault="004901C0" w:rsidP="004901C0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Pr="0088751E">
        <w:rPr>
          <w:lang w:val="es-ES_tradnl" w:eastAsia="ja-JP"/>
        </w:rPr>
        <w:t xml:space="preserve"> importes se</w:t>
      </w:r>
      <w:r w:rsidRPr="0027396E">
        <w:rPr>
          <w:lang w:val="es-ES_tradnl" w:eastAsia="ja-JP"/>
        </w:rPr>
        <w:t xml:space="preserve"> abonarán cuando</w:t>
      </w:r>
      <w:r>
        <w:rPr>
          <w:lang w:val="es-ES_tradnl" w:eastAsia="ja-JP"/>
        </w:rPr>
        <w:t xml:space="preserve"> </w:t>
      </w:r>
      <w:r w:rsidR="00F84BE7">
        <w:rPr>
          <w:snapToGrid w:val="0"/>
          <w:lang w:val="es-ES_tradnl"/>
        </w:rPr>
        <w:t>Cuba</w:t>
      </w:r>
    </w:p>
    <w:p w14:paraId="6E5A9584" w14:textId="01E82544" w:rsidR="004901C0" w:rsidRDefault="004901C0" w:rsidP="00EB71D2">
      <w:pPr>
        <w:ind w:firstLine="567"/>
        <w:rPr>
          <w:lang w:val="es-ES_tradnl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Pr="003F01E7">
        <w:rPr>
          <w:rFonts w:eastAsia="MS Mincho"/>
          <w:szCs w:val="22"/>
          <w:lang w:val="es-ES_tradnl" w:eastAsia="ja-JP"/>
        </w:rPr>
        <w:t>se designe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>
        <w:rPr>
          <w:rFonts w:eastAsia="MS Mincho"/>
          <w:szCs w:val="22"/>
          <w:lang w:val="es-ES_tradnl" w:eastAsia="ja-JP"/>
        </w:rPr>
        <w:t>recibida</w:t>
      </w:r>
      <w:r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>
        <w:rPr>
          <w:rFonts w:eastAsia="MS Mincho"/>
          <w:szCs w:val="22"/>
          <w:lang w:val="es-ES_tradnl" w:eastAsia="ja-JP"/>
        </w:rPr>
        <w:t>el </w:t>
      </w:r>
      <w:r w:rsidR="00E26245">
        <w:rPr>
          <w:lang w:val="es-ES_tradnl" w:eastAsia="ja-JP"/>
        </w:rPr>
        <w:t>9</w:t>
      </w:r>
      <w:r>
        <w:rPr>
          <w:lang w:val="es-ES_tradnl" w:eastAsia="ja-JP"/>
        </w:rPr>
        <w:t> de </w:t>
      </w:r>
      <w:r w:rsidR="001A1F49">
        <w:rPr>
          <w:lang w:val="es-ES_tradnl" w:eastAsia="ja-JP"/>
        </w:rPr>
        <w:t>noviembre</w:t>
      </w:r>
      <w:r>
        <w:rPr>
          <w:lang w:val="es-ES_tradnl" w:eastAsia="ja-JP"/>
        </w:rPr>
        <w:t xml:space="preserve"> de 2025 </w:t>
      </w:r>
      <w:r w:rsidRPr="006A5B48">
        <w:rPr>
          <w:rFonts w:eastAsia="MS Mincho"/>
          <w:szCs w:val="22"/>
          <w:lang w:val="es-ES_tradnl" w:eastAsia="ja-JP"/>
        </w:rPr>
        <w:t xml:space="preserve">o </w:t>
      </w:r>
      <w:r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Pr="000048BF">
        <w:rPr>
          <w:rFonts w:eastAsia="MS Mincho"/>
          <w:szCs w:val="22"/>
          <w:lang w:val="es-ES_tradnl" w:eastAsia="ja-JP"/>
        </w:rPr>
        <w:t>fecha</w:t>
      </w:r>
      <w:r>
        <w:rPr>
          <w:rFonts w:eastAsia="MS Mincho"/>
          <w:szCs w:val="22"/>
          <w:lang w:val="es-ES_tradnl" w:eastAsia="ja-JP"/>
        </w:rPr>
        <w:t xml:space="preserve">;  </w:t>
      </w:r>
      <w:r w:rsidRPr="006A5B48">
        <w:rPr>
          <w:rFonts w:eastAsia="MS Mincho"/>
          <w:szCs w:val="22"/>
          <w:lang w:val="es-ES_tradnl" w:eastAsia="ja-JP"/>
        </w:rPr>
        <w:t>o</w:t>
      </w:r>
      <w:proofErr w:type="gramEnd"/>
      <w:r>
        <w:rPr>
          <w:lang w:val="es-ES_tradnl"/>
        </w:rPr>
        <w:t xml:space="preserve"> </w:t>
      </w:r>
    </w:p>
    <w:p w14:paraId="3456AC7F" w14:textId="77777777" w:rsidR="004901C0" w:rsidRDefault="004901C0" w:rsidP="004901C0">
      <w:pPr>
        <w:rPr>
          <w:lang w:val="es-ES_tradnl"/>
        </w:rPr>
      </w:pPr>
    </w:p>
    <w:p w14:paraId="7C244851" w14:textId="3029DD53" w:rsidR="004901C0" w:rsidRPr="00A76562" w:rsidRDefault="004901C0" w:rsidP="004901C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14:paraId="16F756DF" w14:textId="511C78FE" w:rsidR="004901C0" w:rsidRDefault="004901C0" w:rsidP="004901C0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se haya designado</w:t>
      </w:r>
      <w:r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>
        <w:rPr>
          <w:rFonts w:eastAsia="MS Mincho"/>
          <w:szCs w:val="22"/>
          <w:lang w:val="es-ES_tradnl" w:eastAsia="ja-JP"/>
        </w:rPr>
        <w:t>r</w:t>
      </w:r>
      <w:r w:rsidRPr="003F01E7">
        <w:rPr>
          <w:rFonts w:eastAsia="MS Mincho"/>
          <w:szCs w:val="22"/>
          <w:lang w:val="es-ES_tradnl" w:eastAsia="ja-JP"/>
        </w:rPr>
        <w:t>enovado</w:t>
      </w:r>
      <w:r>
        <w:rPr>
          <w:rFonts w:eastAsia="MS Mincho"/>
          <w:szCs w:val="22"/>
          <w:lang w:val="es-ES_tradnl" w:eastAsia="ja-JP"/>
        </w:rPr>
        <w:t xml:space="preserve"> 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621CDCCC" w:rsidR="000255C9" w:rsidRPr="00DE624B" w:rsidRDefault="00E26245" w:rsidP="00DD2B04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9</w:t>
      </w:r>
      <w:r w:rsidR="004901C0" w:rsidRPr="0088751E">
        <w:rPr>
          <w:lang w:val="es-ES_tradnl"/>
        </w:rPr>
        <w:t xml:space="preserve"> </w:t>
      </w:r>
      <w:r w:rsidR="004901C0" w:rsidRPr="00BE2729">
        <w:rPr>
          <w:lang w:val="es-ES_tradnl"/>
        </w:rPr>
        <w:t xml:space="preserve">de </w:t>
      </w:r>
      <w:r w:rsidR="001A1F49" w:rsidRPr="001A1F49">
        <w:rPr>
          <w:lang w:val="es-ES_tradnl"/>
        </w:rPr>
        <w:t>octubre</w:t>
      </w:r>
      <w:r w:rsidR="004901C0">
        <w:rPr>
          <w:lang w:val="es-ES_tradnl"/>
        </w:rPr>
        <w:t xml:space="preserve"> de 2025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5A2A" w14:textId="77777777" w:rsidR="00E75AD3" w:rsidRDefault="00E75AD3">
      <w:r>
        <w:separator/>
      </w:r>
    </w:p>
  </w:endnote>
  <w:endnote w:type="continuationSeparator" w:id="0">
    <w:p w14:paraId="44629A1C" w14:textId="77777777" w:rsidR="00E75AD3" w:rsidRDefault="00E75AD3" w:rsidP="003B38C1">
      <w:r>
        <w:separator/>
      </w:r>
    </w:p>
    <w:p w14:paraId="15BEFAA4" w14:textId="77777777" w:rsidR="00E75AD3" w:rsidRPr="003B38C1" w:rsidRDefault="00E75AD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B2E9727" w14:textId="77777777" w:rsidR="00E75AD3" w:rsidRPr="003B38C1" w:rsidRDefault="00E75AD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6252" w14:textId="77777777" w:rsidR="00E75AD3" w:rsidRDefault="00E75AD3">
      <w:r>
        <w:separator/>
      </w:r>
    </w:p>
  </w:footnote>
  <w:footnote w:type="continuationSeparator" w:id="0">
    <w:p w14:paraId="40D4F329" w14:textId="77777777" w:rsidR="00E75AD3" w:rsidRDefault="00E75AD3" w:rsidP="008B60B2">
      <w:r>
        <w:separator/>
      </w:r>
    </w:p>
    <w:p w14:paraId="448132A0" w14:textId="77777777" w:rsidR="00E75AD3" w:rsidRPr="00ED77FB" w:rsidRDefault="00E75AD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AF09F5D" w14:textId="77777777" w:rsidR="00E75AD3" w:rsidRPr="00ED77FB" w:rsidRDefault="00E75AD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E47FD"/>
    <w:multiLevelType w:val="hybridMultilevel"/>
    <w:tmpl w:val="CEC4C710"/>
    <w:lvl w:ilvl="0" w:tplc="C31EC79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3"/>
  </w:num>
  <w:num w:numId="3" w16cid:durableId="495341399">
    <w:abstractNumId w:val="6"/>
  </w:num>
  <w:num w:numId="4" w16cid:durableId="2057699731">
    <w:abstractNumId w:val="0"/>
  </w:num>
  <w:num w:numId="5" w16cid:durableId="1622616269">
    <w:abstractNumId w:val="7"/>
  </w:num>
  <w:num w:numId="6" w16cid:durableId="1713573176">
    <w:abstractNumId w:val="2"/>
  </w:num>
  <w:num w:numId="7" w16cid:durableId="1199972805">
    <w:abstractNumId w:val="4"/>
  </w:num>
  <w:num w:numId="8" w16cid:durableId="276103928">
    <w:abstractNumId w:val="5"/>
  </w:num>
  <w:num w:numId="9" w16cid:durableId="1158494454">
    <w:abstractNumId w:val="5"/>
  </w:num>
  <w:num w:numId="10" w16cid:durableId="27033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1E3D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94A"/>
    <w:rsid w:val="00077BE0"/>
    <w:rsid w:val="000804C3"/>
    <w:rsid w:val="000813CE"/>
    <w:rsid w:val="000832D1"/>
    <w:rsid w:val="00084A5D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38F6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D5BDC"/>
    <w:rsid w:val="000D793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0735F"/>
    <w:rsid w:val="00123701"/>
    <w:rsid w:val="001272E3"/>
    <w:rsid w:val="00131BD8"/>
    <w:rsid w:val="001335FF"/>
    <w:rsid w:val="00133B7C"/>
    <w:rsid w:val="00133F53"/>
    <w:rsid w:val="001362EE"/>
    <w:rsid w:val="0014031B"/>
    <w:rsid w:val="00141751"/>
    <w:rsid w:val="0014556A"/>
    <w:rsid w:val="0015037D"/>
    <w:rsid w:val="00150ECF"/>
    <w:rsid w:val="001537E2"/>
    <w:rsid w:val="00163C76"/>
    <w:rsid w:val="00163F0D"/>
    <w:rsid w:val="00166299"/>
    <w:rsid w:val="00166D90"/>
    <w:rsid w:val="00174DE1"/>
    <w:rsid w:val="00175017"/>
    <w:rsid w:val="00182AAC"/>
    <w:rsid w:val="001832A6"/>
    <w:rsid w:val="00183C8C"/>
    <w:rsid w:val="00185E31"/>
    <w:rsid w:val="00186DE1"/>
    <w:rsid w:val="001879B2"/>
    <w:rsid w:val="00190822"/>
    <w:rsid w:val="00192AFA"/>
    <w:rsid w:val="001A0DE6"/>
    <w:rsid w:val="001A1F49"/>
    <w:rsid w:val="001B352F"/>
    <w:rsid w:val="001C2D7E"/>
    <w:rsid w:val="001C6635"/>
    <w:rsid w:val="001D4521"/>
    <w:rsid w:val="001D6B4C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1F7FAB"/>
    <w:rsid w:val="00202410"/>
    <w:rsid w:val="00205035"/>
    <w:rsid w:val="0020551F"/>
    <w:rsid w:val="00206F66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302"/>
    <w:rsid w:val="00250BCC"/>
    <w:rsid w:val="00251890"/>
    <w:rsid w:val="0025278E"/>
    <w:rsid w:val="00254F87"/>
    <w:rsid w:val="00257193"/>
    <w:rsid w:val="002608BD"/>
    <w:rsid w:val="002634C4"/>
    <w:rsid w:val="0026441D"/>
    <w:rsid w:val="00266F5B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97D81"/>
    <w:rsid w:val="002A10D1"/>
    <w:rsid w:val="002A2E4F"/>
    <w:rsid w:val="002A705D"/>
    <w:rsid w:val="002B5E1D"/>
    <w:rsid w:val="002C1554"/>
    <w:rsid w:val="002C2267"/>
    <w:rsid w:val="002C32AD"/>
    <w:rsid w:val="002C34BE"/>
    <w:rsid w:val="002C38D8"/>
    <w:rsid w:val="002C4749"/>
    <w:rsid w:val="002C5A2A"/>
    <w:rsid w:val="002C7D2B"/>
    <w:rsid w:val="002C7E9F"/>
    <w:rsid w:val="002D0D6F"/>
    <w:rsid w:val="002D373B"/>
    <w:rsid w:val="002D4C58"/>
    <w:rsid w:val="002D5FFD"/>
    <w:rsid w:val="002D702E"/>
    <w:rsid w:val="002E5166"/>
    <w:rsid w:val="002E606A"/>
    <w:rsid w:val="002E6718"/>
    <w:rsid w:val="002E78EB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5134"/>
    <w:rsid w:val="00347330"/>
    <w:rsid w:val="003517A0"/>
    <w:rsid w:val="00351DEB"/>
    <w:rsid w:val="00354609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5E4"/>
    <w:rsid w:val="003879B9"/>
    <w:rsid w:val="003911F0"/>
    <w:rsid w:val="003926A7"/>
    <w:rsid w:val="003930EA"/>
    <w:rsid w:val="003976FC"/>
    <w:rsid w:val="003A5E3A"/>
    <w:rsid w:val="003A6F89"/>
    <w:rsid w:val="003B01F4"/>
    <w:rsid w:val="003B38C1"/>
    <w:rsid w:val="003B46CB"/>
    <w:rsid w:val="003C22D1"/>
    <w:rsid w:val="003C2450"/>
    <w:rsid w:val="003C3759"/>
    <w:rsid w:val="003C6569"/>
    <w:rsid w:val="003C7E03"/>
    <w:rsid w:val="003D04FD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30FF"/>
    <w:rsid w:val="00404AFE"/>
    <w:rsid w:val="004052E1"/>
    <w:rsid w:val="0040692A"/>
    <w:rsid w:val="00411FB2"/>
    <w:rsid w:val="00414A9E"/>
    <w:rsid w:val="004167F4"/>
    <w:rsid w:val="00417D19"/>
    <w:rsid w:val="00423E3E"/>
    <w:rsid w:val="004244ED"/>
    <w:rsid w:val="00424553"/>
    <w:rsid w:val="0042476B"/>
    <w:rsid w:val="00424995"/>
    <w:rsid w:val="004275BB"/>
    <w:rsid w:val="00427AF4"/>
    <w:rsid w:val="00431639"/>
    <w:rsid w:val="0043341F"/>
    <w:rsid w:val="0043636D"/>
    <w:rsid w:val="0044034D"/>
    <w:rsid w:val="00441F79"/>
    <w:rsid w:val="00447718"/>
    <w:rsid w:val="00447A31"/>
    <w:rsid w:val="004522FF"/>
    <w:rsid w:val="00452C01"/>
    <w:rsid w:val="00455407"/>
    <w:rsid w:val="004630B4"/>
    <w:rsid w:val="004647DA"/>
    <w:rsid w:val="00464F68"/>
    <w:rsid w:val="00466166"/>
    <w:rsid w:val="00467B2C"/>
    <w:rsid w:val="0047006A"/>
    <w:rsid w:val="00474062"/>
    <w:rsid w:val="00474C68"/>
    <w:rsid w:val="00477D6B"/>
    <w:rsid w:val="00477EF9"/>
    <w:rsid w:val="0048232C"/>
    <w:rsid w:val="00486120"/>
    <w:rsid w:val="0048756F"/>
    <w:rsid w:val="004901C0"/>
    <w:rsid w:val="004936FC"/>
    <w:rsid w:val="004947C5"/>
    <w:rsid w:val="004962C0"/>
    <w:rsid w:val="00496DBA"/>
    <w:rsid w:val="004972E8"/>
    <w:rsid w:val="004A1FFC"/>
    <w:rsid w:val="004A2037"/>
    <w:rsid w:val="004A3108"/>
    <w:rsid w:val="004B0093"/>
    <w:rsid w:val="004B1240"/>
    <w:rsid w:val="004B336C"/>
    <w:rsid w:val="004B68F2"/>
    <w:rsid w:val="004C4FF0"/>
    <w:rsid w:val="004C7C7E"/>
    <w:rsid w:val="004E0225"/>
    <w:rsid w:val="004E0F8A"/>
    <w:rsid w:val="004E34B0"/>
    <w:rsid w:val="004E64A4"/>
    <w:rsid w:val="004E6B32"/>
    <w:rsid w:val="004E7D00"/>
    <w:rsid w:val="004F26A6"/>
    <w:rsid w:val="004F5A30"/>
    <w:rsid w:val="00500BC9"/>
    <w:rsid w:val="005019FF"/>
    <w:rsid w:val="00501CA0"/>
    <w:rsid w:val="00505366"/>
    <w:rsid w:val="00511C2B"/>
    <w:rsid w:val="00512515"/>
    <w:rsid w:val="00515B2E"/>
    <w:rsid w:val="00520A14"/>
    <w:rsid w:val="00523DCE"/>
    <w:rsid w:val="005243B1"/>
    <w:rsid w:val="0053024B"/>
    <w:rsid w:val="0053057A"/>
    <w:rsid w:val="00532F50"/>
    <w:rsid w:val="005372DA"/>
    <w:rsid w:val="0054007C"/>
    <w:rsid w:val="005408EF"/>
    <w:rsid w:val="00542B1F"/>
    <w:rsid w:val="00546473"/>
    <w:rsid w:val="00546A94"/>
    <w:rsid w:val="005475BB"/>
    <w:rsid w:val="0054761F"/>
    <w:rsid w:val="0054762F"/>
    <w:rsid w:val="00547DE7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86F91"/>
    <w:rsid w:val="0059431F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E5"/>
    <w:rsid w:val="005C7965"/>
    <w:rsid w:val="005D09DA"/>
    <w:rsid w:val="005D283E"/>
    <w:rsid w:val="005E2346"/>
    <w:rsid w:val="005E5CFA"/>
    <w:rsid w:val="005F2F3B"/>
    <w:rsid w:val="00600876"/>
    <w:rsid w:val="00601B0F"/>
    <w:rsid w:val="00605827"/>
    <w:rsid w:val="00610854"/>
    <w:rsid w:val="00620385"/>
    <w:rsid w:val="00620ED8"/>
    <w:rsid w:val="006354E1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5FAB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B7ED9"/>
    <w:rsid w:val="006C2CE7"/>
    <w:rsid w:val="006C6DD8"/>
    <w:rsid w:val="006D03AF"/>
    <w:rsid w:val="006D1292"/>
    <w:rsid w:val="006D4406"/>
    <w:rsid w:val="006D529E"/>
    <w:rsid w:val="006E3CD1"/>
    <w:rsid w:val="006F073B"/>
    <w:rsid w:val="006F1585"/>
    <w:rsid w:val="006F1C9B"/>
    <w:rsid w:val="006F2878"/>
    <w:rsid w:val="006F33FF"/>
    <w:rsid w:val="006F353D"/>
    <w:rsid w:val="0070685A"/>
    <w:rsid w:val="007117E6"/>
    <w:rsid w:val="0071378F"/>
    <w:rsid w:val="007145B6"/>
    <w:rsid w:val="00715924"/>
    <w:rsid w:val="00721187"/>
    <w:rsid w:val="00723889"/>
    <w:rsid w:val="00733022"/>
    <w:rsid w:val="00734549"/>
    <w:rsid w:val="00740C5B"/>
    <w:rsid w:val="00741470"/>
    <w:rsid w:val="00752218"/>
    <w:rsid w:val="0075269F"/>
    <w:rsid w:val="0075340D"/>
    <w:rsid w:val="00753E39"/>
    <w:rsid w:val="007555E9"/>
    <w:rsid w:val="00756B15"/>
    <w:rsid w:val="00757B62"/>
    <w:rsid w:val="00760E7C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2D1A"/>
    <w:rsid w:val="007A6E3E"/>
    <w:rsid w:val="007B7F73"/>
    <w:rsid w:val="007C31F8"/>
    <w:rsid w:val="007C3E9B"/>
    <w:rsid w:val="007C5D42"/>
    <w:rsid w:val="007D1613"/>
    <w:rsid w:val="007D250A"/>
    <w:rsid w:val="007E0395"/>
    <w:rsid w:val="007E267F"/>
    <w:rsid w:val="007F2558"/>
    <w:rsid w:val="007F2B32"/>
    <w:rsid w:val="007F3736"/>
    <w:rsid w:val="007F4D09"/>
    <w:rsid w:val="007F62D1"/>
    <w:rsid w:val="007F6B61"/>
    <w:rsid w:val="00803DA2"/>
    <w:rsid w:val="008042E5"/>
    <w:rsid w:val="00804EC4"/>
    <w:rsid w:val="008051DF"/>
    <w:rsid w:val="008124F9"/>
    <w:rsid w:val="008126FC"/>
    <w:rsid w:val="00813E42"/>
    <w:rsid w:val="00814549"/>
    <w:rsid w:val="008208C1"/>
    <w:rsid w:val="00820F23"/>
    <w:rsid w:val="0083318D"/>
    <w:rsid w:val="008418D5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34C9"/>
    <w:rsid w:val="00885618"/>
    <w:rsid w:val="0088683C"/>
    <w:rsid w:val="0088751E"/>
    <w:rsid w:val="00890E46"/>
    <w:rsid w:val="008915A1"/>
    <w:rsid w:val="008948BE"/>
    <w:rsid w:val="008977D0"/>
    <w:rsid w:val="008A032F"/>
    <w:rsid w:val="008A1EA8"/>
    <w:rsid w:val="008A4F9D"/>
    <w:rsid w:val="008B1511"/>
    <w:rsid w:val="008B23F7"/>
    <w:rsid w:val="008B2CC1"/>
    <w:rsid w:val="008B60B2"/>
    <w:rsid w:val="008C2D2F"/>
    <w:rsid w:val="008C2FE6"/>
    <w:rsid w:val="008C3F09"/>
    <w:rsid w:val="008C5195"/>
    <w:rsid w:val="008D2F0C"/>
    <w:rsid w:val="008E2B65"/>
    <w:rsid w:val="008E5A83"/>
    <w:rsid w:val="008E5BF2"/>
    <w:rsid w:val="008F0E40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2AC9"/>
    <w:rsid w:val="009162E2"/>
    <w:rsid w:val="00916E0C"/>
    <w:rsid w:val="00916EE2"/>
    <w:rsid w:val="00922789"/>
    <w:rsid w:val="009378BE"/>
    <w:rsid w:val="00940793"/>
    <w:rsid w:val="009419FB"/>
    <w:rsid w:val="00944975"/>
    <w:rsid w:val="009524EF"/>
    <w:rsid w:val="0095770F"/>
    <w:rsid w:val="00962BDF"/>
    <w:rsid w:val="009657E1"/>
    <w:rsid w:val="00965EC2"/>
    <w:rsid w:val="00966A22"/>
    <w:rsid w:val="0096722F"/>
    <w:rsid w:val="00970935"/>
    <w:rsid w:val="00971F64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591F"/>
    <w:rsid w:val="009B4C71"/>
    <w:rsid w:val="009B7B03"/>
    <w:rsid w:val="009C0C04"/>
    <w:rsid w:val="009C757E"/>
    <w:rsid w:val="009D2A66"/>
    <w:rsid w:val="009D4EC3"/>
    <w:rsid w:val="009D6D67"/>
    <w:rsid w:val="009E0C6F"/>
    <w:rsid w:val="009E159D"/>
    <w:rsid w:val="009E2791"/>
    <w:rsid w:val="009E3373"/>
    <w:rsid w:val="009E3F6F"/>
    <w:rsid w:val="009E5711"/>
    <w:rsid w:val="009E5F9F"/>
    <w:rsid w:val="009E7B70"/>
    <w:rsid w:val="009F1968"/>
    <w:rsid w:val="009F2A14"/>
    <w:rsid w:val="009F30B1"/>
    <w:rsid w:val="009F3AE8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0922"/>
    <w:rsid w:val="00A21684"/>
    <w:rsid w:val="00A25430"/>
    <w:rsid w:val="00A27D7A"/>
    <w:rsid w:val="00A333A6"/>
    <w:rsid w:val="00A33687"/>
    <w:rsid w:val="00A353ED"/>
    <w:rsid w:val="00A42DAF"/>
    <w:rsid w:val="00A44835"/>
    <w:rsid w:val="00A456E7"/>
    <w:rsid w:val="00A45BD8"/>
    <w:rsid w:val="00A52A9B"/>
    <w:rsid w:val="00A54C40"/>
    <w:rsid w:val="00A5699E"/>
    <w:rsid w:val="00A57CFA"/>
    <w:rsid w:val="00A611E5"/>
    <w:rsid w:val="00A61B90"/>
    <w:rsid w:val="00A63409"/>
    <w:rsid w:val="00A639F8"/>
    <w:rsid w:val="00A67830"/>
    <w:rsid w:val="00A70C31"/>
    <w:rsid w:val="00A72B1F"/>
    <w:rsid w:val="00A74F88"/>
    <w:rsid w:val="00A76562"/>
    <w:rsid w:val="00A76B73"/>
    <w:rsid w:val="00A80BEC"/>
    <w:rsid w:val="00A8534F"/>
    <w:rsid w:val="00A8595B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A54AE"/>
    <w:rsid w:val="00AB4428"/>
    <w:rsid w:val="00AB54BB"/>
    <w:rsid w:val="00AB56BA"/>
    <w:rsid w:val="00AC205C"/>
    <w:rsid w:val="00AC3562"/>
    <w:rsid w:val="00AC7691"/>
    <w:rsid w:val="00AD34C8"/>
    <w:rsid w:val="00AD38EE"/>
    <w:rsid w:val="00AE6FEB"/>
    <w:rsid w:val="00AE74EB"/>
    <w:rsid w:val="00AF0A6B"/>
    <w:rsid w:val="00AF0C8C"/>
    <w:rsid w:val="00AF0D28"/>
    <w:rsid w:val="00AF4D85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6795E"/>
    <w:rsid w:val="00B83157"/>
    <w:rsid w:val="00B83438"/>
    <w:rsid w:val="00B84F72"/>
    <w:rsid w:val="00B86D35"/>
    <w:rsid w:val="00B9734B"/>
    <w:rsid w:val="00B97A85"/>
    <w:rsid w:val="00BA215F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9BD"/>
    <w:rsid w:val="00BC2CC9"/>
    <w:rsid w:val="00BC375A"/>
    <w:rsid w:val="00BC6A2A"/>
    <w:rsid w:val="00BD3F14"/>
    <w:rsid w:val="00BE2729"/>
    <w:rsid w:val="00BE45F8"/>
    <w:rsid w:val="00BE53FA"/>
    <w:rsid w:val="00BE55D6"/>
    <w:rsid w:val="00BE5857"/>
    <w:rsid w:val="00BF3038"/>
    <w:rsid w:val="00BF4D90"/>
    <w:rsid w:val="00C023DA"/>
    <w:rsid w:val="00C11BFE"/>
    <w:rsid w:val="00C14E91"/>
    <w:rsid w:val="00C219F0"/>
    <w:rsid w:val="00C25DFB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08F2"/>
    <w:rsid w:val="00C511FC"/>
    <w:rsid w:val="00C5357E"/>
    <w:rsid w:val="00C53F26"/>
    <w:rsid w:val="00C556FE"/>
    <w:rsid w:val="00C60644"/>
    <w:rsid w:val="00C61B1F"/>
    <w:rsid w:val="00C62D81"/>
    <w:rsid w:val="00C63F9E"/>
    <w:rsid w:val="00C65F83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2297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2D30"/>
    <w:rsid w:val="00CE462F"/>
    <w:rsid w:val="00CE4D65"/>
    <w:rsid w:val="00CE58F2"/>
    <w:rsid w:val="00CE6390"/>
    <w:rsid w:val="00CF0D51"/>
    <w:rsid w:val="00CF4536"/>
    <w:rsid w:val="00CF76C2"/>
    <w:rsid w:val="00D049D5"/>
    <w:rsid w:val="00D12695"/>
    <w:rsid w:val="00D22BD4"/>
    <w:rsid w:val="00D235B4"/>
    <w:rsid w:val="00D2601B"/>
    <w:rsid w:val="00D264F8"/>
    <w:rsid w:val="00D3068F"/>
    <w:rsid w:val="00D30C38"/>
    <w:rsid w:val="00D30CC7"/>
    <w:rsid w:val="00D316A9"/>
    <w:rsid w:val="00D31C2F"/>
    <w:rsid w:val="00D359F3"/>
    <w:rsid w:val="00D40A98"/>
    <w:rsid w:val="00D424EC"/>
    <w:rsid w:val="00D432B8"/>
    <w:rsid w:val="00D45252"/>
    <w:rsid w:val="00D46279"/>
    <w:rsid w:val="00D47AF8"/>
    <w:rsid w:val="00D51E52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0808"/>
    <w:rsid w:val="00DB1296"/>
    <w:rsid w:val="00DB3416"/>
    <w:rsid w:val="00DB3CDA"/>
    <w:rsid w:val="00DB42CB"/>
    <w:rsid w:val="00DB4D0A"/>
    <w:rsid w:val="00DB55A5"/>
    <w:rsid w:val="00DB6E1F"/>
    <w:rsid w:val="00DC07BF"/>
    <w:rsid w:val="00DC18FE"/>
    <w:rsid w:val="00DC22D9"/>
    <w:rsid w:val="00DC3E50"/>
    <w:rsid w:val="00DD092B"/>
    <w:rsid w:val="00DD2B04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213EE"/>
    <w:rsid w:val="00E22E0B"/>
    <w:rsid w:val="00E26245"/>
    <w:rsid w:val="00E335FE"/>
    <w:rsid w:val="00E40713"/>
    <w:rsid w:val="00E410AA"/>
    <w:rsid w:val="00E42B9A"/>
    <w:rsid w:val="00E438C5"/>
    <w:rsid w:val="00E532DC"/>
    <w:rsid w:val="00E533D5"/>
    <w:rsid w:val="00E539DC"/>
    <w:rsid w:val="00E54679"/>
    <w:rsid w:val="00E57BA1"/>
    <w:rsid w:val="00E62906"/>
    <w:rsid w:val="00E62AE7"/>
    <w:rsid w:val="00E66C2C"/>
    <w:rsid w:val="00E67B4C"/>
    <w:rsid w:val="00E7182A"/>
    <w:rsid w:val="00E74DC1"/>
    <w:rsid w:val="00E75AD3"/>
    <w:rsid w:val="00E8035A"/>
    <w:rsid w:val="00E83E5C"/>
    <w:rsid w:val="00E935EA"/>
    <w:rsid w:val="00E9538E"/>
    <w:rsid w:val="00EB02AA"/>
    <w:rsid w:val="00EB3240"/>
    <w:rsid w:val="00EB50E5"/>
    <w:rsid w:val="00EB51AC"/>
    <w:rsid w:val="00EB71D2"/>
    <w:rsid w:val="00EC23FC"/>
    <w:rsid w:val="00EC3952"/>
    <w:rsid w:val="00EC4E49"/>
    <w:rsid w:val="00EC7B1E"/>
    <w:rsid w:val="00ED0E36"/>
    <w:rsid w:val="00ED2939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67D"/>
    <w:rsid w:val="00F011ED"/>
    <w:rsid w:val="00F05DC5"/>
    <w:rsid w:val="00F060F9"/>
    <w:rsid w:val="00F0720F"/>
    <w:rsid w:val="00F10AD1"/>
    <w:rsid w:val="00F10CFB"/>
    <w:rsid w:val="00F15190"/>
    <w:rsid w:val="00F172CF"/>
    <w:rsid w:val="00F201C4"/>
    <w:rsid w:val="00F24361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4966"/>
    <w:rsid w:val="00F7721F"/>
    <w:rsid w:val="00F77FF6"/>
    <w:rsid w:val="00F84BE7"/>
    <w:rsid w:val="00F90FEF"/>
    <w:rsid w:val="00F91A49"/>
    <w:rsid w:val="00F93919"/>
    <w:rsid w:val="00FA0C4B"/>
    <w:rsid w:val="00FA31C2"/>
    <w:rsid w:val="00FA58D7"/>
    <w:rsid w:val="00FB0935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25E5"/>
    <w:rsid w:val="00FE368A"/>
    <w:rsid w:val="00FE488D"/>
    <w:rsid w:val="00FE4AC4"/>
    <w:rsid w:val="00FE64BD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 27/2025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 27/2025</dc:title>
  <dc:subject>Modificación de los importes de la tasa individual:  Cuba</dc:subject>
  <dc:creator>OMPI</dc:creator>
  <cp:keywords/>
  <dc:description/>
  <cp:lastModifiedBy>DOUAY Marie-Laure</cp:lastModifiedBy>
  <cp:revision>25</cp:revision>
  <cp:lastPrinted>2025-10-08T14:41:00Z</cp:lastPrinted>
  <dcterms:created xsi:type="dcterms:W3CDTF">2025-10-08T14:41:00Z</dcterms:created>
  <dcterms:modified xsi:type="dcterms:W3CDTF">2025-10-09T13:13:00Z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