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5678A2EB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F1E39B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35996724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8875F5C" wp14:editId="5C6244D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916B05C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74B216A0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6D0F07FB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773A115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6F1AEE6F" w14:textId="65BE5911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89173B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D24148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09B7D135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6BE1A44F" w14:textId="4D504617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proofErr w:type="spellStart"/>
      <w:r w:rsidR="00515B43">
        <w:rPr>
          <w:b/>
          <w:sz w:val="24"/>
          <w:szCs w:val="24"/>
          <w:lang w:val="es-ES_tradnl"/>
        </w:rPr>
        <w:t>Türkiye</w:t>
      </w:r>
      <w:proofErr w:type="spellEnd"/>
    </w:p>
    <w:p w14:paraId="4A696488" w14:textId="716836B4"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 xml:space="preserve">De conformidad con la Regla </w:t>
      </w:r>
      <w:proofErr w:type="gramStart"/>
      <w:r w:rsidRPr="00E376AC">
        <w:rPr>
          <w:lang w:val="es-ES_tradnl" w:eastAsia="ja-JP"/>
        </w:rPr>
        <w:t>35.2)d</w:t>
      </w:r>
      <w:proofErr w:type="gramEnd"/>
      <w:r w:rsidRPr="00E376AC">
        <w:rPr>
          <w:lang w:val="es-ES_tradnl" w:eastAsia="ja-JP"/>
        </w:rPr>
        <w:t>) del Reglamento del P</w:t>
      </w:r>
      <w:r w:rsidR="00ED7DF5">
        <w:rPr>
          <w:lang w:val="es-ES_tradnl" w:eastAsia="ja-JP"/>
        </w:rPr>
        <w:t>rotocolo de Madrid, el Director </w:t>
      </w:r>
      <w:r w:rsidRPr="00E376AC">
        <w:rPr>
          <w:lang w:val="es-ES_tradnl" w:eastAsia="ja-JP"/>
        </w:rPr>
        <w:t>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</w:t>
      </w:r>
      <w:r w:rsidR="00890E46">
        <w:rPr>
          <w:lang w:val="es-ES_tradnl" w:eastAsia="ja-JP"/>
        </w:rPr>
        <w:t>individual pagadera respecto de</w:t>
      </w:r>
      <w:r w:rsidR="00905DC7">
        <w:rPr>
          <w:lang w:val="es-ES_tradnl" w:eastAsia="ja-JP"/>
        </w:rPr>
        <w:t xml:space="preserve"> </w:t>
      </w:r>
      <w:proofErr w:type="spellStart"/>
      <w:r w:rsidR="00515B43">
        <w:rPr>
          <w:lang w:val="es-ES_tradnl" w:eastAsia="ja-JP"/>
        </w:rPr>
        <w:t>Türkiye</w:t>
      </w:r>
      <w:proofErr w:type="spellEnd"/>
      <w:r w:rsidRPr="0071201D">
        <w:rPr>
          <w:lang w:val="es-ES_tradnl" w:eastAsia="ja-JP"/>
        </w:rPr>
        <w:t xml:space="preserve"> </w:t>
      </w:r>
      <w:r w:rsidR="009B4C71">
        <w:rPr>
          <w:lang w:val="es-ES_tradnl" w:eastAsia="ja-JP"/>
        </w:rPr>
        <w:t>cuando e</w:t>
      </w:r>
      <w:r w:rsidR="00E714D6">
        <w:rPr>
          <w:lang w:val="es-ES_tradnl" w:eastAsia="ja-JP"/>
        </w:rPr>
        <w:t>s designado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 w:rsidR="003D7D3C">
        <w:rPr>
          <w:lang w:val="es-ES_tradnl" w:eastAsia="ja-JP"/>
        </w:rPr>
        <w:t xml:space="preserve"> </w:t>
      </w:r>
      <w:proofErr w:type="spellStart"/>
      <w:r w:rsidR="00515B43">
        <w:rPr>
          <w:lang w:val="es-ES_tradnl" w:eastAsia="ja-JP"/>
        </w:rPr>
        <w:t>Türkiye</w:t>
      </w:r>
      <w:proofErr w:type="spellEnd"/>
      <w:r w:rsidR="00AF0D28">
        <w:rPr>
          <w:lang w:val="es-ES_tradnl" w:eastAsia="ja-JP"/>
        </w:rPr>
        <w:t>.</w:t>
      </w:r>
    </w:p>
    <w:p w14:paraId="48429CBB" w14:textId="38C0D81F" w:rsidR="009E159D" w:rsidRPr="009E159D" w:rsidRDefault="00F36F09" w:rsidP="009E159D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89173B">
        <w:rPr>
          <w:lang w:val="es-ES_tradnl" w:eastAsia="ja-JP"/>
        </w:rPr>
        <w:t>16</w:t>
      </w:r>
      <w:r w:rsidR="00AC327E" w:rsidRPr="00AC327E">
        <w:rPr>
          <w:lang w:val="es-ES_tradnl" w:eastAsia="ja-JP"/>
        </w:rPr>
        <w:t xml:space="preserve"> de junio de 2024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E714D6">
        <w:rPr>
          <w:lang w:val="es-ES_tradnl" w:eastAsia="ja-JP"/>
        </w:rPr>
        <w:t xml:space="preserve"> </w:t>
      </w:r>
      <w:proofErr w:type="spellStart"/>
      <w:r w:rsidR="00515B43">
        <w:rPr>
          <w:lang w:val="es-ES_tradnl" w:eastAsia="ja-JP"/>
        </w:rPr>
        <w:t>Türkiye</w:t>
      </w:r>
      <w:proofErr w:type="spellEnd"/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4966"/>
        <w:gridCol w:w="1559"/>
        <w:gridCol w:w="1559"/>
      </w:tblGrid>
      <w:tr w:rsidR="00515B43" w:rsidRPr="00911F9C" w14:paraId="2248548D" w14:textId="77777777" w:rsidTr="00FA46A0">
        <w:tc>
          <w:tcPr>
            <w:tcW w:w="6663" w:type="dxa"/>
            <w:gridSpan w:val="2"/>
            <w:vMerge w:val="restart"/>
            <w:shd w:val="clear" w:color="auto" w:fill="auto"/>
          </w:tcPr>
          <w:p w14:paraId="4D35D46C" w14:textId="77777777" w:rsidR="00515B43" w:rsidRPr="00FC3FA5" w:rsidRDefault="00515B43" w:rsidP="00FA46A0">
            <w:pPr>
              <w:rPr>
                <w:lang w:val="es-ES"/>
              </w:rPr>
            </w:pPr>
          </w:p>
          <w:p w14:paraId="25230C67" w14:textId="77777777" w:rsidR="00515B43" w:rsidRPr="00FC3FA5" w:rsidRDefault="00515B43" w:rsidP="00FA46A0">
            <w:pPr>
              <w:jc w:val="center"/>
              <w:rPr>
                <w:b/>
                <w:bCs/>
                <w:lang w:val="es-ES"/>
              </w:rPr>
            </w:pPr>
          </w:p>
          <w:p w14:paraId="4C9F84BD" w14:textId="77777777" w:rsidR="00515B43" w:rsidRDefault="00515B43" w:rsidP="00FA46A0">
            <w:pPr>
              <w:jc w:val="center"/>
              <w:rPr>
                <w:b/>
                <w:bCs/>
                <w:lang w:val="es-ES_tradnl"/>
              </w:rPr>
            </w:pPr>
          </w:p>
          <w:p w14:paraId="1EB41EC7" w14:textId="77777777" w:rsidR="00515B43" w:rsidRDefault="00515B43" w:rsidP="00FA46A0">
            <w:pPr>
              <w:jc w:val="center"/>
              <w:rPr>
                <w:b/>
                <w:bCs/>
                <w:lang w:val="es-ES_tradnl"/>
              </w:rPr>
            </w:pPr>
          </w:p>
          <w:p w14:paraId="7F0D8325" w14:textId="77777777" w:rsidR="00515B43" w:rsidRDefault="00515B43" w:rsidP="00FA46A0">
            <w:pPr>
              <w:jc w:val="center"/>
              <w:rPr>
                <w:b/>
                <w:bCs/>
                <w:lang w:val="es-ES_tradnl"/>
              </w:rPr>
            </w:pPr>
          </w:p>
          <w:p w14:paraId="446D0DE3" w14:textId="77777777" w:rsidR="00515B43" w:rsidRPr="008D0476" w:rsidRDefault="00515B43" w:rsidP="00FA46A0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14:paraId="26BAA997" w14:textId="77777777" w:rsidR="00515B43" w:rsidRPr="00A10F80" w:rsidRDefault="00515B43" w:rsidP="00FA46A0"/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08BD73" w14:textId="77777777" w:rsidR="00515B43" w:rsidRPr="00A10F80" w:rsidRDefault="00515B43" w:rsidP="00FA46A0"/>
          <w:p w14:paraId="0458DC71" w14:textId="77777777" w:rsidR="00515B43" w:rsidRPr="008D0476" w:rsidRDefault="00515B43" w:rsidP="00FA46A0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14:paraId="600D9199" w14:textId="77777777" w:rsidR="00515B43" w:rsidRPr="008D0476" w:rsidRDefault="00515B43" w:rsidP="00FA46A0">
            <w:pPr>
              <w:jc w:val="center"/>
              <w:rPr>
                <w:lang w:val="es-ES_tradnl"/>
              </w:rPr>
            </w:pPr>
          </w:p>
          <w:p w14:paraId="03977D6B" w14:textId="77777777" w:rsidR="00515B43" w:rsidRPr="008D0476" w:rsidRDefault="00515B43" w:rsidP="00FA46A0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14:paraId="65B31563" w14:textId="77777777" w:rsidR="00515B43" w:rsidRPr="00A10F80" w:rsidRDefault="00515B43" w:rsidP="00FA46A0"/>
        </w:tc>
      </w:tr>
      <w:tr w:rsidR="00515B43" w:rsidRPr="0089173B" w14:paraId="5AB7F69B" w14:textId="77777777" w:rsidTr="00FA46A0">
        <w:tc>
          <w:tcPr>
            <w:tcW w:w="6663" w:type="dxa"/>
            <w:gridSpan w:val="2"/>
            <w:vMerge/>
            <w:shd w:val="clear" w:color="auto" w:fill="auto"/>
          </w:tcPr>
          <w:p w14:paraId="4BE07A0B" w14:textId="77777777" w:rsidR="00515B43" w:rsidRPr="00FC3FA5" w:rsidRDefault="00515B43" w:rsidP="00FA46A0">
            <w:pPr>
              <w:rPr>
                <w:lang w:val="es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DB6C325" w14:textId="77777777" w:rsidR="00515B43" w:rsidRDefault="00515B43" w:rsidP="00FA46A0">
            <w:pPr>
              <w:rPr>
                <w:lang w:val="es-ES"/>
              </w:rPr>
            </w:pPr>
          </w:p>
          <w:p w14:paraId="676969C3" w14:textId="6C515213" w:rsidR="00515B43" w:rsidRDefault="000A6F4D" w:rsidP="00FA46A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</w:t>
            </w:r>
            <w:r w:rsidR="00515B43" w:rsidRPr="005779BF">
              <w:rPr>
                <w:lang w:val="es-ES"/>
              </w:rPr>
              <w:t>asta el</w:t>
            </w:r>
          </w:p>
          <w:p w14:paraId="7A4E29D6" w14:textId="3B8181AA" w:rsidR="00515B43" w:rsidRDefault="0089173B" w:rsidP="00FA46A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</w:t>
            </w:r>
            <w:r w:rsidR="00AC327E" w:rsidRPr="00AC327E">
              <w:rPr>
                <w:lang w:val="es-ES"/>
              </w:rPr>
              <w:t xml:space="preserve"> de junio de 2024</w:t>
            </w:r>
          </w:p>
          <w:p w14:paraId="520B397A" w14:textId="6B37BF4F" w:rsidR="00AC327E" w:rsidRPr="005779BF" w:rsidRDefault="00AC327E" w:rsidP="00FA46A0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3A8DCC8" w14:textId="77777777" w:rsidR="00515B43" w:rsidRDefault="00515B43" w:rsidP="00FA46A0">
            <w:pPr>
              <w:jc w:val="center"/>
              <w:rPr>
                <w:b/>
                <w:lang w:val="es-ES"/>
              </w:rPr>
            </w:pPr>
          </w:p>
          <w:p w14:paraId="72C11855" w14:textId="77777777" w:rsidR="00E37B0B" w:rsidRDefault="000A6F4D" w:rsidP="00FA46A0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</w:t>
            </w:r>
            <w:r w:rsidR="00515B43" w:rsidRPr="005779BF">
              <w:rPr>
                <w:b/>
                <w:lang w:val="es-ES_tradnl"/>
              </w:rPr>
              <w:t xml:space="preserve"> partir del</w:t>
            </w:r>
          </w:p>
          <w:p w14:paraId="0F76C6DE" w14:textId="1FCB7642" w:rsidR="00515B43" w:rsidRPr="005779BF" w:rsidRDefault="0089173B" w:rsidP="00FA46A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_tradnl"/>
              </w:rPr>
              <w:t>16</w:t>
            </w:r>
            <w:r w:rsidR="00AC327E" w:rsidRPr="00AC327E">
              <w:rPr>
                <w:b/>
                <w:lang w:val="es-ES_tradnl"/>
              </w:rPr>
              <w:t xml:space="preserve"> de junio de 2024 </w:t>
            </w:r>
          </w:p>
        </w:tc>
      </w:tr>
      <w:tr w:rsidR="00F55545" w:rsidRPr="00CC3176" w14:paraId="0222243A" w14:textId="77777777" w:rsidTr="00FA46A0">
        <w:trPr>
          <w:trHeight w:val="1923"/>
        </w:trPr>
        <w:tc>
          <w:tcPr>
            <w:tcW w:w="1697" w:type="dxa"/>
            <w:tcBorders>
              <w:right w:val="single" w:sz="4" w:space="0" w:color="auto"/>
            </w:tcBorders>
            <w:shd w:val="clear" w:color="auto" w:fill="auto"/>
          </w:tcPr>
          <w:p w14:paraId="5E7C8ED8" w14:textId="77777777" w:rsidR="00F55545" w:rsidRPr="005779BF" w:rsidRDefault="00F55545" w:rsidP="00F55545">
            <w:pPr>
              <w:jc w:val="center"/>
              <w:rPr>
                <w:lang w:val="es-ES"/>
              </w:rPr>
            </w:pPr>
          </w:p>
          <w:p w14:paraId="6B80DBF1" w14:textId="77777777" w:rsidR="00F55545" w:rsidRPr="005779BF" w:rsidRDefault="00F55545" w:rsidP="00F55545">
            <w:pPr>
              <w:jc w:val="center"/>
              <w:rPr>
                <w:lang w:val="es-ES"/>
              </w:rPr>
            </w:pPr>
          </w:p>
          <w:p w14:paraId="4982A6D5" w14:textId="77777777" w:rsidR="00F55545" w:rsidRPr="00912582" w:rsidRDefault="00F55545" w:rsidP="00F55545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Solicitud o</w:t>
            </w:r>
          </w:p>
          <w:p w14:paraId="34472401" w14:textId="77777777" w:rsidR="00F55545" w:rsidRPr="00912582" w:rsidRDefault="00F55545" w:rsidP="00F55545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designación</w:t>
            </w:r>
          </w:p>
          <w:p w14:paraId="283D000C" w14:textId="77777777" w:rsidR="00F55545" w:rsidRPr="00CE1247" w:rsidRDefault="00F55545" w:rsidP="00F55545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posterior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7A35A" w14:textId="77777777" w:rsidR="00F55545" w:rsidRPr="00E448C0" w:rsidRDefault="00F55545" w:rsidP="00F55545">
            <w:pPr>
              <w:rPr>
                <w:lang w:val="es-ES"/>
              </w:rPr>
            </w:pPr>
          </w:p>
          <w:p w14:paraId="3C82891D" w14:textId="77777777" w:rsidR="00F55545" w:rsidRPr="00E448C0" w:rsidRDefault="00F55545" w:rsidP="00F55545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la primera clase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76D2FA12" w14:textId="77777777" w:rsidR="00F55545" w:rsidRPr="00E448C0" w:rsidRDefault="00F55545" w:rsidP="00F55545">
            <w:pPr>
              <w:rPr>
                <w:lang w:val="es-ES"/>
              </w:rPr>
            </w:pPr>
          </w:p>
          <w:p w14:paraId="16D06AE5" w14:textId="77777777" w:rsidR="00F55545" w:rsidRPr="00E448C0" w:rsidRDefault="00F55545" w:rsidP="00F55545">
            <w:pPr>
              <w:rPr>
                <w:lang w:val="es-ES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por la segunda clase de productos o servicios</w:t>
            </w:r>
          </w:p>
          <w:p w14:paraId="54A18B76" w14:textId="77777777" w:rsidR="00F55545" w:rsidRPr="00E448C0" w:rsidRDefault="00F55545" w:rsidP="00F55545">
            <w:pPr>
              <w:rPr>
                <w:lang w:val="es-ES"/>
              </w:rPr>
            </w:pPr>
          </w:p>
          <w:p w14:paraId="54701784" w14:textId="77777777" w:rsidR="00F55545" w:rsidRPr="00E448C0" w:rsidRDefault="00F55545" w:rsidP="00F55545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t xml:space="preserve">– 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D82D2" w14:textId="77777777" w:rsidR="00F55545" w:rsidRPr="00AC327E" w:rsidRDefault="00F55545" w:rsidP="00F55545">
            <w:pPr>
              <w:jc w:val="center"/>
              <w:rPr>
                <w:bCs/>
                <w:lang w:val="es-ES"/>
              </w:rPr>
            </w:pPr>
          </w:p>
          <w:p w14:paraId="13E07760" w14:textId="77777777" w:rsidR="00F55545" w:rsidRPr="00AC327E" w:rsidRDefault="00F55545" w:rsidP="00F55545">
            <w:pPr>
              <w:jc w:val="center"/>
              <w:rPr>
                <w:bCs/>
                <w:lang w:val="es-ES"/>
              </w:rPr>
            </w:pPr>
            <w:r w:rsidRPr="00AC327E">
              <w:rPr>
                <w:bCs/>
                <w:lang w:val="es-ES"/>
              </w:rPr>
              <w:t>90</w:t>
            </w:r>
          </w:p>
          <w:p w14:paraId="2550637C" w14:textId="77777777" w:rsidR="00F55545" w:rsidRPr="00AC327E" w:rsidRDefault="00F55545" w:rsidP="00F55545">
            <w:pPr>
              <w:jc w:val="center"/>
              <w:rPr>
                <w:bCs/>
                <w:lang w:val="es-ES"/>
              </w:rPr>
            </w:pPr>
          </w:p>
          <w:p w14:paraId="18055C13" w14:textId="77777777" w:rsidR="00F55545" w:rsidRPr="00AC327E" w:rsidRDefault="00F55545" w:rsidP="00F55545">
            <w:pPr>
              <w:jc w:val="center"/>
              <w:rPr>
                <w:bCs/>
                <w:lang w:val="es-ES"/>
              </w:rPr>
            </w:pPr>
            <w:r w:rsidRPr="00AC327E">
              <w:rPr>
                <w:bCs/>
                <w:lang w:val="es-ES"/>
              </w:rPr>
              <w:t>25</w:t>
            </w:r>
          </w:p>
          <w:p w14:paraId="20A9F815" w14:textId="77777777" w:rsidR="00F55545" w:rsidRPr="00AC327E" w:rsidRDefault="00F55545" w:rsidP="00F55545">
            <w:pPr>
              <w:jc w:val="center"/>
              <w:rPr>
                <w:bCs/>
                <w:lang w:val="es-ES"/>
              </w:rPr>
            </w:pPr>
          </w:p>
          <w:p w14:paraId="202A3984" w14:textId="339EF36E" w:rsidR="00F55545" w:rsidRPr="00AC327E" w:rsidRDefault="00F55545" w:rsidP="00F55545">
            <w:pPr>
              <w:jc w:val="center"/>
              <w:rPr>
                <w:bCs/>
              </w:rPr>
            </w:pPr>
            <w:r w:rsidRPr="00AC327E">
              <w:rPr>
                <w:bCs/>
                <w:lang w:val="es-E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68B44" w14:textId="77777777" w:rsidR="00F55545" w:rsidRPr="00EE3334" w:rsidRDefault="00F55545" w:rsidP="00F55545">
            <w:pPr>
              <w:jc w:val="center"/>
              <w:rPr>
                <w:b/>
                <w:lang w:val="fr-FR"/>
              </w:rPr>
            </w:pPr>
          </w:p>
          <w:p w14:paraId="73B01C5E" w14:textId="77777777" w:rsidR="00F55545" w:rsidRPr="00EE3334" w:rsidRDefault="00F55545" w:rsidP="00F5554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76</w:t>
            </w:r>
          </w:p>
          <w:p w14:paraId="463D268D" w14:textId="77777777" w:rsidR="00F55545" w:rsidRPr="00EE3334" w:rsidRDefault="00F55545" w:rsidP="00F55545">
            <w:pPr>
              <w:jc w:val="center"/>
              <w:rPr>
                <w:b/>
                <w:lang w:val="fr-FR"/>
              </w:rPr>
            </w:pPr>
          </w:p>
          <w:p w14:paraId="2904A21B" w14:textId="77777777" w:rsidR="00F55545" w:rsidRPr="00EE3334" w:rsidRDefault="00F55545" w:rsidP="00F5554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21</w:t>
            </w:r>
          </w:p>
          <w:p w14:paraId="31CB9C22" w14:textId="77777777" w:rsidR="00F55545" w:rsidRPr="00EE3334" w:rsidRDefault="00F55545" w:rsidP="00F55545">
            <w:pPr>
              <w:jc w:val="center"/>
              <w:rPr>
                <w:b/>
                <w:lang w:val="fr-FR"/>
              </w:rPr>
            </w:pPr>
          </w:p>
          <w:p w14:paraId="7A78AA17" w14:textId="6B319246" w:rsidR="00F55545" w:rsidRPr="003C7DF8" w:rsidRDefault="00F55545" w:rsidP="00F5554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fr-FR"/>
              </w:rPr>
              <w:t>24</w:t>
            </w:r>
          </w:p>
        </w:tc>
      </w:tr>
      <w:tr w:rsidR="00F55545" w:rsidRPr="00CC3176" w14:paraId="4FA9DCAB" w14:textId="77777777" w:rsidTr="00FA46A0">
        <w:trPr>
          <w:trHeight w:val="2248"/>
        </w:trPr>
        <w:tc>
          <w:tcPr>
            <w:tcW w:w="1697" w:type="dxa"/>
            <w:tcBorders>
              <w:right w:val="single" w:sz="4" w:space="0" w:color="auto"/>
            </w:tcBorders>
            <w:shd w:val="clear" w:color="auto" w:fill="auto"/>
          </w:tcPr>
          <w:p w14:paraId="72D47FE3" w14:textId="77777777" w:rsidR="00F55545" w:rsidRDefault="00F55545" w:rsidP="00F55545"/>
          <w:p w14:paraId="5D3B17DC" w14:textId="77777777" w:rsidR="00F55545" w:rsidRDefault="00F55545" w:rsidP="00F55545">
            <w:pPr>
              <w:jc w:val="center"/>
            </w:pPr>
          </w:p>
          <w:p w14:paraId="3F0F2F29" w14:textId="77777777" w:rsidR="00F55545" w:rsidRDefault="00F55545" w:rsidP="00F55545">
            <w:pPr>
              <w:jc w:val="center"/>
            </w:pPr>
          </w:p>
          <w:p w14:paraId="44910260" w14:textId="77777777" w:rsidR="00F55545" w:rsidRDefault="00F55545" w:rsidP="00F55545">
            <w:pPr>
              <w:jc w:val="center"/>
            </w:pPr>
          </w:p>
          <w:p w14:paraId="0A14E57C" w14:textId="77777777" w:rsidR="00F55545" w:rsidRPr="00912582" w:rsidRDefault="00F55545" w:rsidP="00F55545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Renovación</w:t>
            </w:r>
          </w:p>
          <w:p w14:paraId="5EB479E5" w14:textId="77777777" w:rsidR="00F55545" w:rsidRDefault="00F55545" w:rsidP="00F55545"/>
          <w:p w14:paraId="4CB53AB4" w14:textId="77777777" w:rsidR="00F55545" w:rsidRPr="00A10F80" w:rsidRDefault="00F55545" w:rsidP="00F55545"/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9F689" w14:textId="77777777" w:rsidR="00F55545" w:rsidRPr="00E448C0" w:rsidRDefault="00F55545" w:rsidP="00F55545">
            <w:pPr>
              <w:rPr>
                <w:lang w:val="es-ES"/>
              </w:rPr>
            </w:pPr>
          </w:p>
          <w:p w14:paraId="3093DC3C" w14:textId="77777777" w:rsidR="00F55545" w:rsidRPr="00E448C0" w:rsidRDefault="00F55545" w:rsidP="00F55545">
            <w:pPr>
              <w:rPr>
                <w:lang w:val="es-ES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>independientemente del número de clases</w:t>
            </w:r>
          </w:p>
          <w:p w14:paraId="3374A3F1" w14:textId="77777777" w:rsidR="00F55545" w:rsidRPr="00E448C0" w:rsidRDefault="00F55545" w:rsidP="00F5554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</w:p>
          <w:p w14:paraId="1CC22C98" w14:textId="77777777" w:rsidR="00F55545" w:rsidRPr="00E448C0" w:rsidRDefault="00F55545" w:rsidP="00F5554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  <w:r w:rsidRPr="00E448C0">
              <w:rPr>
                <w:rFonts w:eastAsia="MS Mincho"/>
                <w:i/>
                <w:iCs/>
                <w:szCs w:val="22"/>
                <w:lang w:val="es-ES" w:eastAsia="ja-JP"/>
              </w:rPr>
              <w:t>Cuando el pago es efectuado durante el plazo de gracia:</w:t>
            </w:r>
          </w:p>
          <w:p w14:paraId="6035871A" w14:textId="77777777" w:rsidR="00F55545" w:rsidRPr="00E448C0" w:rsidRDefault="00F55545" w:rsidP="00F55545">
            <w:pPr>
              <w:rPr>
                <w:rFonts w:eastAsia="MS Mincho"/>
                <w:szCs w:val="22"/>
                <w:lang w:val="es-ES" w:eastAsia="ja-JP"/>
              </w:rPr>
            </w:pPr>
          </w:p>
          <w:p w14:paraId="008CE005" w14:textId="77777777" w:rsidR="00F55545" w:rsidRPr="00E448C0" w:rsidRDefault="00F55545" w:rsidP="00F55545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rPr>
                <w:lang w:val="es-ES"/>
              </w:rPr>
              <w:t xml:space="preserve">– </w:t>
            </w:r>
            <w:r w:rsidRPr="00E448C0">
              <w:rPr>
                <w:rFonts w:eastAsia="MS Mincho"/>
                <w:szCs w:val="22"/>
                <w:lang w:val="es-ES" w:eastAsia="ja-JP"/>
              </w:rPr>
              <w:t xml:space="preserve">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independientemente del número de clases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C9CAE" w14:textId="77777777" w:rsidR="00F55545" w:rsidRPr="00AC327E" w:rsidRDefault="00F55545" w:rsidP="00F55545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6823BF69" w14:textId="77777777" w:rsidR="00F55545" w:rsidRPr="00AC327E" w:rsidRDefault="00F55545" w:rsidP="00F55545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  <w:r w:rsidRPr="00AC327E">
              <w:rPr>
                <w:rFonts w:eastAsia="MS Mincho"/>
                <w:bCs/>
                <w:szCs w:val="22"/>
                <w:lang w:val="es-ES" w:eastAsia="ja-JP"/>
              </w:rPr>
              <w:t>81</w:t>
            </w:r>
          </w:p>
          <w:p w14:paraId="3E731741" w14:textId="77777777" w:rsidR="00F55545" w:rsidRPr="00AC327E" w:rsidRDefault="00F55545" w:rsidP="00F55545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604FF8F8" w14:textId="77777777" w:rsidR="00F55545" w:rsidRPr="00AC327E" w:rsidRDefault="00F55545" w:rsidP="00F55545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770F328F" w14:textId="77777777" w:rsidR="00F55545" w:rsidRPr="00AC327E" w:rsidRDefault="00F55545" w:rsidP="00F55545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1D138A71" w14:textId="77777777" w:rsidR="00F55545" w:rsidRPr="00AC327E" w:rsidRDefault="00F55545" w:rsidP="00F55545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2E984EC2" w14:textId="11B2D982" w:rsidR="00F55545" w:rsidRPr="00AC327E" w:rsidRDefault="00F55545" w:rsidP="00F5554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C327E">
              <w:rPr>
                <w:rFonts w:eastAsia="MS Mincho"/>
                <w:bCs/>
                <w:szCs w:val="22"/>
                <w:lang w:val="es-ES" w:eastAsia="ja-JP"/>
              </w:rPr>
              <w:t>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729CF" w14:textId="77777777" w:rsidR="00F55545" w:rsidRPr="00EE3334" w:rsidRDefault="00F55545" w:rsidP="00F5554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53BBAA30" w14:textId="77777777" w:rsidR="00F55545" w:rsidRPr="00EE3334" w:rsidRDefault="00F55545" w:rsidP="00F5554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69</w:t>
            </w:r>
          </w:p>
          <w:p w14:paraId="617CD1EC" w14:textId="77777777" w:rsidR="00F55545" w:rsidRPr="00EE3334" w:rsidRDefault="00F55545" w:rsidP="00F5554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0C8E2673" w14:textId="77777777" w:rsidR="00F55545" w:rsidRPr="00EE3334" w:rsidRDefault="00F55545" w:rsidP="00F55545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4465C9D7" w14:textId="77777777" w:rsidR="00F55545" w:rsidRPr="00EE3334" w:rsidRDefault="00F55545" w:rsidP="00F5554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0FFD2290" w14:textId="77777777" w:rsidR="00F55545" w:rsidRPr="00EE3334" w:rsidRDefault="00F55545" w:rsidP="00F5554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33013062" w14:textId="7D239F89" w:rsidR="00F55545" w:rsidRPr="003C7DF8" w:rsidRDefault="00F55545" w:rsidP="00F55545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128</w:t>
            </w:r>
          </w:p>
        </w:tc>
      </w:tr>
    </w:tbl>
    <w:p w14:paraId="2D563A19" w14:textId="77777777" w:rsidR="008D2F0C" w:rsidRDefault="008D2F0C" w:rsidP="00AF0D28">
      <w:pPr>
        <w:pStyle w:val="ONUMFS"/>
        <w:numPr>
          <w:ilvl w:val="0"/>
          <w:numId w:val="0"/>
        </w:numPr>
        <w:rPr>
          <w:lang w:val="es-ES_tradnl"/>
        </w:rPr>
      </w:pPr>
    </w:p>
    <w:p w14:paraId="17055742" w14:textId="77777777" w:rsidR="00AC327E" w:rsidRDefault="00AC327E" w:rsidP="00AF0D28">
      <w:pPr>
        <w:pStyle w:val="ONUMFS"/>
        <w:numPr>
          <w:ilvl w:val="0"/>
          <w:numId w:val="0"/>
        </w:numPr>
        <w:rPr>
          <w:lang w:val="es-ES_tradnl"/>
        </w:rPr>
      </w:pPr>
    </w:p>
    <w:p w14:paraId="1AFB1A73" w14:textId="6D08C5AD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proofErr w:type="spellStart"/>
      <w:r w:rsidR="00515B43">
        <w:rPr>
          <w:snapToGrid w:val="0"/>
          <w:lang w:val="es-ES_tradnl"/>
        </w:rPr>
        <w:t>Türkiye</w:t>
      </w:r>
      <w:proofErr w:type="spellEnd"/>
    </w:p>
    <w:p w14:paraId="2E327F3A" w14:textId="060D58A0"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sea </w:t>
      </w:r>
      <w:r w:rsidR="00E714D6">
        <w:rPr>
          <w:rFonts w:eastAsia="MS Mincho"/>
          <w:szCs w:val="22"/>
          <w:lang w:val="es-ES_tradnl" w:eastAsia="ja-JP"/>
        </w:rPr>
        <w:t>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89173B">
        <w:rPr>
          <w:lang w:val="es-ES_tradnl" w:eastAsia="ja-JP"/>
        </w:rPr>
        <w:t>16</w:t>
      </w:r>
      <w:r w:rsidR="000048BF">
        <w:rPr>
          <w:lang w:val="es-ES_tradnl" w:eastAsia="ja-JP"/>
        </w:rPr>
        <w:t> </w:t>
      </w:r>
      <w:r w:rsidR="00652108" w:rsidRPr="00652108">
        <w:rPr>
          <w:lang w:val="es-ES_tradnl" w:eastAsia="ja-JP"/>
        </w:rPr>
        <w:t>de</w:t>
      </w:r>
      <w:r w:rsidR="0012297A">
        <w:rPr>
          <w:lang w:val="es-ES_tradnl" w:eastAsia="ja-JP"/>
        </w:rPr>
        <w:t> </w:t>
      </w:r>
      <w:r w:rsidR="00AC327E">
        <w:rPr>
          <w:lang w:val="es-ES_tradnl" w:eastAsia="ja-JP"/>
        </w:rPr>
        <w:t>junio</w:t>
      </w:r>
      <w:r w:rsidR="00652108" w:rsidRPr="00652108">
        <w:rPr>
          <w:lang w:val="es-ES_tradnl" w:eastAsia="ja-JP"/>
        </w:rPr>
        <w:t xml:space="preserve"> de 202</w:t>
      </w:r>
      <w:r w:rsidR="00AC327E">
        <w:rPr>
          <w:lang w:val="es-ES_tradnl" w:eastAsia="ja-JP"/>
        </w:rPr>
        <w:t>4</w:t>
      </w:r>
      <w:r w:rsidR="00652108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6247988E" w14:textId="77777777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proofErr w:type="spellStart"/>
      <w:r w:rsidR="0071378F" w:rsidRPr="0071378F">
        <w:rPr>
          <w:lang w:val="es-ES"/>
        </w:rPr>
        <w:t>ue</w:t>
      </w:r>
      <w:proofErr w:type="spellEnd"/>
      <w:r w:rsidR="0071378F" w:rsidRPr="0071378F">
        <w:rPr>
          <w:lang w:val="es-ES"/>
        </w:rPr>
        <w:t xml:space="preserve">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6FB45A2C" w14:textId="77777777" w:rsidR="00A76562" w:rsidRDefault="00E714D6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74F43AF9" w14:textId="0C51F41F" w:rsidR="000255C9" w:rsidRPr="00DE624B" w:rsidRDefault="0089173B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16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>de</w:t>
      </w:r>
      <w:r w:rsidR="00AC327E">
        <w:rPr>
          <w:lang w:val="es-ES_tradnl"/>
        </w:rPr>
        <w:t xml:space="preserve"> mayo</w:t>
      </w:r>
      <w:r w:rsidR="00772C7E">
        <w:rPr>
          <w:lang w:val="es-ES_tradnl"/>
        </w:rPr>
        <w:t xml:space="preserve"> de 202</w:t>
      </w:r>
      <w:r w:rsidR="00AC327E">
        <w:rPr>
          <w:lang w:val="es-ES_tradnl"/>
        </w:rPr>
        <w:t>4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CF8F" w14:textId="77777777" w:rsidR="001707C5" w:rsidRDefault="001707C5">
      <w:r>
        <w:separator/>
      </w:r>
    </w:p>
  </w:endnote>
  <w:endnote w:type="continuationSeparator" w:id="0">
    <w:p w14:paraId="73515573" w14:textId="77777777" w:rsidR="001707C5" w:rsidRDefault="001707C5" w:rsidP="003B38C1">
      <w:r>
        <w:separator/>
      </w:r>
    </w:p>
    <w:p w14:paraId="124821DA" w14:textId="77777777" w:rsidR="001707C5" w:rsidRPr="003B38C1" w:rsidRDefault="001707C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3FE7FD7" w14:textId="77777777" w:rsidR="001707C5" w:rsidRPr="003B38C1" w:rsidRDefault="001707C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4450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8AA4F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0DFA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96D1" w14:textId="77777777" w:rsidR="001707C5" w:rsidRDefault="001707C5">
      <w:r>
        <w:separator/>
      </w:r>
    </w:p>
  </w:footnote>
  <w:footnote w:type="continuationSeparator" w:id="0">
    <w:p w14:paraId="129120BE" w14:textId="77777777" w:rsidR="001707C5" w:rsidRDefault="001707C5" w:rsidP="008B60B2">
      <w:r>
        <w:separator/>
      </w:r>
    </w:p>
    <w:p w14:paraId="64A1CCF2" w14:textId="77777777" w:rsidR="001707C5" w:rsidRPr="00ED77FB" w:rsidRDefault="001707C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5FF18B7" w14:textId="77777777" w:rsidR="001707C5" w:rsidRPr="00ED77FB" w:rsidRDefault="001707C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A45D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C6FA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F11B" w14:textId="77777777" w:rsidR="000255C9" w:rsidRDefault="000255C9" w:rsidP="00477D6B">
    <w:pPr>
      <w:jc w:val="right"/>
    </w:pPr>
    <w:bookmarkStart w:id="1" w:name="Code2"/>
    <w:bookmarkEnd w:id="1"/>
  </w:p>
  <w:p w14:paraId="7F455951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14:paraId="228087B1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6630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0201766">
    <w:abstractNumId w:val="0"/>
  </w:num>
  <w:num w:numId="2" w16cid:durableId="1678655075">
    <w:abstractNumId w:val="2"/>
  </w:num>
  <w:num w:numId="3" w16cid:durableId="1309557192">
    <w:abstractNumId w:val="5"/>
  </w:num>
  <w:num w:numId="4" w16cid:durableId="1335231912">
    <w:abstractNumId w:val="0"/>
  </w:num>
  <w:num w:numId="5" w16cid:durableId="1848248175">
    <w:abstractNumId w:val="6"/>
  </w:num>
  <w:num w:numId="6" w16cid:durableId="1053041537">
    <w:abstractNumId w:val="1"/>
  </w:num>
  <w:num w:numId="7" w16cid:durableId="182793691">
    <w:abstractNumId w:val="3"/>
  </w:num>
  <w:num w:numId="8" w16cid:durableId="876549083">
    <w:abstractNumId w:val="4"/>
  </w:num>
  <w:num w:numId="9" w16cid:durableId="2000186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32D1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6F4D"/>
    <w:rsid w:val="000A734F"/>
    <w:rsid w:val="000B2D58"/>
    <w:rsid w:val="000B44A1"/>
    <w:rsid w:val="000C1884"/>
    <w:rsid w:val="000C4E35"/>
    <w:rsid w:val="000C71B3"/>
    <w:rsid w:val="000D3921"/>
    <w:rsid w:val="000E146A"/>
    <w:rsid w:val="000E1DDC"/>
    <w:rsid w:val="000E3C14"/>
    <w:rsid w:val="000E73ED"/>
    <w:rsid w:val="000F11B2"/>
    <w:rsid w:val="000F5E56"/>
    <w:rsid w:val="000F7A69"/>
    <w:rsid w:val="00104E02"/>
    <w:rsid w:val="0012297A"/>
    <w:rsid w:val="00123701"/>
    <w:rsid w:val="001272E3"/>
    <w:rsid w:val="00131BD8"/>
    <w:rsid w:val="00133321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707C5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94ABD"/>
    <w:rsid w:val="001A0DE6"/>
    <w:rsid w:val="001B352F"/>
    <w:rsid w:val="001C2D7E"/>
    <w:rsid w:val="001C6635"/>
    <w:rsid w:val="001D6B4C"/>
    <w:rsid w:val="001E1F47"/>
    <w:rsid w:val="001E3850"/>
    <w:rsid w:val="001E594A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2FC0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A1FFC"/>
    <w:rsid w:val="004A3108"/>
    <w:rsid w:val="004B0093"/>
    <w:rsid w:val="004B336C"/>
    <w:rsid w:val="004B68F2"/>
    <w:rsid w:val="004C01D3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15B43"/>
    <w:rsid w:val="00523DCE"/>
    <w:rsid w:val="005243B1"/>
    <w:rsid w:val="0053024B"/>
    <w:rsid w:val="0053057A"/>
    <w:rsid w:val="00532F50"/>
    <w:rsid w:val="00536EB6"/>
    <w:rsid w:val="005372DA"/>
    <w:rsid w:val="005408EF"/>
    <w:rsid w:val="00546473"/>
    <w:rsid w:val="00546A94"/>
    <w:rsid w:val="0054762F"/>
    <w:rsid w:val="005505ED"/>
    <w:rsid w:val="00554CD9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4C8F"/>
    <w:rsid w:val="005C6649"/>
    <w:rsid w:val="005C73E5"/>
    <w:rsid w:val="005C7965"/>
    <w:rsid w:val="005D09DA"/>
    <w:rsid w:val="005D283E"/>
    <w:rsid w:val="005E2346"/>
    <w:rsid w:val="005E5CFA"/>
    <w:rsid w:val="005F2F3B"/>
    <w:rsid w:val="00600876"/>
    <w:rsid w:val="00601B0F"/>
    <w:rsid w:val="00605827"/>
    <w:rsid w:val="00610854"/>
    <w:rsid w:val="00623D7D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3653"/>
    <w:rsid w:val="006A5B48"/>
    <w:rsid w:val="006A7458"/>
    <w:rsid w:val="006B2A4F"/>
    <w:rsid w:val="006B56F6"/>
    <w:rsid w:val="006B5F50"/>
    <w:rsid w:val="006C2CE7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CAD"/>
    <w:rsid w:val="00804EC4"/>
    <w:rsid w:val="008050C3"/>
    <w:rsid w:val="008051DF"/>
    <w:rsid w:val="008126FC"/>
    <w:rsid w:val="00813E42"/>
    <w:rsid w:val="00814549"/>
    <w:rsid w:val="008208C1"/>
    <w:rsid w:val="00820F23"/>
    <w:rsid w:val="008222CF"/>
    <w:rsid w:val="00832F21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173B"/>
    <w:rsid w:val="008948BE"/>
    <w:rsid w:val="008977D0"/>
    <w:rsid w:val="008A032F"/>
    <w:rsid w:val="008A1EA8"/>
    <w:rsid w:val="008A4B94"/>
    <w:rsid w:val="008B23F7"/>
    <w:rsid w:val="008B2CC1"/>
    <w:rsid w:val="008B60B2"/>
    <w:rsid w:val="008C2D2F"/>
    <w:rsid w:val="008C2FE6"/>
    <w:rsid w:val="008C3F09"/>
    <w:rsid w:val="008C6FA8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45009"/>
    <w:rsid w:val="0095770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B4C71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CD0"/>
    <w:rsid w:val="00AA1EEF"/>
    <w:rsid w:val="00AB4428"/>
    <w:rsid w:val="00AC205C"/>
    <w:rsid w:val="00AC327E"/>
    <w:rsid w:val="00AC3562"/>
    <w:rsid w:val="00AD38EE"/>
    <w:rsid w:val="00AE5452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4261F"/>
    <w:rsid w:val="00B4525C"/>
    <w:rsid w:val="00B45BDB"/>
    <w:rsid w:val="00B46D7E"/>
    <w:rsid w:val="00B50683"/>
    <w:rsid w:val="00B52EC5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278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38A0"/>
    <w:rsid w:val="00C7617D"/>
    <w:rsid w:val="00C7675A"/>
    <w:rsid w:val="00C771EA"/>
    <w:rsid w:val="00C80F8F"/>
    <w:rsid w:val="00C93067"/>
    <w:rsid w:val="00C95095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6390"/>
    <w:rsid w:val="00CF0D51"/>
    <w:rsid w:val="00CF4536"/>
    <w:rsid w:val="00CF76C2"/>
    <w:rsid w:val="00D12695"/>
    <w:rsid w:val="00D22BD4"/>
    <w:rsid w:val="00D235B4"/>
    <w:rsid w:val="00D24148"/>
    <w:rsid w:val="00D2601B"/>
    <w:rsid w:val="00D3068F"/>
    <w:rsid w:val="00D30CC7"/>
    <w:rsid w:val="00D316A9"/>
    <w:rsid w:val="00D31C2F"/>
    <w:rsid w:val="00D359F3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D39E1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213EE"/>
    <w:rsid w:val="00E335FE"/>
    <w:rsid w:val="00E37B0B"/>
    <w:rsid w:val="00E40713"/>
    <w:rsid w:val="00E42B9A"/>
    <w:rsid w:val="00E438C5"/>
    <w:rsid w:val="00E532DC"/>
    <w:rsid w:val="00E533D5"/>
    <w:rsid w:val="00E539DC"/>
    <w:rsid w:val="00E548E0"/>
    <w:rsid w:val="00E62906"/>
    <w:rsid w:val="00E62AE7"/>
    <w:rsid w:val="00E66C2C"/>
    <w:rsid w:val="00E67B4C"/>
    <w:rsid w:val="00E714D6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70C4"/>
    <w:rsid w:val="00F55545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A0C4B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E35"/>
    <w:rsid w:val="00FE488D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B0D250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6A0BA-05A2-481A-8CAA-2DC2080C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15</cp:revision>
  <cp:lastPrinted>2023-03-22T12:36:00Z</cp:lastPrinted>
  <dcterms:created xsi:type="dcterms:W3CDTF">2023-09-26T15:09:00Z</dcterms:created>
  <dcterms:modified xsi:type="dcterms:W3CDTF">2024-05-13T15:17:00Z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