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5EE24C2E" w:rsidR="00163F61" w:rsidRPr="00D409DF" w:rsidRDefault="00163F61" w:rsidP="001E1943">
            <w:pPr>
              <w:jc w:val="right"/>
            </w:pPr>
            <w:r w:rsidRPr="00D409DF">
              <w:rPr>
                <w:rFonts w:ascii="Arial Black" w:hAnsi="Arial Black"/>
                <w:caps/>
                <w:sz w:val="15"/>
              </w:rPr>
              <w:t xml:space="preserve">INFORMATION NOTICE NO. </w:t>
            </w:r>
            <w:r w:rsidR="00F651CF">
              <w:rPr>
                <w:rFonts w:ascii="Arial Black" w:hAnsi="Arial Black"/>
                <w:caps/>
                <w:sz w:val="15"/>
              </w:rPr>
              <w:t>9</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654A5B5C"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2534CF">
        <w:rPr>
          <w:b/>
          <w:bCs/>
          <w:sz w:val="24"/>
          <w:szCs w:val="24"/>
        </w:rPr>
        <w:t>Türkiye</w:t>
      </w:r>
    </w:p>
    <w:p w14:paraId="0E006283" w14:textId="33B07419" w:rsidR="0006134D" w:rsidRDefault="005B0A31" w:rsidP="005B0A31">
      <w:pPr>
        <w:pStyle w:val="ONUME"/>
      </w:pPr>
      <w:r w:rsidRPr="005B0A31">
        <w:t xml:space="preserve">In accordance with Rule 35(2)(d) of the Regulations under the Madrid Protocol, the Director General of the World Intellectual Property Organization (WIPO) has established new amounts, in Swiss francs, of the individual fee that is payable when Türkiye is designated in an international application, in a designation subsequent to an international registration and in respect of the renewal of an international registration in which </w:t>
      </w:r>
      <w:r>
        <w:t>Türkiye</w:t>
      </w:r>
      <w:r w:rsidRPr="005B0A31">
        <w:t xml:space="preserve"> has been designated.</w:t>
      </w:r>
    </w:p>
    <w:p w14:paraId="0928187E" w14:textId="53B608A7" w:rsidR="00B030E8" w:rsidRDefault="0072589C" w:rsidP="0057102B">
      <w:pPr>
        <w:pStyle w:val="ONUME"/>
      </w:pPr>
      <w:r>
        <w:t xml:space="preserve">As from </w:t>
      </w:r>
      <w:r w:rsidR="00DE6EF2">
        <w:t xml:space="preserve">August </w:t>
      </w:r>
      <w:r w:rsidR="00453AC7">
        <w:t>24</w:t>
      </w:r>
      <w:r w:rsidR="00DE6EF2">
        <w:t>, 2025</w:t>
      </w:r>
      <w:r w:rsidR="00144D9E">
        <w:t xml:space="preserve">, </w:t>
      </w:r>
      <w:r w:rsidR="00D76C5C" w:rsidRPr="00D76C5C">
        <w:t xml:space="preserve">the amounts of the individual fee payable in respect of </w:t>
      </w:r>
      <w:r w:rsidR="002534CF">
        <w:t>Türkiye</w:t>
      </w:r>
      <w:r w:rsidR="00D76C5C" w:rsidRPr="00D76C5C">
        <w:t xml:space="preserve"> will be the following: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491"/>
        <w:gridCol w:w="1843"/>
        <w:gridCol w:w="1843"/>
      </w:tblGrid>
      <w:tr w:rsidR="002534CF" w:rsidRPr="00911F9C" w14:paraId="18E93D60" w14:textId="77777777" w:rsidTr="008B689E">
        <w:tc>
          <w:tcPr>
            <w:tcW w:w="6266" w:type="dxa"/>
            <w:gridSpan w:val="2"/>
            <w:vMerge w:val="restart"/>
            <w:shd w:val="clear" w:color="auto" w:fill="auto"/>
          </w:tcPr>
          <w:p w14:paraId="071056FE" w14:textId="77777777" w:rsidR="002534CF" w:rsidRPr="00A10F80" w:rsidRDefault="002534CF" w:rsidP="008B689E"/>
          <w:p w14:paraId="18E6019A" w14:textId="77777777" w:rsidR="002534CF" w:rsidRPr="00911F9C" w:rsidRDefault="002534CF" w:rsidP="008B689E">
            <w:pPr>
              <w:jc w:val="center"/>
              <w:rPr>
                <w:b/>
                <w:bCs/>
              </w:rPr>
            </w:pPr>
          </w:p>
          <w:p w14:paraId="4AD834AE" w14:textId="77777777" w:rsidR="002534CF" w:rsidRDefault="002534CF" w:rsidP="008B689E">
            <w:pPr>
              <w:jc w:val="center"/>
              <w:rPr>
                <w:b/>
                <w:bCs/>
              </w:rPr>
            </w:pPr>
          </w:p>
          <w:p w14:paraId="6369D8D7" w14:textId="77777777" w:rsidR="002534CF" w:rsidRDefault="002534CF" w:rsidP="008B689E">
            <w:pPr>
              <w:jc w:val="center"/>
              <w:rPr>
                <w:b/>
                <w:bCs/>
              </w:rPr>
            </w:pPr>
          </w:p>
          <w:p w14:paraId="6EB0A3F1" w14:textId="77777777" w:rsidR="002534CF" w:rsidRPr="00911F9C" w:rsidRDefault="002534CF" w:rsidP="008B689E">
            <w:pPr>
              <w:jc w:val="center"/>
              <w:rPr>
                <w:b/>
                <w:bCs/>
              </w:rPr>
            </w:pPr>
            <w:r w:rsidRPr="00911F9C">
              <w:rPr>
                <w:b/>
                <w:bCs/>
              </w:rPr>
              <w:t>ITEMS</w:t>
            </w:r>
          </w:p>
          <w:p w14:paraId="098E4DB7" w14:textId="77777777" w:rsidR="002534CF" w:rsidRPr="00A10F80" w:rsidRDefault="002534CF" w:rsidP="008B689E"/>
        </w:tc>
        <w:tc>
          <w:tcPr>
            <w:tcW w:w="3686" w:type="dxa"/>
            <w:gridSpan w:val="2"/>
            <w:tcBorders>
              <w:bottom w:val="single" w:sz="4" w:space="0" w:color="auto"/>
            </w:tcBorders>
            <w:shd w:val="clear" w:color="auto" w:fill="auto"/>
          </w:tcPr>
          <w:p w14:paraId="33480E05" w14:textId="77777777" w:rsidR="002534CF" w:rsidRPr="00A10F80" w:rsidRDefault="002534CF" w:rsidP="008B689E"/>
          <w:p w14:paraId="6E4E938E" w14:textId="77777777" w:rsidR="002534CF" w:rsidRPr="00911F9C" w:rsidRDefault="002534CF" w:rsidP="008B689E">
            <w:pPr>
              <w:jc w:val="center"/>
              <w:rPr>
                <w:b/>
                <w:bCs/>
              </w:rPr>
            </w:pPr>
            <w:r w:rsidRPr="00911F9C">
              <w:rPr>
                <w:b/>
                <w:bCs/>
              </w:rPr>
              <w:t>Amounts</w:t>
            </w:r>
          </w:p>
          <w:p w14:paraId="577FA233" w14:textId="77777777" w:rsidR="002534CF" w:rsidRPr="00A10F80" w:rsidRDefault="002534CF" w:rsidP="008B689E">
            <w:pPr>
              <w:jc w:val="center"/>
            </w:pPr>
          </w:p>
          <w:p w14:paraId="567E62DB" w14:textId="77777777" w:rsidR="002534CF" w:rsidRPr="00911F9C" w:rsidRDefault="002534CF" w:rsidP="008B689E">
            <w:pPr>
              <w:jc w:val="center"/>
              <w:rPr>
                <w:i/>
                <w:iCs/>
                <w:lang w:eastAsia="ja-JP"/>
              </w:rPr>
            </w:pPr>
            <w:r w:rsidRPr="00A10F80">
              <w:t>(</w:t>
            </w:r>
            <w:r w:rsidRPr="00911F9C">
              <w:rPr>
                <w:i/>
                <w:iCs/>
              </w:rPr>
              <w:t>in Swiss francs</w:t>
            </w:r>
            <w:r w:rsidRPr="00911F9C">
              <w:rPr>
                <w:i/>
                <w:iCs/>
                <w:lang w:eastAsia="ja-JP"/>
              </w:rPr>
              <w:t>)</w:t>
            </w:r>
          </w:p>
          <w:p w14:paraId="49A34DB7" w14:textId="77777777" w:rsidR="002534CF" w:rsidRPr="00A10F80" w:rsidRDefault="002534CF" w:rsidP="008B689E"/>
        </w:tc>
      </w:tr>
      <w:tr w:rsidR="002534CF" w:rsidRPr="00911F9C" w14:paraId="294E2B5B" w14:textId="77777777" w:rsidTr="008B689E">
        <w:tc>
          <w:tcPr>
            <w:tcW w:w="6266" w:type="dxa"/>
            <w:gridSpan w:val="2"/>
            <w:vMerge/>
            <w:shd w:val="clear" w:color="auto" w:fill="auto"/>
          </w:tcPr>
          <w:p w14:paraId="46E441D3" w14:textId="77777777" w:rsidR="002534CF" w:rsidRPr="00A10F80" w:rsidRDefault="002534CF" w:rsidP="008B689E"/>
        </w:tc>
        <w:tc>
          <w:tcPr>
            <w:tcW w:w="1843" w:type="dxa"/>
            <w:tcBorders>
              <w:bottom w:val="single" w:sz="4" w:space="0" w:color="auto"/>
            </w:tcBorders>
            <w:shd w:val="clear" w:color="auto" w:fill="auto"/>
          </w:tcPr>
          <w:p w14:paraId="3DBE0D1A" w14:textId="77777777" w:rsidR="002534CF" w:rsidRDefault="002534CF" w:rsidP="008B689E"/>
          <w:p w14:paraId="3F0962EE" w14:textId="77777777" w:rsidR="002534CF" w:rsidRDefault="002534CF" w:rsidP="006B4537">
            <w:pPr>
              <w:jc w:val="center"/>
            </w:pPr>
            <w:r>
              <w:t>until</w:t>
            </w:r>
          </w:p>
          <w:p w14:paraId="2F45991D" w14:textId="77777777" w:rsidR="00B86521" w:rsidRDefault="00307A1C" w:rsidP="006B4537">
            <w:pPr>
              <w:jc w:val="center"/>
            </w:pPr>
            <w:r w:rsidRPr="00307A1C">
              <w:t xml:space="preserve">August </w:t>
            </w:r>
            <w:r w:rsidR="00453AC7">
              <w:t>23</w:t>
            </w:r>
            <w:r w:rsidR="000C75B0">
              <w:t xml:space="preserve">, </w:t>
            </w:r>
          </w:p>
          <w:p w14:paraId="66251F0C" w14:textId="3991F3E0" w:rsidR="002534CF" w:rsidRPr="00A10F80" w:rsidRDefault="000C75B0" w:rsidP="006B4537">
            <w:pPr>
              <w:jc w:val="center"/>
            </w:pPr>
            <w:r>
              <w:t>2025</w:t>
            </w:r>
          </w:p>
        </w:tc>
        <w:tc>
          <w:tcPr>
            <w:tcW w:w="1843" w:type="dxa"/>
            <w:tcBorders>
              <w:bottom w:val="single" w:sz="4" w:space="0" w:color="auto"/>
            </w:tcBorders>
            <w:shd w:val="clear" w:color="auto" w:fill="auto"/>
          </w:tcPr>
          <w:p w14:paraId="3925005A" w14:textId="77777777" w:rsidR="002534CF" w:rsidRDefault="002534CF" w:rsidP="008B689E"/>
          <w:p w14:paraId="5B8B533C" w14:textId="77777777" w:rsidR="002534CF" w:rsidRDefault="002534CF" w:rsidP="008B689E">
            <w:pPr>
              <w:jc w:val="center"/>
            </w:pPr>
            <w:r>
              <w:rPr>
                <w:b/>
              </w:rPr>
              <w:t>a</w:t>
            </w:r>
            <w:r w:rsidRPr="00EF4F3D">
              <w:rPr>
                <w:b/>
              </w:rPr>
              <w:t>s from</w:t>
            </w:r>
            <w:r w:rsidRPr="00EF4F3D">
              <w:t xml:space="preserve"> </w:t>
            </w:r>
          </w:p>
          <w:p w14:paraId="03515FAF" w14:textId="2D5B9060" w:rsidR="002534CF" w:rsidRDefault="00307A1C" w:rsidP="008B689E">
            <w:pPr>
              <w:jc w:val="center"/>
              <w:rPr>
                <w:b/>
                <w:bCs/>
              </w:rPr>
            </w:pPr>
            <w:r w:rsidRPr="00307A1C">
              <w:rPr>
                <w:b/>
                <w:bCs/>
              </w:rPr>
              <w:t xml:space="preserve">August </w:t>
            </w:r>
            <w:r w:rsidR="00453AC7">
              <w:rPr>
                <w:b/>
                <w:bCs/>
              </w:rPr>
              <w:t>24</w:t>
            </w:r>
            <w:r w:rsidR="000C75B0" w:rsidRPr="000C75B0">
              <w:rPr>
                <w:b/>
                <w:bCs/>
              </w:rPr>
              <w:t>, 2025</w:t>
            </w:r>
          </w:p>
          <w:p w14:paraId="5E3B7040" w14:textId="22A55D43" w:rsidR="000C75B0" w:rsidRPr="00EF4F3D" w:rsidRDefault="000C75B0" w:rsidP="008B689E">
            <w:pPr>
              <w:jc w:val="center"/>
            </w:pPr>
          </w:p>
        </w:tc>
      </w:tr>
      <w:tr w:rsidR="00F55665" w:rsidRPr="00911F9C" w14:paraId="2DC8777F" w14:textId="77777777" w:rsidTr="008B689E">
        <w:trPr>
          <w:trHeight w:val="1891"/>
        </w:trPr>
        <w:tc>
          <w:tcPr>
            <w:tcW w:w="1775" w:type="dxa"/>
            <w:tcBorders>
              <w:right w:val="single" w:sz="4" w:space="0" w:color="auto"/>
            </w:tcBorders>
            <w:shd w:val="clear" w:color="auto" w:fill="auto"/>
          </w:tcPr>
          <w:p w14:paraId="36E20F4F" w14:textId="77777777" w:rsidR="00F55665" w:rsidRDefault="00F55665" w:rsidP="00F55665">
            <w:pPr>
              <w:jc w:val="center"/>
            </w:pPr>
          </w:p>
          <w:p w14:paraId="19722DF5" w14:textId="77777777" w:rsidR="00F55665" w:rsidRDefault="00F55665" w:rsidP="00F55665">
            <w:pPr>
              <w:jc w:val="center"/>
            </w:pPr>
          </w:p>
          <w:p w14:paraId="4C59C4D4" w14:textId="77777777" w:rsidR="00F55665" w:rsidRPr="00A10F80" w:rsidRDefault="00F55665" w:rsidP="00F55665">
            <w:pPr>
              <w:jc w:val="center"/>
            </w:pPr>
            <w:r>
              <w:t>Application or Subsequent Designation</w:t>
            </w:r>
          </w:p>
        </w:tc>
        <w:tc>
          <w:tcPr>
            <w:tcW w:w="4491" w:type="dxa"/>
            <w:tcBorders>
              <w:top w:val="nil"/>
              <w:left w:val="single" w:sz="4" w:space="0" w:color="auto"/>
              <w:right w:val="single" w:sz="4" w:space="0" w:color="auto"/>
            </w:tcBorders>
            <w:shd w:val="clear" w:color="auto" w:fill="auto"/>
          </w:tcPr>
          <w:p w14:paraId="2AE0D507" w14:textId="77777777" w:rsidR="00F55665" w:rsidRPr="00326F97" w:rsidRDefault="00F55665" w:rsidP="00F55665"/>
          <w:p w14:paraId="0E59497C" w14:textId="77777777" w:rsidR="00F55665" w:rsidRPr="00326F97" w:rsidRDefault="00F55665" w:rsidP="00F55665">
            <w:pPr>
              <w:rPr>
                <w:rFonts w:eastAsia="MS Mincho"/>
                <w:szCs w:val="22"/>
                <w:lang w:eastAsia="ja-JP"/>
              </w:rPr>
            </w:pPr>
            <w:r w:rsidRPr="00326F97">
              <w:t xml:space="preserve">–  for the first class </w:t>
            </w:r>
            <w:r w:rsidRPr="00326F97">
              <w:rPr>
                <w:rFonts w:eastAsia="MS Mincho"/>
                <w:szCs w:val="22"/>
                <w:lang w:eastAsia="ja-JP"/>
              </w:rPr>
              <w:t>of goods or services</w:t>
            </w:r>
          </w:p>
          <w:p w14:paraId="1264C8A8" w14:textId="77777777" w:rsidR="00F55665" w:rsidRPr="00326F97" w:rsidRDefault="00F55665" w:rsidP="00F55665"/>
          <w:p w14:paraId="3F7287C2" w14:textId="77777777" w:rsidR="00F55665" w:rsidRPr="00326F97" w:rsidRDefault="00F55665" w:rsidP="00F55665">
            <w:r w:rsidRPr="00326F97">
              <w:t xml:space="preserve">–  </w:t>
            </w:r>
            <w:r w:rsidRPr="00326F97">
              <w:rPr>
                <w:rFonts w:eastAsia="MS Mincho"/>
                <w:szCs w:val="22"/>
                <w:lang w:eastAsia="ja-JP"/>
              </w:rPr>
              <w:t>for the second class of goods or services</w:t>
            </w:r>
          </w:p>
          <w:p w14:paraId="27CEF632" w14:textId="77777777" w:rsidR="00F55665" w:rsidRPr="00326F97" w:rsidRDefault="00F55665" w:rsidP="00F55665"/>
          <w:p w14:paraId="49C7920A" w14:textId="77777777" w:rsidR="00F55665" w:rsidRPr="00326F97" w:rsidRDefault="00F55665" w:rsidP="00F55665">
            <w:pPr>
              <w:rPr>
                <w:rFonts w:eastAsia="MS Mincho"/>
                <w:szCs w:val="22"/>
                <w:lang w:eastAsia="ja-JP"/>
              </w:rPr>
            </w:pPr>
            <w:r w:rsidRPr="00326F97">
              <w:t xml:space="preserve">–  </w:t>
            </w:r>
            <w:r w:rsidRPr="00326F97">
              <w:rPr>
                <w:rFonts w:eastAsia="MS Mincho"/>
                <w:szCs w:val="22"/>
                <w:lang w:eastAsia="ja-JP"/>
              </w:rPr>
              <w:t>for each additional class</w:t>
            </w:r>
          </w:p>
        </w:tc>
        <w:tc>
          <w:tcPr>
            <w:tcW w:w="1843" w:type="dxa"/>
            <w:tcBorders>
              <w:top w:val="single" w:sz="4" w:space="0" w:color="auto"/>
              <w:left w:val="single" w:sz="4" w:space="0" w:color="auto"/>
              <w:right w:val="single" w:sz="4" w:space="0" w:color="auto"/>
            </w:tcBorders>
            <w:shd w:val="clear" w:color="auto" w:fill="auto"/>
          </w:tcPr>
          <w:p w14:paraId="29B24382" w14:textId="77777777" w:rsidR="00F55665" w:rsidRPr="006C1A9B" w:rsidRDefault="00F55665" w:rsidP="00F55665">
            <w:pPr>
              <w:jc w:val="center"/>
              <w:rPr>
                <w:bCs/>
              </w:rPr>
            </w:pPr>
          </w:p>
          <w:p w14:paraId="36D494D7" w14:textId="77777777" w:rsidR="00F55665" w:rsidRPr="006C1A9B" w:rsidRDefault="00F55665" w:rsidP="00F55665">
            <w:pPr>
              <w:jc w:val="center"/>
              <w:rPr>
                <w:bCs/>
              </w:rPr>
            </w:pPr>
            <w:r w:rsidRPr="006C1A9B">
              <w:rPr>
                <w:bCs/>
              </w:rPr>
              <w:t>211</w:t>
            </w:r>
          </w:p>
          <w:p w14:paraId="145EC1F1" w14:textId="77777777" w:rsidR="00F55665" w:rsidRPr="006C1A9B" w:rsidRDefault="00F55665" w:rsidP="00F55665">
            <w:pPr>
              <w:jc w:val="center"/>
              <w:rPr>
                <w:bCs/>
              </w:rPr>
            </w:pPr>
          </w:p>
          <w:p w14:paraId="1242F91E" w14:textId="77777777" w:rsidR="00F55665" w:rsidRPr="006C1A9B" w:rsidRDefault="00F55665" w:rsidP="00F55665">
            <w:pPr>
              <w:jc w:val="center"/>
              <w:rPr>
                <w:bCs/>
              </w:rPr>
            </w:pPr>
            <w:r w:rsidRPr="006C1A9B">
              <w:rPr>
                <w:bCs/>
              </w:rPr>
              <w:t>61</w:t>
            </w:r>
          </w:p>
          <w:p w14:paraId="2E5BC113" w14:textId="77777777" w:rsidR="00F55665" w:rsidRPr="006C1A9B" w:rsidRDefault="00F55665" w:rsidP="00F55665">
            <w:pPr>
              <w:jc w:val="center"/>
              <w:rPr>
                <w:bCs/>
              </w:rPr>
            </w:pPr>
          </w:p>
          <w:p w14:paraId="37D15434" w14:textId="110AD331" w:rsidR="00F55665" w:rsidRPr="006C1A9B" w:rsidRDefault="00F55665" w:rsidP="00F55665">
            <w:pPr>
              <w:jc w:val="center"/>
              <w:rPr>
                <w:bCs/>
              </w:rPr>
            </w:pPr>
            <w:r w:rsidRPr="006C1A9B">
              <w:rPr>
                <w:bCs/>
              </w:rPr>
              <w:t>68</w:t>
            </w:r>
          </w:p>
        </w:tc>
        <w:tc>
          <w:tcPr>
            <w:tcW w:w="1843" w:type="dxa"/>
            <w:tcBorders>
              <w:top w:val="single" w:sz="4" w:space="0" w:color="auto"/>
              <w:left w:val="single" w:sz="4" w:space="0" w:color="auto"/>
              <w:right w:val="single" w:sz="4" w:space="0" w:color="auto"/>
            </w:tcBorders>
          </w:tcPr>
          <w:p w14:paraId="03539155" w14:textId="77777777" w:rsidR="00F55665" w:rsidRDefault="00F55665" w:rsidP="00F55665">
            <w:pPr>
              <w:jc w:val="center"/>
              <w:rPr>
                <w:b/>
              </w:rPr>
            </w:pPr>
          </w:p>
          <w:p w14:paraId="37FB2DFD" w14:textId="77777777" w:rsidR="00F55665" w:rsidRDefault="00F55665" w:rsidP="00F55665">
            <w:pPr>
              <w:jc w:val="center"/>
              <w:rPr>
                <w:b/>
              </w:rPr>
            </w:pPr>
            <w:r>
              <w:rPr>
                <w:b/>
              </w:rPr>
              <w:t>164</w:t>
            </w:r>
          </w:p>
          <w:p w14:paraId="3A202106" w14:textId="77777777" w:rsidR="00F55665" w:rsidRDefault="00F55665" w:rsidP="00F55665">
            <w:pPr>
              <w:jc w:val="center"/>
              <w:rPr>
                <w:b/>
              </w:rPr>
            </w:pPr>
          </w:p>
          <w:p w14:paraId="7D9FB30D" w14:textId="77777777" w:rsidR="00F55665" w:rsidRDefault="00F55665" w:rsidP="00F55665">
            <w:pPr>
              <w:jc w:val="center"/>
              <w:rPr>
                <w:b/>
              </w:rPr>
            </w:pPr>
            <w:r>
              <w:rPr>
                <w:b/>
              </w:rPr>
              <w:t>47</w:t>
            </w:r>
          </w:p>
          <w:p w14:paraId="72A4EBB0" w14:textId="77777777" w:rsidR="00F55665" w:rsidRDefault="00F55665" w:rsidP="00F55665">
            <w:pPr>
              <w:jc w:val="center"/>
              <w:rPr>
                <w:b/>
              </w:rPr>
            </w:pPr>
          </w:p>
          <w:p w14:paraId="65169113" w14:textId="3BF2A36B" w:rsidR="00F55665" w:rsidRPr="00346A1A" w:rsidRDefault="00F55665" w:rsidP="00F55665">
            <w:pPr>
              <w:jc w:val="center"/>
              <w:rPr>
                <w:b/>
              </w:rPr>
            </w:pPr>
            <w:r>
              <w:rPr>
                <w:b/>
                <w:lang w:val="es-ES"/>
              </w:rPr>
              <w:t>52</w:t>
            </w:r>
          </w:p>
        </w:tc>
      </w:tr>
      <w:tr w:rsidR="00F55665" w:rsidRPr="00911F9C" w14:paraId="0389A0DD" w14:textId="77777777" w:rsidTr="008B689E">
        <w:trPr>
          <w:trHeight w:val="2104"/>
        </w:trPr>
        <w:tc>
          <w:tcPr>
            <w:tcW w:w="1775" w:type="dxa"/>
            <w:tcBorders>
              <w:bottom w:val="single" w:sz="4" w:space="0" w:color="auto"/>
              <w:right w:val="single" w:sz="4" w:space="0" w:color="auto"/>
            </w:tcBorders>
            <w:shd w:val="clear" w:color="auto" w:fill="auto"/>
          </w:tcPr>
          <w:p w14:paraId="7E9D04B2" w14:textId="77777777" w:rsidR="00F55665" w:rsidRDefault="00F55665" w:rsidP="00F55665"/>
          <w:p w14:paraId="68CA1E64" w14:textId="77777777" w:rsidR="00F55665" w:rsidRDefault="00F55665" w:rsidP="00F55665">
            <w:pPr>
              <w:jc w:val="center"/>
            </w:pPr>
          </w:p>
          <w:p w14:paraId="2CFCDABD" w14:textId="77777777" w:rsidR="00F55665" w:rsidRDefault="00F55665" w:rsidP="00F55665">
            <w:pPr>
              <w:jc w:val="center"/>
            </w:pPr>
          </w:p>
          <w:p w14:paraId="7B605A86" w14:textId="77777777" w:rsidR="00F55665" w:rsidRDefault="00F55665" w:rsidP="00F55665">
            <w:pPr>
              <w:jc w:val="center"/>
            </w:pPr>
            <w:r>
              <w:t>Renewal</w:t>
            </w:r>
          </w:p>
          <w:p w14:paraId="3A7DCD07" w14:textId="77777777" w:rsidR="00F55665" w:rsidRDefault="00F55665" w:rsidP="00F55665"/>
          <w:p w14:paraId="072F533F" w14:textId="77777777" w:rsidR="00F55665" w:rsidRPr="00A10F80" w:rsidRDefault="00F55665" w:rsidP="00F55665"/>
        </w:tc>
        <w:tc>
          <w:tcPr>
            <w:tcW w:w="4491" w:type="dxa"/>
            <w:tcBorders>
              <w:top w:val="single" w:sz="4" w:space="0" w:color="auto"/>
              <w:left w:val="single" w:sz="4" w:space="0" w:color="auto"/>
              <w:right w:val="single" w:sz="4" w:space="0" w:color="auto"/>
            </w:tcBorders>
            <w:shd w:val="clear" w:color="auto" w:fill="auto"/>
          </w:tcPr>
          <w:p w14:paraId="3D99593A" w14:textId="77777777" w:rsidR="00F55665" w:rsidRPr="00326F97" w:rsidRDefault="00F55665" w:rsidP="00F55665"/>
          <w:p w14:paraId="3F00C888" w14:textId="77777777" w:rsidR="00F55665" w:rsidRPr="00326F97" w:rsidRDefault="00F55665" w:rsidP="00F55665">
            <w:r w:rsidRPr="00326F97">
              <w:t>–  independent of the number of classes</w:t>
            </w:r>
          </w:p>
          <w:p w14:paraId="1C19E7AB" w14:textId="77777777" w:rsidR="00F55665" w:rsidRPr="00326F97" w:rsidRDefault="00F55665" w:rsidP="00F55665">
            <w:pPr>
              <w:rPr>
                <w:rFonts w:eastAsia="MS Mincho"/>
                <w:szCs w:val="22"/>
                <w:lang w:eastAsia="ja-JP"/>
              </w:rPr>
            </w:pPr>
          </w:p>
          <w:p w14:paraId="28D951EE" w14:textId="77777777" w:rsidR="00F55665" w:rsidRPr="00326F97" w:rsidRDefault="00F55665" w:rsidP="00F55665">
            <w:pPr>
              <w:autoSpaceDE w:val="0"/>
              <w:autoSpaceDN w:val="0"/>
              <w:adjustRightInd w:val="0"/>
              <w:rPr>
                <w:rFonts w:eastAsia="MS Mincho"/>
                <w:i/>
                <w:iCs/>
                <w:szCs w:val="22"/>
                <w:lang w:eastAsia="ja-JP"/>
              </w:rPr>
            </w:pPr>
            <w:r w:rsidRPr="00326F97">
              <w:rPr>
                <w:rFonts w:eastAsia="MS Mincho"/>
                <w:i/>
                <w:iCs/>
                <w:szCs w:val="22"/>
                <w:lang w:eastAsia="ja-JP"/>
              </w:rPr>
              <w:t xml:space="preserve">Where payment is received within the </w:t>
            </w:r>
          </w:p>
          <w:p w14:paraId="3428E3E4" w14:textId="77777777" w:rsidR="00F55665" w:rsidRPr="00326F97" w:rsidRDefault="00F55665" w:rsidP="00F55665">
            <w:pPr>
              <w:autoSpaceDE w:val="0"/>
              <w:autoSpaceDN w:val="0"/>
              <w:adjustRightInd w:val="0"/>
              <w:rPr>
                <w:rFonts w:eastAsia="MS Mincho"/>
                <w:i/>
                <w:iCs/>
                <w:szCs w:val="22"/>
                <w:lang w:eastAsia="ja-JP"/>
              </w:rPr>
            </w:pPr>
            <w:r w:rsidRPr="00326F97">
              <w:rPr>
                <w:rFonts w:eastAsia="MS Mincho"/>
                <w:i/>
                <w:iCs/>
                <w:szCs w:val="22"/>
                <w:lang w:eastAsia="ja-JP"/>
              </w:rPr>
              <w:t>period of grace:</w:t>
            </w:r>
          </w:p>
          <w:p w14:paraId="1FBB5FCC" w14:textId="77777777" w:rsidR="00F55665" w:rsidRPr="00326F97" w:rsidRDefault="00F55665" w:rsidP="00F55665"/>
          <w:p w14:paraId="7256D0E6" w14:textId="77777777" w:rsidR="00F55665" w:rsidRPr="00326F97" w:rsidRDefault="00F55665" w:rsidP="00F55665">
            <w:pPr>
              <w:rPr>
                <w:rFonts w:eastAsia="MS Mincho"/>
                <w:szCs w:val="22"/>
                <w:lang w:eastAsia="ja-JP"/>
              </w:rPr>
            </w:pPr>
            <w:r w:rsidRPr="00326F97">
              <w:t>–  independent of the number of classes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19F606" w14:textId="77777777" w:rsidR="00F55665" w:rsidRPr="006C1A9B" w:rsidRDefault="00F55665" w:rsidP="00F55665">
            <w:pPr>
              <w:jc w:val="center"/>
              <w:rPr>
                <w:rFonts w:eastAsia="MS Mincho"/>
                <w:bCs/>
                <w:szCs w:val="22"/>
                <w:lang w:eastAsia="ja-JP"/>
              </w:rPr>
            </w:pPr>
          </w:p>
          <w:p w14:paraId="570023A3" w14:textId="77777777" w:rsidR="00F55665" w:rsidRPr="006C1A9B" w:rsidRDefault="00F55665" w:rsidP="00F55665">
            <w:pPr>
              <w:jc w:val="center"/>
              <w:rPr>
                <w:rFonts w:eastAsia="MS Mincho"/>
                <w:bCs/>
                <w:szCs w:val="22"/>
                <w:lang w:eastAsia="ja-JP"/>
              </w:rPr>
            </w:pPr>
            <w:r w:rsidRPr="006C1A9B">
              <w:rPr>
                <w:rFonts w:eastAsia="MS Mincho"/>
                <w:bCs/>
                <w:szCs w:val="22"/>
                <w:lang w:eastAsia="ja-JP"/>
              </w:rPr>
              <w:t>187</w:t>
            </w:r>
          </w:p>
          <w:p w14:paraId="3B640DCA" w14:textId="77777777" w:rsidR="00F55665" w:rsidRPr="006C1A9B" w:rsidRDefault="00F55665" w:rsidP="00F55665">
            <w:pPr>
              <w:jc w:val="center"/>
              <w:rPr>
                <w:rFonts w:eastAsia="MS Mincho"/>
                <w:bCs/>
                <w:szCs w:val="22"/>
                <w:lang w:eastAsia="ja-JP"/>
              </w:rPr>
            </w:pPr>
          </w:p>
          <w:p w14:paraId="0871D59A" w14:textId="77777777" w:rsidR="00F55665" w:rsidRPr="006C1A9B" w:rsidRDefault="00F55665" w:rsidP="00F55665">
            <w:pPr>
              <w:jc w:val="center"/>
              <w:rPr>
                <w:rFonts w:eastAsia="MS Mincho"/>
                <w:bCs/>
                <w:szCs w:val="22"/>
                <w:lang w:eastAsia="ja-JP"/>
              </w:rPr>
            </w:pPr>
          </w:p>
          <w:p w14:paraId="121C38E9" w14:textId="77777777" w:rsidR="00F55665" w:rsidRPr="006C1A9B" w:rsidRDefault="00F55665" w:rsidP="00F55665">
            <w:pPr>
              <w:jc w:val="center"/>
              <w:rPr>
                <w:rFonts w:eastAsia="MS Mincho"/>
                <w:bCs/>
                <w:szCs w:val="22"/>
                <w:lang w:eastAsia="ja-JP"/>
              </w:rPr>
            </w:pPr>
          </w:p>
          <w:p w14:paraId="5FBFEC74" w14:textId="77777777" w:rsidR="00F55665" w:rsidRPr="006C1A9B" w:rsidRDefault="00F55665" w:rsidP="00F55665">
            <w:pPr>
              <w:jc w:val="center"/>
              <w:rPr>
                <w:rFonts w:eastAsia="MS Mincho"/>
                <w:bCs/>
                <w:szCs w:val="22"/>
                <w:lang w:eastAsia="ja-JP"/>
              </w:rPr>
            </w:pPr>
          </w:p>
          <w:p w14:paraId="28272915" w14:textId="60DF059D" w:rsidR="00F55665" w:rsidRPr="006C1A9B" w:rsidRDefault="00F55665" w:rsidP="00F55665">
            <w:pPr>
              <w:jc w:val="center"/>
              <w:rPr>
                <w:rFonts w:eastAsia="MS Mincho"/>
                <w:bCs/>
                <w:szCs w:val="22"/>
                <w:lang w:eastAsia="ja-JP"/>
              </w:rPr>
            </w:pPr>
            <w:r w:rsidRPr="006C1A9B">
              <w:rPr>
                <w:rFonts w:eastAsia="MS Mincho"/>
                <w:bCs/>
                <w:szCs w:val="22"/>
                <w:lang w:eastAsia="ja-JP"/>
              </w:rPr>
              <w:t>326</w:t>
            </w:r>
          </w:p>
        </w:tc>
        <w:tc>
          <w:tcPr>
            <w:tcW w:w="1843" w:type="dxa"/>
            <w:tcBorders>
              <w:top w:val="single" w:sz="4" w:space="0" w:color="auto"/>
              <w:left w:val="single" w:sz="4" w:space="0" w:color="auto"/>
              <w:bottom w:val="single" w:sz="4" w:space="0" w:color="auto"/>
              <w:right w:val="single" w:sz="4" w:space="0" w:color="auto"/>
            </w:tcBorders>
          </w:tcPr>
          <w:p w14:paraId="0CA40878" w14:textId="77777777" w:rsidR="00F55665" w:rsidRDefault="00F55665" w:rsidP="00F55665">
            <w:pPr>
              <w:jc w:val="center"/>
              <w:rPr>
                <w:rFonts w:eastAsia="MS Mincho"/>
                <w:b/>
                <w:szCs w:val="22"/>
                <w:lang w:eastAsia="ja-JP"/>
              </w:rPr>
            </w:pPr>
          </w:p>
          <w:p w14:paraId="0BE5962D" w14:textId="77777777" w:rsidR="00F55665" w:rsidRDefault="00F55665" w:rsidP="00F55665">
            <w:pPr>
              <w:jc w:val="center"/>
              <w:rPr>
                <w:rFonts w:eastAsia="MS Mincho"/>
                <w:b/>
                <w:szCs w:val="22"/>
                <w:lang w:eastAsia="ja-JP"/>
              </w:rPr>
            </w:pPr>
            <w:r>
              <w:rPr>
                <w:rFonts w:eastAsia="MS Mincho"/>
                <w:b/>
                <w:szCs w:val="22"/>
                <w:lang w:eastAsia="ja-JP"/>
              </w:rPr>
              <w:t>145</w:t>
            </w:r>
          </w:p>
          <w:p w14:paraId="01BEE0C4" w14:textId="77777777" w:rsidR="00F55665" w:rsidRDefault="00F55665" w:rsidP="00F55665">
            <w:pPr>
              <w:jc w:val="center"/>
              <w:rPr>
                <w:rFonts w:eastAsia="MS Mincho"/>
                <w:b/>
                <w:szCs w:val="22"/>
                <w:lang w:eastAsia="ja-JP"/>
              </w:rPr>
            </w:pPr>
          </w:p>
          <w:p w14:paraId="12C17D52" w14:textId="77777777" w:rsidR="00F55665" w:rsidRDefault="00F55665" w:rsidP="00F55665">
            <w:pPr>
              <w:jc w:val="center"/>
              <w:rPr>
                <w:rFonts w:eastAsia="MS Mincho"/>
                <w:b/>
                <w:szCs w:val="22"/>
                <w:lang w:eastAsia="ja-JP"/>
              </w:rPr>
            </w:pPr>
          </w:p>
          <w:p w14:paraId="23F17C86" w14:textId="77777777" w:rsidR="00F55665" w:rsidRDefault="00F55665" w:rsidP="00F55665">
            <w:pPr>
              <w:jc w:val="center"/>
              <w:rPr>
                <w:rFonts w:eastAsia="MS Mincho"/>
                <w:b/>
                <w:szCs w:val="22"/>
                <w:lang w:eastAsia="ja-JP"/>
              </w:rPr>
            </w:pPr>
          </w:p>
          <w:p w14:paraId="0242E0F9" w14:textId="77777777" w:rsidR="00F55665" w:rsidRDefault="00F55665" w:rsidP="00F55665">
            <w:pPr>
              <w:jc w:val="center"/>
              <w:rPr>
                <w:rFonts w:eastAsia="MS Mincho"/>
                <w:b/>
                <w:szCs w:val="22"/>
                <w:lang w:eastAsia="ja-JP"/>
              </w:rPr>
            </w:pPr>
          </w:p>
          <w:p w14:paraId="0C49BAA2" w14:textId="5ABD5E16" w:rsidR="00F55665" w:rsidRPr="00346A1A" w:rsidRDefault="00F55665" w:rsidP="00F55665">
            <w:pPr>
              <w:jc w:val="center"/>
              <w:rPr>
                <w:rFonts w:eastAsia="MS Mincho"/>
                <w:b/>
                <w:szCs w:val="22"/>
                <w:lang w:eastAsia="ja-JP"/>
              </w:rPr>
            </w:pPr>
            <w:r>
              <w:rPr>
                <w:rFonts w:eastAsia="MS Mincho"/>
                <w:b/>
                <w:szCs w:val="22"/>
                <w:lang w:val="es-ES" w:eastAsia="ja-JP"/>
              </w:rPr>
              <w:t>254</w:t>
            </w:r>
          </w:p>
        </w:tc>
      </w:tr>
    </w:tbl>
    <w:p w14:paraId="174BE425" w14:textId="77777777" w:rsidR="00340D3F" w:rsidRDefault="00340D3F" w:rsidP="00340D3F">
      <w:pPr>
        <w:pStyle w:val="ONUME"/>
        <w:numPr>
          <w:ilvl w:val="0"/>
          <w:numId w:val="0"/>
        </w:numPr>
        <w:spacing w:after="0"/>
      </w:pPr>
    </w:p>
    <w:p w14:paraId="5113ABCD" w14:textId="77777777" w:rsidR="00E33CC5" w:rsidRDefault="00E33CC5" w:rsidP="00E33CC5"/>
    <w:p w14:paraId="51286EDB" w14:textId="743812D8" w:rsidR="00E33CC5" w:rsidRDefault="00E33CC5" w:rsidP="00E33CC5">
      <w:r>
        <w:br w:type="page"/>
      </w:r>
    </w:p>
    <w:p w14:paraId="557C0BB9" w14:textId="08C5CB65" w:rsidR="006D1756" w:rsidRDefault="001C76FA" w:rsidP="00421246">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2534CF">
        <w:t>Türkiye</w:t>
      </w:r>
    </w:p>
    <w:p w14:paraId="1E587FA3" w14:textId="20B9AD3D" w:rsidR="000D77B0" w:rsidRPr="00D6762F" w:rsidRDefault="00B74CEF" w:rsidP="00D6762F">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DE6EF2">
        <w:t xml:space="preserve">August </w:t>
      </w:r>
      <w:r w:rsidR="00453AC7">
        <w:t>24</w:t>
      </w:r>
      <w:r w:rsidR="00624813">
        <w:t xml:space="preserve">, </w:t>
      </w:r>
      <w:proofErr w:type="gramStart"/>
      <w:r w:rsidR="00624813">
        <w:t>2025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2D170CE3" w14:textId="16054483"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3F3CE3F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00E76FBB" w:rsidR="00163F61" w:rsidRPr="00D409DF" w:rsidRDefault="00DE6EF2" w:rsidP="00B40CAC">
      <w:pPr>
        <w:pStyle w:val="Endofdocument-Annex"/>
        <w:spacing w:before="440"/>
      </w:pPr>
      <w:r>
        <w:rPr>
          <w:lang w:eastAsia="ja-JP"/>
        </w:rPr>
        <w:t xml:space="preserve">July </w:t>
      </w:r>
      <w:r w:rsidR="00F651CF">
        <w:rPr>
          <w:lang w:eastAsia="ja-JP"/>
        </w:rPr>
        <w:t>24</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A27B" w14:textId="77777777" w:rsidR="00350025" w:rsidRDefault="00350025">
      <w:r>
        <w:separator/>
      </w:r>
    </w:p>
  </w:endnote>
  <w:endnote w:type="continuationSeparator" w:id="0">
    <w:p w14:paraId="4EB55614" w14:textId="77777777" w:rsidR="00350025" w:rsidRDefault="00350025" w:rsidP="003B38C1">
      <w:r>
        <w:separator/>
      </w:r>
    </w:p>
    <w:p w14:paraId="1DB41875" w14:textId="77777777" w:rsidR="00350025" w:rsidRPr="003B38C1" w:rsidRDefault="00350025" w:rsidP="003B38C1">
      <w:pPr>
        <w:spacing w:after="60"/>
        <w:rPr>
          <w:sz w:val="17"/>
        </w:rPr>
      </w:pPr>
      <w:r>
        <w:rPr>
          <w:sz w:val="17"/>
        </w:rPr>
        <w:t>[Endnote continued from previous page]</w:t>
      </w:r>
    </w:p>
  </w:endnote>
  <w:endnote w:type="continuationNotice" w:id="1">
    <w:p w14:paraId="2262121B" w14:textId="77777777" w:rsidR="00350025" w:rsidRPr="003B38C1" w:rsidRDefault="0035002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9991" w14:textId="77777777" w:rsidR="00350025" w:rsidRDefault="00350025">
      <w:r>
        <w:separator/>
      </w:r>
    </w:p>
  </w:footnote>
  <w:footnote w:type="continuationSeparator" w:id="0">
    <w:p w14:paraId="4BC8F6B6" w14:textId="77777777" w:rsidR="00350025" w:rsidRDefault="00350025" w:rsidP="008B60B2">
      <w:r>
        <w:separator/>
      </w:r>
    </w:p>
    <w:p w14:paraId="77AD7AE2" w14:textId="77777777" w:rsidR="00350025" w:rsidRPr="00ED77FB" w:rsidRDefault="00350025" w:rsidP="008B60B2">
      <w:pPr>
        <w:spacing w:after="60"/>
        <w:rPr>
          <w:sz w:val="17"/>
          <w:szCs w:val="17"/>
        </w:rPr>
      </w:pPr>
      <w:r w:rsidRPr="00ED77FB">
        <w:rPr>
          <w:sz w:val="17"/>
          <w:szCs w:val="17"/>
        </w:rPr>
        <w:t>[Footnote continued from previous page]</w:t>
      </w:r>
    </w:p>
  </w:footnote>
  <w:footnote w:type="continuationNotice" w:id="1">
    <w:p w14:paraId="7C8E5DCB" w14:textId="77777777" w:rsidR="00350025" w:rsidRPr="00ED77FB" w:rsidRDefault="0035002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20224"/>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68ED"/>
    <w:rsid w:val="000A31D2"/>
    <w:rsid w:val="000A3911"/>
    <w:rsid w:val="000A525D"/>
    <w:rsid w:val="000A59C3"/>
    <w:rsid w:val="000A6C51"/>
    <w:rsid w:val="000A7ECE"/>
    <w:rsid w:val="000B518F"/>
    <w:rsid w:val="000B56C6"/>
    <w:rsid w:val="000C1C6D"/>
    <w:rsid w:val="000C1DE8"/>
    <w:rsid w:val="000C2665"/>
    <w:rsid w:val="000C75B0"/>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2663"/>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E31"/>
    <w:rsid w:val="00186DE1"/>
    <w:rsid w:val="00187554"/>
    <w:rsid w:val="00194BA2"/>
    <w:rsid w:val="001B173C"/>
    <w:rsid w:val="001B3099"/>
    <w:rsid w:val="001B7101"/>
    <w:rsid w:val="001C0965"/>
    <w:rsid w:val="001C17C9"/>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408FD"/>
    <w:rsid w:val="00244124"/>
    <w:rsid w:val="00250D81"/>
    <w:rsid w:val="00251890"/>
    <w:rsid w:val="0025278E"/>
    <w:rsid w:val="002534CF"/>
    <w:rsid w:val="00253685"/>
    <w:rsid w:val="00253A4B"/>
    <w:rsid w:val="0025542A"/>
    <w:rsid w:val="00256717"/>
    <w:rsid w:val="00257653"/>
    <w:rsid w:val="00260B68"/>
    <w:rsid w:val="002614B5"/>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D3329"/>
    <w:rsid w:val="002D58E7"/>
    <w:rsid w:val="002D64E7"/>
    <w:rsid w:val="002E33EB"/>
    <w:rsid w:val="002F016B"/>
    <w:rsid w:val="002F1FE6"/>
    <w:rsid w:val="002F4E68"/>
    <w:rsid w:val="002F5591"/>
    <w:rsid w:val="002F589C"/>
    <w:rsid w:val="002F75AD"/>
    <w:rsid w:val="003000B0"/>
    <w:rsid w:val="00300795"/>
    <w:rsid w:val="00301B6D"/>
    <w:rsid w:val="00307A1C"/>
    <w:rsid w:val="00312F7F"/>
    <w:rsid w:val="003156C6"/>
    <w:rsid w:val="00315BB3"/>
    <w:rsid w:val="00316528"/>
    <w:rsid w:val="003172F8"/>
    <w:rsid w:val="00317670"/>
    <w:rsid w:val="003228E3"/>
    <w:rsid w:val="003235A0"/>
    <w:rsid w:val="00324A0A"/>
    <w:rsid w:val="00324A92"/>
    <w:rsid w:val="003307B8"/>
    <w:rsid w:val="003311BC"/>
    <w:rsid w:val="00331EF3"/>
    <w:rsid w:val="00332FFB"/>
    <w:rsid w:val="003337A3"/>
    <w:rsid w:val="00335EC1"/>
    <w:rsid w:val="00340D3F"/>
    <w:rsid w:val="00344F02"/>
    <w:rsid w:val="00345BBD"/>
    <w:rsid w:val="00347330"/>
    <w:rsid w:val="00350025"/>
    <w:rsid w:val="00351DEB"/>
    <w:rsid w:val="00352CFB"/>
    <w:rsid w:val="0035459C"/>
    <w:rsid w:val="00354FC1"/>
    <w:rsid w:val="00356D9F"/>
    <w:rsid w:val="00357349"/>
    <w:rsid w:val="00357985"/>
    <w:rsid w:val="003612A1"/>
    <w:rsid w:val="00361450"/>
    <w:rsid w:val="00361AE2"/>
    <w:rsid w:val="00362549"/>
    <w:rsid w:val="00363931"/>
    <w:rsid w:val="00365541"/>
    <w:rsid w:val="003673CF"/>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47BFD"/>
    <w:rsid w:val="00453AC7"/>
    <w:rsid w:val="00460876"/>
    <w:rsid w:val="004630B4"/>
    <w:rsid w:val="004647DA"/>
    <w:rsid w:val="00466166"/>
    <w:rsid w:val="00466BC7"/>
    <w:rsid w:val="0047006A"/>
    <w:rsid w:val="00471444"/>
    <w:rsid w:val="00474062"/>
    <w:rsid w:val="0047673E"/>
    <w:rsid w:val="00477D6B"/>
    <w:rsid w:val="00477EF9"/>
    <w:rsid w:val="00481841"/>
    <w:rsid w:val="00482D76"/>
    <w:rsid w:val="004854BE"/>
    <w:rsid w:val="00492DDA"/>
    <w:rsid w:val="004935CA"/>
    <w:rsid w:val="004936FC"/>
    <w:rsid w:val="00493F3A"/>
    <w:rsid w:val="004947C5"/>
    <w:rsid w:val="004A112B"/>
    <w:rsid w:val="004A1A05"/>
    <w:rsid w:val="004A2350"/>
    <w:rsid w:val="004B0093"/>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26A6"/>
    <w:rsid w:val="004F5A30"/>
    <w:rsid w:val="004F5C07"/>
    <w:rsid w:val="00500786"/>
    <w:rsid w:val="00501740"/>
    <w:rsid w:val="005019FF"/>
    <w:rsid w:val="00502D4A"/>
    <w:rsid w:val="00510485"/>
    <w:rsid w:val="00511D3E"/>
    <w:rsid w:val="0051310C"/>
    <w:rsid w:val="005162FD"/>
    <w:rsid w:val="00520ADD"/>
    <w:rsid w:val="005219BC"/>
    <w:rsid w:val="00523157"/>
    <w:rsid w:val="005233BA"/>
    <w:rsid w:val="005243B1"/>
    <w:rsid w:val="005265FF"/>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0A31"/>
    <w:rsid w:val="005B5479"/>
    <w:rsid w:val="005C6649"/>
    <w:rsid w:val="005C7065"/>
    <w:rsid w:val="005C720D"/>
    <w:rsid w:val="005D047A"/>
    <w:rsid w:val="005D1699"/>
    <w:rsid w:val="005D1905"/>
    <w:rsid w:val="005D37A6"/>
    <w:rsid w:val="005E58F6"/>
    <w:rsid w:val="005F2F3B"/>
    <w:rsid w:val="00602D7F"/>
    <w:rsid w:val="006050DC"/>
    <w:rsid w:val="00605827"/>
    <w:rsid w:val="0061049B"/>
    <w:rsid w:val="00610FD9"/>
    <w:rsid w:val="00612606"/>
    <w:rsid w:val="00613134"/>
    <w:rsid w:val="006132AD"/>
    <w:rsid w:val="00614990"/>
    <w:rsid w:val="0062391C"/>
    <w:rsid w:val="00623DAC"/>
    <w:rsid w:val="00624813"/>
    <w:rsid w:val="00624C81"/>
    <w:rsid w:val="00633529"/>
    <w:rsid w:val="00634AF5"/>
    <w:rsid w:val="00644AA2"/>
    <w:rsid w:val="00646050"/>
    <w:rsid w:val="00647B0C"/>
    <w:rsid w:val="00647BA7"/>
    <w:rsid w:val="00647F78"/>
    <w:rsid w:val="00652B42"/>
    <w:rsid w:val="00654AE9"/>
    <w:rsid w:val="00655B29"/>
    <w:rsid w:val="00655C7E"/>
    <w:rsid w:val="00660B82"/>
    <w:rsid w:val="006659A7"/>
    <w:rsid w:val="00665B2A"/>
    <w:rsid w:val="006713CA"/>
    <w:rsid w:val="00674ABA"/>
    <w:rsid w:val="00675AF3"/>
    <w:rsid w:val="00676C5C"/>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1A9B"/>
    <w:rsid w:val="006C7FD0"/>
    <w:rsid w:val="006D05B8"/>
    <w:rsid w:val="006D0FAD"/>
    <w:rsid w:val="006D1756"/>
    <w:rsid w:val="006D3AB3"/>
    <w:rsid w:val="006D505C"/>
    <w:rsid w:val="006D529E"/>
    <w:rsid w:val="006D6194"/>
    <w:rsid w:val="006D6DB2"/>
    <w:rsid w:val="006E2067"/>
    <w:rsid w:val="006E5237"/>
    <w:rsid w:val="006E6086"/>
    <w:rsid w:val="006F073B"/>
    <w:rsid w:val="006F1DB0"/>
    <w:rsid w:val="006F33FF"/>
    <w:rsid w:val="007005CC"/>
    <w:rsid w:val="007011F2"/>
    <w:rsid w:val="00705009"/>
    <w:rsid w:val="00717FA6"/>
    <w:rsid w:val="007227A5"/>
    <w:rsid w:val="0072589C"/>
    <w:rsid w:val="007303D8"/>
    <w:rsid w:val="00741959"/>
    <w:rsid w:val="00742998"/>
    <w:rsid w:val="00743469"/>
    <w:rsid w:val="00743C3C"/>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27F1"/>
    <w:rsid w:val="007D5512"/>
    <w:rsid w:val="007E13CB"/>
    <w:rsid w:val="007E6E2E"/>
    <w:rsid w:val="007F426D"/>
    <w:rsid w:val="007F4D09"/>
    <w:rsid w:val="007F62D1"/>
    <w:rsid w:val="007F7839"/>
    <w:rsid w:val="008004EF"/>
    <w:rsid w:val="00800950"/>
    <w:rsid w:val="00804EC4"/>
    <w:rsid w:val="00805484"/>
    <w:rsid w:val="008058A1"/>
    <w:rsid w:val="00811B3B"/>
    <w:rsid w:val="00824519"/>
    <w:rsid w:val="00825023"/>
    <w:rsid w:val="008267DC"/>
    <w:rsid w:val="00836053"/>
    <w:rsid w:val="00841ED0"/>
    <w:rsid w:val="008476AF"/>
    <w:rsid w:val="00851A1D"/>
    <w:rsid w:val="00853FA8"/>
    <w:rsid w:val="00854071"/>
    <w:rsid w:val="00855612"/>
    <w:rsid w:val="00864DDA"/>
    <w:rsid w:val="00873F28"/>
    <w:rsid w:val="008769F2"/>
    <w:rsid w:val="00880CA0"/>
    <w:rsid w:val="0088155F"/>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030A"/>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E4B"/>
    <w:rsid w:val="00905BFF"/>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51BB"/>
    <w:rsid w:val="00A62B04"/>
    <w:rsid w:val="00A66C34"/>
    <w:rsid w:val="00A67AA9"/>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D77C9"/>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4D7D"/>
    <w:rsid w:val="00B71605"/>
    <w:rsid w:val="00B749BA"/>
    <w:rsid w:val="00B74CEF"/>
    <w:rsid w:val="00B75C96"/>
    <w:rsid w:val="00B773D4"/>
    <w:rsid w:val="00B83157"/>
    <w:rsid w:val="00B83ACB"/>
    <w:rsid w:val="00B84BE7"/>
    <w:rsid w:val="00B84F71"/>
    <w:rsid w:val="00B85937"/>
    <w:rsid w:val="00B86521"/>
    <w:rsid w:val="00B9139A"/>
    <w:rsid w:val="00B95866"/>
    <w:rsid w:val="00B9676B"/>
    <w:rsid w:val="00B9734B"/>
    <w:rsid w:val="00B9785E"/>
    <w:rsid w:val="00B97A85"/>
    <w:rsid w:val="00BA2E67"/>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E7FEF"/>
    <w:rsid w:val="00CF188F"/>
    <w:rsid w:val="00CF2509"/>
    <w:rsid w:val="00CF4536"/>
    <w:rsid w:val="00CF7028"/>
    <w:rsid w:val="00D01FB2"/>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6762F"/>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7A76"/>
    <w:rsid w:val="00DA57C8"/>
    <w:rsid w:val="00DA6384"/>
    <w:rsid w:val="00DB0560"/>
    <w:rsid w:val="00DB42CB"/>
    <w:rsid w:val="00DC1E90"/>
    <w:rsid w:val="00DC2BCD"/>
    <w:rsid w:val="00DC3E50"/>
    <w:rsid w:val="00DD59EE"/>
    <w:rsid w:val="00DD7011"/>
    <w:rsid w:val="00DE58BB"/>
    <w:rsid w:val="00DE6B21"/>
    <w:rsid w:val="00DE6EF2"/>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C5"/>
    <w:rsid w:val="00E42B9A"/>
    <w:rsid w:val="00E45AD6"/>
    <w:rsid w:val="00E45B7C"/>
    <w:rsid w:val="00E52B54"/>
    <w:rsid w:val="00E52C2C"/>
    <w:rsid w:val="00E532DC"/>
    <w:rsid w:val="00E62339"/>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0F3F"/>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17246"/>
    <w:rsid w:val="00F201C4"/>
    <w:rsid w:val="00F243BD"/>
    <w:rsid w:val="00F27DC7"/>
    <w:rsid w:val="00F30605"/>
    <w:rsid w:val="00F34E89"/>
    <w:rsid w:val="00F3702D"/>
    <w:rsid w:val="00F37F68"/>
    <w:rsid w:val="00F407E2"/>
    <w:rsid w:val="00F439BC"/>
    <w:rsid w:val="00F4517C"/>
    <w:rsid w:val="00F52AC0"/>
    <w:rsid w:val="00F55665"/>
    <w:rsid w:val="00F6258E"/>
    <w:rsid w:val="00F62CDB"/>
    <w:rsid w:val="00F64B5E"/>
    <w:rsid w:val="00F651CF"/>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A50AF"/>
    <w:rsid w:val="00FB2ADB"/>
    <w:rsid w:val="00FB30CF"/>
    <w:rsid w:val="00FB3AF4"/>
    <w:rsid w:val="00FC3D36"/>
    <w:rsid w:val="00FC4C8A"/>
    <w:rsid w:val="00FC5D60"/>
    <w:rsid w:val="00FC72E7"/>
    <w:rsid w:val="00FD18EC"/>
    <w:rsid w:val="00FD6D58"/>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261</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no. 9/2025</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9/2025</dc:title>
  <dc:subject>Change in the Amounts of the Individual Fee: Türkiye </dc:subject>
  <dc:creator>WIPO</dc:creator>
  <cp:keywords/>
  <cp:lastModifiedBy>DOUAY Marie-Laure</cp:lastModifiedBy>
  <cp:revision>96</cp:revision>
  <cp:lastPrinted>2023-06-19T15:31:00Z</cp:lastPrinted>
  <dcterms:created xsi:type="dcterms:W3CDTF">2024-04-18T12:28:00Z</dcterms:created>
  <dcterms:modified xsi:type="dcterms:W3CDTF">2025-07-24T08:14:00Z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