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64EBBB5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43F82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E93397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48233B" wp14:editId="167C47F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1099D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C8C318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7F668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11787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54A56" w14:textId="228F5EF1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83AFC">
              <w:rPr>
                <w:rFonts w:ascii="Arial Black" w:hAnsi="Arial Black"/>
                <w:caps/>
                <w:sz w:val="15"/>
              </w:rPr>
              <w:t>3</w:t>
            </w:r>
            <w:r w:rsidR="00827CE6">
              <w:rPr>
                <w:rFonts w:ascii="Arial Black" w:hAnsi="Arial Black"/>
                <w:caps/>
                <w:sz w:val="15"/>
              </w:rPr>
              <w:t>4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1485CE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020EFBE" w14:textId="2EF99564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D5BFF">
        <w:rPr>
          <w:b/>
          <w:bCs/>
          <w:sz w:val="24"/>
          <w:szCs w:val="24"/>
        </w:rPr>
        <w:t>Finland</w:t>
      </w:r>
    </w:p>
    <w:p w14:paraId="6A9A4674" w14:textId="74BAADED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2D5BFF">
        <w:t>Finland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2D5BFF">
        <w:t>Finland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638D9FC4" w14:textId="3457FA84" w:rsidR="00D606A1" w:rsidRDefault="0072589C" w:rsidP="001C2EC4">
      <w:pPr>
        <w:pStyle w:val="ONUME"/>
      </w:pPr>
      <w:r>
        <w:t xml:space="preserve">As from </w:t>
      </w:r>
      <w:r w:rsidR="00090BC4">
        <w:t>Dec</w:t>
      </w:r>
      <w:r w:rsidR="00E92E4C">
        <w:t>ember</w:t>
      </w:r>
      <w:r w:rsidR="00EA709E">
        <w:t xml:space="preserve"> </w:t>
      </w:r>
      <w:r w:rsidR="00827CE6">
        <w:t>9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2D5BFF">
        <w:t>Finland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2D5BFF" w:rsidRPr="00911F9C" w14:paraId="5BC7BE33" w14:textId="77777777" w:rsidTr="00A02CBC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14:paraId="0BC6F663" w14:textId="77777777" w:rsidR="002D5BFF" w:rsidRPr="00A10F80" w:rsidRDefault="002D5BFF" w:rsidP="00A02CBC"/>
          <w:p w14:paraId="6AE6F6F3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</w:p>
          <w:p w14:paraId="399CB0F4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4B3D510A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0A5AC2A7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56EA4839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74E19E73" w14:textId="77777777" w:rsidR="002D5BFF" w:rsidRPr="00A10F80" w:rsidRDefault="002D5BFF" w:rsidP="00A02CBC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8A9A0" w14:textId="77777777" w:rsidR="002D5BFF" w:rsidRPr="00A10F80" w:rsidRDefault="002D5BFF" w:rsidP="00A02CBC"/>
          <w:p w14:paraId="2BE01EBE" w14:textId="77777777" w:rsidR="002D5BFF" w:rsidRDefault="002D5BFF" w:rsidP="00A02CB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50081AAA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</w:p>
          <w:p w14:paraId="61F3DC13" w14:textId="77777777" w:rsidR="002D5BFF" w:rsidRPr="00911F9C" w:rsidRDefault="002D5BFF" w:rsidP="00A02CB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34EA974" w14:textId="77777777" w:rsidR="002D5BFF" w:rsidRPr="00911F9C" w:rsidRDefault="002D5BFF" w:rsidP="00A02CBC">
            <w:pPr>
              <w:rPr>
                <w:i/>
                <w:iCs/>
                <w:lang w:eastAsia="ja-JP"/>
              </w:rPr>
            </w:pPr>
          </w:p>
        </w:tc>
      </w:tr>
      <w:tr w:rsidR="002D5BFF" w:rsidRPr="00911F9C" w14:paraId="31153863" w14:textId="77777777" w:rsidTr="00A02CBC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14:paraId="18D89C6C" w14:textId="77777777" w:rsidR="002D5BFF" w:rsidRPr="00A10F80" w:rsidRDefault="002D5BFF" w:rsidP="00A02CBC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8F5924E" w14:textId="77777777" w:rsidR="002D5BFF" w:rsidRDefault="002D5BFF" w:rsidP="00A02CBC">
            <w:pPr>
              <w:jc w:val="center"/>
              <w:rPr>
                <w:lang w:eastAsia="ja-JP"/>
              </w:rPr>
            </w:pPr>
          </w:p>
          <w:p w14:paraId="0FFAA796" w14:textId="77777777" w:rsidR="002D5BFF" w:rsidRDefault="002D5BFF" w:rsidP="00A02CB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5DBC822B" w14:textId="52352A0D" w:rsidR="002D5BFF" w:rsidRDefault="00204C1A" w:rsidP="00A02CBC">
            <w:pPr>
              <w:jc w:val="center"/>
            </w:pPr>
            <w:r>
              <w:t xml:space="preserve">December </w:t>
            </w:r>
            <w:r w:rsidR="00827CE6">
              <w:t>8</w:t>
            </w:r>
            <w:r w:rsidRPr="00D76C5C">
              <w:t xml:space="preserve">, </w:t>
            </w:r>
            <w:r>
              <w:t>2023</w:t>
            </w:r>
          </w:p>
          <w:p w14:paraId="60C83EE3" w14:textId="53CC3FE8" w:rsidR="00204C1A" w:rsidRPr="00A10F80" w:rsidRDefault="00204C1A" w:rsidP="00A02CBC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7D216CFE" w14:textId="77777777" w:rsidR="002D5BFF" w:rsidRDefault="002D5BFF" w:rsidP="00A02CBC">
            <w:pPr>
              <w:jc w:val="center"/>
              <w:rPr>
                <w:b/>
              </w:rPr>
            </w:pPr>
          </w:p>
          <w:p w14:paraId="065F4703" w14:textId="77777777" w:rsidR="002D5BFF" w:rsidRPr="00CC3325" w:rsidRDefault="002D5BFF" w:rsidP="00A02CB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1033DF96" w14:textId="5CD98F39" w:rsidR="002D5BFF" w:rsidRPr="00A10F80" w:rsidRDefault="00204C1A" w:rsidP="00A02CBC">
            <w:pPr>
              <w:jc w:val="center"/>
            </w:pPr>
            <w:r w:rsidRPr="00204C1A">
              <w:rPr>
                <w:b/>
              </w:rPr>
              <w:t xml:space="preserve">December </w:t>
            </w:r>
            <w:r w:rsidR="00827CE6">
              <w:rPr>
                <w:b/>
              </w:rPr>
              <w:t>9</w:t>
            </w:r>
            <w:r w:rsidRPr="00204C1A">
              <w:rPr>
                <w:b/>
              </w:rPr>
              <w:t>, 2023</w:t>
            </w:r>
          </w:p>
        </w:tc>
      </w:tr>
      <w:tr w:rsidR="002D5BFF" w:rsidRPr="00911F9C" w14:paraId="0D9DC971" w14:textId="77777777" w:rsidTr="00A02CBC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20FEF7" w14:textId="77777777" w:rsidR="002D5BFF" w:rsidRDefault="002D5BFF" w:rsidP="00A02CBC">
            <w:pPr>
              <w:jc w:val="center"/>
            </w:pPr>
          </w:p>
          <w:p w14:paraId="0AE20AC6" w14:textId="77777777" w:rsidR="002D5BFF" w:rsidRDefault="002D5BFF" w:rsidP="00A02CBC">
            <w:pPr>
              <w:jc w:val="center"/>
            </w:pPr>
          </w:p>
          <w:p w14:paraId="1CC3F485" w14:textId="77777777" w:rsidR="002D5BFF" w:rsidRDefault="002D5BFF" w:rsidP="00A02CBC">
            <w:pPr>
              <w:jc w:val="center"/>
            </w:pPr>
          </w:p>
          <w:p w14:paraId="24885AB3" w14:textId="77777777" w:rsidR="002D5BFF" w:rsidRDefault="002D5BFF" w:rsidP="00A02CBC">
            <w:pPr>
              <w:jc w:val="center"/>
            </w:pPr>
          </w:p>
          <w:p w14:paraId="1E0C4A57" w14:textId="77777777" w:rsidR="002D5BFF" w:rsidRDefault="002D5BFF" w:rsidP="00A02CBC">
            <w:pPr>
              <w:jc w:val="center"/>
            </w:pPr>
            <w:r>
              <w:t>Application or Subsequent Designation</w:t>
            </w:r>
          </w:p>
          <w:p w14:paraId="588C9FC1" w14:textId="77777777" w:rsidR="002D5BFF" w:rsidRPr="00A10F80" w:rsidRDefault="002D5BFF" w:rsidP="00A02CB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99924" w14:textId="77777777" w:rsidR="002D5BFF" w:rsidRDefault="002D5BFF" w:rsidP="00A02CBC"/>
          <w:p w14:paraId="27D4AE61" w14:textId="77777777" w:rsidR="002D5BFF" w:rsidRPr="00911F9C" w:rsidRDefault="002D5BFF" w:rsidP="00A02CB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290D6" w14:textId="77777777" w:rsidR="002D5BFF" w:rsidRPr="00AA13F4" w:rsidRDefault="002D5BFF" w:rsidP="00A02CBC">
            <w:pPr>
              <w:jc w:val="center"/>
              <w:rPr>
                <w:bCs/>
              </w:rPr>
            </w:pPr>
          </w:p>
          <w:p w14:paraId="1FEB342A" w14:textId="77777777" w:rsidR="002D5BFF" w:rsidRPr="00AA13F4" w:rsidRDefault="002D5BFF" w:rsidP="00A02CBC">
            <w:pPr>
              <w:jc w:val="center"/>
              <w:rPr>
                <w:bCs/>
              </w:rPr>
            </w:pPr>
            <w:r w:rsidRPr="00AA13F4">
              <w:rPr>
                <w:bCs/>
              </w:rPr>
              <w:t>243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D019B" w14:textId="77777777" w:rsidR="002D5BFF" w:rsidRPr="004A2894" w:rsidRDefault="002D5BFF" w:rsidP="00A02CBC">
            <w:pPr>
              <w:jc w:val="center"/>
              <w:rPr>
                <w:b/>
              </w:rPr>
            </w:pPr>
          </w:p>
          <w:p w14:paraId="487362B0" w14:textId="2260A65F" w:rsidR="002D5BFF" w:rsidRPr="004A2894" w:rsidRDefault="002D5BFF" w:rsidP="00A02C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4B4A">
              <w:rPr>
                <w:b/>
              </w:rPr>
              <w:t>15</w:t>
            </w:r>
          </w:p>
        </w:tc>
      </w:tr>
      <w:tr w:rsidR="002D5BFF" w:rsidRPr="00911F9C" w14:paraId="2E5904E8" w14:textId="77777777" w:rsidTr="00A02CB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459CCF" w14:textId="77777777" w:rsidR="002D5BFF" w:rsidRDefault="002D5BFF" w:rsidP="00A02CB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9DAA34" w14:textId="77777777" w:rsidR="002D5BFF" w:rsidRDefault="002D5BFF" w:rsidP="00A02CBC"/>
          <w:p w14:paraId="01979A96" w14:textId="77777777" w:rsidR="002D5BFF" w:rsidRPr="00A10F80" w:rsidRDefault="002D5BFF" w:rsidP="00A02CBC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20C30" w14:textId="77777777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6A60E9" w14:textId="0C6AEEFA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 w:rsidR="00372247"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96F5" w14:textId="77777777" w:rsidR="002D5BFF" w:rsidRPr="004A2894" w:rsidRDefault="002D5BFF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3F0221A" w14:textId="1C664146" w:rsidR="002D5BFF" w:rsidRPr="004A2894" w:rsidRDefault="00524B4A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  <w:tr w:rsidR="002D5BFF" w:rsidRPr="00911F9C" w14:paraId="3AEACC0E" w14:textId="77777777" w:rsidTr="00A02CB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1DFA5F" w14:textId="77777777" w:rsidR="002D5BFF" w:rsidRDefault="002D5BFF" w:rsidP="00A02CB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AC9EF" w14:textId="77777777" w:rsidR="002D5BFF" w:rsidRPr="00911F9C" w:rsidRDefault="002D5BFF" w:rsidP="00A02CB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6AF97DED" w14:textId="69037A25" w:rsidR="002D5BFF" w:rsidRPr="00911F9C" w:rsidRDefault="002D5BFF" w:rsidP="00A02CB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60E30A" w14:textId="77777777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2A684" w14:textId="77777777" w:rsidR="002D5BFF" w:rsidRPr="004A2894" w:rsidRDefault="002D5BFF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2D5BFF" w:rsidRPr="00911F9C" w14:paraId="15FC3623" w14:textId="77777777" w:rsidTr="00A02CB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A2FC7E" w14:textId="77777777" w:rsidR="002D5BFF" w:rsidRDefault="002D5BFF" w:rsidP="00A02CB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4B95" w14:textId="77777777" w:rsidR="002D5BFF" w:rsidRDefault="002D5BFF" w:rsidP="00A02CBC"/>
          <w:p w14:paraId="40097CDA" w14:textId="77777777" w:rsidR="002D5BFF" w:rsidRPr="00A10F80" w:rsidRDefault="002D5BFF" w:rsidP="00A02CBC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079C6C" w14:textId="77777777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A08C44A" w14:textId="30F0A407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32</w:t>
            </w:r>
            <w:r w:rsidR="00372247">
              <w:rPr>
                <w:rFonts w:eastAsia="MS Mincho"/>
                <w:bCs/>
                <w:szCs w:val="22"/>
                <w:lang w:eastAsia="ja-JP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5EF153" w14:textId="77777777" w:rsidR="002D5BFF" w:rsidRPr="004A2894" w:rsidRDefault="002D5BFF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E5CB79A" w14:textId="10390DF5" w:rsidR="002D5BFF" w:rsidRPr="004A2894" w:rsidRDefault="00524B4A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287</w:t>
            </w:r>
          </w:p>
        </w:tc>
      </w:tr>
      <w:tr w:rsidR="002D5BFF" w:rsidRPr="00911F9C" w14:paraId="7728944E" w14:textId="77777777" w:rsidTr="00A02CB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B5901F" w14:textId="77777777" w:rsidR="002D5BFF" w:rsidRDefault="002D5BFF" w:rsidP="00A02CB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99A" w14:textId="77777777" w:rsidR="002D5BFF" w:rsidRDefault="002D5BFF" w:rsidP="00A02CBC"/>
          <w:p w14:paraId="0A1F8676" w14:textId="77777777" w:rsidR="002D5BFF" w:rsidRPr="00911F9C" w:rsidRDefault="002D5BFF" w:rsidP="00A02CB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7676045A" w14:textId="77777777" w:rsidR="002D5BFF" w:rsidRPr="00A10F80" w:rsidRDefault="002D5BFF" w:rsidP="00A02CBC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E656" w14:textId="77777777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03E2B9E" w14:textId="6DCC601A" w:rsidR="002D5BFF" w:rsidRPr="00AA13F4" w:rsidRDefault="002D5BFF" w:rsidP="00A02CB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 w:rsidR="00372247"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EC9E" w14:textId="77777777" w:rsidR="002D5BFF" w:rsidRPr="004A2894" w:rsidRDefault="002D5BFF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651474A" w14:textId="71F58A3C" w:rsidR="002D5BFF" w:rsidRPr="004A2894" w:rsidRDefault="00524B4A" w:rsidP="00A02C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14:paraId="699055D8" w14:textId="783ADBA5" w:rsidR="001C2EC4" w:rsidRDefault="001C2EC4" w:rsidP="00FE3754">
      <w:pPr>
        <w:pStyle w:val="ONUME"/>
        <w:numPr>
          <w:ilvl w:val="0"/>
          <w:numId w:val="0"/>
        </w:numPr>
        <w:spacing w:after="0"/>
      </w:pPr>
    </w:p>
    <w:p w14:paraId="0509470D" w14:textId="4FF765CF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610996DB" w14:textId="47ED3589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722BAAC6" w14:textId="10435E40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03837B85" w14:textId="66264E9E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66A2F12B" w14:textId="52BB0A8C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6C908947" w14:textId="77777777" w:rsidR="002E374F" w:rsidRDefault="002E374F" w:rsidP="00FE3754">
      <w:pPr>
        <w:pStyle w:val="ONUME"/>
        <w:numPr>
          <w:ilvl w:val="0"/>
          <w:numId w:val="0"/>
        </w:numPr>
        <w:spacing w:after="0"/>
      </w:pPr>
    </w:p>
    <w:p w14:paraId="7FB751AE" w14:textId="36C58BBA" w:rsidR="002D5BFF" w:rsidRDefault="002D5BFF" w:rsidP="00FE3754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4083"/>
        <w:gridCol w:w="1773"/>
        <w:gridCol w:w="1787"/>
      </w:tblGrid>
      <w:tr w:rsidR="002D5BFF" w:rsidRPr="00911F9C" w14:paraId="783E35EE" w14:textId="77777777" w:rsidTr="00851826">
        <w:trPr>
          <w:trHeight w:val="630"/>
        </w:trPr>
        <w:tc>
          <w:tcPr>
            <w:tcW w:w="5677" w:type="dxa"/>
            <w:gridSpan w:val="2"/>
            <w:vMerge w:val="restart"/>
            <w:shd w:val="clear" w:color="auto" w:fill="auto"/>
          </w:tcPr>
          <w:p w14:paraId="02FBB721" w14:textId="77777777" w:rsidR="002D5BFF" w:rsidRPr="00A10F80" w:rsidRDefault="002D5BFF" w:rsidP="00A02CBC"/>
          <w:p w14:paraId="0DAD0CFC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</w:p>
          <w:p w14:paraId="42D7E888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700070BC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5BF1D980" w14:textId="77777777" w:rsidR="002D5BFF" w:rsidRDefault="002D5BFF" w:rsidP="00A02CBC">
            <w:pPr>
              <w:jc w:val="center"/>
              <w:rPr>
                <w:b/>
                <w:bCs/>
              </w:rPr>
            </w:pPr>
          </w:p>
          <w:p w14:paraId="6831F16B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5F07819E" w14:textId="77777777" w:rsidR="002D5BFF" w:rsidRPr="00A10F80" w:rsidRDefault="002D5BFF" w:rsidP="00A02CBC"/>
        </w:tc>
        <w:tc>
          <w:tcPr>
            <w:tcW w:w="3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46BE1" w14:textId="77777777" w:rsidR="002D5BFF" w:rsidRPr="00A10F80" w:rsidRDefault="002D5BFF" w:rsidP="00A02CBC"/>
          <w:p w14:paraId="4AAB7CA4" w14:textId="77777777" w:rsidR="002D5BFF" w:rsidRDefault="002D5BFF" w:rsidP="00A02CB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2FD97A9E" w14:textId="77777777" w:rsidR="002D5BFF" w:rsidRPr="00911F9C" w:rsidRDefault="002D5BFF" w:rsidP="00A02CBC">
            <w:pPr>
              <w:jc w:val="center"/>
              <w:rPr>
                <w:b/>
                <w:bCs/>
              </w:rPr>
            </w:pPr>
          </w:p>
          <w:p w14:paraId="4541CD79" w14:textId="77777777" w:rsidR="002D5BFF" w:rsidRPr="00911F9C" w:rsidRDefault="002D5BFF" w:rsidP="00A02CB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08747F24" w14:textId="77777777" w:rsidR="002D5BFF" w:rsidRPr="00911F9C" w:rsidRDefault="002D5BFF" w:rsidP="00A02CBC">
            <w:pPr>
              <w:rPr>
                <w:i/>
                <w:iCs/>
                <w:lang w:eastAsia="ja-JP"/>
              </w:rPr>
            </w:pPr>
          </w:p>
        </w:tc>
      </w:tr>
      <w:tr w:rsidR="002D5BFF" w:rsidRPr="00911F9C" w14:paraId="3B53546B" w14:textId="77777777" w:rsidTr="00851826">
        <w:trPr>
          <w:trHeight w:val="630"/>
        </w:trPr>
        <w:tc>
          <w:tcPr>
            <w:tcW w:w="5677" w:type="dxa"/>
            <w:gridSpan w:val="2"/>
            <w:vMerge/>
            <w:shd w:val="clear" w:color="auto" w:fill="auto"/>
          </w:tcPr>
          <w:p w14:paraId="05A7F1F6" w14:textId="77777777" w:rsidR="002D5BFF" w:rsidRPr="00A10F80" w:rsidRDefault="002D5BFF" w:rsidP="00A02CBC"/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14:paraId="16FA1FA5" w14:textId="77777777" w:rsidR="002D5BFF" w:rsidRDefault="002D5BFF" w:rsidP="00A02CBC">
            <w:pPr>
              <w:jc w:val="center"/>
              <w:rPr>
                <w:lang w:eastAsia="ja-JP"/>
              </w:rPr>
            </w:pPr>
          </w:p>
          <w:p w14:paraId="149CB60A" w14:textId="77777777" w:rsidR="002D5BFF" w:rsidRDefault="002D5BFF" w:rsidP="00A02CB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06EA8D16" w14:textId="65CAEFFC" w:rsidR="005B0065" w:rsidRDefault="005B0065" w:rsidP="005B0065">
            <w:pPr>
              <w:jc w:val="center"/>
            </w:pPr>
            <w:r>
              <w:t xml:space="preserve">December </w:t>
            </w:r>
            <w:r w:rsidR="00827CE6">
              <w:t>8</w:t>
            </w:r>
            <w:r w:rsidRPr="00D76C5C">
              <w:t xml:space="preserve">, </w:t>
            </w:r>
            <w:r>
              <w:t>2023</w:t>
            </w:r>
          </w:p>
          <w:p w14:paraId="389015B0" w14:textId="2A5B2D6E" w:rsidR="002D5BFF" w:rsidRPr="00A10F80" w:rsidRDefault="002D5BFF" w:rsidP="00A02CBC">
            <w:pPr>
              <w:jc w:val="center"/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0A9CC4E7" w14:textId="77777777" w:rsidR="002D5BFF" w:rsidRDefault="002D5BFF" w:rsidP="00A02CBC">
            <w:pPr>
              <w:jc w:val="center"/>
              <w:rPr>
                <w:b/>
              </w:rPr>
            </w:pPr>
          </w:p>
          <w:p w14:paraId="3B3A7BBB" w14:textId="77777777" w:rsidR="002D5BFF" w:rsidRPr="00CC3325" w:rsidRDefault="002D5BFF" w:rsidP="00A02CB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79227E47" w14:textId="58456373" w:rsidR="002D5BFF" w:rsidRPr="00A10F80" w:rsidRDefault="00A923D8" w:rsidP="00A02CBC">
            <w:pPr>
              <w:jc w:val="center"/>
            </w:pPr>
            <w:r w:rsidRPr="00204C1A">
              <w:rPr>
                <w:b/>
              </w:rPr>
              <w:t xml:space="preserve">December </w:t>
            </w:r>
            <w:r w:rsidR="00827CE6">
              <w:rPr>
                <w:b/>
              </w:rPr>
              <w:t>9</w:t>
            </w:r>
            <w:r w:rsidRPr="00204C1A">
              <w:rPr>
                <w:b/>
              </w:rPr>
              <w:t>, 2023</w:t>
            </w:r>
          </w:p>
        </w:tc>
      </w:tr>
      <w:tr w:rsidR="00524B4A" w:rsidRPr="00911F9C" w14:paraId="74265504" w14:textId="77777777" w:rsidTr="00851826">
        <w:trPr>
          <w:trHeight w:val="206"/>
        </w:trPr>
        <w:tc>
          <w:tcPr>
            <w:tcW w:w="1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6DA52A2" w14:textId="77777777" w:rsidR="00524B4A" w:rsidRDefault="00524B4A" w:rsidP="00524B4A"/>
          <w:p w14:paraId="00A0C874" w14:textId="77777777" w:rsidR="00524B4A" w:rsidRDefault="00524B4A" w:rsidP="00524B4A">
            <w:pPr>
              <w:jc w:val="center"/>
            </w:pPr>
          </w:p>
          <w:p w14:paraId="3336B513" w14:textId="77777777" w:rsidR="00524B4A" w:rsidRDefault="00524B4A" w:rsidP="00524B4A">
            <w:pPr>
              <w:jc w:val="center"/>
            </w:pPr>
          </w:p>
          <w:p w14:paraId="54CD76D0" w14:textId="77777777" w:rsidR="00524B4A" w:rsidRDefault="00524B4A" w:rsidP="00524B4A">
            <w:pPr>
              <w:jc w:val="center"/>
            </w:pPr>
          </w:p>
          <w:p w14:paraId="6953F7E4" w14:textId="77777777" w:rsidR="00524B4A" w:rsidRDefault="00524B4A" w:rsidP="00524B4A">
            <w:pPr>
              <w:jc w:val="center"/>
            </w:pPr>
          </w:p>
          <w:p w14:paraId="5559E4C1" w14:textId="77777777" w:rsidR="00524B4A" w:rsidRDefault="00524B4A" w:rsidP="00524B4A">
            <w:pPr>
              <w:jc w:val="center"/>
            </w:pPr>
            <w:r>
              <w:t>Renewal</w:t>
            </w:r>
          </w:p>
          <w:p w14:paraId="74A9B4C6" w14:textId="77777777" w:rsidR="00524B4A" w:rsidRDefault="00524B4A" w:rsidP="00524B4A"/>
          <w:p w14:paraId="2D890904" w14:textId="77777777" w:rsidR="00524B4A" w:rsidRPr="00A10F80" w:rsidRDefault="00524B4A" w:rsidP="00524B4A"/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BA64E" w14:textId="77777777" w:rsidR="00524B4A" w:rsidRDefault="00524B4A" w:rsidP="00524B4A"/>
          <w:p w14:paraId="0E9805F6" w14:textId="77777777" w:rsidR="00524B4A" w:rsidRPr="00A10F80" w:rsidRDefault="00524B4A" w:rsidP="00524B4A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1690B" w14:textId="77777777" w:rsidR="00524B4A" w:rsidRPr="00AA13F4" w:rsidRDefault="00524B4A" w:rsidP="00524B4A">
            <w:pPr>
              <w:jc w:val="center"/>
              <w:rPr>
                <w:bCs/>
              </w:rPr>
            </w:pPr>
          </w:p>
          <w:p w14:paraId="424DFC25" w14:textId="4AA79CAB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bCs/>
              </w:rPr>
              <w:t>243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89FAD" w14:textId="77777777" w:rsidR="00524B4A" w:rsidRPr="004A2894" w:rsidRDefault="00524B4A" w:rsidP="00524B4A">
            <w:pPr>
              <w:jc w:val="center"/>
              <w:rPr>
                <w:b/>
              </w:rPr>
            </w:pPr>
          </w:p>
          <w:p w14:paraId="4EE64D0A" w14:textId="46F28E42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215</w:t>
            </w:r>
          </w:p>
        </w:tc>
      </w:tr>
      <w:tr w:rsidR="00524B4A" w:rsidRPr="00911F9C" w14:paraId="2788828E" w14:textId="77777777" w:rsidTr="00851826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98793A" w14:textId="77777777" w:rsidR="00524B4A" w:rsidRDefault="00524B4A" w:rsidP="00524B4A"/>
        </w:tc>
        <w:tc>
          <w:tcPr>
            <w:tcW w:w="4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FB329" w14:textId="77777777" w:rsidR="00524B4A" w:rsidRPr="00911F9C" w:rsidRDefault="00524B4A" w:rsidP="00524B4A">
            <w:pPr>
              <w:rPr>
                <w:rFonts w:eastAsia="MS Mincho"/>
                <w:szCs w:val="22"/>
                <w:lang w:eastAsia="ja-JP"/>
              </w:rPr>
            </w:pPr>
          </w:p>
          <w:p w14:paraId="213906EF" w14:textId="77777777" w:rsidR="00524B4A" w:rsidRPr="00A10F80" w:rsidRDefault="00524B4A" w:rsidP="00524B4A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5E0D0" w14:textId="77777777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C8077BB" w14:textId="411E7DAE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08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0D365" w14:textId="77777777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0BE1716" w14:textId="39BA8868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  <w:tr w:rsidR="00524B4A" w:rsidRPr="00911F9C" w14:paraId="2A5AF09A" w14:textId="77777777" w:rsidTr="00851826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55A14" w14:textId="77777777" w:rsidR="00524B4A" w:rsidRDefault="00524B4A" w:rsidP="00524B4A"/>
        </w:tc>
        <w:tc>
          <w:tcPr>
            <w:tcW w:w="4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EEEC2" w14:textId="77777777" w:rsidR="00524B4A" w:rsidRPr="00911F9C" w:rsidRDefault="00524B4A" w:rsidP="00524B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37E85C6D" w14:textId="7EEA7425" w:rsidR="00524B4A" w:rsidRPr="00911F9C" w:rsidRDefault="00524B4A" w:rsidP="00524B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E8914" w14:textId="77777777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DA90B" w14:textId="77777777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24B4A" w:rsidRPr="00911F9C" w14:paraId="721D5FA2" w14:textId="77777777" w:rsidTr="00851826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D031B" w14:textId="77777777" w:rsidR="00524B4A" w:rsidRDefault="00524B4A" w:rsidP="00524B4A"/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7BB" w14:textId="77777777" w:rsidR="00524B4A" w:rsidRDefault="00524B4A" w:rsidP="00524B4A"/>
          <w:p w14:paraId="56EA13C3" w14:textId="77777777" w:rsidR="00524B4A" w:rsidRDefault="00524B4A" w:rsidP="00524B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D051014" w14:textId="77777777" w:rsidR="00524B4A" w:rsidRDefault="00524B4A" w:rsidP="00524B4A">
            <w:pPr>
              <w:rPr>
                <w:rFonts w:eastAsia="MS Mincho"/>
                <w:szCs w:val="22"/>
                <w:lang w:eastAsia="ja-JP"/>
              </w:rPr>
            </w:pPr>
          </w:p>
          <w:p w14:paraId="7646D336" w14:textId="77777777" w:rsidR="00524B4A" w:rsidRPr="00911F9C" w:rsidRDefault="00524B4A" w:rsidP="00524B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1621B9E1" w14:textId="77777777" w:rsidR="00524B4A" w:rsidRPr="00A10F80" w:rsidRDefault="00524B4A" w:rsidP="00524B4A"/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1A31" w14:textId="77777777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406FE6B" w14:textId="77777777" w:rsidR="00524B4A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32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</w:p>
          <w:p w14:paraId="4027C2F7" w14:textId="77777777" w:rsidR="00524B4A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6BC5FFF" w14:textId="09FCF0EC" w:rsidR="00524B4A" w:rsidRPr="00AA13F4" w:rsidRDefault="00524B4A" w:rsidP="00524B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108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E3D" w14:textId="77777777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129DC8" w14:textId="77777777" w:rsidR="00524B4A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287</w:t>
            </w:r>
          </w:p>
          <w:p w14:paraId="168C0967" w14:textId="77777777" w:rsidR="00524B4A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A6364C3" w14:textId="6F61C9FB" w:rsidR="00524B4A" w:rsidRPr="004A2894" w:rsidRDefault="00524B4A" w:rsidP="00524B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14:paraId="5249B012" w14:textId="77777777" w:rsidR="002D5BFF" w:rsidRDefault="002D5BFF" w:rsidP="00FE3754">
      <w:pPr>
        <w:pStyle w:val="ONUME"/>
        <w:numPr>
          <w:ilvl w:val="0"/>
          <w:numId w:val="0"/>
        </w:numPr>
        <w:spacing w:after="0"/>
      </w:pPr>
    </w:p>
    <w:p w14:paraId="7876C122" w14:textId="60BAC05D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2D5BFF">
        <w:t>Finland</w:t>
      </w:r>
    </w:p>
    <w:p w14:paraId="2CB02D8F" w14:textId="51DBB9E8" w:rsidR="00FE3754" w:rsidRPr="00D606A1" w:rsidRDefault="00B74CEF" w:rsidP="00453F64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090BC4">
        <w:t xml:space="preserve">December </w:t>
      </w:r>
      <w:r w:rsidR="00827CE6">
        <w:t>9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5FBA8905" w14:textId="06608874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1227718A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0E3B841E" w14:textId="2F68C13B" w:rsidR="00163F61" w:rsidRPr="00D409DF" w:rsidRDefault="00636661" w:rsidP="00B40CAC">
      <w:pPr>
        <w:pStyle w:val="Endofdocument-Annex"/>
        <w:spacing w:before="440"/>
      </w:pPr>
      <w:r>
        <w:rPr>
          <w:lang w:eastAsia="ja-JP"/>
        </w:rPr>
        <w:t>Novem</w:t>
      </w:r>
      <w:r w:rsidR="00FA7A97">
        <w:rPr>
          <w:lang w:eastAsia="ja-JP"/>
        </w:rPr>
        <w:t xml:space="preserve">ber </w:t>
      </w:r>
      <w:r w:rsidR="00827CE6">
        <w:rPr>
          <w:lang w:eastAsia="ja-JP"/>
        </w:rPr>
        <w:t>9</w:t>
      </w:r>
      <w:r w:rsidR="00FA7A97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6214" w14:textId="77777777" w:rsidR="004A3AB4" w:rsidRDefault="004A3AB4">
      <w:r>
        <w:separator/>
      </w:r>
    </w:p>
  </w:endnote>
  <w:endnote w:type="continuationSeparator" w:id="0">
    <w:p w14:paraId="6BEC1194" w14:textId="77777777" w:rsidR="004A3AB4" w:rsidRDefault="004A3AB4" w:rsidP="003B38C1">
      <w:r>
        <w:separator/>
      </w:r>
    </w:p>
    <w:p w14:paraId="5A6B5905" w14:textId="77777777" w:rsidR="004A3AB4" w:rsidRPr="003B38C1" w:rsidRDefault="004A3A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2C304F" w14:textId="77777777" w:rsidR="004A3AB4" w:rsidRPr="003B38C1" w:rsidRDefault="004A3A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87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38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542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4E19" w14:textId="77777777" w:rsidR="004A3AB4" w:rsidRDefault="004A3AB4">
      <w:r>
        <w:separator/>
      </w:r>
    </w:p>
  </w:footnote>
  <w:footnote w:type="continuationSeparator" w:id="0">
    <w:p w14:paraId="43FBC166" w14:textId="77777777" w:rsidR="004A3AB4" w:rsidRDefault="004A3AB4" w:rsidP="008B60B2">
      <w:r>
        <w:separator/>
      </w:r>
    </w:p>
    <w:p w14:paraId="2C3732C8" w14:textId="77777777" w:rsidR="004A3AB4" w:rsidRPr="00ED77FB" w:rsidRDefault="004A3A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1A65D0" w14:textId="77777777" w:rsidR="004A3AB4" w:rsidRPr="00ED77FB" w:rsidRDefault="004A3A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C17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66A" w14:textId="77777777" w:rsidR="00163F61" w:rsidRDefault="00163F61" w:rsidP="00477D6B">
    <w:pPr>
      <w:jc w:val="right"/>
    </w:pPr>
    <w:bookmarkStart w:id="1" w:name="Code2"/>
    <w:bookmarkEnd w:id="1"/>
  </w:p>
  <w:p w14:paraId="58136C70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14:paraId="7C33EF4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4F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151">
    <w:abstractNumId w:val="0"/>
  </w:num>
  <w:num w:numId="2" w16cid:durableId="1459421371">
    <w:abstractNumId w:val="2"/>
  </w:num>
  <w:num w:numId="3" w16cid:durableId="484905822">
    <w:abstractNumId w:val="6"/>
  </w:num>
  <w:num w:numId="4" w16cid:durableId="1113131213">
    <w:abstractNumId w:val="0"/>
  </w:num>
  <w:num w:numId="5" w16cid:durableId="1948778983">
    <w:abstractNumId w:val="8"/>
  </w:num>
  <w:num w:numId="6" w16cid:durableId="1167987668">
    <w:abstractNumId w:val="1"/>
  </w:num>
  <w:num w:numId="7" w16cid:durableId="1666474161">
    <w:abstractNumId w:val="3"/>
  </w:num>
  <w:num w:numId="8" w16cid:durableId="2077122120">
    <w:abstractNumId w:val="4"/>
  </w:num>
  <w:num w:numId="9" w16cid:durableId="1172067289">
    <w:abstractNumId w:val="7"/>
  </w:num>
  <w:num w:numId="10" w16cid:durableId="124203418">
    <w:abstractNumId w:val="9"/>
  </w:num>
  <w:num w:numId="11" w16cid:durableId="469061096">
    <w:abstractNumId w:val="5"/>
  </w:num>
  <w:num w:numId="12" w16cid:durableId="7945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0BC4"/>
    <w:rsid w:val="000968ED"/>
    <w:rsid w:val="000A31D2"/>
    <w:rsid w:val="000A525D"/>
    <w:rsid w:val="000A59C3"/>
    <w:rsid w:val="000A6C51"/>
    <w:rsid w:val="000A7ECE"/>
    <w:rsid w:val="000B09B2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6B2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2EC4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4C1A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5BFF"/>
    <w:rsid w:val="002D64E7"/>
    <w:rsid w:val="002E374F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368C2"/>
    <w:rsid w:val="003415DD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2247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131C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53F64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A3AB4"/>
    <w:rsid w:val="004B0093"/>
    <w:rsid w:val="004B279C"/>
    <w:rsid w:val="004B336C"/>
    <w:rsid w:val="004B37D3"/>
    <w:rsid w:val="004C72C8"/>
    <w:rsid w:val="004C7C7E"/>
    <w:rsid w:val="004D5C6C"/>
    <w:rsid w:val="004D5D9D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2FCC"/>
    <w:rsid w:val="00523157"/>
    <w:rsid w:val="005233BA"/>
    <w:rsid w:val="005243B1"/>
    <w:rsid w:val="00524B4A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0065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36661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1BC8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27CE6"/>
    <w:rsid w:val="00836053"/>
    <w:rsid w:val="00841ED0"/>
    <w:rsid w:val="008476AF"/>
    <w:rsid w:val="00851826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743"/>
    <w:rsid w:val="008929D1"/>
    <w:rsid w:val="008948BE"/>
    <w:rsid w:val="00895AC0"/>
    <w:rsid w:val="00896DD3"/>
    <w:rsid w:val="008977D0"/>
    <w:rsid w:val="008A0DCE"/>
    <w:rsid w:val="008A175B"/>
    <w:rsid w:val="008A49D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8F3F9D"/>
    <w:rsid w:val="00905BFF"/>
    <w:rsid w:val="00906E74"/>
    <w:rsid w:val="0090731E"/>
    <w:rsid w:val="00916EE2"/>
    <w:rsid w:val="00917A56"/>
    <w:rsid w:val="00922789"/>
    <w:rsid w:val="0092333B"/>
    <w:rsid w:val="00925D0D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00D1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39B5"/>
    <w:rsid w:val="009F499F"/>
    <w:rsid w:val="00A04B6E"/>
    <w:rsid w:val="00A07B3D"/>
    <w:rsid w:val="00A10DA4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1D59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76C5C"/>
    <w:rsid w:val="00A83681"/>
    <w:rsid w:val="00A83AFC"/>
    <w:rsid w:val="00A853D0"/>
    <w:rsid w:val="00A85763"/>
    <w:rsid w:val="00A869B7"/>
    <w:rsid w:val="00A87226"/>
    <w:rsid w:val="00A9158D"/>
    <w:rsid w:val="00A923D8"/>
    <w:rsid w:val="00A94E39"/>
    <w:rsid w:val="00AA1EEF"/>
    <w:rsid w:val="00AA1FD3"/>
    <w:rsid w:val="00AA7F5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54B6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1558D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29E8"/>
    <w:rsid w:val="00C52E56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0D21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06A1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07E1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E4C"/>
    <w:rsid w:val="00E94F9B"/>
    <w:rsid w:val="00EA2F7F"/>
    <w:rsid w:val="00EA3A47"/>
    <w:rsid w:val="00EA6D64"/>
    <w:rsid w:val="00EA709E"/>
    <w:rsid w:val="00EB0E6B"/>
    <w:rsid w:val="00EB10D1"/>
    <w:rsid w:val="00EB50E5"/>
    <w:rsid w:val="00EC23FC"/>
    <w:rsid w:val="00EC4E49"/>
    <w:rsid w:val="00EC572A"/>
    <w:rsid w:val="00EC5F75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647A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A7A97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3754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CFE2F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29</cp:revision>
  <cp:lastPrinted>2023-06-19T15:31:00Z</cp:lastPrinted>
  <dcterms:created xsi:type="dcterms:W3CDTF">2023-11-02T10:17:00Z</dcterms:created>
  <dcterms:modified xsi:type="dcterms:W3CDTF">2023-11-08T13:02:00Z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