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409DF" w:rsidRPr="00D409DF" w:rsidTr="00563C83">
        <w:tc>
          <w:tcPr>
            <w:tcW w:w="4513" w:type="dxa"/>
            <w:tcBorders>
              <w:bottom w:val="single" w:sz="4" w:space="0" w:color="auto"/>
            </w:tcBorders>
            <w:shd w:val="clear" w:color="auto" w:fill="auto"/>
            <w:tcMar>
              <w:bottom w:w="170" w:type="dxa"/>
            </w:tcMar>
          </w:tcPr>
          <w:p w:rsidR="00EC4E49" w:rsidRPr="00D409DF" w:rsidRDefault="00EC4E49" w:rsidP="00CD330E"/>
        </w:tc>
        <w:tc>
          <w:tcPr>
            <w:tcW w:w="4337" w:type="dxa"/>
            <w:tcBorders>
              <w:bottom w:val="single" w:sz="4" w:space="0" w:color="auto"/>
            </w:tcBorders>
            <w:shd w:val="clear" w:color="auto" w:fill="auto"/>
            <w:tcMar>
              <w:left w:w="0" w:type="dxa"/>
              <w:right w:w="0" w:type="dxa"/>
            </w:tcMar>
          </w:tcPr>
          <w:p w:rsidR="00EC4E49" w:rsidRPr="00D409DF" w:rsidRDefault="00A1570B" w:rsidP="00CD330E">
            <w:r w:rsidRPr="00D409DF">
              <w:rPr>
                <w:noProof/>
                <w:lang w:eastAsia="en-US"/>
              </w:rPr>
              <w:drawing>
                <wp:inline distT="0" distB="0" distL="0" distR="0" wp14:anchorId="1931447F" wp14:editId="121D8DE4">
                  <wp:extent cx="1854835" cy="132651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shd w:val="clear" w:color="auto" w:fill="auto"/>
            <w:tcMar>
              <w:left w:w="0" w:type="dxa"/>
              <w:right w:w="0" w:type="dxa"/>
            </w:tcMar>
          </w:tcPr>
          <w:p w:rsidR="00EC4E49" w:rsidRPr="00D409DF" w:rsidRDefault="00EC4E49" w:rsidP="00CD330E">
            <w:pPr>
              <w:jc w:val="right"/>
            </w:pPr>
          </w:p>
        </w:tc>
      </w:tr>
      <w:tr w:rsidR="00D409DF" w:rsidRPr="00D409DF" w:rsidTr="00563C83">
        <w:trPr>
          <w:trHeight w:hRule="exact" w:val="170"/>
        </w:trPr>
        <w:tc>
          <w:tcPr>
            <w:tcW w:w="9356" w:type="dxa"/>
            <w:gridSpan w:val="3"/>
            <w:tcBorders>
              <w:top w:val="single" w:sz="4" w:space="0" w:color="auto"/>
            </w:tcBorders>
            <w:shd w:val="clear" w:color="auto" w:fill="auto"/>
            <w:noWrap/>
            <w:tcMar>
              <w:left w:w="0" w:type="dxa"/>
              <w:right w:w="0" w:type="dxa"/>
            </w:tcMar>
            <w:vAlign w:val="bottom"/>
          </w:tcPr>
          <w:p w:rsidR="008B2CC1" w:rsidRPr="00D409DF" w:rsidRDefault="008B2CC1" w:rsidP="00CD330E">
            <w:pPr>
              <w:jc w:val="right"/>
              <w:rPr>
                <w:rFonts w:ascii="Arial Black" w:hAnsi="Arial Black"/>
                <w:caps/>
                <w:sz w:val="15"/>
              </w:rPr>
            </w:pPr>
            <w:bookmarkStart w:id="0" w:name="Original"/>
            <w:bookmarkEnd w:id="0"/>
          </w:p>
        </w:tc>
      </w:tr>
      <w:tr w:rsidR="00D409DF" w:rsidRPr="00D409DF" w:rsidTr="00B27CB2">
        <w:trPr>
          <w:trHeight w:hRule="exact" w:val="198"/>
        </w:trPr>
        <w:tc>
          <w:tcPr>
            <w:tcW w:w="9356" w:type="dxa"/>
            <w:gridSpan w:val="3"/>
            <w:shd w:val="clear" w:color="auto" w:fill="auto"/>
            <w:tcMar>
              <w:left w:w="0" w:type="dxa"/>
              <w:right w:w="0" w:type="dxa"/>
            </w:tcMar>
          </w:tcPr>
          <w:p w:rsidR="008B23F7" w:rsidRPr="00D409DF" w:rsidRDefault="008B23F7" w:rsidP="00F94DD2">
            <w:pPr>
              <w:jc w:val="right"/>
            </w:pPr>
            <w:r w:rsidRPr="00D409DF">
              <w:rPr>
                <w:rFonts w:ascii="Arial Black" w:hAnsi="Arial Black"/>
                <w:caps/>
                <w:sz w:val="15"/>
              </w:rPr>
              <w:t xml:space="preserve">INFORMATION NOTICE NO. </w:t>
            </w:r>
            <w:r w:rsidR="00F94DD2">
              <w:rPr>
                <w:rFonts w:ascii="Arial Black" w:hAnsi="Arial Black"/>
                <w:caps/>
                <w:sz w:val="15"/>
              </w:rPr>
              <w:t>23</w:t>
            </w:r>
            <w:r w:rsidRPr="00D409DF">
              <w:rPr>
                <w:rFonts w:ascii="Arial Black" w:hAnsi="Arial Black"/>
                <w:caps/>
                <w:sz w:val="15"/>
              </w:rPr>
              <w:t>/2014</w:t>
            </w:r>
          </w:p>
        </w:tc>
      </w:tr>
    </w:tbl>
    <w:p w:rsidR="008B2CC1" w:rsidRPr="00D409DF" w:rsidRDefault="008B2CC1" w:rsidP="00CD330E"/>
    <w:p w:rsidR="008B2CC1" w:rsidRPr="00D409DF" w:rsidRDefault="008B2CC1" w:rsidP="00CD330E"/>
    <w:p w:rsidR="008B2CC1" w:rsidRPr="00D409DF" w:rsidRDefault="008B2CC1" w:rsidP="00CD330E"/>
    <w:p w:rsidR="00CC5016" w:rsidRPr="00D409DF" w:rsidRDefault="00CC5016" w:rsidP="00CD330E"/>
    <w:p w:rsidR="00CC5016" w:rsidRPr="00D409DF" w:rsidRDefault="00CC5016" w:rsidP="00CD330E"/>
    <w:p w:rsidR="00CC5016" w:rsidRPr="00D409DF" w:rsidRDefault="00CC5016" w:rsidP="00CD330E">
      <w:pPr>
        <w:autoSpaceDE w:val="0"/>
        <w:autoSpaceDN w:val="0"/>
        <w:adjustRightInd w:val="0"/>
        <w:rPr>
          <w:b/>
          <w:bCs/>
          <w:sz w:val="28"/>
          <w:szCs w:val="28"/>
        </w:rPr>
      </w:pPr>
      <w:r w:rsidRPr="00D409DF">
        <w:rPr>
          <w:b/>
          <w:bCs/>
          <w:sz w:val="28"/>
          <w:szCs w:val="28"/>
        </w:rPr>
        <w:t xml:space="preserve">Madrid </w:t>
      </w:r>
      <w:r w:rsidR="00EF0146" w:rsidRPr="00D409DF">
        <w:rPr>
          <w:b/>
          <w:bCs/>
          <w:sz w:val="28"/>
          <w:szCs w:val="28"/>
        </w:rPr>
        <w:t xml:space="preserve">Agreement and </w:t>
      </w:r>
      <w:r w:rsidRPr="00D409DF">
        <w:rPr>
          <w:b/>
          <w:bCs/>
          <w:sz w:val="28"/>
          <w:szCs w:val="28"/>
        </w:rPr>
        <w:t>Protocol Concerning the International Registration of Marks</w:t>
      </w:r>
    </w:p>
    <w:p w:rsidR="00CC5016" w:rsidRPr="00D409DF" w:rsidRDefault="00CC5016" w:rsidP="00CD330E">
      <w:pPr>
        <w:autoSpaceDE w:val="0"/>
        <w:autoSpaceDN w:val="0"/>
        <w:adjustRightInd w:val="0"/>
        <w:rPr>
          <w:bCs/>
          <w:szCs w:val="22"/>
        </w:rPr>
      </w:pPr>
    </w:p>
    <w:p w:rsidR="00CC5016" w:rsidRPr="00D409DF" w:rsidRDefault="00CC5016" w:rsidP="00CD330E">
      <w:pPr>
        <w:autoSpaceDE w:val="0"/>
        <w:autoSpaceDN w:val="0"/>
        <w:adjustRightInd w:val="0"/>
        <w:rPr>
          <w:bCs/>
          <w:szCs w:val="22"/>
        </w:rPr>
      </w:pPr>
    </w:p>
    <w:p w:rsidR="00CC5016" w:rsidRPr="00D409DF" w:rsidRDefault="00CC5016" w:rsidP="00CD330E">
      <w:pPr>
        <w:autoSpaceDE w:val="0"/>
        <w:autoSpaceDN w:val="0"/>
        <w:adjustRightInd w:val="0"/>
        <w:rPr>
          <w:bCs/>
          <w:szCs w:val="22"/>
        </w:rPr>
      </w:pPr>
    </w:p>
    <w:p w:rsidR="00A04B6E" w:rsidRPr="00387B98" w:rsidRDefault="00F95712" w:rsidP="00CD330E">
      <w:pPr>
        <w:autoSpaceDE w:val="0"/>
        <w:autoSpaceDN w:val="0"/>
        <w:adjustRightInd w:val="0"/>
        <w:rPr>
          <w:b/>
          <w:bCs/>
          <w:sz w:val="24"/>
          <w:szCs w:val="24"/>
        </w:rPr>
      </w:pPr>
      <w:r w:rsidRPr="00387B98">
        <w:rPr>
          <w:b/>
          <w:bCs/>
          <w:sz w:val="24"/>
          <w:szCs w:val="24"/>
        </w:rPr>
        <w:t>A</w:t>
      </w:r>
      <w:r w:rsidR="00A0256B" w:rsidRPr="00387B98">
        <w:rPr>
          <w:b/>
          <w:bCs/>
          <w:sz w:val="24"/>
          <w:szCs w:val="24"/>
        </w:rPr>
        <w:t xml:space="preserve">mendments </w:t>
      </w:r>
      <w:r w:rsidR="009E4372" w:rsidRPr="00387B98">
        <w:rPr>
          <w:b/>
          <w:bCs/>
          <w:sz w:val="24"/>
          <w:szCs w:val="24"/>
        </w:rPr>
        <w:t xml:space="preserve">to the Common Regulations under the Madrid Agreement and Protocol </w:t>
      </w:r>
    </w:p>
    <w:p w:rsidR="00A04B6E" w:rsidRDefault="00A04B6E" w:rsidP="00CD330E">
      <w:pPr>
        <w:autoSpaceDE w:val="0"/>
        <w:autoSpaceDN w:val="0"/>
        <w:adjustRightInd w:val="0"/>
        <w:rPr>
          <w:szCs w:val="22"/>
        </w:rPr>
      </w:pPr>
    </w:p>
    <w:p w:rsidR="009E4372" w:rsidRDefault="009E4372" w:rsidP="00CD330E">
      <w:pPr>
        <w:autoSpaceDE w:val="0"/>
        <w:autoSpaceDN w:val="0"/>
        <w:adjustRightInd w:val="0"/>
        <w:rPr>
          <w:szCs w:val="22"/>
        </w:rPr>
      </w:pPr>
    </w:p>
    <w:p w:rsidR="009E4372" w:rsidRDefault="009E4372" w:rsidP="00CD330E">
      <w:pPr>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r>
      <w:r w:rsidR="00A0256B">
        <w:rPr>
          <w:szCs w:val="22"/>
        </w:rPr>
        <w:t>At its forty-eighth (28</w:t>
      </w:r>
      <w:r w:rsidR="00A0256B" w:rsidRPr="00A0256B">
        <w:rPr>
          <w:szCs w:val="22"/>
          <w:vertAlign w:val="superscript"/>
        </w:rPr>
        <w:t>th</w:t>
      </w:r>
      <w:r w:rsidR="00A0256B">
        <w:rPr>
          <w:szCs w:val="22"/>
        </w:rPr>
        <w:t xml:space="preserve"> extraordinary) session, which took place in Geneva from September</w:t>
      </w:r>
      <w:r w:rsidR="00387B98">
        <w:rPr>
          <w:szCs w:val="22"/>
        </w:rPr>
        <w:t> </w:t>
      </w:r>
      <w:r w:rsidR="000C7375">
        <w:rPr>
          <w:szCs w:val="22"/>
        </w:rPr>
        <w:t>22 to</w:t>
      </w:r>
      <w:r w:rsidR="00387B98">
        <w:rPr>
          <w:szCs w:val="22"/>
        </w:rPr>
        <w:t> </w:t>
      </w:r>
      <w:r w:rsidR="00A0256B">
        <w:rPr>
          <w:szCs w:val="22"/>
        </w:rPr>
        <w:t>30,</w:t>
      </w:r>
      <w:r w:rsidR="00387B98">
        <w:rPr>
          <w:szCs w:val="22"/>
        </w:rPr>
        <w:t> </w:t>
      </w:r>
      <w:r w:rsidR="00A0256B">
        <w:rPr>
          <w:szCs w:val="22"/>
        </w:rPr>
        <w:t>2014, t</w:t>
      </w:r>
      <w:r>
        <w:rPr>
          <w:szCs w:val="22"/>
        </w:rPr>
        <w:t xml:space="preserve">he Assembly of the Madrid Union adopted </w:t>
      </w:r>
      <w:r w:rsidR="00A0256B">
        <w:rPr>
          <w:szCs w:val="22"/>
        </w:rPr>
        <w:t xml:space="preserve">a </w:t>
      </w:r>
      <w:r w:rsidR="00AA33A4">
        <w:rPr>
          <w:szCs w:val="22"/>
        </w:rPr>
        <w:t xml:space="preserve">new </w:t>
      </w:r>
      <w:r w:rsidR="00106534">
        <w:rPr>
          <w:szCs w:val="22"/>
        </w:rPr>
        <w:t>r</w:t>
      </w:r>
      <w:r w:rsidR="00AA33A4">
        <w:rPr>
          <w:szCs w:val="22"/>
        </w:rPr>
        <w:t>ule</w:t>
      </w:r>
      <w:r w:rsidR="00387B98">
        <w:rPr>
          <w:szCs w:val="22"/>
        </w:rPr>
        <w:t> </w:t>
      </w:r>
      <w:r>
        <w:rPr>
          <w:szCs w:val="22"/>
        </w:rPr>
        <w:t xml:space="preserve">and </w:t>
      </w:r>
      <w:r w:rsidR="00981DC7">
        <w:rPr>
          <w:szCs w:val="22"/>
        </w:rPr>
        <w:t xml:space="preserve">other </w:t>
      </w:r>
      <w:r>
        <w:rPr>
          <w:szCs w:val="22"/>
        </w:rPr>
        <w:t>amendments to the Common Regulations</w:t>
      </w:r>
      <w:r w:rsidR="00AC27B5">
        <w:rPr>
          <w:szCs w:val="22"/>
        </w:rPr>
        <w:t xml:space="preserve"> </w:t>
      </w:r>
      <w:r w:rsidR="00AC27B5" w:rsidRPr="00AC27B5">
        <w:rPr>
          <w:szCs w:val="22"/>
        </w:rPr>
        <w:t>under the Madrid Agreement Concerning the International Registration of Marks and the Protocol Relating to that Agreement</w:t>
      </w:r>
      <w:r w:rsidR="00AC27B5">
        <w:rPr>
          <w:szCs w:val="22"/>
        </w:rPr>
        <w:t xml:space="preserve"> (the Common Regulations)</w:t>
      </w:r>
      <w:r>
        <w:rPr>
          <w:szCs w:val="22"/>
        </w:rPr>
        <w:t xml:space="preserve"> that will enter into force on January 1, 2015.</w:t>
      </w:r>
      <w:r w:rsidR="00387B98">
        <w:rPr>
          <w:szCs w:val="22"/>
        </w:rPr>
        <w:t xml:space="preserve">  </w:t>
      </w:r>
    </w:p>
    <w:p w:rsidR="004653E5" w:rsidRDefault="004653E5" w:rsidP="00CD330E">
      <w:pPr>
        <w:autoSpaceDE w:val="0"/>
        <w:autoSpaceDN w:val="0"/>
        <w:adjustRightInd w:val="0"/>
        <w:rPr>
          <w:b/>
          <w:szCs w:val="22"/>
        </w:rPr>
      </w:pPr>
    </w:p>
    <w:p w:rsidR="009E4372" w:rsidRPr="00834884" w:rsidRDefault="009E4372" w:rsidP="00387B98">
      <w:pPr>
        <w:pStyle w:val="Heading3"/>
      </w:pPr>
      <w:r w:rsidRPr="00834884">
        <w:t>New Rule</w:t>
      </w:r>
      <w:r w:rsidR="00387B98">
        <w:t> </w:t>
      </w:r>
      <w:r w:rsidRPr="00834884">
        <w:t>5</w:t>
      </w:r>
      <w:r w:rsidRPr="00834884">
        <w:rPr>
          <w:i/>
        </w:rPr>
        <w:t>bis</w:t>
      </w:r>
      <w:r w:rsidR="009179B4">
        <w:t xml:space="preserve"> and amendments to Rules</w:t>
      </w:r>
      <w:r w:rsidR="00387B98">
        <w:t> </w:t>
      </w:r>
      <w:proofErr w:type="gramStart"/>
      <w:r w:rsidR="009179B4">
        <w:t>20</w:t>
      </w:r>
      <w:r w:rsidR="009179B4" w:rsidRPr="009179B4">
        <w:rPr>
          <w:i/>
        </w:rPr>
        <w:t>bis</w:t>
      </w:r>
      <w:r w:rsidR="009179B4">
        <w:t>(</w:t>
      </w:r>
      <w:proofErr w:type="gramEnd"/>
      <w:r w:rsidR="009179B4">
        <w:t xml:space="preserve">3) and 27(1) of the Common Regulations: </w:t>
      </w:r>
      <w:r w:rsidR="00387B98">
        <w:t xml:space="preserve"> </w:t>
      </w:r>
      <w:r w:rsidR="009179B4">
        <w:t>Continued Processing</w:t>
      </w:r>
    </w:p>
    <w:p w:rsidR="009E4372" w:rsidRDefault="009E4372" w:rsidP="00CD330E">
      <w:pPr>
        <w:autoSpaceDE w:val="0"/>
        <w:autoSpaceDN w:val="0"/>
        <w:adjustRightInd w:val="0"/>
        <w:rPr>
          <w:szCs w:val="22"/>
        </w:rPr>
      </w:pPr>
    </w:p>
    <w:p w:rsidR="009E4372" w:rsidRDefault="009E4372" w:rsidP="00CD330E">
      <w:pPr>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r>
      <w:r w:rsidR="00785F5E">
        <w:rPr>
          <w:szCs w:val="22"/>
        </w:rPr>
        <w:t>N</w:t>
      </w:r>
      <w:r>
        <w:rPr>
          <w:szCs w:val="22"/>
        </w:rPr>
        <w:t>ew Rule</w:t>
      </w:r>
      <w:r w:rsidR="00387B98">
        <w:rPr>
          <w:szCs w:val="22"/>
        </w:rPr>
        <w:t> </w:t>
      </w:r>
      <w:r>
        <w:rPr>
          <w:szCs w:val="22"/>
        </w:rPr>
        <w:t>5</w:t>
      </w:r>
      <w:r w:rsidRPr="009E4372">
        <w:rPr>
          <w:i/>
          <w:szCs w:val="22"/>
        </w:rPr>
        <w:t>bis</w:t>
      </w:r>
      <w:r>
        <w:rPr>
          <w:szCs w:val="22"/>
        </w:rPr>
        <w:t xml:space="preserve"> </w:t>
      </w:r>
      <w:r w:rsidR="00AC27B5">
        <w:rPr>
          <w:szCs w:val="22"/>
        </w:rPr>
        <w:t xml:space="preserve">of the Common Regulations </w:t>
      </w:r>
      <w:r w:rsidR="000E0C31">
        <w:rPr>
          <w:szCs w:val="22"/>
        </w:rPr>
        <w:t xml:space="preserve">will </w:t>
      </w:r>
      <w:r>
        <w:rPr>
          <w:szCs w:val="22"/>
        </w:rPr>
        <w:t xml:space="preserve">provide for continued processing where an applicant or holder has </w:t>
      </w:r>
      <w:r w:rsidR="00061C20">
        <w:rPr>
          <w:szCs w:val="22"/>
        </w:rPr>
        <w:t>missed certain</w:t>
      </w:r>
      <w:r w:rsidR="00523F0F">
        <w:rPr>
          <w:szCs w:val="22"/>
        </w:rPr>
        <w:t xml:space="preserve"> </w:t>
      </w:r>
      <w:r>
        <w:rPr>
          <w:szCs w:val="22"/>
        </w:rPr>
        <w:t>time limit</w:t>
      </w:r>
      <w:r w:rsidR="00523F0F">
        <w:rPr>
          <w:szCs w:val="22"/>
        </w:rPr>
        <w:t>s</w:t>
      </w:r>
      <w:r w:rsidR="00061C20">
        <w:rPr>
          <w:szCs w:val="22"/>
        </w:rPr>
        <w:t xml:space="preserve">. </w:t>
      </w:r>
      <w:r w:rsidR="00387B98">
        <w:rPr>
          <w:szCs w:val="22"/>
        </w:rPr>
        <w:t xml:space="preserve"> </w:t>
      </w:r>
    </w:p>
    <w:p w:rsidR="009E4372" w:rsidRDefault="009E4372" w:rsidP="00CD330E">
      <w:pPr>
        <w:autoSpaceDE w:val="0"/>
        <w:autoSpaceDN w:val="0"/>
        <w:adjustRightInd w:val="0"/>
        <w:rPr>
          <w:szCs w:val="22"/>
        </w:rPr>
      </w:pPr>
    </w:p>
    <w:p w:rsidR="009E4372" w:rsidRDefault="009E4372" w:rsidP="00CD330E">
      <w:pPr>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t>Co</w:t>
      </w:r>
      <w:r w:rsidR="00EE4919">
        <w:rPr>
          <w:szCs w:val="22"/>
        </w:rPr>
        <w:t xml:space="preserve">ntinued processing </w:t>
      </w:r>
      <w:r w:rsidR="00AC27B5">
        <w:rPr>
          <w:szCs w:val="22"/>
        </w:rPr>
        <w:t>will be</w:t>
      </w:r>
      <w:r w:rsidR="00EE4919">
        <w:rPr>
          <w:szCs w:val="22"/>
        </w:rPr>
        <w:t xml:space="preserve"> available </w:t>
      </w:r>
      <w:r w:rsidR="00C86A22">
        <w:rPr>
          <w:szCs w:val="22"/>
        </w:rPr>
        <w:t xml:space="preserve">only </w:t>
      </w:r>
      <w:r w:rsidR="00F03FA4">
        <w:rPr>
          <w:szCs w:val="22"/>
        </w:rPr>
        <w:t>with</w:t>
      </w:r>
      <w:r w:rsidR="00EE4919">
        <w:rPr>
          <w:szCs w:val="22"/>
        </w:rPr>
        <w:t xml:space="preserve"> respect to </w:t>
      </w:r>
      <w:r w:rsidR="00523F0F">
        <w:rPr>
          <w:szCs w:val="22"/>
        </w:rPr>
        <w:t>time limits</w:t>
      </w:r>
      <w:r w:rsidR="00EE4919">
        <w:rPr>
          <w:szCs w:val="22"/>
        </w:rPr>
        <w:t xml:space="preserve"> concerning:</w:t>
      </w:r>
    </w:p>
    <w:p w:rsidR="00EE4919" w:rsidRDefault="00EE4919" w:rsidP="00CD330E">
      <w:pPr>
        <w:autoSpaceDE w:val="0"/>
        <w:autoSpaceDN w:val="0"/>
        <w:adjustRightInd w:val="0"/>
        <w:rPr>
          <w:szCs w:val="22"/>
        </w:rPr>
      </w:pPr>
    </w:p>
    <w:p w:rsidR="00EE4919" w:rsidRDefault="00EE4919" w:rsidP="009E56CA">
      <w:pPr>
        <w:pStyle w:val="ListParagraph"/>
        <w:numPr>
          <w:ilvl w:val="0"/>
          <w:numId w:val="9"/>
        </w:numPr>
        <w:autoSpaceDE w:val="0"/>
        <w:autoSpaceDN w:val="0"/>
        <w:adjustRightInd w:val="0"/>
        <w:ind w:left="1134" w:hanging="567"/>
        <w:rPr>
          <w:szCs w:val="22"/>
        </w:rPr>
      </w:pPr>
      <w:r>
        <w:rPr>
          <w:szCs w:val="22"/>
        </w:rPr>
        <w:t>an intern</w:t>
      </w:r>
      <w:r w:rsidR="009E56CA">
        <w:rPr>
          <w:szCs w:val="22"/>
        </w:rPr>
        <w:t>ational application, under Rule </w:t>
      </w:r>
      <w:r w:rsidR="00AC27B5">
        <w:rPr>
          <w:szCs w:val="22"/>
        </w:rPr>
        <w:t>11(2) or</w:t>
      </w:r>
      <w:r w:rsidR="009E56CA">
        <w:rPr>
          <w:szCs w:val="22"/>
        </w:rPr>
        <w:t> </w:t>
      </w:r>
      <w:r w:rsidR="00AC27B5">
        <w:rPr>
          <w:szCs w:val="22"/>
        </w:rPr>
        <w:t>(3) of the Common Regulations;</w:t>
      </w:r>
      <w:r w:rsidR="009E56CA">
        <w:rPr>
          <w:szCs w:val="22"/>
        </w:rPr>
        <w:t xml:space="preserve">  </w:t>
      </w:r>
    </w:p>
    <w:p w:rsidR="009E56CA" w:rsidRDefault="009E56CA" w:rsidP="009E56CA">
      <w:pPr>
        <w:pStyle w:val="ListParagraph"/>
        <w:autoSpaceDE w:val="0"/>
        <w:autoSpaceDN w:val="0"/>
        <w:adjustRightInd w:val="0"/>
        <w:ind w:left="1134"/>
        <w:rPr>
          <w:szCs w:val="22"/>
        </w:rPr>
      </w:pPr>
    </w:p>
    <w:p w:rsidR="00AC27B5" w:rsidRDefault="00AC27B5" w:rsidP="009E56CA">
      <w:pPr>
        <w:pStyle w:val="ListParagraph"/>
        <w:numPr>
          <w:ilvl w:val="0"/>
          <w:numId w:val="9"/>
        </w:numPr>
        <w:autoSpaceDE w:val="0"/>
        <w:autoSpaceDN w:val="0"/>
        <w:adjustRightInd w:val="0"/>
        <w:ind w:left="0" w:firstLine="567"/>
        <w:rPr>
          <w:szCs w:val="22"/>
        </w:rPr>
      </w:pPr>
      <w:r>
        <w:rPr>
          <w:szCs w:val="22"/>
        </w:rPr>
        <w:t>a request for the recording of licenses, under Rule</w:t>
      </w:r>
      <w:r w:rsidR="009E56CA">
        <w:rPr>
          <w:szCs w:val="22"/>
        </w:rPr>
        <w:t> </w:t>
      </w:r>
      <w:r>
        <w:rPr>
          <w:szCs w:val="22"/>
        </w:rPr>
        <w:t>20</w:t>
      </w:r>
      <w:r w:rsidRPr="00AC27B5">
        <w:rPr>
          <w:i/>
          <w:szCs w:val="22"/>
        </w:rPr>
        <w:t>bis</w:t>
      </w:r>
      <w:r>
        <w:rPr>
          <w:szCs w:val="22"/>
        </w:rPr>
        <w:t>(2) of the Common Regulations;</w:t>
      </w:r>
      <w:r w:rsidR="009E56CA">
        <w:rPr>
          <w:szCs w:val="22"/>
        </w:rPr>
        <w:t xml:space="preserve">  </w:t>
      </w:r>
    </w:p>
    <w:p w:rsidR="009E56CA" w:rsidRDefault="009E56CA" w:rsidP="009E56CA">
      <w:pPr>
        <w:pStyle w:val="ListParagraph"/>
        <w:autoSpaceDE w:val="0"/>
        <w:autoSpaceDN w:val="0"/>
        <w:adjustRightInd w:val="0"/>
        <w:ind w:left="567"/>
        <w:rPr>
          <w:szCs w:val="22"/>
        </w:rPr>
      </w:pPr>
    </w:p>
    <w:p w:rsidR="00AC27B5" w:rsidRDefault="00AC27B5" w:rsidP="009E56CA">
      <w:pPr>
        <w:pStyle w:val="ListParagraph"/>
        <w:numPr>
          <w:ilvl w:val="0"/>
          <w:numId w:val="9"/>
        </w:numPr>
        <w:autoSpaceDE w:val="0"/>
        <w:autoSpaceDN w:val="0"/>
        <w:adjustRightInd w:val="0"/>
        <w:ind w:left="0" w:firstLine="567"/>
        <w:rPr>
          <w:szCs w:val="22"/>
        </w:rPr>
      </w:pPr>
      <w:r>
        <w:rPr>
          <w:szCs w:val="22"/>
        </w:rPr>
        <w:t>a subsequent designation, under Rule</w:t>
      </w:r>
      <w:r w:rsidR="009E56CA">
        <w:rPr>
          <w:szCs w:val="22"/>
        </w:rPr>
        <w:t> </w:t>
      </w:r>
      <w:r>
        <w:rPr>
          <w:szCs w:val="22"/>
        </w:rPr>
        <w:t>24(5)(b) of the Common Regulations;</w:t>
      </w:r>
      <w:r w:rsidR="009E56CA">
        <w:rPr>
          <w:szCs w:val="22"/>
        </w:rPr>
        <w:t xml:space="preserve">  </w:t>
      </w:r>
    </w:p>
    <w:p w:rsidR="009E56CA" w:rsidRDefault="009E56CA" w:rsidP="009E56CA">
      <w:pPr>
        <w:pStyle w:val="ListParagraph"/>
        <w:autoSpaceDE w:val="0"/>
        <w:autoSpaceDN w:val="0"/>
        <w:adjustRightInd w:val="0"/>
        <w:ind w:left="567"/>
        <w:rPr>
          <w:szCs w:val="22"/>
        </w:rPr>
      </w:pPr>
    </w:p>
    <w:p w:rsidR="00AC27B5" w:rsidRDefault="00AC27B5" w:rsidP="009E56CA">
      <w:pPr>
        <w:pStyle w:val="ListParagraph"/>
        <w:numPr>
          <w:ilvl w:val="0"/>
          <w:numId w:val="9"/>
        </w:numPr>
        <w:autoSpaceDE w:val="0"/>
        <w:autoSpaceDN w:val="0"/>
        <w:adjustRightInd w:val="0"/>
        <w:ind w:left="0" w:firstLine="567"/>
        <w:rPr>
          <w:szCs w:val="22"/>
        </w:rPr>
      </w:pPr>
      <w:r>
        <w:rPr>
          <w:szCs w:val="22"/>
        </w:rPr>
        <w:t>a request for the recording of a change or cancellation, under Rule 26(2) of the Common Regulations;</w:t>
      </w:r>
      <w:r w:rsidR="009E56CA">
        <w:rPr>
          <w:szCs w:val="22"/>
        </w:rPr>
        <w:t xml:space="preserve">  </w:t>
      </w:r>
    </w:p>
    <w:p w:rsidR="009E56CA" w:rsidRDefault="009E56CA" w:rsidP="009E56CA">
      <w:pPr>
        <w:pStyle w:val="ListParagraph"/>
        <w:autoSpaceDE w:val="0"/>
        <w:autoSpaceDN w:val="0"/>
        <w:adjustRightInd w:val="0"/>
        <w:ind w:left="567"/>
        <w:rPr>
          <w:szCs w:val="22"/>
        </w:rPr>
      </w:pPr>
    </w:p>
    <w:p w:rsidR="00AC27B5" w:rsidRDefault="00AC27B5" w:rsidP="009E56CA">
      <w:pPr>
        <w:pStyle w:val="ListParagraph"/>
        <w:numPr>
          <w:ilvl w:val="0"/>
          <w:numId w:val="9"/>
        </w:numPr>
        <w:autoSpaceDE w:val="0"/>
        <w:autoSpaceDN w:val="0"/>
        <w:adjustRightInd w:val="0"/>
        <w:ind w:left="0" w:firstLine="567"/>
        <w:rPr>
          <w:szCs w:val="22"/>
        </w:rPr>
      </w:pPr>
      <w:r>
        <w:rPr>
          <w:szCs w:val="22"/>
        </w:rPr>
        <w:t>payment of the second part of the individual fee, under Rule</w:t>
      </w:r>
      <w:r w:rsidR="009E56CA">
        <w:rPr>
          <w:szCs w:val="22"/>
        </w:rPr>
        <w:t> </w:t>
      </w:r>
      <w:r>
        <w:rPr>
          <w:szCs w:val="22"/>
        </w:rPr>
        <w:t xml:space="preserve">34(3)(c)(iii) of the Common Regulations; </w:t>
      </w:r>
      <w:r w:rsidR="009E56CA">
        <w:rPr>
          <w:szCs w:val="22"/>
        </w:rPr>
        <w:t xml:space="preserve"> and</w:t>
      </w:r>
    </w:p>
    <w:p w:rsidR="009E56CA" w:rsidRDefault="009E56CA" w:rsidP="009E56CA">
      <w:pPr>
        <w:pStyle w:val="ListParagraph"/>
        <w:autoSpaceDE w:val="0"/>
        <w:autoSpaceDN w:val="0"/>
        <w:adjustRightInd w:val="0"/>
        <w:ind w:left="567"/>
        <w:rPr>
          <w:szCs w:val="22"/>
        </w:rPr>
      </w:pPr>
    </w:p>
    <w:p w:rsidR="00AC27B5" w:rsidRDefault="00362B5A" w:rsidP="009E56CA">
      <w:pPr>
        <w:pStyle w:val="ListParagraph"/>
        <w:numPr>
          <w:ilvl w:val="0"/>
          <w:numId w:val="9"/>
        </w:numPr>
        <w:autoSpaceDE w:val="0"/>
        <w:autoSpaceDN w:val="0"/>
        <w:adjustRightInd w:val="0"/>
        <w:ind w:left="0" w:firstLine="567"/>
        <w:rPr>
          <w:szCs w:val="22"/>
        </w:rPr>
      </w:pPr>
      <w:proofErr w:type="gramStart"/>
      <w:r>
        <w:rPr>
          <w:szCs w:val="22"/>
        </w:rPr>
        <w:t>a</w:t>
      </w:r>
      <w:proofErr w:type="gramEnd"/>
      <w:r>
        <w:rPr>
          <w:szCs w:val="22"/>
        </w:rPr>
        <w:t xml:space="preserve"> </w:t>
      </w:r>
      <w:r w:rsidR="00AC27B5">
        <w:rPr>
          <w:szCs w:val="22"/>
        </w:rPr>
        <w:t xml:space="preserve">request that an international registration continue its effects in a </w:t>
      </w:r>
      <w:r w:rsidR="009E56CA">
        <w:rPr>
          <w:szCs w:val="22"/>
        </w:rPr>
        <w:t>s</w:t>
      </w:r>
      <w:r w:rsidR="00AC27B5">
        <w:rPr>
          <w:szCs w:val="22"/>
        </w:rPr>
        <w:t xml:space="preserve">uccessor State and the </w:t>
      </w:r>
      <w:r w:rsidR="00430E33">
        <w:rPr>
          <w:szCs w:val="22"/>
        </w:rPr>
        <w:t xml:space="preserve">payment of the </w:t>
      </w:r>
      <w:r w:rsidR="00AC27B5">
        <w:rPr>
          <w:szCs w:val="22"/>
        </w:rPr>
        <w:t>fee</w:t>
      </w:r>
      <w:r w:rsidR="00430E33">
        <w:rPr>
          <w:szCs w:val="22"/>
        </w:rPr>
        <w:t>s</w:t>
      </w:r>
      <w:r w:rsidR="00AC27B5">
        <w:rPr>
          <w:szCs w:val="22"/>
        </w:rPr>
        <w:t xml:space="preserve"> rela</w:t>
      </w:r>
      <w:r w:rsidR="009E56CA">
        <w:rPr>
          <w:szCs w:val="22"/>
        </w:rPr>
        <w:t>ted to this request, under Rule </w:t>
      </w:r>
      <w:r w:rsidR="00AC27B5">
        <w:rPr>
          <w:szCs w:val="22"/>
        </w:rPr>
        <w:t>39(1) of the Common Regulations.</w:t>
      </w:r>
    </w:p>
    <w:p w:rsidR="00933CC8" w:rsidRDefault="00933CC8" w:rsidP="00933CC8">
      <w:pPr>
        <w:autoSpaceDE w:val="0"/>
        <w:autoSpaceDN w:val="0"/>
        <w:adjustRightInd w:val="0"/>
        <w:rPr>
          <w:szCs w:val="22"/>
        </w:rPr>
      </w:pPr>
    </w:p>
    <w:p w:rsidR="009E56CA" w:rsidRDefault="009E56CA" w:rsidP="00933CC8">
      <w:pPr>
        <w:autoSpaceDE w:val="0"/>
        <w:autoSpaceDN w:val="0"/>
        <w:adjustRightInd w:val="0"/>
        <w:rPr>
          <w:szCs w:val="22"/>
        </w:rPr>
      </w:pPr>
      <w:r>
        <w:rPr>
          <w:szCs w:val="22"/>
        </w:rPr>
        <w:br w:type="page"/>
      </w:r>
    </w:p>
    <w:p w:rsidR="00933CC8" w:rsidRDefault="009E56CA" w:rsidP="00933CC8">
      <w:pPr>
        <w:autoSpaceDE w:val="0"/>
        <w:autoSpaceDN w:val="0"/>
        <w:adjustRightInd w:val="0"/>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362B5A">
        <w:rPr>
          <w:szCs w:val="22"/>
        </w:rPr>
        <w:t xml:space="preserve">Continued processing </w:t>
      </w:r>
      <w:r w:rsidR="00C17DAD">
        <w:rPr>
          <w:szCs w:val="22"/>
        </w:rPr>
        <w:t>can</w:t>
      </w:r>
      <w:r w:rsidR="00362B5A">
        <w:rPr>
          <w:szCs w:val="22"/>
        </w:rPr>
        <w:t xml:space="preserve"> be requested</w:t>
      </w:r>
      <w:r w:rsidR="00A0256B">
        <w:rPr>
          <w:szCs w:val="22"/>
        </w:rPr>
        <w:t xml:space="preserve"> within two months from the expiry of the time limit concerned,</w:t>
      </w:r>
      <w:r w:rsidR="00362B5A">
        <w:rPr>
          <w:szCs w:val="22"/>
        </w:rPr>
        <w:t xml:space="preserve"> </w:t>
      </w:r>
      <w:r w:rsidR="00F77669">
        <w:rPr>
          <w:szCs w:val="22"/>
        </w:rPr>
        <w:t>by presenting</w:t>
      </w:r>
      <w:r w:rsidR="00F94DD2">
        <w:rPr>
          <w:szCs w:val="22"/>
        </w:rPr>
        <w:t xml:space="preserve"> the new official form MM20 (</w:t>
      </w:r>
      <w:r w:rsidR="00362B5A">
        <w:rPr>
          <w:szCs w:val="22"/>
        </w:rPr>
        <w:t>see Annex I</w:t>
      </w:r>
      <w:r w:rsidR="00BA1910">
        <w:rPr>
          <w:szCs w:val="22"/>
        </w:rPr>
        <w:t>I</w:t>
      </w:r>
      <w:r>
        <w:rPr>
          <w:szCs w:val="22"/>
        </w:rPr>
        <w:t>I</w:t>
      </w:r>
      <w:r w:rsidR="00362B5A">
        <w:rPr>
          <w:szCs w:val="22"/>
        </w:rPr>
        <w:t xml:space="preserve">) </w:t>
      </w:r>
      <w:r w:rsidR="00F77669">
        <w:rPr>
          <w:szCs w:val="22"/>
        </w:rPr>
        <w:t xml:space="preserve">to the International Bureau </w:t>
      </w:r>
      <w:r w:rsidR="00362B5A">
        <w:rPr>
          <w:szCs w:val="22"/>
        </w:rPr>
        <w:t>and upon the payment of a fee of 200</w:t>
      </w:r>
      <w:r>
        <w:rPr>
          <w:szCs w:val="22"/>
        </w:rPr>
        <w:t> </w:t>
      </w:r>
      <w:r w:rsidR="00362B5A">
        <w:rPr>
          <w:szCs w:val="22"/>
        </w:rPr>
        <w:t xml:space="preserve">Swiss francs.  Along with the request, the </w:t>
      </w:r>
      <w:r w:rsidR="00523F0F">
        <w:rPr>
          <w:szCs w:val="22"/>
        </w:rPr>
        <w:t>requirements in respect of which the time limit</w:t>
      </w:r>
      <w:r w:rsidR="00362B5A">
        <w:rPr>
          <w:szCs w:val="22"/>
        </w:rPr>
        <w:t xml:space="preserve"> concerned </w:t>
      </w:r>
      <w:r w:rsidR="00523F0F">
        <w:rPr>
          <w:szCs w:val="22"/>
        </w:rPr>
        <w:t xml:space="preserve">applied </w:t>
      </w:r>
      <w:r w:rsidR="00362B5A">
        <w:rPr>
          <w:szCs w:val="22"/>
        </w:rPr>
        <w:t xml:space="preserve">shall also </w:t>
      </w:r>
      <w:r w:rsidR="00061C20">
        <w:rPr>
          <w:szCs w:val="22"/>
        </w:rPr>
        <w:t>be complied</w:t>
      </w:r>
      <w:r w:rsidR="005C054A">
        <w:rPr>
          <w:szCs w:val="22"/>
        </w:rPr>
        <w:t xml:space="preserve"> with</w:t>
      </w:r>
      <w:r w:rsidR="00061C20">
        <w:rPr>
          <w:szCs w:val="22"/>
        </w:rPr>
        <w:t>.</w:t>
      </w:r>
      <w:r w:rsidR="00362B5A">
        <w:rPr>
          <w:szCs w:val="22"/>
        </w:rPr>
        <w:t xml:space="preserve">  </w:t>
      </w:r>
      <w:r w:rsidR="00A0256B">
        <w:rPr>
          <w:szCs w:val="22"/>
        </w:rPr>
        <w:t xml:space="preserve">Continued processing cannot be requested before the relevant time limit has expired.  </w:t>
      </w:r>
    </w:p>
    <w:p w:rsidR="00362B5A" w:rsidRDefault="00362B5A" w:rsidP="00933CC8">
      <w:pPr>
        <w:autoSpaceDE w:val="0"/>
        <w:autoSpaceDN w:val="0"/>
        <w:adjustRightInd w:val="0"/>
        <w:rPr>
          <w:szCs w:val="22"/>
        </w:rPr>
      </w:pPr>
    </w:p>
    <w:p w:rsidR="00796E07" w:rsidRDefault="00362B5A" w:rsidP="00933CC8">
      <w:pPr>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t xml:space="preserve">A request for continued processing that does not meet the previously mentioned requirements </w:t>
      </w:r>
      <w:r w:rsidR="00796E07">
        <w:rPr>
          <w:szCs w:val="22"/>
        </w:rPr>
        <w:t xml:space="preserve">shall not be considered as such and the International Bureau will </w:t>
      </w:r>
      <w:r w:rsidR="00F8364A">
        <w:rPr>
          <w:szCs w:val="22"/>
        </w:rPr>
        <w:t xml:space="preserve">notify </w:t>
      </w:r>
      <w:r w:rsidR="00796E07">
        <w:rPr>
          <w:szCs w:val="22"/>
        </w:rPr>
        <w:t xml:space="preserve">the applicant or holder accordingly.  </w:t>
      </w:r>
    </w:p>
    <w:p w:rsidR="00796E07" w:rsidRDefault="00796E07" w:rsidP="00933CC8">
      <w:pPr>
        <w:autoSpaceDE w:val="0"/>
        <w:autoSpaceDN w:val="0"/>
        <w:adjustRightInd w:val="0"/>
        <w:rPr>
          <w:szCs w:val="22"/>
        </w:rPr>
      </w:pPr>
    </w:p>
    <w:p w:rsidR="006C77A7" w:rsidRDefault="00796E07" w:rsidP="00933CC8">
      <w:pPr>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t xml:space="preserve">The International Bureau </w:t>
      </w:r>
      <w:r w:rsidR="006C77A7">
        <w:rPr>
          <w:szCs w:val="22"/>
        </w:rPr>
        <w:t>shall</w:t>
      </w:r>
      <w:r>
        <w:rPr>
          <w:szCs w:val="22"/>
        </w:rPr>
        <w:t xml:space="preserve"> continue to process the international application, subsequent designation, request or payment </w:t>
      </w:r>
      <w:r w:rsidR="006C77A7">
        <w:rPr>
          <w:szCs w:val="22"/>
        </w:rPr>
        <w:t xml:space="preserve">in respect of which a request for continued processing has been received in order.  The International Bureau will record this fact in the International Register and notify the applicant or holder accordingly.  </w:t>
      </w:r>
    </w:p>
    <w:p w:rsidR="006C77A7" w:rsidRDefault="006C77A7" w:rsidP="00933CC8">
      <w:pPr>
        <w:autoSpaceDE w:val="0"/>
        <w:autoSpaceDN w:val="0"/>
        <w:adjustRightInd w:val="0"/>
        <w:rPr>
          <w:szCs w:val="22"/>
        </w:rPr>
      </w:pPr>
    </w:p>
    <w:p w:rsidR="00362B5A" w:rsidRDefault="001D0ACC" w:rsidP="00933CC8">
      <w:pPr>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t xml:space="preserve">Following </w:t>
      </w:r>
      <w:r w:rsidR="00593591">
        <w:rPr>
          <w:szCs w:val="22"/>
        </w:rPr>
        <w:t xml:space="preserve">the recording of </w:t>
      </w:r>
      <w:r>
        <w:rPr>
          <w:szCs w:val="22"/>
        </w:rPr>
        <w:t xml:space="preserve">continued processing, licenses </w:t>
      </w:r>
      <w:r w:rsidR="00C86A22">
        <w:rPr>
          <w:szCs w:val="22"/>
        </w:rPr>
        <w:t>recorded under Rule</w:t>
      </w:r>
      <w:r w:rsidR="00593591">
        <w:rPr>
          <w:szCs w:val="22"/>
        </w:rPr>
        <w:t> </w:t>
      </w:r>
      <w:r w:rsidR="00C86A22">
        <w:rPr>
          <w:szCs w:val="22"/>
        </w:rPr>
        <w:t>20</w:t>
      </w:r>
      <w:r w:rsidR="00C86A22" w:rsidRPr="00C86A22">
        <w:rPr>
          <w:i/>
          <w:szCs w:val="22"/>
        </w:rPr>
        <w:t>bis</w:t>
      </w:r>
      <w:r w:rsidR="00C86A22">
        <w:rPr>
          <w:szCs w:val="22"/>
        </w:rPr>
        <w:t>(3) of the Common Regulations and changes and cancellations recorded under Rule</w:t>
      </w:r>
      <w:r w:rsidR="00593591">
        <w:rPr>
          <w:szCs w:val="22"/>
        </w:rPr>
        <w:t> </w:t>
      </w:r>
      <w:r w:rsidR="00C86A22">
        <w:rPr>
          <w:szCs w:val="22"/>
        </w:rPr>
        <w:t xml:space="preserve">27(1) of the Common Regulations shall be recorded with the date on which the time limit to </w:t>
      </w:r>
      <w:r w:rsidR="008A701D">
        <w:rPr>
          <w:szCs w:val="22"/>
        </w:rPr>
        <w:t xml:space="preserve">comply with </w:t>
      </w:r>
      <w:r w:rsidR="00C86A22">
        <w:rPr>
          <w:szCs w:val="22"/>
        </w:rPr>
        <w:t xml:space="preserve">the corresponding </w:t>
      </w:r>
      <w:r w:rsidR="008A701D">
        <w:rPr>
          <w:szCs w:val="22"/>
        </w:rPr>
        <w:t>requirement</w:t>
      </w:r>
      <w:r w:rsidR="00593591">
        <w:rPr>
          <w:szCs w:val="22"/>
        </w:rPr>
        <w:t xml:space="preserve"> expired.  </w:t>
      </w:r>
    </w:p>
    <w:p w:rsidR="00A0256B" w:rsidRDefault="00A0256B" w:rsidP="00933CC8">
      <w:pPr>
        <w:autoSpaceDE w:val="0"/>
        <w:autoSpaceDN w:val="0"/>
        <w:adjustRightInd w:val="0"/>
        <w:rPr>
          <w:szCs w:val="22"/>
        </w:rPr>
      </w:pPr>
    </w:p>
    <w:p w:rsidR="00A0256B" w:rsidRDefault="00A0256B" w:rsidP="00933CC8">
      <w:pPr>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t>Continue</w:t>
      </w:r>
      <w:r w:rsidR="00770A00">
        <w:rPr>
          <w:szCs w:val="22"/>
        </w:rPr>
        <w:t>d</w:t>
      </w:r>
      <w:r>
        <w:rPr>
          <w:szCs w:val="22"/>
        </w:rPr>
        <w:t xml:space="preserve"> processing may be requested where the time limit </w:t>
      </w:r>
      <w:r w:rsidR="00061C20">
        <w:rPr>
          <w:szCs w:val="22"/>
        </w:rPr>
        <w:t>to comply</w:t>
      </w:r>
      <w:r w:rsidR="008A701D">
        <w:rPr>
          <w:szCs w:val="22"/>
        </w:rPr>
        <w:t xml:space="preserve"> with the concerned requirements</w:t>
      </w:r>
      <w:r w:rsidR="00061C20">
        <w:rPr>
          <w:szCs w:val="22"/>
        </w:rPr>
        <w:t xml:space="preserve"> </w:t>
      </w:r>
      <w:r>
        <w:rPr>
          <w:szCs w:val="22"/>
        </w:rPr>
        <w:t>expire</w:t>
      </w:r>
      <w:r w:rsidR="00061C20">
        <w:rPr>
          <w:szCs w:val="22"/>
        </w:rPr>
        <w:t>s</w:t>
      </w:r>
      <w:r>
        <w:rPr>
          <w:szCs w:val="22"/>
        </w:rPr>
        <w:t xml:space="preserve"> on or after January</w:t>
      </w:r>
      <w:r w:rsidR="00593591">
        <w:rPr>
          <w:szCs w:val="22"/>
        </w:rPr>
        <w:t> </w:t>
      </w:r>
      <w:r>
        <w:rPr>
          <w:szCs w:val="22"/>
        </w:rPr>
        <w:t>1,</w:t>
      </w:r>
      <w:r w:rsidR="00593591">
        <w:rPr>
          <w:szCs w:val="22"/>
        </w:rPr>
        <w:t> </w:t>
      </w:r>
      <w:r>
        <w:rPr>
          <w:szCs w:val="22"/>
        </w:rPr>
        <w:t xml:space="preserve">2015.  </w:t>
      </w:r>
    </w:p>
    <w:p w:rsidR="005D0B23" w:rsidRDefault="005D0B23" w:rsidP="00933CC8">
      <w:pPr>
        <w:autoSpaceDE w:val="0"/>
        <w:autoSpaceDN w:val="0"/>
        <w:adjustRightInd w:val="0"/>
        <w:rPr>
          <w:szCs w:val="22"/>
        </w:rPr>
      </w:pPr>
    </w:p>
    <w:p w:rsidR="005D0B23" w:rsidRPr="00834884" w:rsidRDefault="00593591" w:rsidP="00593591">
      <w:pPr>
        <w:pStyle w:val="Heading3"/>
      </w:pPr>
      <w:r>
        <w:t>Amendments to Rule </w:t>
      </w:r>
      <w:r w:rsidR="005D0B23" w:rsidRPr="00834884">
        <w:t>30</w:t>
      </w:r>
      <w:r w:rsidR="009179B4">
        <w:t xml:space="preserve"> of the Common Regulations:</w:t>
      </w:r>
      <w:r w:rsidR="005D0B23" w:rsidRPr="00834884">
        <w:t xml:space="preserve"> </w:t>
      </w:r>
      <w:r>
        <w:t xml:space="preserve"> </w:t>
      </w:r>
      <w:r w:rsidR="009179B4">
        <w:t>Details Concerning Renewal</w:t>
      </w:r>
    </w:p>
    <w:p w:rsidR="005D0B23" w:rsidRDefault="005D0B23" w:rsidP="00933CC8">
      <w:pPr>
        <w:autoSpaceDE w:val="0"/>
        <w:autoSpaceDN w:val="0"/>
        <w:adjustRightInd w:val="0"/>
        <w:rPr>
          <w:szCs w:val="22"/>
        </w:rPr>
      </w:pPr>
    </w:p>
    <w:p w:rsidR="005D0B23" w:rsidRDefault="00B64468" w:rsidP="00933CC8">
      <w:pPr>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r>
      <w:r w:rsidR="00E12773">
        <w:rPr>
          <w:szCs w:val="22"/>
        </w:rPr>
        <w:t>A</w:t>
      </w:r>
      <w:r>
        <w:rPr>
          <w:szCs w:val="22"/>
        </w:rPr>
        <w:t xml:space="preserve">mendments to Rule 30 of the Common Regulations </w:t>
      </w:r>
      <w:r w:rsidR="009179B4">
        <w:rPr>
          <w:szCs w:val="22"/>
        </w:rPr>
        <w:t xml:space="preserve">will </w:t>
      </w:r>
      <w:r>
        <w:rPr>
          <w:szCs w:val="22"/>
        </w:rPr>
        <w:t xml:space="preserve">change the manner in which an international registration </w:t>
      </w:r>
      <w:r w:rsidR="00E12773">
        <w:rPr>
          <w:szCs w:val="22"/>
        </w:rPr>
        <w:t>is</w:t>
      </w:r>
      <w:r w:rsidR="009179B4">
        <w:rPr>
          <w:szCs w:val="22"/>
        </w:rPr>
        <w:t xml:space="preserve"> </w:t>
      </w:r>
      <w:r w:rsidR="00593591">
        <w:rPr>
          <w:szCs w:val="22"/>
        </w:rPr>
        <w:t xml:space="preserve">renewed.  </w:t>
      </w:r>
    </w:p>
    <w:p w:rsidR="00B64468" w:rsidRDefault="00B64468" w:rsidP="00933CC8">
      <w:pPr>
        <w:autoSpaceDE w:val="0"/>
        <w:autoSpaceDN w:val="0"/>
        <w:adjustRightInd w:val="0"/>
        <w:rPr>
          <w:szCs w:val="22"/>
        </w:rPr>
      </w:pPr>
    </w:p>
    <w:p w:rsidR="00B64468" w:rsidRDefault="00B64468" w:rsidP="00933CC8">
      <w:pPr>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t>Following a decision recorded under Rule</w:t>
      </w:r>
      <w:r w:rsidR="00593591">
        <w:rPr>
          <w:szCs w:val="22"/>
        </w:rPr>
        <w:t> </w:t>
      </w:r>
      <w:r>
        <w:rPr>
          <w:szCs w:val="22"/>
        </w:rPr>
        <w:t>18</w:t>
      </w:r>
      <w:r w:rsidRPr="00B64468">
        <w:rPr>
          <w:i/>
          <w:szCs w:val="22"/>
        </w:rPr>
        <w:t>ter</w:t>
      </w:r>
      <w:r>
        <w:rPr>
          <w:szCs w:val="22"/>
        </w:rPr>
        <w:t>(5)</w:t>
      </w:r>
      <w:r w:rsidR="00E05D9A">
        <w:rPr>
          <w:szCs w:val="22"/>
        </w:rPr>
        <w:t xml:space="preserve"> and without any further instruction from the holder</w:t>
      </w:r>
      <w:r>
        <w:rPr>
          <w:szCs w:val="22"/>
        </w:rPr>
        <w:t xml:space="preserve">, an international registration </w:t>
      </w:r>
      <w:r w:rsidR="00A2245A">
        <w:rPr>
          <w:szCs w:val="22"/>
        </w:rPr>
        <w:t>wil</w:t>
      </w:r>
      <w:r>
        <w:rPr>
          <w:szCs w:val="22"/>
        </w:rPr>
        <w:t xml:space="preserve">l be renewed </w:t>
      </w:r>
      <w:r w:rsidR="00C34504">
        <w:rPr>
          <w:szCs w:val="22"/>
        </w:rPr>
        <w:t xml:space="preserve">only </w:t>
      </w:r>
      <w:r>
        <w:rPr>
          <w:szCs w:val="22"/>
        </w:rPr>
        <w:t>for the goods and services</w:t>
      </w:r>
      <w:r w:rsidR="00DD7DFC">
        <w:rPr>
          <w:szCs w:val="22"/>
        </w:rPr>
        <w:t xml:space="preserve"> that are</w:t>
      </w:r>
      <w:r>
        <w:rPr>
          <w:szCs w:val="22"/>
        </w:rPr>
        <w:t xml:space="preserve"> effectively protected</w:t>
      </w:r>
      <w:r w:rsidR="00CE2130">
        <w:rPr>
          <w:szCs w:val="22"/>
        </w:rPr>
        <w:t>, if any,</w:t>
      </w:r>
      <w:r>
        <w:rPr>
          <w:szCs w:val="22"/>
        </w:rPr>
        <w:t xml:space="preserve"> in respect of the designated Contracting Party concerned.</w:t>
      </w:r>
      <w:r w:rsidR="00C34504">
        <w:rPr>
          <w:szCs w:val="22"/>
        </w:rPr>
        <w:t xml:space="preserve">  </w:t>
      </w:r>
    </w:p>
    <w:p w:rsidR="007742C7" w:rsidRDefault="007742C7" w:rsidP="00933CC8">
      <w:pPr>
        <w:autoSpaceDE w:val="0"/>
        <w:autoSpaceDN w:val="0"/>
        <w:adjustRightInd w:val="0"/>
        <w:rPr>
          <w:szCs w:val="22"/>
        </w:rPr>
      </w:pPr>
    </w:p>
    <w:p w:rsidR="007742C7" w:rsidRPr="007742C7" w:rsidRDefault="007742C7" w:rsidP="007742C7">
      <w:pPr>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r>
      <w:r w:rsidRPr="007742C7">
        <w:rPr>
          <w:szCs w:val="22"/>
        </w:rPr>
        <w:t>The holder may still use form</w:t>
      </w:r>
      <w:r>
        <w:rPr>
          <w:szCs w:val="22"/>
        </w:rPr>
        <w:t> </w:t>
      </w:r>
      <w:r w:rsidRPr="007742C7">
        <w:rPr>
          <w:szCs w:val="22"/>
        </w:rPr>
        <w:t xml:space="preserve">MM11 (see </w:t>
      </w:r>
      <w:r w:rsidR="00F94DD2">
        <w:rPr>
          <w:szCs w:val="22"/>
        </w:rPr>
        <w:t>A</w:t>
      </w:r>
      <w:r w:rsidRPr="007742C7">
        <w:rPr>
          <w:szCs w:val="22"/>
        </w:rPr>
        <w:t>nnex IV) to request the renewal of an international registration.  Th</w:t>
      </w:r>
      <w:r>
        <w:rPr>
          <w:szCs w:val="22"/>
        </w:rPr>
        <w:t>e holder must indicate, in item </w:t>
      </w:r>
      <w:r w:rsidRPr="007742C7">
        <w:rPr>
          <w:szCs w:val="22"/>
        </w:rPr>
        <w:t xml:space="preserve">3 of this form, </w:t>
      </w:r>
      <w:r w:rsidRPr="007742C7">
        <w:rPr>
          <w:b/>
          <w:bCs/>
          <w:i/>
          <w:iCs/>
          <w:szCs w:val="22"/>
          <w:u w:val="single"/>
        </w:rPr>
        <w:t>all</w:t>
      </w:r>
      <w:r w:rsidRPr="007742C7">
        <w:rPr>
          <w:szCs w:val="22"/>
        </w:rPr>
        <w:t xml:space="preserve"> the designated Contracting Parties in respect of which the international registration shall be renewed by ticking the boxes corresponding to those Contracting Parties.  </w:t>
      </w:r>
    </w:p>
    <w:p w:rsidR="00C34504" w:rsidRDefault="00C34504" w:rsidP="00933CC8">
      <w:pPr>
        <w:autoSpaceDE w:val="0"/>
        <w:autoSpaceDN w:val="0"/>
        <w:adjustRightInd w:val="0"/>
        <w:rPr>
          <w:szCs w:val="22"/>
        </w:rPr>
      </w:pPr>
    </w:p>
    <w:p w:rsidR="00C34504" w:rsidRDefault="00C34504" w:rsidP="00933CC8">
      <w:pPr>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t xml:space="preserve">The holder may still choose to renew an international registration for all the </w:t>
      </w:r>
      <w:r w:rsidR="00AB5138">
        <w:rPr>
          <w:szCs w:val="22"/>
        </w:rPr>
        <w:t>concerned</w:t>
      </w:r>
      <w:r>
        <w:rPr>
          <w:szCs w:val="22"/>
        </w:rPr>
        <w:t xml:space="preserve"> goods and services in respect of a </w:t>
      </w:r>
      <w:r w:rsidR="00314B0E">
        <w:rPr>
          <w:szCs w:val="22"/>
        </w:rPr>
        <w:t xml:space="preserve">designated </w:t>
      </w:r>
      <w:r>
        <w:rPr>
          <w:szCs w:val="22"/>
        </w:rPr>
        <w:t>Contracting Party where protection</w:t>
      </w:r>
      <w:r w:rsidR="005D08B3">
        <w:rPr>
          <w:szCs w:val="22"/>
        </w:rPr>
        <w:t xml:space="preserve"> to the mark</w:t>
      </w:r>
      <w:r>
        <w:rPr>
          <w:szCs w:val="22"/>
        </w:rPr>
        <w:t xml:space="preserve"> has been totally or partially refused.  This may be </w:t>
      </w:r>
      <w:r w:rsidR="00E05D9A">
        <w:rPr>
          <w:szCs w:val="22"/>
        </w:rPr>
        <w:t>necessary where</w:t>
      </w:r>
      <w:r>
        <w:rPr>
          <w:szCs w:val="22"/>
        </w:rPr>
        <w:t xml:space="preserve"> the outcome of further proceedings in that Contracting Party</w:t>
      </w:r>
      <w:r w:rsidR="00E05D9A">
        <w:rPr>
          <w:szCs w:val="22"/>
        </w:rPr>
        <w:t xml:space="preserve"> is still pending</w:t>
      </w:r>
      <w:r>
        <w:rPr>
          <w:szCs w:val="22"/>
        </w:rPr>
        <w:t xml:space="preserve">.  </w:t>
      </w:r>
    </w:p>
    <w:p w:rsidR="00C34504" w:rsidRDefault="00C34504" w:rsidP="00933CC8">
      <w:pPr>
        <w:autoSpaceDE w:val="0"/>
        <w:autoSpaceDN w:val="0"/>
        <w:adjustRightInd w:val="0"/>
        <w:rPr>
          <w:szCs w:val="22"/>
        </w:rPr>
      </w:pPr>
    </w:p>
    <w:p w:rsidR="00C34504" w:rsidRDefault="00F46336" w:rsidP="00933CC8">
      <w:pPr>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t>Where protection</w:t>
      </w:r>
      <w:r w:rsidR="005D08B3">
        <w:rPr>
          <w:szCs w:val="22"/>
        </w:rPr>
        <w:t xml:space="preserve"> to the mark</w:t>
      </w:r>
      <w:r>
        <w:rPr>
          <w:szCs w:val="22"/>
        </w:rPr>
        <w:t xml:space="preserve"> has been totally refused in a designated Contracting Party and the holder wishes to renew </w:t>
      </w:r>
      <w:r w:rsidR="005D08B3">
        <w:rPr>
          <w:szCs w:val="22"/>
        </w:rPr>
        <w:t>the international registration in respect of this Contracting Party</w:t>
      </w:r>
      <w:r>
        <w:rPr>
          <w:szCs w:val="22"/>
        </w:rPr>
        <w:t>, he m</w:t>
      </w:r>
      <w:r w:rsidR="005D08B3">
        <w:rPr>
          <w:szCs w:val="22"/>
        </w:rPr>
        <w:t>ust</w:t>
      </w:r>
      <w:r>
        <w:rPr>
          <w:szCs w:val="22"/>
        </w:rPr>
        <w:t xml:space="preserve"> indicate so in item</w:t>
      </w:r>
      <w:r w:rsidR="00593591">
        <w:rPr>
          <w:szCs w:val="22"/>
        </w:rPr>
        <w:t> </w:t>
      </w:r>
      <w:r>
        <w:rPr>
          <w:szCs w:val="22"/>
        </w:rPr>
        <w:t>3 of form</w:t>
      </w:r>
      <w:r w:rsidR="00593591">
        <w:rPr>
          <w:szCs w:val="22"/>
        </w:rPr>
        <w:t> </w:t>
      </w:r>
      <w:r>
        <w:rPr>
          <w:szCs w:val="22"/>
        </w:rPr>
        <w:t xml:space="preserve">MM11 by ticking the box corresponding to the </w:t>
      </w:r>
      <w:r w:rsidR="00AB5138">
        <w:rPr>
          <w:szCs w:val="22"/>
        </w:rPr>
        <w:t xml:space="preserve">designated </w:t>
      </w:r>
      <w:r>
        <w:rPr>
          <w:szCs w:val="22"/>
        </w:rPr>
        <w:t xml:space="preserve">Contracting Party concerned.  </w:t>
      </w:r>
      <w:r w:rsidR="005D08B3">
        <w:rPr>
          <w:szCs w:val="22"/>
        </w:rPr>
        <w:t xml:space="preserve">The registration will be renewed for all the </w:t>
      </w:r>
      <w:r w:rsidR="00AB5138">
        <w:rPr>
          <w:szCs w:val="22"/>
        </w:rPr>
        <w:t>concerned</w:t>
      </w:r>
      <w:r w:rsidR="005D08B3">
        <w:rPr>
          <w:szCs w:val="22"/>
        </w:rPr>
        <w:t xml:space="preserve"> goods and services in respect of that Contracting Party.  </w:t>
      </w:r>
    </w:p>
    <w:p w:rsidR="005D08B3" w:rsidRDefault="005D08B3" w:rsidP="00933CC8">
      <w:pPr>
        <w:autoSpaceDE w:val="0"/>
        <w:autoSpaceDN w:val="0"/>
        <w:adjustRightInd w:val="0"/>
        <w:rPr>
          <w:szCs w:val="22"/>
        </w:rPr>
      </w:pPr>
    </w:p>
    <w:p w:rsidR="005D08B3" w:rsidRDefault="005D08B3" w:rsidP="00933CC8">
      <w:pPr>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t>Where protection to the mark has been partially refused in</w:t>
      </w:r>
      <w:r w:rsidR="005766EE">
        <w:rPr>
          <w:szCs w:val="22"/>
        </w:rPr>
        <w:t xml:space="preserve"> a designated Contracting Party</w:t>
      </w:r>
      <w:r>
        <w:rPr>
          <w:szCs w:val="22"/>
        </w:rPr>
        <w:t xml:space="preserve"> and the holder wishes to renew the international registration for all the </w:t>
      </w:r>
      <w:r w:rsidR="00AB5138">
        <w:rPr>
          <w:szCs w:val="22"/>
        </w:rPr>
        <w:t>concerned</w:t>
      </w:r>
      <w:r>
        <w:rPr>
          <w:szCs w:val="22"/>
        </w:rPr>
        <w:t xml:space="preserve"> goods and services in respect of this Contracting Part</w:t>
      </w:r>
      <w:r w:rsidR="00593591">
        <w:rPr>
          <w:szCs w:val="22"/>
        </w:rPr>
        <w:t>y, he must indicate so in items </w:t>
      </w:r>
      <w:r>
        <w:rPr>
          <w:szCs w:val="22"/>
        </w:rPr>
        <w:t>3 and</w:t>
      </w:r>
      <w:r w:rsidR="00593591">
        <w:rPr>
          <w:szCs w:val="22"/>
        </w:rPr>
        <w:t> </w:t>
      </w:r>
      <w:r>
        <w:rPr>
          <w:szCs w:val="22"/>
        </w:rPr>
        <w:t>4 of form</w:t>
      </w:r>
      <w:r w:rsidR="00593591">
        <w:rPr>
          <w:szCs w:val="22"/>
        </w:rPr>
        <w:t> </w:t>
      </w:r>
      <w:r>
        <w:rPr>
          <w:szCs w:val="22"/>
        </w:rPr>
        <w:t xml:space="preserve">MM11, by ticking, in both items, the boxes corresponding to the </w:t>
      </w:r>
      <w:r w:rsidR="003D491A">
        <w:rPr>
          <w:szCs w:val="22"/>
        </w:rPr>
        <w:t xml:space="preserve">designated </w:t>
      </w:r>
      <w:r>
        <w:rPr>
          <w:szCs w:val="22"/>
        </w:rPr>
        <w:t xml:space="preserve">Contracting Party concerned.  </w:t>
      </w:r>
    </w:p>
    <w:p w:rsidR="005D08B3" w:rsidRDefault="005D08B3" w:rsidP="00933CC8">
      <w:pPr>
        <w:autoSpaceDE w:val="0"/>
        <w:autoSpaceDN w:val="0"/>
        <w:adjustRightInd w:val="0"/>
        <w:rPr>
          <w:szCs w:val="22"/>
        </w:rPr>
      </w:pPr>
    </w:p>
    <w:p w:rsidR="005D08B3" w:rsidRPr="00933CC8" w:rsidRDefault="005D08B3" w:rsidP="007742C7">
      <w:pPr>
        <w:keepNext/>
        <w:keepLines/>
        <w:autoSpaceDE w:val="0"/>
        <w:autoSpaceDN w:val="0"/>
        <w:adjustRightInd w:val="0"/>
        <w:rPr>
          <w:szCs w:val="22"/>
        </w:rPr>
      </w:pPr>
      <w:r>
        <w:rPr>
          <w:szCs w:val="22"/>
        </w:rPr>
        <w:lastRenderedPageBreak/>
        <w:fldChar w:fldCharType="begin"/>
      </w:r>
      <w:r>
        <w:rPr>
          <w:szCs w:val="22"/>
        </w:rPr>
        <w:instrText xml:space="preserve"> AUTONUM  </w:instrText>
      </w:r>
      <w:r>
        <w:rPr>
          <w:szCs w:val="22"/>
        </w:rPr>
        <w:fldChar w:fldCharType="end"/>
      </w:r>
      <w:r>
        <w:rPr>
          <w:szCs w:val="22"/>
        </w:rPr>
        <w:tab/>
        <w:t>The way in which a holder chooses to renew an international registration will have an impact on the amount of the renewal fee due in respect of a designated Contracting Party that has made a declaration to receive an individual fee, where this individual fee</w:t>
      </w:r>
      <w:r w:rsidR="00CD714C">
        <w:rPr>
          <w:szCs w:val="22"/>
        </w:rPr>
        <w:t xml:space="preserve"> ought to be calculated taking into account the number of classes</w:t>
      </w:r>
      <w:r w:rsidR="0042395B">
        <w:rPr>
          <w:szCs w:val="22"/>
        </w:rPr>
        <w:t xml:space="preserve"> of the </w:t>
      </w:r>
      <w:r w:rsidR="00344BDD">
        <w:rPr>
          <w:szCs w:val="22"/>
        </w:rPr>
        <w:t>I</w:t>
      </w:r>
      <w:r w:rsidR="0042395B">
        <w:rPr>
          <w:szCs w:val="22"/>
        </w:rPr>
        <w:t xml:space="preserve">nternational </w:t>
      </w:r>
      <w:r w:rsidR="00344BDD">
        <w:rPr>
          <w:szCs w:val="22"/>
        </w:rPr>
        <w:t>C</w:t>
      </w:r>
      <w:r w:rsidR="0042395B">
        <w:rPr>
          <w:szCs w:val="22"/>
        </w:rPr>
        <w:t xml:space="preserve">lassification of </w:t>
      </w:r>
      <w:r w:rsidR="00344BDD">
        <w:rPr>
          <w:szCs w:val="22"/>
        </w:rPr>
        <w:t>G</w:t>
      </w:r>
      <w:r w:rsidR="0042395B">
        <w:rPr>
          <w:szCs w:val="22"/>
        </w:rPr>
        <w:t xml:space="preserve">oods and </w:t>
      </w:r>
      <w:r w:rsidR="00344BDD">
        <w:rPr>
          <w:szCs w:val="22"/>
        </w:rPr>
        <w:t>S</w:t>
      </w:r>
      <w:r w:rsidR="0042395B">
        <w:rPr>
          <w:szCs w:val="22"/>
        </w:rPr>
        <w:t>ervices (the Nice Classification)</w:t>
      </w:r>
      <w:r w:rsidR="00CD714C">
        <w:rPr>
          <w:szCs w:val="22"/>
        </w:rPr>
        <w:t xml:space="preserve"> for which renewal is sought.  </w:t>
      </w:r>
    </w:p>
    <w:p w:rsidR="009E4372" w:rsidRDefault="009E4372" w:rsidP="00CD330E">
      <w:pPr>
        <w:autoSpaceDE w:val="0"/>
        <w:autoSpaceDN w:val="0"/>
        <w:adjustRightInd w:val="0"/>
        <w:rPr>
          <w:szCs w:val="22"/>
        </w:rPr>
      </w:pPr>
    </w:p>
    <w:p w:rsidR="00834884" w:rsidRDefault="00593591" w:rsidP="00CD330E">
      <w:pPr>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r>
      <w:r w:rsidR="0000378D">
        <w:rPr>
          <w:szCs w:val="22"/>
        </w:rPr>
        <w:t>The amendment</w:t>
      </w:r>
      <w:r w:rsidR="00BB1F10">
        <w:rPr>
          <w:szCs w:val="22"/>
        </w:rPr>
        <w:t>s</w:t>
      </w:r>
      <w:r>
        <w:rPr>
          <w:szCs w:val="22"/>
        </w:rPr>
        <w:t xml:space="preserve"> to Rule </w:t>
      </w:r>
      <w:r w:rsidR="0000378D">
        <w:rPr>
          <w:szCs w:val="22"/>
        </w:rPr>
        <w:t>30 of the Common Regulations appl</w:t>
      </w:r>
      <w:r w:rsidR="00BB1F10">
        <w:rPr>
          <w:szCs w:val="22"/>
        </w:rPr>
        <w:t>y</w:t>
      </w:r>
      <w:r w:rsidR="0000378D">
        <w:rPr>
          <w:szCs w:val="22"/>
        </w:rPr>
        <w:t xml:space="preserve"> to international registrations </w:t>
      </w:r>
      <w:r w:rsidR="00A43E23">
        <w:rPr>
          <w:szCs w:val="22"/>
        </w:rPr>
        <w:t xml:space="preserve">for which renewal is </w:t>
      </w:r>
      <w:r w:rsidR="00A72767">
        <w:rPr>
          <w:szCs w:val="22"/>
        </w:rPr>
        <w:t>requested</w:t>
      </w:r>
      <w:r w:rsidR="0000378D">
        <w:rPr>
          <w:szCs w:val="22"/>
        </w:rPr>
        <w:t xml:space="preserve"> on or after</w:t>
      </w:r>
      <w:r>
        <w:rPr>
          <w:szCs w:val="22"/>
        </w:rPr>
        <w:t> </w:t>
      </w:r>
      <w:r w:rsidR="0000378D">
        <w:rPr>
          <w:szCs w:val="22"/>
        </w:rPr>
        <w:t>January</w:t>
      </w:r>
      <w:r>
        <w:rPr>
          <w:szCs w:val="22"/>
        </w:rPr>
        <w:t> </w:t>
      </w:r>
      <w:r w:rsidR="0000378D">
        <w:rPr>
          <w:szCs w:val="22"/>
        </w:rPr>
        <w:t>1,</w:t>
      </w:r>
      <w:r>
        <w:rPr>
          <w:szCs w:val="22"/>
        </w:rPr>
        <w:t> </w:t>
      </w:r>
      <w:r w:rsidR="00A72767">
        <w:rPr>
          <w:szCs w:val="22"/>
        </w:rPr>
        <w:t>2015</w:t>
      </w:r>
      <w:r w:rsidR="00F94DD2">
        <w:rPr>
          <w:szCs w:val="22"/>
        </w:rPr>
        <w:t>,</w:t>
      </w:r>
      <w:r w:rsidR="00A72767">
        <w:rPr>
          <w:szCs w:val="22"/>
        </w:rPr>
        <w:t xml:space="preserve"> and for which </w:t>
      </w:r>
      <w:r w:rsidR="0021560B">
        <w:rPr>
          <w:szCs w:val="22"/>
        </w:rPr>
        <w:t xml:space="preserve">the said </w:t>
      </w:r>
      <w:r w:rsidR="00A72767">
        <w:rPr>
          <w:szCs w:val="22"/>
        </w:rPr>
        <w:t>renewal is due on or after that date</w:t>
      </w:r>
      <w:r w:rsidR="0000378D">
        <w:rPr>
          <w:szCs w:val="22"/>
        </w:rPr>
        <w:t xml:space="preserve">.  </w:t>
      </w:r>
    </w:p>
    <w:p w:rsidR="009179B4" w:rsidRDefault="009179B4" w:rsidP="00CD330E">
      <w:pPr>
        <w:autoSpaceDE w:val="0"/>
        <w:autoSpaceDN w:val="0"/>
        <w:adjustRightInd w:val="0"/>
        <w:rPr>
          <w:szCs w:val="22"/>
        </w:rPr>
      </w:pPr>
    </w:p>
    <w:p w:rsidR="009179B4" w:rsidRPr="009179B4" w:rsidRDefault="009179B4" w:rsidP="008A1761">
      <w:pPr>
        <w:pStyle w:val="Heading3"/>
      </w:pPr>
      <w:r w:rsidRPr="009179B4">
        <w:t>Amendment</w:t>
      </w:r>
      <w:r w:rsidR="00BB1F10">
        <w:t>s</w:t>
      </w:r>
      <w:r w:rsidRPr="009179B4">
        <w:t xml:space="preserve"> to Rule</w:t>
      </w:r>
      <w:r w:rsidR="008A1761">
        <w:t> </w:t>
      </w:r>
      <w:r w:rsidRPr="009179B4">
        <w:t>31 of the Common Regulations:  Recording of the Renewal</w:t>
      </w:r>
      <w:proofErr w:type="gramStart"/>
      <w:r w:rsidRPr="009179B4">
        <w:t xml:space="preserve">; </w:t>
      </w:r>
      <w:r w:rsidR="008A1761">
        <w:t xml:space="preserve"> </w:t>
      </w:r>
      <w:r w:rsidRPr="009179B4">
        <w:t>Notification</w:t>
      </w:r>
      <w:proofErr w:type="gramEnd"/>
      <w:r w:rsidRPr="009179B4">
        <w:t xml:space="preserve"> and Certificate</w:t>
      </w:r>
    </w:p>
    <w:p w:rsidR="009179B4" w:rsidRDefault="009179B4" w:rsidP="00CD330E">
      <w:pPr>
        <w:autoSpaceDE w:val="0"/>
        <w:autoSpaceDN w:val="0"/>
        <w:adjustRightInd w:val="0"/>
        <w:rPr>
          <w:szCs w:val="22"/>
        </w:rPr>
      </w:pPr>
    </w:p>
    <w:p w:rsidR="009179B4" w:rsidRDefault="009179B4" w:rsidP="00CD330E">
      <w:pPr>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r>
      <w:r w:rsidR="001D37F3">
        <w:rPr>
          <w:szCs w:val="22"/>
        </w:rPr>
        <w:t>A</w:t>
      </w:r>
      <w:r>
        <w:rPr>
          <w:szCs w:val="22"/>
        </w:rPr>
        <w:t>mendment</w:t>
      </w:r>
      <w:r w:rsidR="00BB1F10">
        <w:rPr>
          <w:szCs w:val="22"/>
        </w:rPr>
        <w:t>s</w:t>
      </w:r>
      <w:r>
        <w:rPr>
          <w:szCs w:val="22"/>
        </w:rPr>
        <w:t xml:space="preserve"> to Rule</w:t>
      </w:r>
      <w:r w:rsidR="008A1761">
        <w:rPr>
          <w:szCs w:val="22"/>
        </w:rPr>
        <w:t> </w:t>
      </w:r>
      <w:r>
        <w:rPr>
          <w:szCs w:val="22"/>
        </w:rPr>
        <w:t>3</w:t>
      </w:r>
      <w:r w:rsidR="00447931">
        <w:rPr>
          <w:szCs w:val="22"/>
        </w:rPr>
        <w:t>1</w:t>
      </w:r>
      <w:r>
        <w:rPr>
          <w:szCs w:val="22"/>
        </w:rPr>
        <w:t xml:space="preserve"> will provide for the sending of a notification to the holder and to his representative, if any, where an international registration has not been renewed </w:t>
      </w:r>
      <w:r w:rsidR="004653E5">
        <w:rPr>
          <w:szCs w:val="22"/>
        </w:rPr>
        <w:t>or</w:t>
      </w:r>
      <w:r>
        <w:rPr>
          <w:szCs w:val="22"/>
        </w:rPr>
        <w:t xml:space="preserve"> where it h</w:t>
      </w:r>
      <w:r w:rsidR="000B4DFD">
        <w:rPr>
          <w:szCs w:val="22"/>
        </w:rPr>
        <w:t>as not been renewed in respect of</w:t>
      </w:r>
      <w:r>
        <w:rPr>
          <w:szCs w:val="22"/>
        </w:rPr>
        <w:t xml:space="preserve"> a designated Contracting Party.</w:t>
      </w:r>
      <w:r w:rsidR="008A1761">
        <w:rPr>
          <w:szCs w:val="22"/>
        </w:rPr>
        <w:t xml:space="preserve">  </w:t>
      </w:r>
    </w:p>
    <w:p w:rsidR="009179B4" w:rsidRDefault="009179B4" w:rsidP="00CD330E">
      <w:pPr>
        <w:autoSpaceDE w:val="0"/>
        <w:autoSpaceDN w:val="0"/>
        <w:adjustRightInd w:val="0"/>
        <w:rPr>
          <w:szCs w:val="22"/>
        </w:rPr>
      </w:pPr>
    </w:p>
    <w:p w:rsidR="009179B4" w:rsidRDefault="009179B4" w:rsidP="00CD330E">
      <w:pPr>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t>The amendment</w:t>
      </w:r>
      <w:r w:rsidR="00BB1F10">
        <w:rPr>
          <w:szCs w:val="22"/>
        </w:rPr>
        <w:t>s</w:t>
      </w:r>
      <w:r>
        <w:rPr>
          <w:szCs w:val="22"/>
        </w:rPr>
        <w:t xml:space="preserve"> to Rule</w:t>
      </w:r>
      <w:r w:rsidR="008A1761">
        <w:rPr>
          <w:szCs w:val="22"/>
        </w:rPr>
        <w:t> </w:t>
      </w:r>
      <w:r>
        <w:rPr>
          <w:szCs w:val="22"/>
        </w:rPr>
        <w:t>31 of the Common Regulations appl</w:t>
      </w:r>
      <w:r w:rsidR="00BB1F10">
        <w:rPr>
          <w:szCs w:val="22"/>
        </w:rPr>
        <w:t>y</w:t>
      </w:r>
      <w:r>
        <w:rPr>
          <w:szCs w:val="22"/>
        </w:rPr>
        <w:t xml:space="preserve"> to international registrations </w:t>
      </w:r>
      <w:r w:rsidR="00A43E23">
        <w:rPr>
          <w:szCs w:val="22"/>
        </w:rPr>
        <w:t xml:space="preserve">for which renewal is due </w:t>
      </w:r>
      <w:r>
        <w:rPr>
          <w:szCs w:val="22"/>
        </w:rPr>
        <w:t>on or after January</w:t>
      </w:r>
      <w:r w:rsidR="008A1761">
        <w:rPr>
          <w:szCs w:val="22"/>
        </w:rPr>
        <w:t> </w:t>
      </w:r>
      <w:r>
        <w:rPr>
          <w:szCs w:val="22"/>
        </w:rPr>
        <w:t>1,</w:t>
      </w:r>
      <w:r w:rsidR="008A1761">
        <w:rPr>
          <w:szCs w:val="22"/>
        </w:rPr>
        <w:t> </w:t>
      </w:r>
      <w:r>
        <w:rPr>
          <w:szCs w:val="22"/>
        </w:rPr>
        <w:t xml:space="preserve">2015. </w:t>
      </w:r>
      <w:r w:rsidR="008A1761">
        <w:rPr>
          <w:szCs w:val="22"/>
        </w:rPr>
        <w:t xml:space="preserve"> </w:t>
      </w:r>
    </w:p>
    <w:p w:rsidR="008A1761" w:rsidRDefault="008A1761" w:rsidP="00CD330E">
      <w:pPr>
        <w:autoSpaceDE w:val="0"/>
        <w:autoSpaceDN w:val="0"/>
        <w:adjustRightInd w:val="0"/>
        <w:rPr>
          <w:szCs w:val="22"/>
        </w:rPr>
      </w:pPr>
    </w:p>
    <w:p w:rsidR="008A1761" w:rsidRDefault="008A1761" w:rsidP="008A1761">
      <w:pPr>
        <w:pStyle w:val="Default"/>
        <w:rPr>
          <w:sz w:val="22"/>
          <w:szCs w:val="22"/>
        </w:rPr>
      </w:pPr>
      <w:r>
        <w:rPr>
          <w:szCs w:val="22"/>
        </w:rPr>
        <w:fldChar w:fldCharType="begin"/>
      </w:r>
      <w:r>
        <w:rPr>
          <w:szCs w:val="22"/>
        </w:rPr>
        <w:instrText xml:space="preserve"> AUTONUM  </w:instrText>
      </w:r>
      <w:r>
        <w:rPr>
          <w:szCs w:val="22"/>
        </w:rPr>
        <w:fldChar w:fldCharType="end"/>
      </w:r>
      <w:r>
        <w:rPr>
          <w:szCs w:val="22"/>
        </w:rPr>
        <w:tab/>
      </w:r>
      <w:r>
        <w:rPr>
          <w:sz w:val="22"/>
          <w:szCs w:val="22"/>
        </w:rPr>
        <w:t>The amended text of the Common Regulations</w:t>
      </w:r>
      <w:r w:rsidR="00BA1910">
        <w:rPr>
          <w:sz w:val="22"/>
          <w:szCs w:val="22"/>
        </w:rPr>
        <w:t xml:space="preserve"> and the Schedule of Fees</w:t>
      </w:r>
      <w:r>
        <w:rPr>
          <w:sz w:val="22"/>
          <w:szCs w:val="22"/>
        </w:rPr>
        <w:t xml:space="preserve"> is reproduced in Annex</w:t>
      </w:r>
      <w:r w:rsidR="00BA1910">
        <w:rPr>
          <w:sz w:val="22"/>
          <w:szCs w:val="22"/>
        </w:rPr>
        <w:t>es</w:t>
      </w:r>
      <w:r>
        <w:rPr>
          <w:sz w:val="22"/>
          <w:szCs w:val="22"/>
        </w:rPr>
        <w:t xml:space="preserve"> I</w:t>
      </w:r>
      <w:r w:rsidR="00BA1910">
        <w:rPr>
          <w:sz w:val="22"/>
          <w:szCs w:val="22"/>
        </w:rPr>
        <w:t xml:space="preserve"> and II</w:t>
      </w:r>
      <w:r>
        <w:rPr>
          <w:sz w:val="22"/>
          <w:szCs w:val="22"/>
        </w:rPr>
        <w:t xml:space="preserve">.  </w:t>
      </w:r>
    </w:p>
    <w:p w:rsidR="008A1761" w:rsidRDefault="008A1761" w:rsidP="00CD330E">
      <w:pPr>
        <w:autoSpaceDE w:val="0"/>
        <w:autoSpaceDN w:val="0"/>
        <w:adjustRightInd w:val="0"/>
        <w:rPr>
          <w:szCs w:val="22"/>
        </w:rPr>
      </w:pPr>
    </w:p>
    <w:p w:rsidR="000E73ED" w:rsidRPr="00D409DF" w:rsidRDefault="000E73ED" w:rsidP="00CD330E"/>
    <w:p w:rsidR="003C2450" w:rsidRPr="00D409DF" w:rsidRDefault="003C2450" w:rsidP="00CD330E"/>
    <w:p w:rsidR="004936FC" w:rsidRDefault="009E4372" w:rsidP="00CD330E">
      <w:pPr>
        <w:pStyle w:val="Endofdocument-Annex"/>
      </w:pPr>
      <w:r>
        <w:t>December</w:t>
      </w:r>
      <w:r w:rsidR="00F94DD2">
        <w:t xml:space="preserve"> 18</w:t>
      </w:r>
      <w:bookmarkStart w:id="1" w:name="_GoBack"/>
      <w:bookmarkEnd w:id="1"/>
      <w:r w:rsidR="006F33FF" w:rsidRPr="00D409DF">
        <w:t>, 2014</w:t>
      </w:r>
    </w:p>
    <w:p w:rsidR="008A1761" w:rsidRDefault="008A1761" w:rsidP="00CD330E">
      <w:pPr>
        <w:pStyle w:val="Endofdocument-Annex"/>
      </w:pPr>
    </w:p>
    <w:p w:rsidR="008A1761" w:rsidRDefault="008A1761" w:rsidP="00CD330E">
      <w:pPr>
        <w:pStyle w:val="Endofdocument-Annex"/>
        <w:sectPr w:rsidR="008A1761" w:rsidSect="003C2450">
          <w:headerReference w:type="default" r:id="rId10"/>
          <w:endnotePr>
            <w:numFmt w:val="decimal"/>
          </w:endnotePr>
          <w:pgSz w:w="11907" w:h="16840" w:code="9"/>
          <w:pgMar w:top="567" w:right="1134" w:bottom="851" w:left="1418" w:header="510" w:footer="1021" w:gutter="0"/>
          <w:cols w:space="720"/>
          <w:titlePg/>
        </w:sectPr>
      </w:pPr>
    </w:p>
    <w:p w:rsidR="008A1761" w:rsidRPr="008A1761" w:rsidRDefault="008A1761" w:rsidP="008A1761">
      <w:pPr>
        <w:pStyle w:val="Endofdocument-Annex"/>
        <w:ind w:left="0"/>
        <w:jc w:val="center"/>
        <w:rPr>
          <w:b/>
        </w:rPr>
      </w:pPr>
      <w:r w:rsidRPr="008A1761">
        <w:rPr>
          <w:b/>
        </w:rPr>
        <w:t>Common Regulations under</w:t>
      </w:r>
    </w:p>
    <w:p w:rsidR="008A1761" w:rsidRPr="008A1761" w:rsidRDefault="008A1761" w:rsidP="008A1761">
      <w:pPr>
        <w:pStyle w:val="Endofdocument-Annex"/>
        <w:ind w:left="0"/>
        <w:jc w:val="center"/>
        <w:rPr>
          <w:b/>
        </w:rPr>
      </w:pPr>
      <w:proofErr w:type="gramStart"/>
      <w:r w:rsidRPr="008A1761">
        <w:rPr>
          <w:b/>
        </w:rPr>
        <w:t>the</w:t>
      </w:r>
      <w:proofErr w:type="gramEnd"/>
      <w:r w:rsidRPr="008A1761">
        <w:rPr>
          <w:b/>
        </w:rPr>
        <w:t xml:space="preserve"> </w:t>
      </w:r>
      <w:smartTag w:uri="urn:schemas-microsoft-com:office:smarttags" w:element="place">
        <w:smartTag w:uri="urn:schemas-microsoft-com:office:smarttags" w:element="State">
          <w:r w:rsidRPr="008A1761">
            <w:rPr>
              <w:b/>
            </w:rPr>
            <w:t>Madrid</w:t>
          </w:r>
        </w:smartTag>
      </w:smartTag>
      <w:r w:rsidRPr="008A1761">
        <w:rPr>
          <w:b/>
        </w:rPr>
        <w:t xml:space="preserve"> Agreement Concerning</w:t>
      </w:r>
    </w:p>
    <w:p w:rsidR="008A1761" w:rsidRPr="008A1761" w:rsidRDefault="008A1761" w:rsidP="008A1761">
      <w:pPr>
        <w:pStyle w:val="Endofdocument-Annex"/>
        <w:ind w:left="0"/>
        <w:jc w:val="center"/>
        <w:rPr>
          <w:b/>
        </w:rPr>
      </w:pPr>
      <w:proofErr w:type="gramStart"/>
      <w:r w:rsidRPr="008A1761">
        <w:rPr>
          <w:b/>
        </w:rPr>
        <w:t>the</w:t>
      </w:r>
      <w:proofErr w:type="gramEnd"/>
      <w:r w:rsidRPr="008A1761">
        <w:rPr>
          <w:b/>
        </w:rPr>
        <w:t xml:space="preserve"> International Registration of Marks</w:t>
      </w:r>
    </w:p>
    <w:p w:rsidR="008A1761" w:rsidRPr="008A1761" w:rsidRDefault="008A1761" w:rsidP="008A1761">
      <w:pPr>
        <w:pStyle w:val="Endofdocument-Annex"/>
        <w:ind w:left="0"/>
        <w:jc w:val="center"/>
      </w:pPr>
      <w:proofErr w:type="gramStart"/>
      <w:r w:rsidRPr="008A1761">
        <w:rPr>
          <w:b/>
        </w:rPr>
        <w:t>and</w:t>
      </w:r>
      <w:proofErr w:type="gramEnd"/>
      <w:r w:rsidRPr="008A1761">
        <w:rPr>
          <w:b/>
        </w:rPr>
        <w:t xml:space="preserve"> the Protocol Relating to that Agreement</w:t>
      </w:r>
    </w:p>
    <w:p w:rsidR="008A1761" w:rsidRPr="008A1761" w:rsidRDefault="008A1761" w:rsidP="008A1761">
      <w:pPr>
        <w:pStyle w:val="Endofdocument-Annex"/>
        <w:ind w:left="0"/>
        <w:jc w:val="center"/>
      </w:pPr>
    </w:p>
    <w:p w:rsidR="008A1761" w:rsidRPr="008A1761" w:rsidRDefault="008A1761" w:rsidP="008A1761">
      <w:pPr>
        <w:pStyle w:val="Endofdocument-Annex"/>
        <w:ind w:left="0"/>
        <w:jc w:val="center"/>
      </w:pPr>
      <w:r w:rsidRPr="008A1761">
        <w:t>(</w:t>
      </w:r>
      <w:proofErr w:type="gramStart"/>
      <w:r w:rsidRPr="008A1761">
        <w:t>as</w:t>
      </w:r>
      <w:proofErr w:type="gramEnd"/>
      <w:r w:rsidRPr="008A1761">
        <w:t xml:space="preserve"> in force on January 1, 2015)</w:t>
      </w:r>
    </w:p>
    <w:p w:rsidR="008A1761" w:rsidRPr="008A1761" w:rsidRDefault="008A1761" w:rsidP="008A1761">
      <w:pPr>
        <w:pStyle w:val="Endofdocument-Annex"/>
        <w:ind w:left="0"/>
        <w:jc w:val="center"/>
      </w:pPr>
    </w:p>
    <w:p w:rsidR="008A1761" w:rsidRPr="00795CA1" w:rsidRDefault="008A1761" w:rsidP="008A1761">
      <w:r>
        <w:t>[…]</w:t>
      </w:r>
    </w:p>
    <w:p w:rsidR="008A1761" w:rsidRDefault="008A1761" w:rsidP="008A1761">
      <w:pPr>
        <w:pStyle w:val="Endofdocument-Annex"/>
        <w:ind w:left="0"/>
      </w:pPr>
    </w:p>
    <w:p w:rsidR="008A1761" w:rsidRDefault="008A1761" w:rsidP="008A1761">
      <w:pPr>
        <w:pStyle w:val="Endofdocument-Annex"/>
        <w:ind w:left="0"/>
      </w:pPr>
    </w:p>
    <w:p w:rsidR="008A1761" w:rsidRDefault="008A1761" w:rsidP="008A1761">
      <w:pPr>
        <w:jc w:val="center"/>
        <w:rPr>
          <w:b/>
        </w:rPr>
      </w:pPr>
      <w:r>
        <w:rPr>
          <w:b/>
        </w:rPr>
        <w:t>Chapter 1</w:t>
      </w:r>
    </w:p>
    <w:p w:rsidR="008A1761" w:rsidRDefault="008A1761" w:rsidP="008A1761">
      <w:pPr>
        <w:jc w:val="center"/>
      </w:pPr>
      <w:r>
        <w:rPr>
          <w:b/>
        </w:rPr>
        <w:t>General Provisions</w:t>
      </w:r>
    </w:p>
    <w:p w:rsidR="008A1761" w:rsidRDefault="008A1761" w:rsidP="008A1761">
      <w:pPr>
        <w:jc w:val="center"/>
      </w:pPr>
    </w:p>
    <w:p w:rsidR="008A1761" w:rsidRPr="00795CA1" w:rsidRDefault="008A1761" w:rsidP="008A1761">
      <w:r>
        <w:tab/>
        <w:t>[…]</w:t>
      </w:r>
    </w:p>
    <w:p w:rsidR="008A1761" w:rsidRDefault="008A1761" w:rsidP="008A1761"/>
    <w:p w:rsidR="008A1761" w:rsidRDefault="008A1761" w:rsidP="008A1761"/>
    <w:p w:rsidR="008A1761" w:rsidRPr="00E40C21" w:rsidRDefault="008A1761" w:rsidP="008A1761">
      <w:pPr>
        <w:jc w:val="center"/>
        <w:rPr>
          <w:i/>
          <w:iCs/>
        </w:rPr>
      </w:pPr>
      <w:r>
        <w:rPr>
          <w:i/>
          <w:iCs/>
        </w:rPr>
        <w:t>Rule 5bis</w:t>
      </w:r>
    </w:p>
    <w:p w:rsidR="008A1761" w:rsidRPr="009B07EE" w:rsidRDefault="008A1761" w:rsidP="008A1761">
      <w:pPr>
        <w:jc w:val="center"/>
        <w:rPr>
          <w:i/>
        </w:rPr>
      </w:pPr>
      <w:r w:rsidRPr="009B07EE">
        <w:rPr>
          <w:i/>
        </w:rPr>
        <w:t>Continued Processing</w:t>
      </w:r>
    </w:p>
    <w:p w:rsidR="008A1761" w:rsidRDefault="008A1761" w:rsidP="008A1761">
      <w:pPr>
        <w:jc w:val="center"/>
      </w:pPr>
    </w:p>
    <w:p w:rsidR="008A1761" w:rsidRPr="00F9271C" w:rsidRDefault="008A1761" w:rsidP="008A1761">
      <w:pPr>
        <w:rPr>
          <w:lang w:val="en"/>
        </w:rPr>
      </w:pPr>
      <w:r>
        <w:tab/>
        <w:t>(1)</w:t>
      </w:r>
      <w:r>
        <w:tab/>
      </w:r>
      <w:r>
        <w:rPr>
          <w:i/>
        </w:rPr>
        <w:t>[Request]</w:t>
      </w:r>
      <w:proofErr w:type="gramStart"/>
      <w:r w:rsidRPr="000F3C7E">
        <w:t>  </w:t>
      </w:r>
      <w:r>
        <w:t>(</w:t>
      </w:r>
      <w:proofErr w:type="gramEnd"/>
      <w:r>
        <w:t>a)  </w:t>
      </w:r>
      <w:r w:rsidRPr="003356A1">
        <w:rPr>
          <w:lang w:val="en"/>
        </w:rPr>
        <w:t xml:space="preserve">Where an applicant or holder has failed to comply with </w:t>
      </w:r>
      <w:r>
        <w:rPr>
          <w:lang w:val="en"/>
        </w:rPr>
        <w:t xml:space="preserve">any of the </w:t>
      </w:r>
      <w:r w:rsidRPr="003356A1">
        <w:rPr>
          <w:lang w:val="en"/>
        </w:rPr>
        <w:t>time limit</w:t>
      </w:r>
      <w:r>
        <w:rPr>
          <w:lang w:val="en"/>
        </w:rPr>
        <w:t>s</w:t>
      </w:r>
      <w:r w:rsidRPr="003356A1">
        <w:rPr>
          <w:lang w:val="en"/>
        </w:rPr>
        <w:t xml:space="preserve"> </w:t>
      </w:r>
      <w:r>
        <w:rPr>
          <w:lang w:val="en"/>
        </w:rPr>
        <w:t>specified or referred to in Rules 11(2) and (3), 20</w:t>
      </w:r>
      <w:r>
        <w:rPr>
          <w:i/>
          <w:lang w:val="en"/>
        </w:rPr>
        <w:t>bis</w:t>
      </w:r>
      <w:r>
        <w:rPr>
          <w:lang w:val="en"/>
        </w:rPr>
        <w:t>(2), 24(5)(b), 26(2)</w:t>
      </w:r>
      <w:r w:rsidRPr="00F9271C">
        <w:rPr>
          <w:lang w:val="en"/>
        </w:rPr>
        <w:t>,</w:t>
      </w:r>
      <w:r>
        <w:rPr>
          <w:lang w:val="en"/>
        </w:rPr>
        <w:t xml:space="preserve"> 34(3)(c)(iii) and 39(1),</w:t>
      </w:r>
      <w:r w:rsidRPr="00F9271C">
        <w:rPr>
          <w:lang w:val="en"/>
        </w:rPr>
        <w:t xml:space="preserve"> the International Bureau shall</w:t>
      </w:r>
      <w:r>
        <w:rPr>
          <w:lang w:val="en"/>
        </w:rPr>
        <w:t>, nevertheless,</w:t>
      </w:r>
      <w:r w:rsidRPr="00F9271C">
        <w:rPr>
          <w:lang w:val="en"/>
        </w:rPr>
        <w:t xml:space="preserve"> continue the processing </w:t>
      </w:r>
      <w:r>
        <w:rPr>
          <w:lang w:val="en"/>
        </w:rPr>
        <w:t>of</w:t>
      </w:r>
      <w:r w:rsidRPr="00F9271C">
        <w:rPr>
          <w:lang w:val="en"/>
        </w:rPr>
        <w:t xml:space="preserve"> the international application</w:t>
      </w:r>
      <w:r>
        <w:rPr>
          <w:lang w:val="en"/>
        </w:rPr>
        <w:t>,</w:t>
      </w:r>
      <w:r w:rsidRPr="00F9271C">
        <w:rPr>
          <w:lang w:val="en"/>
        </w:rPr>
        <w:t xml:space="preserve"> </w:t>
      </w:r>
      <w:r>
        <w:rPr>
          <w:lang w:val="en"/>
        </w:rPr>
        <w:t xml:space="preserve">subsequent designation, payment </w:t>
      </w:r>
      <w:r w:rsidRPr="00F9271C">
        <w:rPr>
          <w:lang w:val="en"/>
        </w:rPr>
        <w:t>or re</w:t>
      </w:r>
      <w:r>
        <w:rPr>
          <w:lang w:val="en"/>
        </w:rPr>
        <w:t>quest</w:t>
      </w:r>
      <w:r w:rsidRPr="00F9271C">
        <w:rPr>
          <w:lang w:val="en"/>
        </w:rPr>
        <w:t xml:space="preserve"> concerned, if:</w:t>
      </w:r>
      <w:r>
        <w:rPr>
          <w:lang w:val="en"/>
        </w:rPr>
        <w:t xml:space="preserve">  </w:t>
      </w:r>
    </w:p>
    <w:p w:rsidR="008A1761" w:rsidRPr="00F9271C" w:rsidRDefault="008A1761" w:rsidP="008A1761">
      <w:pPr>
        <w:ind w:firstLine="1134"/>
        <w:rPr>
          <w:iCs/>
          <w:lang w:val="en"/>
        </w:rPr>
      </w:pPr>
      <w:r>
        <w:rPr>
          <w:iCs/>
          <w:lang w:val="en"/>
        </w:rPr>
        <w:tab/>
      </w:r>
      <w:r w:rsidRPr="00F9271C">
        <w:rPr>
          <w:iCs/>
          <w:lang w:val="en"/>
        </w:rPr>
        <w:t>(</w:t>
      </w:r>
      <w:r>
        <w:rPr>
          <w:iCs/>
          <w:lang w:val="en"/>
        </w:rPr>
        <w:t>i</w:t>
      </w:r>
      <w:r w:rsidRPr="00F9271C">
        <w:rPr>
          <w:iCs/>
          <w:lang w:val="en"/>
        </w:rPr>
        <w:t>)</w:t>
      </w:r>
      <w:r w:rsidRPr="00F9271C">
        <w:rPr>
          <w:iCs/>
          <w:lang w:val="en"/>
        </w:rPr>
        <w:tab/>
      </w:r>
      <w:proofErr w:type="gramStart"/>
      <w:r w:rsidRPr="00F9271C">
        <w:rPr>
          <w:iCs/>
          <w:lang w:val="en"/>
        </w:rPr>
        <w:t>a</w:t>
      </w:r>
      <w:proofErr w:type="gramEnd"/>
      <w:r w:rsidRPr="00F9271C">
        <w:rPr>
          <w:iCs/>
          <w:lang w:val="en"/>
        </w:rPr>
        <w:t xml:space="preserve"> request to that effect, signed by the applicant or holder, is </w:t>
      </w:r>
      <w:r>
        <w:rPr>
          <w:iCs/>
          <w:lang w:val="en"/>
        </w:rPr>
        <w:t>presented</w:t>
      </w:r>
      <w:r w:rsidRPr="00F9271C">
        <w:rPr>
          <w:iCs/>
          <w:lang w:val="en"/>
        </w:rPr>
        <w:t xml:space="preserve"> to the International Bureau on the official form;  </w:t>
      </w:r>
      <w:r>
        <w:rPr>
          <w:iCs/>
          <w:lang w:val="en"/>
        </w:rPr>
        <w:t>and</w:t>
      </w:r>
    </w:p>
    <w:p w:rsidR="008A1761" w:rsidRPr="00F9271C" w:rsidRDefault="008A1761" w:rsidP="008A1761">
      <w:pPr>
        <w:ind w:firstLine="1134"/>
        <w:rPr>
          <w:iCs/>
          <w:lang w:val="en"/>
        </w:rPr>
      </w:pPr>
      <w:r>
        <w:rPr>
          <w:iCs/>
          <w:lang w:val="en"/>
        </w:rPr>
        <w:tab/>
      </w:r>
      <w:r w:rsidRPr="00F9271C">
        <w:rPr>
          <w:iCs/>
          <w:lang w:val="en"/>
        </w:rPr>
        <w:t>(</w:t>
      </w:r>
      <w:r>
        <w:rPr>
          <w:iCs/>
          <w:lang w:val="en"/>
        </w:rPr>
        <w:t>ii</w:t>
      </w:r>
      <w:r w:rsidRPr="00F9271C">
        <w:rPr>
          <w:iCs/>
          <w:lang w:val="en"/>
        </w:rPr>
        <w:t>)</w:t>
      </w:r>
      <w:r w:rsidRPr="00F9271C">
        <w:rPr>
          <w:iCs/>
          <w:lang w:val="en"/>
        </w:rPr>
        <w:tab/>
      </w:r>
      <w:proofErr w:type="gramStart"/>
      <w:r w:rsidRPr="00F9271C">
        <w:rPr>
          <w:iCs/>
          <w:lang w:val="en"/>
        </w:rPr>
        <w:t>the</w:t>
      </w:r>
      <w:proofErr w:type="gramEnd"/>
      <w:r w:rsidRPr="00F9271C">
        <w:rPr>
          <w:iCs/>
          <w:lang w:val="en"/>
        </w:rPr>
        <w:t xml:space="preserve"> request is received, the fee specified in the Schedule of Fees is paid and</w:t>
      </w:r>
      <w:r>
        <w:rPr>
          <w:iCs/>
          <w:lang w:val="en"/>
        </w:rPr>
        <w:t>,</w:t>
      </w:r>
      <w:r w:rsidRPr="00F9271C">
        <w:rPr>
          <w:iCs/>
          <w:lang w:val="en"/>
        </w:rPr>
        <w:t xml:space="preserve"> together with the request</w:t>
      </w:r>
      <w:r>
        <w:rPr>
          <w:iCs/>
          <w:lang w:val="en"/>
        </w:rPr>
        <w:t>,</w:t>
      </w:r>
      <w:r w:rsidRPr="00F9271C">
        <w:rPr>
          <w:iCs/>
          <w:lang w:val="en"/>
        </w:rPr>
        <w:t xml:space="preserve"> all of the requirements in respect of which the time limit </w:t>
      </w:r>
      <w:r>
        <w:rPr>
          <w:iCs/>
          <w:lang w:val="en"/>
        </w:rPr>
        <w:t>concerned</w:t>
      </w:r>
      <w:r w:rsidRPr="00F9271C">
        <w:rPr>
          <w:iCs/>
          <w:lang w:val="en"/>
        </w:rPr>
        <w:t xml:space="preserve"> applied are complied with, within two months from the date of expiry of th</w:t>
      </w:r>
      <w:r>
        <w:rPr>
          <w:iCs/>
          <w:lang w:val="en"/>
        </w:rPr>
        <w:t>at</w:t>
      </w:r>
      <w:r w:rsidRPr="00F9271C">
        <w:rPr>
          <w:iCs/>
          <w:lang w:val="en"/>
        </w:rPr>
        <w:t xml:space="preserve"> time limit</w:t>
      </w:r>
      <w:r>
        <w:rPr>
          <w:iCs/>
          <w:lang w:val="en"/>
        </w:rPr>
        <w:t>.</w:t>
      </w:r>
      <w:r w:rsidRPr="00F9271C">
        <w:rPr>
          <w:iCs/>
          <w:lang w:val="en"/>
        </w:rPr>
        <w:t xml:space="preserve">  </w:t>
      </w:r>
    </w:p>
    <w:p w:rsidR="008A1761" w:rsidRPr="005C3D47" w:rsidRDefault="008A1761" w:rsidP="008A1761">
      <w:pPr>
        <w:ind w:firstLine="1134"/>
        <w:rPr>
          <w:iCs/>
          <w:lang w:val="en"/>
        </w:rPr>
      </w:pPr>
      <w:r w:rsidRPr="00F9271C">
        <w:rPr>
          <w:iCs/>
          <w:lang w:val="en"/>
        </w:rPr>
        <w:t>(</w:t>
      </w:r>
      <w:r>
        <w:rPr>
          <w:iCs/>
          <w:lang w:val="en"/>
        </w:rPr>
        <w:t>b</w:t>
      </w:r>
      <w:r w:rsidRPr="00F9271C">
        <w:rPr>
          <w:iCs/>
          <w:lang w:val="en"/>
        </w:rPr>
        <w:t>)</w:t>
      </w:r>
      <w:r w:rsidRPr="00F9271C">
        <w:rPr>
          <w:iCs/>
          <w:lang w:val="en"/>
        </w:rPr>
        <w:tab/>
      </w:r>
      <w:r>
        <w:rPr>
          <w:iCs/>
          <w:lang w:val="en"/>
        </w:rPr>
        <w:t>A</w:t>
      </w:r>
      <w:r w:rsidRPr="00F9271C">
        <w:rPr>
          <w:iCs/>
          <w:lang w:val="en"/>
        </w:rPr>
        <w:t xml:space="preserve"> request not complying with </w:t>
      </w:r>
      <w:r>
        <w:rPr>
          <w:iCs/>
          <w:lang w:val="en"/>
        </w:rPr>
        <w:t>items</w:t>
      </w:r>
      <w:r w:rsidRPr="00F9271C">
        <w:rPr>
          <w:iCs/>
          <w:lang w:val="en"/>
        </w:rPr>
        <w:t> (</w:t>
      </w:r>
      <w:r>
        <w:rPr>
          <w:iCs/>
          <w:lang w:val="en"/>
        </w:rPr>
        <w:t>i</w:t>
      </w:r>
      <w:r w:rsidRPr="00F9271C">
        <w:rPr>
          <w:iCs/>
          <w:lang w:val="en"/>
        </w:rPr>
        <w:t>) and (</w:t>
      </w:r>
      <w:r>
        <w:rPr>
          <w:iCs/>
          <w:lang w:val="en"/>
        </w:rPr>
        <w:t>ii</w:t>
      </w:r>
      <w:r w:rsidRPr="00F9271C">
        <w:rPr>
          <w:iCs/>
          <w:lang w:val="en"/>
        </w:rPr>
        <w:t xml:space="preserve">) </w:t>
      </w:r>
      <w:r>
        <w:rPr>
          <w:iCs/>
          <w:lang w:val="en"/>
        </w:rPr>
        <w:t xml:space="preserve">of subparagraph (a) </w:t>
      </w:r>
      <w:r w:rsidRPr="00F9271C">
        <w:rPr>
          <w:iCs/>
          <w:lang w:val="en"/>
        </w:rPr>
        <w:t xml:space="preserve">shall not be </w:t>
      </w:r>
      <w:r>
        <w:rPr>
          <w:iCs/>
          <w:lang w:val="en"/>
        </w:rPr>
        <w:t>consider</w:t>
      </w:r>
      <w:r w:rsidRPr="00F9271C">
        <w:rPr>
          <w:iCs/>
          <w:lang w:val="en"/>
        </w:rPr>
        <w:t xml:space="preserve">ed </w:t>
      </w:r>
      <w:r>
        <w:rPr>
          <w:iCs/>
          <w:lang w:val="en"/>
        </w:rPr>
        <w:t>as such and the applicant or holder shall be notified to that effect</w:t>
      </w:r>
      <w:r w:rsidRPr="00F9271C">
        <w:rPr>
          <w:iCs/>
          <w:lang w:val="en"/>
        </w:rPr>
        <w:t>.</w:t>
      </w:r>
      <w:r w:rsidRPr="005C3D47">
        <w:rPr>
          <w:iCs/>
          <w:lang w:val="en"/>
        </w:rPr>
        <w:t xml:space="preserve"> </w:t>
      </w:r>
      <w:r>
        <w:rPr>
          <w:iCs/>
          <w:lang w:val="en"/>
        </w:rPr>
        <w:t xml:space="preserve"> </w:t>
      </w:r>
    </w:p>
    <w:p w:rsidR="008A1761" w:rsidRDefault="008A1761" w:rsidP="008A1761">
      <w:pPr>
        <w:ind w:firstLine="567"/>
        <w:rPr>
          <w:iCs/>
          <w:lang w:val="en"/>
        </w:rPr>
      </w:pPr>
    </w:p>
    <w:p w:rsidR="008A1761" w:rsidRPr="008A1761" w:rsidRDefault="008A1761" w:rsidP="008A1761">
      <w:pPr>
        <w:ind w:firstLine="567"/>
        <w:rPr>
          <w:iCs/>
          <w:lang w:val="en"/>
        </w:rPr>
      </w:pPr>
      <w:r w:rsidRPr="005C3D47">
        <w:rPr>
          <w:iCs/>
          <w:lang w:val="en"/>
        </w:rPr>
        <w:t>(</w:t>
      </w:r>
      <w:r>
        <w:rPr>
          <w:iCs/>
          <w:lang w:val="en"/>
        </w:rPr>
        <w:t>2</w:t>
      </w:r>
      <w:r w:rsidRPr="005C3D47">
        <w:rPr>
          <w:iCs/>
          <w:lang w:val="en"/>
        </w:rPr>
        <w:t>)</w:t>
      </w:r>
      <w:r>
        <w:rPr>
          <w:iCs/>
          <w:lang w:val="en"/>
        </w:rPr>
        <w:tab/>
      </w:r>
      <w:r w:rsidRPr="000F3C7E">
        <w:rPr>
          <w:i/>
          <w:iCs/>
          <w:lang w:val="en"/>
        </w:rPr>
        <w:t>[Recording and Notification]</w:t>
      </w:r>
      <w:proofErr w:type="gramStart"/>
      <w:r>
        <w:rPr>
          <w:iCs/>
          <w:lang w:val="en"/>
        </w:rPr>
        <w:t>  </w:t>
      </w:r>
      <w:r w:rsidRPr="005C3D47">
        <w:rPr>
          <w:iCs/>
          <w:lang w:val="en"/>
        </w:rPr>
        <w:t>The</w:t>
      </w:r>
      <w:proofErr w:type="gramEnd"/>
      <w:r w:rsidRPr="005C3D47">
        <w:rPr>
          <w:iCs/>
          <w:lang w:val="en"/>
        </w:rPr>
        <w:t xml:space="preserve"> International Bureau shall record </w:t>
      </w:r>
      <w:r>
        <w:rPr>
          <w:iCs/>
          <w:lang w:val="en"/>
        </w:rPr>
        <w:t xml:space="preserve">in the International Register </w:t>
      </w:r>
      <w:r w:rsidRPr="005C3D47">
        <w:rPr>
          <w:iCs/>
          <w:lang w:val="en"/>
        </w:rPr>
        <w:t xml:space="preserve">any continued processing and notify the </w:t>
      </w:r>
      <w:r>
        <w:rPr>
          <w:iCs/>
          <w:lang w:val="en"/>
        </w:rPr>
        <w:t xml:space="preserve">applicant or </w:t>
      </w:r>
      <w:r w:rsidRPr="005C3D47">
        <w:rPr>
          <w:iCs/>
          <w:lang w:val="en"/>
        </w:rPr>
        <w:t>holder</w:t>
      </w:r>
      <w:r>
        <w:rPr>
          <w:iCs/>
          <w:lang w:val="en"/>
        </w:rPr>
        <w:t xml:space="preserve"> accordingly</w:t>
      </w:r>
      <w:r w:rsidRPr="005C3D47">
        <w:rPr>
          <w:iCs/>
          <w:lang w:val="en"/>
        </w:rPr>
        <w:t>.</w:t>
      </w:r>
      <w:r>
        <w:rPr>
          <w:iCs/>
          <w:lang w:val="en"/>
        </w:rPr>
        <w:t xml:space="preserve">  </w:t>
      </w:r>
    </w:p>
    <w:p w:rsidR="008A1761" w:rsidRDefault="008A1761" w:rsidP="008A1761">
      <w:pPr>
        <w:ind w:firstLine="567"/>
        <w:rPr>
          <w:iCs/>
          <w:lang w:val="en"/>
        </w:rPr>
      </w:pPr>
    </w:p>
    <w:p w:rsidR="008A1761" w:rsidRDefault="008A1761" w:rsidP="008A1761">
      <w:pPr>
        <w:ind w:firstLine="567"/>
        <w:rPr>
          <w:iCs/>
          <w:lang w:val="en"/>
        </w:rPr>
      </w:pPr>
    </w:p>
    <w:p w:rsidR="008A1761" w:rsidRDefault="008A1761" w:rsidP="008A1761">
      <w:pPr>
        <w:ind w:firstLine="567"/>
        <w:rPr>
          <w:iCs/>
          <w:lang w:val="en"/>
        </w:rPr>
      </w:pPr>
    </w:p>
    <w:p w:rsidR="008A1761" w:rsidRDefault="008A1761" w:rsidP="008A1761">
      <w:pPr>
        <w:jc w:val="center"/>
        <w:rPr>
          <w:b/>
          <w:szCs w:val="30"/>
        </w:rPr>
      </w:pPr>
      <w:r>
        <w:rPr>
          <w:b/>
          <w:szCs w:val="30"/>
        </w:rPr>
        <w:t>Chapter 4</w:t>
      </w:r>
    </w:p>
    <w:p w:rsidR="008A1761" w:rsidRDefault="008A1761" w:rsidP="008A1761">
      <w:pPr>
        <w:jc w:val="center"/>
        <w:rPr>
          <w:b/>
          <w:szCs w:val="30"/>
        </w:rPr>
      </w:pPr>
      <w:r>
        <w:rPr>
          <w:b/>
          <w:szCs w:val="30"/>
        </w:rPr>
        <w:t>Facts in Contracting Parties</w:t>
      </w:r>
    </w:p>
    <w:p w:rsidR="008A1761" w:rsidRDefault="008A1761" w:rsidP="008A1761">
      <w:pPr>
        <w:jc w:val="center"/>
        <w:rPr>
          <w:b/>
          <w:szCs w:val="30"/>
        </w:rPr>
      </w:pPr>
      <w:r>
        <w:rPr>
          <w:b/>
          <w:szCs w:val="30"/>
        </w:rPr>
        <w:t>Affecting International Registrations</w:t>
      </w:r>
    </w:p>
    <w:p w:rsidR="008A1761" w:rsidRDefault="008A1761" w:rsidP="008A1761"/>
    <w:p w:rsidR="008A1761" w:rsidRPr="00795CA1" w:rsidRDefault="008A1761" w:rsidP="008A1761">
      <w:r>
        <w:tab/>
        <w:t>[…]</w:t>
      </w:r>
    </w:p>
    <w:p w:rsidR="008A1761" w:rsidRDefault="008A1761" w:rsidP="008A1761">
      <w:pPr>
        <w:jc w:val="center"/>
        <w:rPr>
          <w:b/>
          <w:szCs w:val="30"/>
        </w:rPr>
      </w:pPr>
    </w:p>
    <w:p w:rsidR="008A1761" w:rsidRDefault="008A1761" w:rsidP="008A1761">
      <w:pPr>
        <w:jc w:val="center"/>
        <w:rPr>
          <w:b/>
          <w:szCs w:val="30"/>
        </w:rPr>
      </w:pPr>
    </w:p>
    <w:p w:rsidR="008A1761" w:rsidRDefault="008A1761" w:rsidP="008A1761">
      <w:pPr>
        <w:jc w:val="center"/>
        <w:rPr>
          <w:i/>
          <w:szCs w:val="30"/>
        </w:rPr>
      </w:pPr>
      <w:r w:rsidRPr="009271DC">
        <w:rPr>
          <w:i/>
          <w:szCs w:val="30"/>
        </w:rPr>
        <w:t xml:space="preserve">Rule </w:t>
      </w:r>
      <w:r>
        <w:rPr>
          <w:i/>
          <w:szCs w:val="30"/>
        </w:rPr>
        <w:t>20bis</w:t>
      </w:r>
    </w:p>
    <w:p w:rsidR="008A1761" w:rsidRPr="009271DC" w:rsidRDefault="008A1761" w:rsidP="008A1761">
      <w:pPr>
        <w:jc w:val="center"/>
        <w:rPr>
          <w:i/>
          <w:szCs w:val="30"/>
        </w:rPr>
      </w:pPr>
      <w:r>
        <w:rPr>
          <w:i/>
          <w:szCs w:val="30"/>
        </w:rPr>
        <w:t>Licenses</w:t>
      </w:r>
    </w:p>
    <w:p w:rsidR="008A1761" w:rsidRDefault="008A1761" w:rsidP="008A1761">
      <w:pPr>
        <w:jc w:val="center"/>
        <w:rPr>
          <w:b/>
          <w:szCs w:val="30"/>
        </w:rPr>
      </w:pPr>
    </w:p>
    <w:p w:rsidR="008A1761" w:rsidRPr="004B5550" w:rsidRDefault="008A1761" w:rsidP="008A1761">
      <w:pPr>
        <w:rPr>
          <w:szCs w:val="30"/>
        </w:rPr>
      </w:pPr>
    </w:p>
    <w:p w:rsidR="008A1761" w:rsidRPr="00795CA1" w:rsidRDefault="008A1761" w:rsidP="008A1761">
      <w:r>
        <w:tab/>
        <w:t>[…]</w:t>
      </w:r>
    </w:p>
    <w:p w:rsidR="008A1761" w:rsidRDefault="008A1761" w:rsidP="008A1761">
      <w:pPr>
        <w:jc w:val="center"/>
        <w:rPr>
          <w:b/>
          <w:szCs w:val="30"/>
        </w:rPr>
      </w:pPr>
    </w:p>
    <w:p w:rsidR="008A1761" w:rsidRDefault="008A1761" w:rsidP="008A1761">
      <w:r w:rsidRPr="009271DC">
        <w:rPr>
          <w:szCs w:val="30"/>
        </w:rPr>
        <w:tab/>
        <w:t>(3)</w:t>
      </w:r>
      <w:r>
        <w:rPr>
          <w:szCs w:val="30"/>
        </w:rPr>
        <w:tab/>
      </w:r>
      <w:r>
        <w:rPr>
          <w:i/>
        </w:rPr>
        <w:t>[Recording and Notification]</w:t>
      </w:r>
      <w:r w:rsidRPr="00700CAC">
        <w:t>  </w:t>
      </w:r>
    </w:p>
    <w:p w:rsidR="008A1761" w:rsidRDefault="008A1761" w:rsidP="008A1761">
      <w:r>
        <w:tab/>
      </w:r>
      <w:r>
        <w:tab/>
        <w:t>[…]</w:t>
      </w:r>
    </w:p>
    <w:p w:rsidR="008A1761" w:rsidRPr="009271DC" w:rsidRDefault="008A1761" w:rsidP="008A1761">
      <w:pPr>
        <w:rPr>
          <w:iCs/>
          <w:lang w:val="en"/>
        </w:rPr>
      </w:pPr>
      <w:r>
        <w:tab/>
      </w:r>
      <w:r>
        <w:tab/>
      </w:r>
      <w:r>
        <w:rPr>
          <w:iCs/>
          <w:lang w:val="en"/>
        </w:rPr>
        <w:t>(c)</w:t>
      </w:r>
      <w:r>
        <w:rPr>
          <w:iCs/>
          <w:lang w:val="en"/>
        </w:rPr>
        <w:tab/>
      </w:r>
      <w:r w:rsidRPr="009271DC">
        <w:rPr>
          <w:iCs/>
          <w:lang w:val="en"/>
        </w:rPr>
        <w:t>Notwithstanding subparagraph (b), where continued processing has been recorded under Rule</w:t>
      </w:r>
      <w:r>
        <w:rPr>
          <w:iCs/>
          <w:lang w:val="en"/>
        </w:rPr>
        <w:t> </w:t>
      </w:r>
      <w:r w:rsidRPr="009271DC">
        <w:rPr>
          <w:iCs/>
          <w:lang w:val="en"/>
        </w:rPr>
        <w:t>5</w:t>
      </w:r>
      <w:r w:rsidRPr="009271DC">
        <w:rPr>
          <w:i/>
          <w:iCs/>
          <w:lang w:val="en"/>
        </w:rPr>
        <w:t>bis</w:t>
      </w:r>
      <w:r w:rsidRPr="009271DC">
        <w:rPr>
          <w:iCs/>
          <w:lang w:val="en"/>
        </w:rPr>
        <w:t xml:space="preserve">, the license shall be recorded </w:t>
      </w:r>
      <w:r>
        <w:rPr>
          <w:iCs/>
          <w:lang w:val="en"/>
        </w:rPr>
        <w:t xml:space="preserve">in the International Register </w:t>
      </w:r>
      <w:r w:rsidRPr="009271DC">
        <w:rPr>
          <w:iCs/>
          <w:lang w:val="en"/>
        </w:rPr>
        <w:t xml:space="preserve">as of the </w:t>
      </w:r>
      <w:r w:rsidRPr="0025321C">
        <w:rPr>
          <w:iCs/>
          <w:lang w:val="en"/>
        </w:rPr>
        <w:t>date of expiry of the time limit specified in paragraph (2)</w:t>
      </w:r>
      <w:r w:rsidRPr="008A1761">
        <w:rPr>
          <w:iCs/>
          <w:lang w:val="en"/>
        </w:rPr>
        <w:t>(b)</w:t>
      </w:r>
      <w:r w:rsidRPr="0025321C">
        <w:rPr>
          <w:iCs/>
          <w:lang w:val="en"/>
        </w:rPr>
        <w:t>.</w:t>
      </w:r>
      <w:r>
        <w:rPr>
          <w:iCs/>
          <w:lang w:val="en"/>
        </w:rPr>
        <w:t xml:space="preserve">  </w:t>
      </w:r>
    </w:p>
    <w:p w:rsidR="008A1761" w:rsidRDefault="008A1761" w:rsidP="008A1761">
      <w:r>
        <w:tab/>
      </w:r>
    </w:p>
    <w:p w:rsidR="008A1761" w:rsidRDefault="008A1761" w:rsidP="008A1761">
      <w:pPr>
        <w:ind w:firstLine="567"/>
      </w:pPr>
      <w:r>
        <w:t>[…]</w:t>
      </w:r>
    </w:p>
    <w:p w:rsidR="008A1761" w:rsidRDefault="008A1761" w:rsidP="008A1761">
      <w:pPr>
        <w:ind w:firstLine="567"/>
        <w:sectPr w:rsidR="008A1761" w:rsidSect="008A1761">
          <w:headerReference w:type="default" r:id="rId11"/>
          <w:headerReference w:type="first" r:id="rId12"/>
          <w:footerReference w:type="first" r:id="rId13"/>
          <w:endnotePr>
            <w:numFmt w:val="decimal"/>
          </w:endnotePr>
          <w:pgSz w:w="11907" w:h="16840" w:code="9"/>
          <w:pgMar w:top="567" w:right="1134" w:bottom="851" w:left="1418" w:header="510" w:footer="711" w:gutter="0"/>
          <w:pgNumType w:start="1"/>
          <w:cols w:space="720"/>
          <w:titlePg/>
        </w:sectPr>
      </w:pPr>
    </w:p>
    <w:p w:rsidR="008A1761" w:rsidRPr="004B5550" w:rsidRDefault="008A1761" w:rsidP="008A1761">
      <w:pPr>
        <w:jc w:val="center"/>
        <w:rPr>
          <w:b/>
          <w:szCs w:val="30"/>
        </w:rPr>
      </w:pPr>
      <w:r>
        <w:rPr>
          <w:b/>
          <w:szCs w:val="30"/>
        </w:rPr>
        <w:t>Chapter 5</w:t>
      </w:r>
    </w:p>
    <w:p w:rsidR="008A1761" w:rsidRDefault="008A1761" w:rsidP="008A1761">
      <w:pPr>
        <w:jc w:val="center"/>
        <w:rPr>
          <w:b/>
          <w:szCs w:val="30"/>
        </w:rPr>
      </w:pPr>
      <w:r>
        <w:rPr>
          <w:b/>
          <w:szCs w:val="30"/>
        </w:rPr>
        <w:t>Subsequent Designations</w:t>
      </w:r>
      <w:proofErr w:type="gramStart"/>
      <w:r>
        <w:rPr>
          <w:b/>
          <w:szCs w:val="30"/>
        </w:rPr>
        <w:t>;  Changes</w:t>
      </w:r>
      <w:proofErr w:type="gramEnd"/>
    </w:p>
    <w:p w:rsidR="008A1761" w:rsidRDefault="008A1761" w:rsidP="008A1761">
      <w:pPr>
        <w:jc w:val="center"/>
        <w:rPr>
          <w:b/>
          <w:szCs w:val="30"/>
        </w:rPr>
      </w:pPr>
    </w:p>
    <w:p w:rsidR="008A1761" w:rsidRPr="004B5550" w:rsidRDefault="008A1761" w:rsidP="008A1761">
      <w:pPr>
        <w:rPr>
          <w:szCs w:val="30"/>
        </w:rPr>
      </w:pPr>
    </w:p>
    <w:p w:rsidR="008A1761" w:rsidRPr="00795CA1" w:rsidRDefault="008A1761" w:rsidP="008A1761">
      <w:r>
        <w:tab/>
        <w:t>[…]</w:t>
      </w:r>
    </w:p>
    <w:p w:rsidR="008A1761" w:rsidRDefault="008A1761" w:rsidP="008A1761">
      <w:pPr>
        <w:jc w:val="center"/>
        <w:rPr>
          <w:b/>
          <w:szCs w:val="30"/>
        </w:rPr>
      </w:pPr>
    </w:p>
    <w:p w:rsidR="008A1761" w:rsidRDefault="008A1761" w:rsidP="008A1761">
      <w:pPr>
        <w:jc w:val="center"/>
        <w:rPr>
          <w:b/>
          <w:szCs w:val="30"/>
        </w:rPr>
      </w:pPr>
    </w:p>
    <w:p w:rsidR="008A1761" w:rsidRPr="004B5550" w:rsidRDefault="008A1761" w:rsidP="008A1761">
      <w:pPr>
        <w:jc w:val="center"/>
        <w:rPr>
          <w:i/>
          <w:szCs w:val="30"/>
        </w:rPr>
      </w:pPr>
      <w:r w:rsidRPr="004B5550">
        <w:rPr>
          <w:i/>
          <w:szCs w:val="30"/>
        </w:rPr>
        <w:t xml:space="preserve">Rule </w:t>
      </w:r>
      <w:r>
        <w:rPr>
          <w:i/>
          <w:szCs w:val="30"/>
        </w:rPr>
        <w:t>27</w:t>
      </w:r>
    </w:p>
    <w:p w:rsidR="008A1761" w:rsidRPr="00214038" w:rsidRDefault="008A1761" w:rsidP="008A1761">
      <w:pPr>
        <w:jc w:val="center"/>
        <w:rPr>
          <w:i/>
          <w:iCs/>
          <w:szCs w:val="30"/>
        </w:rPr>
      </w:pPr>
      <w:r w:rsidRPr="00214038">
        <w:rPr>
          <w:i/>
          <w:iCs/>
          <w:szCs w:val="30"/>
        </w:rPr>
        <w:t>Recording and Notification of a Change or of a Cancellation;</w:t>
      </w:r>
    </w:p>
    <w:p w:rsidR="008A1761" w:rsidRPr="00214038" w:rsidRDefault="008A1761" w:rsidP="008A1761">
      <w:pPr>
        <w:jc w:val="center"/>
        <w:rPr>
          <w:i/>
          <w:iCs/>
          <w:szCs w:val="30"/>
        </w:rPr>
      </w:pPr>
      <w:r w:rsidRPr="00214038">
        <w:rPr>
          <w:i/>
          <w:iCs/>
          <w:szCs w:val="30"/>
        </w:rPr>
        <w:t>Merger of International Registrations</w:t>
      </w:r>
      <w:proofErr w:type="gramStart"/>
      <w:r w:rsidRPr="00214038">
        <w:rPr>
          <w:i/>
          <w:iCs/>
          <w:szCs w:val="30"/>
        </w:rPr>
        <w:t xml:space="preserve">; </w:t>
      </w:r>
      <w:r>
        <w:rPr>
          <w:i/>
          <w:iCs/>
          <w:szCs w:val="30"/>
        </w:rPr>
        <w:t xml:space="preserve"> </w:t>
      </w:r>
      <w:r w:rsidRPr="00214038">
        <w:rPr>
          <w:i/>
          <w:iCs/>
          <w:szCs w:val="30"/>
        </w:rPr>
        <w:t>Declaration</w:t>
      </w:r>
      <w:proofErr w:type="gramEnd"/>
      <w:r w:rsidRPr="00214038">
        <w:rPr>
          <w:i/>
          <w:iCs/>
          <w:szCs w:val="30"/>
        </w:rPr>
        <w:t xml:space="preserve"> That a Change in</w:t>
      </w:r>
    </w:p>
    <w:p w:rsidR="008A1761" w:rsidRDefault="008A1761" w:rsidP="008A1761">
      <w:pPr>
        <w:jc w:val="center"/>
        <w:rPr>
          <w:i/>
          <w:iCs/>
          <w:szCs w:val="30"/>
        </w:rPr>
      </w:pPr>
      <w:r w:rsidRPr="00214038">
        <w:rPr>
          <w:i/>
          <w:iCs/>
          <w:szCs w:val="30"/>
        </w:rPr>
        <w:t>Ownership or a Limitation Has No Effect</w:t>
      </w:r>
    </w:p>
    <w:p w:rsidR="008A1761" w:rsidRDefault="008A1761" w:rsidP="008A1761">
      <w:pPr>
        <w:jc w:val="center"/>
        <w:rPr>
          <w:iCs/>
          <w:szCs w:val="30"/>
        </w:rPr>
      </w:pPr>
    </w:p>
    <w:p w:rsidR="008A1761" w:rsidRPr="00214038" w:rsidRDefault="008A1761" w:rsidP="008A1761">
      <w:pPr>
        <w:ind w:firstLine="567"/>
        <w:rPr>
          <w:iCs/>
          <w:szCs w:val="30"/>
        </w:rPr>
      </w:pPr>
      <w:r>
        <w:rPr>
          <w:iCs/>
          <w:szCs w:val="30"/>
        </w:rPr>
        <w:t>(1)</w:t>
      </w:r>
      <w:r w:rsidRPr="00214038">
        <w:rPr>
          <w:iCs/>
          <w:szCs w:val="30"/>
        </w:rPr>
        <w:tab/>
      </w:r>
      <w:r w:rsidRPr="00214038">
        <w:rPr>
          <w:i/>
          <w:iCs/>
          <w:szCs w:val="30"/>
        </w:rPr>
        <w:t>[Recording and Notification of a Change or of a Cancellation]</w:t>
      </w:r>
      <w:r>
        <w:rPr>
          <w:i/>
          <w:iCs/>
          <w:szCs w:val="30"/>
        </w:rPr>
        <w:t>  </w:t>
      </w:r>
    </w:p>
    <w:p w:rsidR="008A1761" w:rsidRDefault="008A1761" w:rsidP="008A1761">
      <w:pPr>
        <w:ind w:left="567" w:firstLine="567"/>
      </w:pPr>
      <w:r>
        <w:t>[…]</w:t>
      </w:r>
    </w:p>
    <w:p w:rsidR="008A1761" w:rsidRDefault="008A1761" w:rsidP="008A1761">
      <w:pPr>
        <w:rPr>
          <w:b/>
          <w:szCs w:val="30"/>
        </w:rPr>
      </w:pPr>
      <w:r>
        <w:rPr>
          <w:iCs/>
          <w:lang w:val="en"/>
        </w:rPr>
        <w:tab/>
      </w:r>
      <w:r>
        <w:rPr>
          <w:iCs/>
          <w:lang w:val="en"/>
        </w:rPr>
        <w:tab/>
      </w:r>
      <w:r w:rsidRPr="00191131">
        <w:rPr>
          <w:iCs/>
          <w:lang w:val="en"/>
        </w:rPr>
        <w:t>(c)</w:t>
      </w:r>
      <w:r w:rsidRPr="00191131">
        <w:rPr>
          <w:iCs/>
          <w:lang w:val="en"/>
        </w:rPr>
        <w:tab/>
        <w:t>Notwithstanding subparagraph (b), where continued processing has been recorded under Rule 5</w:t>
      </w:r>
      <w:r w:rsidRPr="00191131">
        <w:rPr>
          <w:i/>
          <w:iCs/>
          <w:lang w:val="en"/>
        </w:rPr>
        <w:t>bis</w:t>
      </w:r>
      <w:r w:rsidRPr="00191131">
        <w:rPr>
          <w:iCs/>
          <w:lang w:val="en"/>
        </w:rPr>
        <w:t xml:space="preserve">, the change or cancellation shall be recorded in the International Register as of the date of expiry of the time limit specified in Rule 26(2), </w:t>
      </w:r>
      <w:r w:rsidRPr="00191131">
        <w:rPr>
          <w:iCs/>
        </w:rPr>
        <w:t>except that, where a request has been made in accordance with Rule 25(2</w:t>
      </w:r>
      <w:proofErr w:type="gramStart"/>
      <w:r w:rsidRPr="00191131">
        <w:rPr>
          <w:iCs/>
        </w:rPr>
        <w:t>)(</w:t>
      </w:r>
      <w:proofErr w:type="gramEnd"/>
      <w:r w:rsidRPr="00191131">
        <w:rPr>
          <w:iCs/>
        </w:rPr>
        <w:t>c), it may be recorded as of a later date.</w:t>
      </w:r>
    </w:p>
    <w:p w:rsidR="008A1761" w:rsidRDefault="008A1761" w:rsidP="008A1761">
      <w:pPr>
        <w:jc w:val="center"/>
        <w:rPr>
          <w:b/>
          <w:szCs w:val="30"/>
        </w:rPr>
      </w:pPr>
    </w:p>
    <w:p w:rsidR="008A1761" w:rsidRDefault="008A1761" w:rsidP="008A1761">
      <w:pPr>
        <w:jc w:val="center"/>
        <w:rPr>
          <w:b/>
          <w:szCs w:val="30"/>
        </w:rPr>
      </w:pPr>
    </w:p>
    <w:p w:rsidR="008A1761" w:rsidRDefault="008A1761" w:rsidP="008A1761">
      <w:pPr>
        <w:jc w:val="center"/>
        <w:rPr>
          <w:b/>
          <w:szCs w:val="30"/>
        </w:rPr>
      </w:pPr>
    </w:p>
    <w:p w:rsidR="008A1761" w:rsidRPr="004B5550" w:rsidRDefault="008A1761" w:rsidP="008A1761">
      <w:pPr>
        <w:jc w:val="center"/>
        <w:rPr>
          <w:b/>
          <w:szCs w:val="30"/>
        </w:rPr>
      </w:pPr>
      <w:r w:rsidRPr="004B5550">
        <w:rPr>
          <w:b/>
          <w:szCs w:val="30"/>
        </w:rPr>
        <w:t>Chapter 6</w:t>
      </w:r>
    </w:p>
    <w:p w:rsidR="008A1761" w:rsidRPr="004B5550" w:rsidRDefault="008A1761" w:rsidP="008A1761">
      <w:pPr>
        <w:jc w:val="center"/>
        <w:rPr>
          <w:szCs w:val="30"/>
        </w:rPr>
      </w:pPr>
      <w:r w:rsidRPr="004B5550">
        <w:rPr>
          <w:b/>
          <w:szCs w:val="30"/>
        </w:rPr>
        <w:t>Renewals</w:t>
      </w:r>
    </w:p>
    <w:p w:rsidR="008A1761" w:rsidRPr="004B5550" w:rsidRDefault="008A1761" w:rsidP="008A1761">
      <w:pPr>
        <w:rPr>
          <w:szCs w:val="30"/>
        </w:rPr>
      </w:pPr>
    </w:p>
    <w:p w:rsidR="008A1761" w:rsidRPr="00795CA1" w:rsidRDefault="008A1761" w:rsidP="008A1761">
      <w:r>
        <w:tab/>
        <w:t>[…]</w:t>
      </w:r>
    </w:p>
    <w:p w:rsidR="008A1761" w:rsidRDefault="008A1761" w:rsidP="008A1761"/>
    <w:p w:rsidR="008A1761" w:rsidRDefault="008A1761" w:rsidP="008A1761"/>
    <w:p w:rsidR="008A1761" w:rsidRPr="004B5550" w:rsidRDefault="008A1761" w:rsidP="008A1761">
      <w:pPr>
        <w:jc w:val="center"/>
        <w:rPr>
          <w:i/>
          <w:szCs w:val="30"/>
        </w:rPr>
      </w:pPr>
      <w:r w:rsidRPr="004B5550">
        <w:rPr>
          <w:i/>
          <w:szCs w:val="30"/>
        </w:rPr>
        <w:t>Rule 30</w:t>
      </w:r>
    </w:p>
    <w:p w:rsidR="008A1761" w:rsidRPr="004B5550" w:rsidRDefault="008A1761" w:rsidP="008A1761">
      <w:pPr>
        <w:jc w:val="center"/>
        <w:rPr>
          <w:szCs w:val="30"/>
        </w:rPr>
      </w:pPr>
      <w:r w:rsidRPr="004B5550">
        <w:rPr>
          <w:i/>
          <w:szCs w:val="30"/>
        </w:rPr>
        <w:t>Details Concerning Renewal</w:t>
      </w:r>
    </w:p>
    <w:p w:rsidR="008A1761" w:rsidRPr="009B07EE" w:rsidRDefault="008A1761" w:rsidP="008A1761"/>
    <w:p w:rsidR="008A1761" w:rsidRDefault="008A1761" w:rsidP="008A1761">
      <w:r>
        <w:tab/>
        <w:t>(1)</w:t>
      </w:r>
      <w:r>
        <w:tab/>
      </w:r>
      <w:r w:rsidRPr="009B07EE">
        <w:rPr>
          <w:i/>
        </w:rPr>
        <w:t>[F</w:t>
      </w:r>
      <w:r>
        <w:rPr>
          <w:i/>
        </w:rPr>
        <w:t>ees]</w:t>
      </w:r>
      <w:proofErr w:type="gramStart"/>
      <w:r>
        <w:t>  (</w:t>
      </w:r>
      <w:proofErr w:type="gramEnd"/>
      <w:r>
        <w:t xml:space="preserve">a)  The international registration shall be renewed upon payment, at the latest on the date on which the renewal of the international registration is due, of </w:t>
      </w:r>
    </w:p>
    <w:p w:rsidR="008A1761" w:rsidRDefault="008A1761" w:rsidP="008A1761">
      <w:pPr>
        <w:ind w:left="1134" w:firstLine="567"/>
      </w:pPr>
      <w:r>
        <w:t>[…]</w:t>
      </w:r>
    </w:p>
    <w:p w:rsidR="008A1761" w:rsidRPr="00214038" w:rsidRDefault="008A1761" w:rsidP="008A1761">
      <w:pPr>
        <w:ind w:firstLine="1134"/>
      </w:pPr>
      <w:r>
        <w:tab/>
        <w:t>(iii)</w:t>
      </w:r>
      <w:r>
        <w:tab/>
      </w:r>
      <w:r w:rsidRPr="00214038">
        <w:t xml:space="preserve">the complementary fee or individual fee, as the case may be, for each designated Contracting Party for which no statement of refusal </w:t>
      </w:r>
      <w:r>
        <w:t xml:space="preserve">under Rule </w:t>
      </w:r>
      <w:r w:rsidRPr="00AA610C">
        <w:t>18</w:t>
      </w:r>
      <w:r w:rsidRPr="00AA610C">
        <w:rPr>
          <w:i/>
        </w:rPr>
        <w:t>ter</w:t>
      </w:r>
      <w:r>
        <w:rPr>
          <w:i/>
        </w:rPr>
        <w:t xml:space="preserve"> </w:t>
      </w:r>
      <w:r w:rsidRPr="00AA610C">
        <w:t>or</w:t>
      </w:r>
      <w:r w:rsidRPr="00214038">
        <w:t xml:space="preserve"> invalidation</w:t>
      </w:r>
      <w:r>
        <w:t>,</w:t>
      </w:r>
      <w:r w:rsidRPr="00214038">
        <w:t xml:space="preserve"> </w:t>
      </w:r>
      <w:r>
        <w:t>in respect of all the goods and services concerned,</w:t>
      </w:r>
      <w:r w:rsidRPr="00214038">
        <w:t xml:space="preserve"> is recorded in the International Register, as specified or referred to in item 6 of the Schedule of Fees. </w:t>
      </w:r>
      <w:r>
        <w:t xml:space="preserve"> </w:t>
      </w:r>
      <w:r w:rsidRPr="00214038">
        <w:t>However, such payment may be made within six</w:t>
      </w:r>
      <w:r>
        <w:t> </w:t>
      </w:r>
      <w:r w:rsidRPr="00214038">
        <w:t>months from the date on which the renewal of the international registration is due, provided that the surcharge specified in item 6.5 of the Schedule of Fees is paid at the same time.</w:t>
      </w:r>
      <w:r>
        <w:t xml:space="preserve">  </w:t>
      </w:r>
    </w:p>
    <w:p w:rsidR="008A1761" w:rsidRPr="00214038" w:rsidRDefault="008A1761" w:rsidP="008A1761">
      <w:r>
        <w:tab/>
      </w:r>
      <w:r>
        <w:tab/>
        <w:t>[…]</w:t>
      </w:r>
    </w:p>
    <w:p w:rsidR="008A1761" w:rsidRDefault="008A1761" w:rsidP="008A1761">
      <w:pPr>
        <w:ind w:firstLine="1134"/>
      </w:pPr>
    </w:p>
    <w:p w:rsidR="008A1761" w:rsidRDefault="008A1761" w:rsidP="008A1761">
      <w:pPr>
        <w:ind w:firstLine="567"/>
      </w:pPr>
      <w:r w:rsidRPr="009B07EE">
        <w:t>(2)</w:t>
      </w:r>
      <w:r w:rsidRPr="009B07EE">
        <w:tab/>
      </w:r>
      <w:r w:rsidRPr="009B07EE">
        <w:rPr>
          <w:i/>
        </w:rPr>
        <w:t>[Further Details]</w:t>
      </w:r>
      <w:r w:rsidRPr="009B07EE">
        <w:t xml:space="preserve">  (a)  Where the holder does not wish to renew the international registration in respect of a designated Contracting Party for which no </w:t>
      </w:r>
      <w:r>
        <w:t xml:space="preserve">statement of </w:t>
      </w:r>
      <w:r w:rsidRPr="009B07EE">
        <w:t xml:space="preserve">refusal </w:t>
      </w:r>
      <w:r>
        <w:t xml:space="preserve">under Rule </w:t>
      </w:r>
      <w:r w:rsidRPr="00C867AE">
        <w:t>18</w:t>
      </w:r>
      <w:r>
        <w:rPr>
          <w:i/>
        </w:rPr>
        <w:t>ter</w:t>
      </w:r>
      <w:r>
        <w:t>,</w:t>
      </w:r>
      <w:r>
        <w:rPr>
          <w:i/>
        </w:rPr>
        <w:t xml:space="preserve"> </w:t>
      </w:r>
      <w:r w:rsidRPr="00100206">
        <w:t>in respect of all the goods and services concerned</w:t>
      </w:r>
      <w:r>
        <w:t>,</w:t>
      </w:r>
      <w:r w:rsidRPr="00100206">
        <w:t xml:space="preserve"> </w:t>
      </w:r>
      <w:r w:rsidRPr="00AA610C">
        <w:t>is</w:t>
      </w:r>
      <w:r w:rsidRPr="009B07EE">
        <w:t xml:space="preserve"> recorded in the International Register, payment of the required fees shall be accompanied by a statement </w:t>
      </w:r>
      <w:r>
        <w:t xml:space="preserve">by the holder </w:t>
      </w:r>
      <w:r w:rsidRPr="009B07EE">
        <w:t xml:space="preserve">that the renewal of the international registration is not to be recorded in the International Register in respect of that Contracting Party. </w:t>
      </w:r>
      <w:r>
        <w:t xml:space="preserve"> </w:t>
      </w:r>
    </w:p>
    <w:p w:rsidR="008A1761" w:rsidRDefault="008A1761" w:rsidP="008A1761">
      <w:pPr>
        <w:ind w:firstLine="1134"/>
      </w:pPr>
      <w:r w:rsidRPr="009B07EE">
        <w:t>(b)</w:t>
      </w:r>
      <w:r w:rsidRPr="009B07EE">
        <w:tab/>
        <w:t xml:space="preserve">Where the holder wishes to renew the international registration in respect of a designated Contracting Party notwithstanding the fact that a </w:t>
      </w:r>
      <w:r>
        <w:t xml:space="preserve">statement of </w:t>
      </w:r>
      <w:r w:rsidRPr="0011510B">
        <w:t>refusal</w:t>
      </w:r>
      <w:r w:rsidRPr="009B07EE">
        <w:t xml:space="preserve"> </w:t>
      </w:r>
      <w:r>
        <w:t>under Rule </w:t>
      </w:r>
      <w:r w:rsidRPr="0011510B">
        <w:t>18</w:t>
      </w:r>
      <w:r w:rsidRPr="0011510B">
        <w:rPr>
          <w:i/>
        </w:rPr>
        <w:t>ter</w:t>
      </w:r>
      <w:r>
        <w:rPr>
          <w:i/>
        </w:rPr>
        <w:t xml:space="preserve"> </w:t>
      </w:r>
      <w:r w:rsidRPr="009B07EE">
        <w:t>is recorded in the International Register for that Contracting Party in respect of all the goods and services concerned, payment of the required fees, including the complementary fee or individual fee, as the case may be, for that Contracting Party, shall be accompanied by a statement</w:t>
      </w:r>
      <w:r>
        <w:t xml:space="preserve"> by the holder</w:t>
      </w:r>
      <w:r w:rsidRPr="009B07EE">
        <w:t xml:space="preserve"> that the renewal of the international registration is to be recorded in the International Register in respect of that Contracting Party.</w:t>
      </w:r>
      <w:r>
        <w:t xml:space="preserve">  </w:t>
      </w:r>
    </w:p>
    <w:p w:rsidR="008A1761" w:rsidRDefault="008A1761" w:rsidP="008A1761">
      <w:pPr>
        <w:ind w:firstLine="567"/>
      </w:pPr>
    </w:p>
    <w:p w:rsidR="00BA1910" w:rsidRPr="009B07EE" w:rsidRDefault="00BA1910" w:rsidP="00BA1910">
      <w:pPr>
        <w:ind w:firstLine="1134"/>
      </w:pPr>
      <w:r w:rsidRPr="009B07EE">
        <w:t>(c)</w:t>
      </w:r>
      <w:r w:rsidRPr="009B07EE">
        <w:tab/>
        <w:t xml:space="preserve">The international registration </w:t>
      </w:r>
      <w:r>
        <w:t>shall</w:t>
      </w:r>
      <w:r w:rsidRPr="009B07EE">
        <w:t xml:space="preserve"> not be renewed in respect of any designated Contracting Party in respect of which an invalidation has been recorded for all goods and services under Rule 19(2) or in respect of which a renunciation has been recorded under Rule 27(1</w:t>
      </w:r>
      <w:proofErr w:type="gramStart"/>
      <w:r w:rsidRPr="009B07EE">
        <w:t>)(</w:t>
      </w:r>
      <w:proofErr w:type="gramEnd"/>
      <w:r w:rsidRPr="009B07EE">
        <w:t xml:space="preserve">a).  The international registration </w:t>
      </w:r>
      <w:r>
        <w:t>shall</w:t>
      </w:r>
      <w:r w:rsidRPr="009B07EE">
        <w:t xml:space="preserve"> not be renewed in respect of any designated Contracting Party for those goods and services in respect of which an invalidation of the effects of the international registration in that Contracting Party has been recorded under Rule 19(2) or in respect of which a limitation has been recorded under Rule 27(1</w:t>
      </w:r>
      <w:proofErr w:type="gramStart"/>
      <w:r w:rsidRPr="009B07EE">
        <w:t>)(</w:t>
      </w:r>
      <w:proofErr w:type="gramEnd"/>
      <w:r w:rsidRPr="009B07EE">
        <w:t>a).</w:t>
      </w:r>
      <w:r>
        <w:t xml:space="preserve">  </w:t>
      </w:r>
    </w:p>
    <w:p w:rsidR="00BA1910" w:rsidRPr="009B07EE" w:rsidRDefault="00BA1910" w:rsidP="00BA1910">
      <w:pPr>
        <w:ind w:firstLine="1134"/>
      </w:pPr>
      <w:r w:rsidRPr="009B07EE">
        <w:t>(d)</w:t>
      </w:r>
      <w:r w:rsidRPr="009B07EE">
        <w:tab/>
      </w:r>
      <w:r>
        <w:t xml:space="preserve">Where a statement under Rule </w:t>
      </w:r>
      <w:proofErr w:type="gramStart"/>
      <w:r>
        <w:t>18</w:t>
      </w:r>
      <w:r w:rsidRPr="004C1E06">
        <w:rPr>
          <w:i/>
        </w:rPr>
        <w:t>ter</w:t>
      </w:r>
      <w:r>
        <w:t>(</w:t>
      </w:r>
      <w:proofErr w:type="gramEnd"/>
      <w:r>
        <w:t xml:space="preserve">2)(ii) or (4) is recorded in the International Register, the international registration shall not be renewed in respect of the designated Contracting Party concerned for the goods and services that are not included in that statement, unless payment of the required fees is accompanied by a statement by the holder that the international registration is to be renewed also for those goods and services.  </w:t>
      </w:r>
    </w:p>
    <w:p w:rsidR="00BA1910" w:rsidRPr="009D711B" w:rsidRDefault="00BA1910" w:rsidP="00BA1910">
      <w:pPr>
        <w:ind w:firstLine="1134"/>
        <w:rPr>
          <w:lang w:val="en"/>
        </w:rPr>
      </w:pPr>
      <w:r>
        <w:rPr>
          <w:lang w:val="en"/>
        </w:rPr>
        <w:t>(e)</w:t>
      </w:r>
      <w:r>
        <w:rPr>
          <w:lang w:val="en"/>
        </w:rPr>
        <w:tab/>
      </w:r>
      <w:r w:rsidRPr="00100206">
        <w:rPr>
          <w:lang w:val="en"/>
        </w:rPr>
        <w:t xml:space="preserve">The fact that the international registration is not renewed under </w:t>
      </w:r>
      <w:r>
        <w:rPr>
          <w:lang w:val="en"/>
        </w:rPr>
        <w:t>sub</w:t>
      </w:r>
      <w:r w:rsidRPr="00100206">
        <w:rPr>
          <w:lang w:val="en"/>
        </w:rPr>
        <w:t>paragraph</w:t>
      </w:r>
      <w:r>
        <w:rPr>
          <w:lang w:val="en"/>
        </w:rPr>
        <w:t> </w:t>
      </w:r>
      <w:r w:rsidRPr="00100206">
        <w:rPr>
          <w:lang w:val="en"/>
        </w:rPr>
        <w:t xml:space="preserve">(d) in respect of all the goods and services concerned, shall not be considered to constitute a change for the purposes of Article 7(2) of the Agreement or Article 7(2) of the Protocol. </w:t>
      </w:r>
      <w:r>
        <w:rPr>
          <w:lang w:val="en"/>
        </w:rPr>
        <w:t xml:space="preserve"> </w:t>
      </w:r>
      <w:r w:rsidRPr="00100206">
        <w:t>The fact that the international registration is not renewed in respect of all of the designated Contracting Parties shall not be considered to constitute a change for the purposes of Article 7(2) of the Agreement or Article 7(2) of the Protocol.</w:t>
      </w:r>
      <w:r>
        <w:t xml:space="preserve">  </w:t>
      </w:r>
    </w:p>
    <w:p w:rsidR="00BA1910" w:rsidRPr="009D711B" w:rsidRDefault="00BA1910" w:rsidP="00BA1910">
      <w:pPr>
        <w:rPr>
          <w:lang w:val="en"/>
        </w:rPr>
      </w:pPr>
    </w:p>
    <w:p w:rsidR="00BA1910" w:rsidRPr="00795CA1" w:rsidRDefault="00BA1910" w:rsidP="00BA1910">
      <w:r>
        <w:tab/>
        <w:t>[…]</w:t>
      </w:r>
    </w:p>
    <w:p w:rsidR="00BA1910" w:rsidRPr="009B07EE" w:rsidRDefault="00BA1910" w:rsidP="00BA1910"/>
    <w:p w:rsidR="00BA1910" w:rsidRPr="009B07EE" w:rsidRDefault="00BA1910" w:rsidP="00BA1910"/>
    <w:p w:rsidR="00BA1910" w:rsidRPr="004B5550" w:rsidRDefault="00BA1910" w:rsidP="00BA1910">
      <w:pPr>
        <w:jc w:val="center"/>
        <w:rPr>
          <w:i/>
          <w:szCs w:val="30"/>
        </w:rPr>
      </w:pPr>
      <w:r w:rsidRPr="004B5550">
        <w:rPr>
          <w:i/>
          <w:szCs w:val="30"/>
        </w:rPr>
        <w:t>Rule 31</w:t>
      </w:r>
    </w:p>
    <w:p w:rsidR="00BA1910" w:rsidRPr="004B5550" w:rsidRDefault="00BA1910" w:rsidP="00BA1910">
      <w:pPr>
        <w:jc w:val="center"/>
        <w:rPr>
          <w:szCs w:val="30"/>
        </w:rPr>
      </w:pPr>
      <w:r w:rsidRPr="004B5550">
        <w:rPr>
          <w:i/>
          <w:szCs w:val="30"/>
        </w:rPr>
        <w:t>Recording of the Renewal</w:t>
      </w:r>
      <w:proofErr w:type="gramStart"/>
      <w:r w:rsidRPr="004B5550">
        <w:rPr>
          <w:i/>
          <w:szCs w:val="30"/>
        </w:rPr>
        <w:t>;  Notification</w:t>
      </w:r>
      <w:proofErr w:type="gramEnd"/>
      <w:r w:rsidRPr="004B5550">
        <w:rPr>
          <w:i/>
          <w:szCs w:val="30"/>
        </w:rPr>
        <w:t xml:space="preserve"> and Certificate</w:t>
      </w:r>
    </w:p>
    <w:p w:rsidR="00BA1910" w:rsidRDefault="00BA1910" w:rsidP="00BA1910"/>
    <w:p w:rsidR="00BA1910" w:rsidRPr="00795CA1" w:rsidRDefault="00BA1910" w:rsidP="00BA1910">
      <w:r>
        <w:tab/>
        <w:t>[…]</w:t>
      </w:r>
    </w:p>
    <w:p w:rsidR="00BA1910" w:rsidRPr="009B07EE" w:rsidRDefault="00BA1910" w:rsidP="00BA1910"/>
    <w:p w:rsidR="00BA1910" w:rsidRDefault="00BA1910" w:rsidP="00BA1910">
      <w:pPr>
        <w:ind w:firstLine="567"/>
      </w:pPr>
      <w:r w:rsidRPr="009B07EE">
        <w:t>(4)</w:t>
      </w:r>
      <w:r w:rsidRPr="009B07EE">
        <w:tab/>
      </w:r>
      <w:r w:rsidRPr="009B07EE">
        <w:rPr>
          <w:i/>
        </w:rPr>
        <w:t>[Notification in Case of Non-Renewal]</w:t>
      </w:r>
      <w:r w:rsidRPr="009B07EE">
        <w:t xml:space="preserve">  (a)  Where an international registration is not renewed, the International Bureau shall notify accordingly </w:t>
      </w:r>
      <w:r>
        <w:t xml:space="preserve">the holder, the representative, if any, and </w:t>
      </w:r>
      <w:r w:rsidRPr="009B07EE">
        <w:t>the Offices of all of the Contracting Parties designated in that international registration.</w:t>
      </w:r>
      <w:r>
        <w:t xml:space="preserve">  </w:t>
      </w:r>
    </w:p>
    <w:p w:rsidR="00BA1910" w:rsidRDefault="00BA1910" w:rsidP="00BA1910">
      <w:pPr>
        <w:ind w:firstLine="1134"/>
      </w:pPr>
      <w:r w:rsidRPr="009B07EE">
        <w:t>(b)</w:t>
      </w:r>
      <w:r w:rsidRPr="009B07EE">
        <w:tab/>
        <w:t xml:space="preserve">Where an international registration is not renewed in respect of a designated Contracting Party, the International Bureau shall notify </w:t>
      </w:r>
      <w:r>
        <w:t xml:space="preserve">the holder, the representative, if any, and </w:t>
      </w:r>
      <w:r w:rsidRPr="009B07EE">
        <w:t>the Office of that Contracting Party accordingly.</w:t>
      </w:r>
      <w:r>
        <w:t xml:space="preserve">  </w:t>
      </w:r>
    </w:p>
    <w:p w:rsidR="00BA1910" w:rsidRPr="00815D79" w:rsidRDefault="00BA1910" w:rsidP="00BA1910">
      <w:pPr>
        <w:ind w:firstLine="1134"/>
      </w:pPr>
    </w:p>
    <w:p w:rsidR="00BA1910" w:rsidRDefault="00BA1910" w:rsidP="00BA1910">
      <w:pPr>
        <w:pStyle w:val="Endofdocument-Annex"/>
        <w:rPr>
          <w:lang w:val="en"/>
        </w:rPr>
      </w:pPr>
    </w:p>
    <w:p w:rsidR="00BA1910" w:rsidRDefault="00BA1910" w:rsidP="00BA1910">
      <w:pPr>
        <w:pStyle w:val="Endofdocument-Annex"/>
        <w:rPr>
          <w:lang w:val="en"/>
        </w:rPr>
      </w:pPr>
    </w:p>
    <w:p w:rsidR="00BA1910" w:rsidRDefault="00BA1910" w:rsidP="00BA1910">
      <w:pPr>
        <w:pStyle w:val="Endofdocument-Annex"/>
        <w:rPr>
          <w:lang w:val="en"/>
        </w:rPr>
      </w:pPr>
      <w:r>
        <w:rPr>
          <w:lang w:val="en"/>
        </w:rPr>
        <w:t>[Annex II follows]</w:t>
      </w:r>
    </w:p>
    <w:p w:rsidR="00BA1910" w:rsidRDefault="00BA1910" w:rsidP="008A1761">
      <w:pPr>
        <w:rPr>
          <w:szCs w:val="30"/>
          <w:lang w:val="en"/>
        </w:rPr>
        <w:sectPr w:rsidR="00BA1910" w:rsidSect="008A1761">
          <w:headerReference w:type="first" r:id="rId14"/>
          <w:endnotePr>
            <w:numFmt w:val="decimal"/>
          </w:endnotePr>
          <w:pgSz w:w="11907" w:h="16840" w:code="9"/>
          <w:pgMar w:top="567" w:right="1134" w:bottom="851" w:left="1418" w:header="510" w:footer="1021" w:gutter="0"/>
          <w:pgNumType w:start="2"/>
          <w:cols w:space="720"/>
          <w:titlePg/>
        </w:sectPr>
      </w:pPr>
    </w:p>
    <w:p w:rsidR="00BA1910" w:rsidRPr="00F448CE" w:rsidRDefault="00BA1910" w:rsidP="00BA1910">
      <w:pPr>
        <w:jc w:val="center"/>
        <w:rPr>
          <w:bCs/>
        </w:rPr>
      </w:pPr>
      <w:r w:rsidRPr="00F448CE">
        <w:rPr>
          <w:bCs/>
        </w:rPr>
        <w:t>SCHEDULE OF FEES</w:t>
      </w:r>
    </w:p>
    <w:p w:rsidR="00BA1910" w:rsidRPr="00BA1910" w:rsidRDefault="00BA1910" w:rsidP="00BA1910">
      <w:pPr>
        <w:jc w:val="center"/>
        <w:rPr>
          <w:bCs/>
        </w:rPr>
      </w:pPr>
    </w:p>
    <w:p w:rsidR="00BA1910" w:rsidRPr="00BA1910" w:rsidRDefault="00BA1910" w:rsidP="00BA1910">
      <w:pPr>
        <w:jc w:val="center"/>
        <w:rPr>
          <w:bCs/>
        </w:rPr>
      </w:pPr>
      <w:r w:rsidRPr="00BA1910">
        <w:rPr>
          <w:bCs/>
        </w:rPr>
        <w:t>(</w:t>
      </w:r>
      <w:proofErr w:type="gramStart"/>
      <w:r w:rsidRPr="00BA1910">
        <w:rPr>
          <w:bCs/>
        </w:rPr>
        <w:t>in</w:t>
      </w:r>
      <w:proofErr w:type="gramEnd"/>
      <w:r w:rsidRPr="00BA1910">
        <w:rPr>
          <w:bCs/>
        </w:rPr>
        <w:t xml:space="preserve"> force on January 1, 2015)</w:t>
      </w:r>
    </w:p>
    <w:p w:rsidR="00BA1910" w:rsidRPr="00DA2C24" w:rsidRDefault="00BA1910" w:rsidP="00BA1910">
      <w:pPr>
        <w:jc w:val="center"/>
        <w:rPr>
          <w:b/>
          <w:bCs/>
        </w:rPr>
      </w:pPr>
    </w:p>
    <w:p w:rsidR="00BA1910" w:rsidRDefault="00BA1910" w:rsidP="00BA1910">
      <w:pPr>
        <w:pStyle w:val="Endofdocument-Annex"/>
        <w:ind w:left="0"/>
        <w:jc w:val="center"/>
      </w:pPr>
    </w:p>
    <w:p w:rsidR="00BA1910" w:rsidRPr="00F448CE" w:rsidRDefault="00BA1910" w:rsidP="00BA1910">
      <w:pPr>
        <w:pStyle w:val="Endofdocument-Annex"/>
        <w:ind w:left="7921"/>
        <w:jc w:val="center"/>
        <w:rPr>
          <w:i/>
        </w:rPr>
      </w:pPr>
      <w:r>
        <w:rPr>
          <w:i/>
        </w:rPr>
        <w:t>Swiss francs</w:t>
      </w:r>
    </w:p>
    <w:p w:rsidR="00BA1910" w:rsidRDefault="00BA1910" w:rsidP="00BA1910">
      <w:pPr>
        <w:pStyle w:val="Endofdocument-Annex"/>
        <w:ind w:left="0"/>
        <w:jc w:val="center"/>
      </w:pPr>
    </w:p>
    <w:p w:rsidR="00BA1910" w:rsidRDefault="00BA1910" w:rsidP="00BA1910">
      <w:pPr>
        <w:pStyle w:val="Endofdocument-Annex"/>
        <w:ind w:left="0"/>
        <w:jc w:val="center"/>
      </w:pPr>
    </w:p>
    <w:p w:rsidR="00BA1910" w:rsidRDefault="00BA1910" w:rsidP="00BA1910">
      <w:pPr>
        <w:pStyle w:val="Endofdocument-Annex"/>
        <w:ind w:left="0"/>
      </w:pPr>
      <w:r>
        <w:t>[…]</w:t>
      </w:r>
    </w:p>
    <w:p w:rsidR="00BA1910" w:rsidRDefault="00BA1910" w:rsidP="00BA1910">
      <w:pPr>
        <w:pStyle w:val="Endofdocument-Annex"/>
        <w:ind w:left="0"/>
      </w:pPr>
    </w:p>
    <w:p w:rsidR="00BA1910" w:rsidRDefault="00BA1910" w:rsidP="00BA1910">
      <w:pPr>
        <w:pStyle w:val="Endofdocument-Annex"/>
        <w:ind w:left="0"/>
      </w:pPr>
    </w:p>
    <w:p w:rsidR="00BA1910" w:rsidRDefault="00BA1910" w:rsidP="00BA1910">
      <w:pPr>
        <w:pStyle w:val="Endofdocument-Annex"/>
        <w:ind w:left="0"/>
      </w:pPr>
      <w:r>
        <w:t>7.</w:t>
      </w:r>
      <w:r>
        <w:tab/>
      </w:r>
      <w:r>
        <w:rPr>
          <w:i/>
        </w:rPr>
        <w:t>Miscellaneous recordings</w:t>
      </w:r>
    </w:p>
    <w:p w:rsidR="00BA1910" w:rsidRDefault="00BA1910" w:rsidP="00BA1910">
      <w:pPr>
        <w:pStyle w:val="Endofdocument-Annex"/>
        <w:ind w:left="0"/>
      </w:pPr>
    </w:p>
    <w:p w:rsidR="00BA1910" w:rsidRDefault="00BA1910" w:rsidP="00BA1910">
      <w:pPr>
        <w:pStyle w:val="Endofdocument-Annex"/>
        <w:ind w:left="0"/>
      </w:pPr>
      <w:r>
        <w:t>[…]</w:t>
      </w:r>
    </w:p>
    <w:p w:rsidR="00BA1910" w:rsidRDefault="00BA1910" w:rsidP="00BA1910">
      <w:pPr>
        <w:pStyle w:val="Endofdocument-Annex"/>
        <w:ind w:left="0"/>
      </w:pPr>
    </w:p>
    <w:p w:rsidR="00BA1910" w:rsidRDefault="00BA1910" w:rsidP="00BA1910">
      <w:pPr>
        <w:pStyle w:val="Endofdocument-Annex"/>
        <w:ind w:left="0" w:firstLine="567"/>
      </w:pPr>
      <w:r>
        <w:t>7.6</w:t>
      </w:r>
      <w:r>
        <w:tab/>
        <w:t xml:space="preserve">Request for a continued processing under Rule </w:t>
      </w:r>
      <w:proofErr w:type="gramStart"/>
      <w:r>
        <w:t>5</w:t>
      </w:r>
      <w:r>
        <w:rPr>
          <w:i/>
        </w:rPr>
        <w:t>bis</w:t>
      </w:r>
      <w:r>
        <w:t>(</w:t>
      </w:r>
      <w:proofErr w:type="gramEnd"/>
      <w:r>
        <w:t>1)</w:t>
      </w:r>
      <w:r>
        <w:tab/>
      </w:r>
      <w:r>
        <w:tab/>
      </w:r>
      <w:r>
        <w:tab/>
      </w:r>
      <w:r>
        <w:tab/>
        <w:t>200</w:t>
      </w:r>
    </w:p>
    <w:p w:rsidR="00BA1910" w:rsidRDefault="00BA1910" w:rsidP="00BA1910">
      <w:pPr>
        <w:pStyle w:val="Endofdocument-Annex"/>
        <w:ind w:left="0"/>
      </w:pPr>
    </w:p>
    <w:p w:rsidR="00BA1910" w:rsidRDefault="00BA1910" w:rsidP="00BA1910">
      <w:pPr>
        <w:pStyle w:val="Endofdocument-Annex"/>
        <w:ind w:left="0"/>
      </w:pPr>
    </w:p>
    <w:p w:rsidR="00BA1910" w:rsidRDefault="00BA1910" w:rsidP="00BA1910">
      <w:pPr>
        <w:pStyle w:val="Endofdocument-Annex"/>
        <w:ind w:left="0"/>
      </w:pPr>
    </w:p>
    <w:p w:rsidR="00BA1910" w:rsidRDefault="00BA1910" w:rsidP="00BA1910">
      <w:pPr>
        <w:pStyle w:val="Endofdocument-Annex"/>
      </w:pPr>
      <w:r>
        <w:t>[Annex III follows]</w:t>
      </w:r>
    </w:p>
    <w:p w:rsidR="00BA1910" w:rsidRDefault="00BA1910" w:rsidP="00BA1910">
      <w:pPr>
        <w:pStyle w:val="Endofdocument-Annex"/>
      </w:pPr>
    </w:p>
    <w:p w:rsidR="00BA1910" w:rsidRDefault="00BA1910" w:rsidP="00BA1910">
      <w:pPr>
        <w:pStyle w:val="Endofdocument-Annex"/>
        <w:sectPr w:rsidR="00BA1910" w:rsidSect="008A1761">
          <w:headerReference w:type="first" r:id="rId15"/>
          <w:endnotePr>
            <w:numFmt w:val="decimal"/>
          </w:endnotePr>
          <w:pgSz w:w="11907" w:h="16840" w:code="9"/>
          <w:pgMar w:top="567" w:right="1134" w:bottom="851" w:left="1418" w:header="510" w:footer="1021" w:gutter="0"/>
          <w:pgNumType w:start="2"/>
          <w:cols w:space="720"/>
          <w:titlePg/>
        </w:sectPr>
      </w:pPr>
    </w:p>
    <w:p w:rsidR="00BA1910" w:rsidRDefault="00BC0F31" w:rsidP="00BA1910">
      <w:pPr>
        <w:pStyle w:val="Endofdocument-Annex"/>
        <w:ind w:left="0"/>
        <w:jc w:val="center"/>
        <w:sectPr w:rsidR="00BA1910" w:rsidSect="008A1761">
          <w:headerReference w:type="first" r:id="rId16"/>
          <w:endnotePr>
            <w:numFmt w:val="decimal"/>
          </w:endnotePr>
          <w:pgSz w:w="11907" w:h="16840" w:code="9"/>
          <w:pgMar w:top="567" w:right="1134" w:bottom="851" w:left="1418" w:header="510" w:footer="1021" w:gutter="0"/>
          <w:pgNumType w:start="2"/>
          <w:cols w:space="720"/>
          <w:titlePg/>
        </w:sectPr>
      </w:pPr>
      <w:r>
        <w:rPr>
          <w:noProof/>
          <w:lang w:eastAsia="en-US"/>
        </w:rPr>
        <w:drawing>
          <wp:inline distT="0" distB="0" distL="0" distR="0">
            <wp:extent cx="6202375" cy="8775700"/>
            <wp:effectExtent l="0" t="0" r="825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04810" cy="8779145"/>
                    </a:xfrm>
                    <a:prstGeom prst="rect">
                      <a:avLst/>
                    </a:prstGeom>
                    <a:noFill/>
                    <a:ln>
                      <a:noFill/>
                    </a:ln>
                  </pic:spPr>
                </pic:pic>
              </a:graphicData>
            </a:graphic>
          </wp:inline>
        </w:drawing>
      </w:r>
    </w:p>
    <w:p w:rsidR="00BA1910" w:rsidRDefault="00730AA5" w:rsidP="00BA1910">
      <w:pPr>
        <w:pStyle w:val="Endofdocument-Annex"/>
        <w:ind w:left="0"/>
        <w:rPr>
          <w:noProof/>
          <w:lang w:eastAsia="en-US"/>
        </w:rPr>
      </w:pPr>
      <w:r>
        <w:rPr>
          <w:noProof/>
          <w:lang w:eastAsia="en-US"/>
        </w:rPr>
        <w:drawing>
          <wp:inline distT="0" distB="0" distL="0" distR="0">
            <wp:extent cx="5952066" cy="8421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2066" cy="8421540"/>
                    </a:xfrm>
                    <a:prstGeom prst="rect">
                      <a:avLst/>
                    </a:prstGeom>
                    <a:noFill/>
                    <a:ln>
                      <a:noFill/>
                    </a:ln>
                  </pic:spPr>
                </pic:pic>
              </a:graphicData>
            </a:graphic>
          </wp:inline>
        </w:drawing>
      </w:r>
    </w:p>
    <w:p w:rsidR="003853DD" w:rsidRDefault="003853DD" w:rsidP="00BA1910">
      <w:pPr>
        <w:pStyle w:val="Endofdocument-Annex"/>
        <w:ind w:left="0"/>
      </w:pPr>
    </w:p>
    <w:p w:rsidR="00DB010D" w:rsidRDefault="00DB010D" w:rsidP="00BA1910">
      <w:pPr>
        <w:pStyle w:val="Endofdocument-Annex"/>
        <w:ind w:left="0"/>
      </w:pPr>
      <w:r>
        <w:br w:type="page"/>
      </w:r>
    </w:p>
    <w:p w:rsidR="00DB010D" w:rsidRDefault="00BC0F31" w:rsidP="00BA1910">
      <w:pPr>
        <w:pStyle w:val="Endofdocument-Annex"/>
        <w:ind w:left="0"/>
      </w:pPr>
      <w:r>
        <w:rPr>
          <w:noProof/>
          <w:lang w:eastAsia="en-US"/>
        </w:rPr>
        <w:drawing>
          <wp:inline distT="0" distB="0" distL="0" distR="0">
            <wp:extent cx="5981700" cy="846346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81700" cy="8463469"/>
                    </a:xfrm>
                    <a:prstGeom prst="rect">
                      <a:avLst/>
                    </a:prstGeom>
                    <a:noFill/>
                    <a:ln>
                      <a:noFill/>
                    </a:ln>
                  </pic:spPr>
                </pic:pic>
              </a:graphicData>
            </a:graphic>
          </wp:inline>
        </w:drawing>
      </w:r>
    </w:p>
    <w:p w:rsidR="00DB010D" w:rsidRDefault="00DB010D" w:rsidP="00BA1910">
      <w:pPr>
        <w:pStyle w:val="Endofdocument-Annex"/>
        <w:ind w:left="0"/>
      </w:pPr>
    </w:p>
    <w:p w:rsidR="00DB010D" w:rsidRDefault="00DB010D" w:rsidP="00BA1910">
      <w:pPr>
        <w:pStyle w:val="Endofdocument-Annex"/>
        <w:ind w:left="0"/>
      </w:pPr>
      <w:r>
        <w:br w:type="page"/>
      </w:r>
    </w:p>
    <w:p w:rsidR="00DB010D" w:rsidRDefault="00BC0F31" w:rsidP="00BA1910">
      <w:pPr>
        <w:pStyle w:val="Endofdocument-Annex"/>
        <w:ind w:left="0"/>
      </w:pPr>
      <w:r>
        <w:rPr>
          <w:noProof/>
          <w:lang w:eastAsia="en-US"/>
        </w:rPr>
        <w:drawing>
          <wp:inline distT="0" distB="0" distL="0" distR="0">
            <wp:extent cx="5951048" cy="8420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51048" cy="8420100"/>
                    </a:xfrm>
                    <a:prstGeom prst="rect">
                      <a:avLst/>
                    </a:prstGeom>
                    <a:noFill/>
                    <a:ln>
                      <a:noFill/>
                    </a:ln>
                  </pic:spPr>
                </pic:pic>
              </a:graphicData>
            </a:graphic>
          </wp:inline>
        </w:drawing>
      </w:r>
    </w:p>
    <w:p w:rsidR="00DB010D" w:rsidRDefault="00DB010D" w:rsidP="00BA1910">
      <w:pPr>
        <w:pStyle w:val="Endofdocument-Annex"/>
        <w:ind w:left="0"/>
      </w:pPr>
    </w:p>
    <w:p w:rsidR="00DB010D" w:rsidRDefault="00DB010D" w:rsidP="00BA1910">
      <w:pPr>
        <w:pStyle w:val="Endofdocument-Annex"/>
        <w:ind w:left="0"/>
      </w:pPr>
    </w:p>
    <w:p w:rsidR="00DB010D" w:rsidRDefault="00DB010D" w:rsidP="00DB010D">
      <w:pPr>
        <w:pStyle w:val="Endofdocument-Annex"/>
      </w:pPr>
      <w:r>
        <w:t>[Annex IV follows]</w:t>
      </w:r>
    </w:p>
    <w:p w:rsidR="00DB010D" w:rsidRDefault="00DB010D" w:rsidP="00BA1910">
      <w:pPr>
        <w:pStyle w:val="Endofdocument-Annex"/>
        <w:ind w:left="0"/>
        <w:sectPr w:rsidR="00DB010D" w:rsidSect="008A1761">
          <w:headerReference w:type="default" r:id="rId21"/>
          <w:headerReference w:type="first" r:id="rId22"/>
          <w:endnotePr>
            <w:numFmt w:val="decimal"/>
          </w:endnotePr>
          <w:pgSz w:w="11907" w:h="16840" w:code="9"/>
          <w:pgMar w:top="567" w:right="1134" w:bottom="851" w:left="1418" w:header="510" w:footer="1021" w:gutter="0"/>
          <w:pgNumType w:start="2"/>
          <w:cols w:space="720"/>
          <w:titlePg/>
        </w:sectPr>
      </w:pPr>
    </w:p>
    <w:p w:rsidR="00DB010D" w:rsidRDefault="00BC0F31" w:rsidP="00BA1910">
      <w:pPr>
        <w:pStyle w:val="Endofdocument-Annex"/>
        <w:ind w:left="0"/>
        <w:rPr>
          <w:noProof/>
          <w:lang w:eastAsia="en-US"/>
        </w:rPr>
      </w:pPr>
      <w:r>
        <w:rPr>
          <w:noProof/>
          <w:lang w:eastAsia="en-US"/>
        </w:rPr>
        <w:drawing>
          <wp:inline distT="0" distB="0" distL="0" distR="0">
            <wp:extent cx="6045200" cy="855331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45200" cy="8553315"/>
                    </a:xfrm>
                    <a:prstGeom prst="rect">
                      <a:avLst/>
                    </a:prstGeom>
                    <a:noFill/>
                    <a:ln>
                      <a:noFill/>
                    </a:ln>
                  </pic:spPr>
                </pic:pic>
              </a:graphicData>
            </a:graphic>
          </wp:inline>
        </w:drawing>
      </w:r>
    </w:p>
    <w:p w:rsidR="00953086" w:rsidRDefault="00953086" w:rsidP="00BA1910">
      <w:pPr>
        <w:pStyle w:val="Endofdocument-Annex"/>
        <w:ind w:left="0"/>
        <w:rPr>
          <w:noProof/>
          <w:lang w:eastAsia="en-US"/>
        </w:rPr>
      </w:pPr>
    </w:p>
    <w:p w:rsidR="00953086" w:rsidRDefault="00953086" w:rsidP="00BA1910">
      <w:pPr>
        <w:pStyle w:val="Endofdocument-Annex"/>
        <w:ind w:left="0"/>
      </w:pPr>
    </w:p>
    <w:p w:rsidR="00EE16E8" w:rsidRDefault="00EE16E8" w:rsidP="00BA1910">
      <w:pPr>
        <w:pStyle w:val="Endofdocument-Annex"/>
        <w:ind w:left="0"/>
        <w:sectPr w:rsidR="00EE16E8" w:rsidSect="008A1761">
          <w:headerReference w:type="first" r:id="rId24"/>
          <w:endnotePr>
            <w:numFmt w:val="decimal"/>
          </w:endnotePr>
          <w:pgSz w:w="11907" w:h="16840" w:code="9"/>
          <w:pgMar w:top="567" w:right="1134" w:bottom="851" w:left="1418" w:header="510" w:footer="1021" w:gutter="0"/>
          <w:pgNumType w:start="2"/>
          <w:cols w:space="720"/>
          <w:titlePg/>
        </w:sectPr>
      </w:pPr>
    </w:p>
    <w:p w:rsidR="00EE16E8" w:rsidRDefault="00BC0F31" w:rsidP="00BA1910">
      <w:pPr>
        <w:pStyle w:val="Endofdocument-Annex"/>
        <w:ind w:left="0"/>
        <w:rPr>
          <w:noProof/>
          <w:lang w:eastAsia="en-US"/>
        </w:rPr>
      </w:pPr>
      <w:r>
        <w:rPr>
          <w:noProof/>
          <w:lang w:eastAsia="en-US"/>
        </w:rPr>
        <w:drawing>
          <wp:inline distT="0" distB="0" distL="0" distR="0">
            <wp:extent cx="5977976" cy="845820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7976" cy="8458200"/>
                    </a:xfrm>
                    <a:prstGeom prst="rect">
                      <a:avLst/>
                    </a:prstGeom>
                    <a:noFill/>
                    <a:ln>
                      <a:noFill/>
                    </a:ln>
                  </pic:spPr>
                </pic:pic>
              </a:graphicData>
            </a:graphic>
          </wp:inline>
        </w:drawing>
      </w:r>
    </w:p>
    <w:p w:rsidR="00953086" w:rsidRDefault="00953086" w:rsidP="00BA1910">
      <w:pPr>
        <w:pStyle w:val="Endofdocument-Annex"/>
        <w:ind w:left="0"/>
      </w:pPr>
    </w:p>
    <w:p w:rsidR="001B0E60" w:rsidRDefault="001B0E60" w:rsidP="00BA1910">
      <w:pPr>
        <w:pStyle w:val="Endofdocument-Annex"/>
        <w:ind w:left="0"/>
      </w:pPr>
      <w:r>
        <w:br w:type="page"/>
      </w:r>
    </w:p>
    <w:p w:rsidR="001B0E60" w:rsidRDefault="00BC0F31" w:rsidP="00BA1910">
      <w:pPr>
        <w:pStyle w:val="Endofdocument-Annex"/>
        <w:ind w:left="0"/>
      </w:pPr>
      <w:r>
        <w:rPr>
          <w:noProof/>
          <w:lang w:eastAsia="en-US"/>
        </w:rPr>
        <w:drawing>
          <wp:inline distT="0" distB="0" distL="0" distR="0">
            <wp:extent cx="6058759" cy="8572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58759" cy="8572500"/>
                    </a:xfrm>
                    <a:prstGeom prst="rect">
                      <a:avLst/>
                    </a:prstGeom>
                    <a:noFill/>
                    <a:ln>
                      <a:noFill/>
                    </a:ln>
                  </pic:spPr>
                </pic:pic>
              </a:graphicData>
            </a:graphic>
          </wp:inline>
        </w:drawing>
      </w:r>
    </w:p>
    <w:p w:rsidR="001B0E60" w:rsidRDefault="001B0E60" w:rsidP="00BA1910">
      <w:pPr>
        <w:pStyle w:val="Endofdocument-Annex"/>
        <w:ind w:left="0"/>
      </w:pPr>
      <w:r>
        <w:br w:type="page"/>
      </w:r>
    </w:p>
    <w:p w:rsidR="001B0E60" w:rsidRDefault="00BC0F31" w:rsidP="00BA1910">
      <w:pPr>
        <w:pStyle w:val="Endofdocument-Annex"/>
        <w:ind w:left="0"/>
      </w:pPr>
      <w:r>
        <w:rPr>
          <w:noProof/>
          <w:lang w:eastAsia="en-US"/>
        </w:rPr>
        <w:drawing>
          <wp:inline distT="0" distB="0" distL="0" distR="0">
            <wp:extent cx="5933096" cy="83947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3096" cy="8394700"/>
                    </a:xfrm>
                    <a:prstGeom prst="rect">
                      <a:avLst/>
                    </a:prstGeom>
                    <a:noFill/>
                    <a:ln>
                      <a:noFill/>
                    </a:ln>
                  </pic:spPr>
                </pic:pic>
              </a:graphicData>
            </a:graphic>
          </wp:inline>
        </w:drawing>
      </w:r>
    </w:p>
    <w:p w:rsidR="001B0E60" w:rsidRDefault="001B0E60" w:rsidP="00BA1910">
      <w:pPr>
        <w:pStyle w:val="Endofdocument-Annex"/>
        <w:ind w:left="0"/>
      </w:pPr>
    </w:p>
    <w:p w:rsidR="001B0E60" w:rsidRDefault="001B0E60" w:rsidP="00BA1910">
      <w:pPr>
        <w:pStyle w:val="Endofdocument-Annex"/>
        <w:ind w:left="0"/>
      </w:pPr>
      <w:r>
        <w:br w:type="page"/>
      </w:r>
    </w:p>
    <w:p w:rsidR="001B0E60" w:rsidRDefault="00BC0F31" w:rsidP="00BA1910">
      <w:pPr>
        <w:pStyle w:val="Endofdocument-Annex"/>
        <w:ind w:left="0"/>
      </w:pPr>
      <w:r>
        <w:rPr>
          <w:noProof/>
          <w:lang w:eastAsia="en-US"/>
        </w:rPr>
        <w:drawing>
          <wp:inline distT="0" distB="0" distL="0" distR="0">
            <wp:extent cx="5933096" cy="83947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3096" cy="8394700"/>
                    </a:xfrm>
                    <a:prstGeom prst="rect">
                      <a:avLst/>
                    </a:prstGeom>
                    <a:noFill/>
                    <a:ln>
                      <a:noFill/>
                    </a:ln>
                  </pic:spPr>
                </pic:pic>
              </a:graphicData>
            </a:graphic>
          </wp:inline>
        </w:drawing>
      </w:r>
    </w:p>
    <w:p w:rsidR="001B0E60" w:rsidRDefault="001B0E60" w:rsidP="00BA1910">
      <w:pPr>
        <w:pStyle w:val="Endofdocument-Annex"/>
        <w:ind w:left="0"/>
      </w:pPr>
    </w:p>
    <w:p w:rsidR="001B0E60" w:rsidRDefault="001B0E60" w:rsidP="00BA1910">
      <w:pPr>
        <w:pStyle w:val="Endofdocument-Annex"/>
        <w:ind w:left="0"/>
      </w:pPr>
    </w:p>
    <w:p w:rsidR="001B0E60" w:rsidRDefault="001B0E60" w:rsidP="001B0E60">
      <w:pPr>
        <w:pStyle w:val="Endofdocument-Annex"/>
      </w:pPr>
      <w:r>
        <w:t>[End of Annex IV]</w:t>
      </w:r>
    </w:p>
    <w:sectPr w:rsidR="001B0E60" w:rsidSect="008A1761">
      <w:headerReference w:type="default" r:id="rId29"/>
      <w:headerReference w:type="first" r:id="rId30"/>
      <w:endnotePr>
        <w:numFmt w:val="decimal"/>
      </w:endnotePr>
      <w:pgSz w:w="11907" w:h="16840" w:code="9"/>
      <w:pgMar w:top="567" w:right="1134" w:bottom="851" w:left="1418" w:header="510" w:footer="1021"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80E" w:rsidRDefault="00BD680E">
      <w:r>
        <w:separator/>
      </w:r>
    </w:p>
  </w:endnote>
  <w:endnote w:type="continuationSeparator" w:id="0">
    <w:p w:rsidR="00BD680E" w:rsidRDefault="00BD680E" w:rsidP="003B38C1">
      <w:r>
        <w:separator/>
      </w:r>
    </w:p>
    <w:p w:rsidR="00BD680E" w:rsidRPr="003B38C1" w:rsidRDefault="00BD680E" w:rsidP="003B38C1">
      <w:pPr>
        <w:spacing w:after="60"/>
        <w:rPr>
          <w:sz w:val="17"/>
        </w:rPr>
      </w:pPr>
      <w:r>
        <w:rPr>
          <w:sz w:val="17"/>
        </w:rPr>
        <w:t>[Endnote continued from previous page]</w:t>
      </w:r>
    </w:p>
  </w:endnote>
  <w:endnote w:type="continuationNotice" w:id="1">
    <w:p w:rsidR="00BD680E" w:rsidRPr="003B38C1" w:rsidRDefault="00BD680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761" w:rsidRDefault="008A1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80E" w:rsidRDefault="00BD680E">
      <w:r>
        <w:separator/>
      </w:r>
    </w:p>
  </w:footnote>
  <w:footnote w:type="continuationSeparator" w:id="0">
    <w:p w:rsidR="00BD680E" w:rsidRDefault="00BD680E" w:rsidP="008B60B2">
      <w:r>
        <w:separator/>
      </w:r>
    </w:p>
    <w:p w:rsidR="00BD680E" w:rsidRPr="00ED77FB" w:rsidRDefault="00BD680E" w:rsidP="008B60B2">
      <w:pPr>
        <w:spacing w:after="60"/>
        <w:rPr>
          <w:sz w:val="17"/>
          <w:szCs w:val="17"/>
        </w:rPr>
      </w:pPr>
      <w:r w:rsidRPr="00ED77FB">
        <w:rPr>
          <w:sz w:val="17"/>
          <w:szCs w:val="17"/>
        </w:rPr>
        <w:t>[Footnote continued from previous page]</w:t>
      </w:r>
    </w:p>
  </w:footnote>
  <w:footnote w:type="continuationNotice" w:id="1">
    <w:p w:rsidR="00BD680E" w:rsidRPr="00ED77FB" w:rsidRDefault="00BD680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4F" w:rsidRDefault="002A2E4F" w:rsidP="00477D6B">
    <w:pPr>
      <w:jc w:val="right"/>
    </w:pPr>
    <w:bookmarkStart w:id="2" w:name="Code2"/>
    <w:bookmarkEnd w:id="2"/>
  </w:p>
  <w:p w:rsidR="002A2E4F" w:rsidRDefault="002A2E4F" w:rsidP="00477D6B">
    <w:pPr>
      <w:jc w:val="right"/>
    </w:pPr>
    <w:proofErr w:type="gramStart"/>
    <w:r>
      <w:t>page</w:t>
    </w:r>
    <w:proofErr w:type="gramEnd"/>
    <w:r>
      <w:t xml:space="preserve"> </w:t>
    </w:r>
    <w:r>
      <w:fldChar w:fldCharType="begin"/>
    </w:r>
    <w:r>
      <w:instrText xml:space="preserve"> PAGE  \* MERGEFORMAT </w:instrText>
    </w:r>
    <w:r>
      <w:fldChar w:fldCharType="separate"/>
    </w:r>
    <w:r w:rsidR="00F94DD2">
      <w:rPr>
        <w:noProof/>
      </w:rPr>
      <w:t>3</w:t>
    </w:r>
    <w:r>
      <w:fldChar w:fldCharType="end"/>
    </w:r>
  </w:p>
  <w:p w:rsidR="002A2E4F" w:rsidRDefault="002A2E4F"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3EF" w:rsidRDefault="00C633EF" w:rsidP="00477D6B">
    <w:pPr>
      <w:jc w:val="right"/>
    </w:pPr>
  </w:p>
  <w:p w:rsidR="00C633EF" w:rsidRDefault="00C633EF" w:rsidP="00477D6B">
    <w:pPr>
      <w:jc w:val="right"/>
    </w:pPr>
    <w:r>
      <w:t xml:space="preserve">Annex IV, page </w:t>
    </w:r>
    <w:r>
      <w:fldChar w:fldCharType="begin"/>
    </w:r>
    <w:r>
      <w:instrText xml:space="preserve"> PAGE  \* MERGEFORMAT </w:instrText>
    </w:r>
    <w:r>
      <w:fldChar w:fldCharType="separate"/>
    </w:r>
    <w:r w:rsidR="00F94DD2">
      <w:rPr>
        <w:noProof/>
      </w:rPr>
      <w:t>5</w:t>
    </w:r>
    <w:r>
      <w:fldChar w:fldCharType="end"/>
    </w:r>
  </w:p>
  <w:p w:rsidR="00C633EF" w:rsidRDefault="00C633EF" w:rsidP="00477D6B">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E60" w:rsidRDefault="001B0E60">
    <w:pPr>
      <w:pStyle w:val="Header"/>
      <w:jc w:val="right"/>
    </w:pPr>
  </w:p>
  <w:p w:rsidR="00EE16E8" w:rsidRDefault="001B0E60">
    <w:pPr>
      <w:pStyle w:val="Header"/>
      <w:jc w:val="right"/>
    </w:pPr>
    <w:r>
      <w:t xml:space="preserve">Annex IV, page </w:t>
    </w:r>
    <w:sdt>
      <w:sdtPr>
        <w:id w:val="1397317723"/>
        <w:docPartObj>
          <w:docPartGallery w:val="Page Numbers (Top of Page)"/>
          <w:docPartUnique/>
        </w:docPartObj>
      </w:sdtPr>
      <w:sdtEndPr>
        <w:rPr>
          <w:noProof/>
        </w:rPr>
      </w:sdtEndPr>
      <w:sdtContent>
        <w:r w:rsidR="00EE16E8">
          <w:fldChar w:fldCharType="begin"/>
        </w:r>
        <w:r w:rsidR="00EE16E8">
          <w:instrText xml:space="preserve"> PAGE   \* MERGEFORMAT </w:instrText>
        </w:r>
        <w:r w:rsidR="00EE16E8">
          <w:fldChar w:fldCharType="separate"/>
        </w:r>
        <w:r w:rsidR="00F94DD2">
          <w:rPr>
            <w:noProof/>
          </w:rPr>
          <w:t>2</w:t>
        </w:r>
        <w:r w:rsidR="00EE16E8">
          <w:rPr>
            <w:noProof/>
          </w:rPr>
          <w:fldChar w:fldCharType="end"/>
        </w:r>
      </w:sdtContent>
    </w:sdt>
  </w:p>
  <w:p w:rsidR="00EE16E8" w:rsidRDefault="00EE16E8" w:rsidP="008A176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761" w:rsidRDefault="008A1761" w:rsidP="00477D6B">
    <w:pPr>
      <w:jc w:val="right"/>
    </w:pPr>
  </w:p>
  <w:p w:rsidR="008A1761" w:rsidRDefault="008A1761" w:rsidP="00477D6B">
    <w:pPr>
      <w:jc w:val="right"/>
    </w:pPr>
    <w:r>
      <w:t xml:space="preserve">Annex I, page </w:t>
    </w:r>
    <w:r>
      <w:fldChar w:fldCharType="begin"/>
    </w:r>
    <w:r>
      <w:instrText xml:space="preserve"> PAGE  \* MERGEFORMAT </w:instrText>
    </w:r>
    <w:r>
      <w:fldChar w:fldCharType="separate"/>
    </w:r>
    <w:r w:rsidR="00F94DD2">
      <w:rPr>
        <w:noProof/>
      </w:rPr>
      <w:t>3</w:t>
    </w:r>
    <w:r>
      <w:fldChar w:fldCharType="end"/>
    </w:r>
  </w:p>
  <w:p w:rsidR="008A1761" w:rsidRDefault="008A176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761" w:rsidRDefault="008A1761" w:rsidP="008A1761">
    <w:pPr>
      <w:jc w:val="right"/>
    </w:pPr>
  </w:p>
  <w:p w:rsidR="008A1761" w:rsidRDefault="008A1761" w:rsidP="008A1761">
    <w:pPr>
      <w:jc w:val="right"/>
    </w:pPr>
    <w:r>
      <w:t>ANNEX I</w:t>
    </w:r>
  </w:p>
  <w:p w:rsidR="008A1761" w:rsidRDefault="008A1761" w:rsidP="008A176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761" w:rsidRDefault="008A1761" w:rsidP="008A1761">
    <w:pPr>
      <w:jc w:val="right"/>
    </w:pPr>
  </w:p>
  <w:p w:rsidR="008A1761" w:rsidRDefault="008A1761" w:rsidP="008A1761">
    <w:pPr>
      <w:jc w:val="right"/>
    </w:pPr>
    <w:r>
      <w:t xml:space="preserve">Annex I, page </w:t>
    </w:r>
    <w:r>
      <w:fldChar w:fldCharType="begin"/>
    </w:r>
    <w:r>
      <w:instrText xml:space="preserve"> PAGE   \* MERGEFORMAT </w:instrText>
    </w:r>
    <w:r>
      <w:fldChar w:fldCharType="separate"/>
    </w:r>
    <w:r w:rsidR="00F94DD2">
      <w:rPr>
        <w:noProof/>
      </w:rPr>
      <w:t>2</w:t>
    </w:r>
    <w:r>
      <w:rPr>
        <w:noProof/>
      </w:rPr>
      <w:fldChar w:fldCharType="end"/>
    </w:r>
  </w:p>
  <w:p w:rsidR="008A1761" w:rsidRDefault="008A1761" w:rsidP="008A1761">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10" w:rsidRDefault="00BA1910" w:rsidP="008A1761">
    <w:pPr>
      <w:jc w:val="right"/>
    </w:pPr>
  </w:p>
  <w:p w:rsidR="00BA1910" w:rsidRDefault="00BA1910" w:rsidP="008A1761">
    <w:pPr>
      <w:jc w:val="right"/>
    </w:pPr>
    <w:r>
      <w:t>ANNEX II</w:t>
    </w:r>
  </w:p>
  <w:p w:rsidR="00BA1910" w:rsidRDefault="00BA1910" w:rsidP="008A176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10" w:rsidRDefault="00BA1910" w:rsidP="008A1761">
    <w:pPr>
      <w:jc w:val="right"/>
    </w:pPr>
  </w:p>
  <w:p w:rsidR="00BA1910" w:rsidRDefault="00BA1910" w:rsidP="008A1761">
    <w:pPr>
      <w:jc w:val="right"/>
    </w:pPr>
    <w:r>
      <w:t>ANNEX III</w:t>
    </w:r>
  </w:p>
  <w:p w:rsidR="00BA1910" w:rsidRDefault="00BA1910" w:rsidP="008A1761">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0D" w:rsidRDefault="00DB010D" w:rsidP="00477D6B">
    <w:pPr>
      <w:jc w:val="right"/>
    </w:pPr>
  </w:p>
  <w:p w:rsidR="00DB010D" w:rsidRDefault="00DB010D" w:rsidP="00477D6B">
    <w:pPr>
      <w:jc w:val="right"/>
    </w:pPr>
    <w:r>
      <w:t xml:space="preserve">Annex III, page </w:t>
    </w:r>
    <w:r>
      <w:fldChar w:fldCharType="begin"/>
    </w:r>
    <w:r>
      <w:instrText xml:space="preserve"> PAGE  \* MERGEFORMAT </w:instrText>
    </w:r>
    <w:r>
      <w:fldChar w:fldCharType="separate"/>
    </w:r>
    <w:r w:rsidR="00F94DD2">
      <w:rPr>
        <w:noProof/>
      </w:rPr>
      <w:t>4</w:t>
    </w:r>
    <w:r>
      <w:fldChar w:fldCharType="end"/>
    </w:r>
  </w:p>
  <w:p w:rsidR="00DB010D" w:rsidRDefault="00DB010D" w:rsidP="00477D6B">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81986"/>
      <w:docPartObj>
        <w:docPartGallery w:val="Page Numbers (Top of Page)"/>
        <w:docPartUnique/>
      </w:docPartObj>
    </w:sdtPr>
    <w:sdtEndPr>
      <w:rPr>
        <w:noProof/>
      </w:rPr>
    </w:sdtEndPr>
    <w:sdtContent>
      <w:p w:rsidR="00BA1910" w:rsidRDefault="00BA1910">
        <w:pPr>
          <w:pStyle w:val="Header"/>
          <w:jc w:val="right"/>
        </w:pPr>
      </w:p>
      <w:p w:rsidR="00BA1910" w:rsidRDefault="00BA1910">
        <w:pPr>
          <w:pStyle w:val="Header"/>
          <w:jc w:val="right"/>
        </w:pPr>
        <w:r>
          <w:t xml:space="preserve">Annex III, page </w:t>
        </w:r>
        <w:r>
          <w:fldChar w:fldCharType="begin"/>
        </w:r>
        <w:r>
          <w:instrText xml:space="preserve"> PAGE   \* MERGEFORMAT </w:instrText>
        </w:r>
        <w:r>
          <w:fldChar w:fldCharType="separate"/>
        </w:r>
        <w:r w:rsidR="00F94DD2">
          <w:rPr>
            <w:noProof/>
          </w:rPr>
          <w:t>2</w:t>
        </w:r>
        <w:r>
          <w:rPr>
            <w:noProof/>
          </w:rPr>
          <w:fldChar w:fldCharType="end"/>
        </w:r>
      </w:p>
    </w:sdtContent>
  </w:sdt>
  <w:p w:rsidR="00BA1910" w:rsidRDefault="00BA1910" w:rsidP="008A1761">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523190"/>
      <w:docPartObj>
        <w:docPartGallery w:val="Page Numbers (Top of Page)"/>
        <w:docPartUnique/>
      </w:docPartObj>
    </w:sdtPr>
    <w:sdtEndPr>
      <w:rPr>
        <w:noProof/>
      </w:rPr>
    </w:sdtEndPr>
    <w:sdtContent>
      <w:p w:rsidR="00DB010D" w:rsidRDefault="00DB010D">
        <w:pPr>
          <w:pStyle w:val="Header"/>
          <w:jc w:val="right"/>
        </w:pPr>
      </w:p>
      <w:p w:rsidR="00DB010D" w:rsidRDefault="00DB010D">
        <w:pPr>
          <w:pStyle w:val="Header"/>
          <w:jc w:val="right"/>
        </w:pPr>
        <w:r>
          <w:t>ANNEX IV</w:t>
        </w:r>
      </w:p>
    </w:sdtContent>
  </w:sdt>
  <w:p w:rsidR="00DB010D" w:rsidRDefault="00DB010D" w:rsidP="008A176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9895DA5"/>
    <w:multiLevelType w:val="hybridMultilevel"/>
    <w:tmpl w:val="C31EE59A"/>
    <w:lvl w:ilvl="0" w:tplc="C4CC37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1EA0C5A"/>
    <w:multiLevelType w:val="hybridMultilevel"/>
    <w:tmpl w:val="EC669194"/>
    <w:lvl w:ilvl="0" w:tplc="C892308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378D"/>
    <w:rsid w:val="000047D5"/>
    <w:rsid w:val="00005CFF"/>
    <w:rsid w:val="000123A6"/>
    <w:rsid w:val="000150FC"/>
    <w:rsid w:val="000323C1"/>
    <w:rsid w:val="00042E33"/>
    <w:rsid w:val="00043313"/>
    <w:rsid w:val="00043CAA"/>
    <w:rsid w:val="00053859"/>
    <w:rsid w:val="00061C20"/>
    <w:rsid w:val="00065151"/>
    <w:rsid w:val="000728FF"/>
    <w:rsid w:val="00075432"/>
    <w:rsid w:val="000968ED"/>
    <w:rsid w:val="000A525D"/>
    <w:rsid w:val="000B4DFD"/>
    <w:rsid w:val="000C69E2"/>
    <w:rsid w:val="000C7375"/>
    <w:rsid w:val="000D3921"/>
    <w:rsid w:val="000E0C31"/>
    <w:rsid w:val="000E73ED"/>
    <w:rsid w:val="000F5E56"/>
    <w:rsid w:val="00106534"/>
    <w:rsid w:val="001272E3"/>
    <w:rsid w:val="00131BD8"/>
    <w:rsid w:val="00133F53"/>
    <w:rsid w:val="001362EE"/>
    <w:rsid w:val="001368AB"/>
    <w:rsid w:val="0015037D"/>
    <w:rsid w:val="00166299"/>
    <w:rsid w:val="00177186"/>
    <w:rsid w:val="001809F6"/>
    <w:rsid w:val="00182AAC"/>
    <w:rsid w:val="001832A6"/>
    <w:rsid w:val="00185E31"/>
    <w:rsid w:val="00186DE1"/>
    <w:rsid w:val="001B0E60"/>
    <w:rsid w:val="001C2D7E"/>
    <w:rsid w:val="001D0ACC"/>
    <w:rsid w:val="001D37F3"/>
    <w:rsid w:val="001E3850"/>
    <w:rsid w:val="001E3D67"/>
    <w:rsid w:val="001F1B95"/>
    <w:rsid w:val="001F4234"/>
    <w:rsid w:val="001F717F"/>
    <w:rsid w:val="0020551F"/>
    <w:rsid w:val="0021560B"/>
    <w:rsid w:val="0022493E"/>
    <w:rsid w:val="00224A8A"/>
    <w:rsid w:val="00251890"/>
    <w:rsid w:val="0025278E"/>
    <w:rsid w:val="002634C4"/>
    <w:rsid w:val="00271540"/>
    <w:rsid w:val="002928D3"/>
    <w:rsid w:val="002A2E4F"/>
    <w:rsid w:val="002B6590"/>
    <w:rsid w:val="002C1554"/>
    <w:rsid w:val="002C168C"/>
    <w:rsid w:val="002C38D8"/>
    <w:rsid w:val="002F1FE6"/>
    <w:rsid w:val="002F3238"/>
    <w:rsid w:val="002F4E68"/>
    <w:rsid w:val="003071B6"/>
    <w:rsid w:val="00312F7F"/>
    <w:rsid w:val="00314B0E"/>
    <w:rsid w:val="00317670"/>
    <w:rsid w:val="00335EC1"/>
    <w:rsid w:val="00344BDD"/>
    <w:rsid w:val="00347330"/>
    <w:rsid w:val="00357985"/>
    <w:rsid w:val="00361450"/>
    <w:rsid w:val="00362B5A"/>
    <w:rsid w:val="00365541"/>
    <w:rsid w:val="003673CF"/>
    <w:rsid w:val="003845C1"/>
    <w:rsid w:val="003853DD"/>
    <w:rsid w:val="00387B98"/>
    <w:rsid w:val="003A6F89"/>
    <w:rsid w:val="003B38C1"/>
    <w:rsid w:val="003C2450"/>
    <w:rsid w:val="003D491A"/>
    <w:rsid w:val="003E0D9F"/>
    <w:rsid w:val="004052E1"/>
    <w:rsid w:val="00411FB2"/>
    <w:rsid w:val="00414A9E"/>
    <w:rsid w:val="00421469"/>
    <w:rsid w:val="0042395B"/>
    <w:rsid w:val="00423E3E"/>
    <w:rsid w:val="00427AF4"/>
    <w:rsid w:val="00430E33"/>
    <w:rsid w:val="00447931"/>
    <w:rsid w:val="0046160D"/>
    <w:rsid w:val="004630B4"/>
    <w:rsid w:val="004647DA"/>
    <w:rsid w:val="004653E5"/>
    <w:rsid w:val="0047006A"/>
    <w:rsid w:val="00474062"/>
    <w:rsid w:val="00477D6B"/>
    <w:rsid w:val="00477EF9"/>
    <w:rsid w:val="004936FC"/>
    <w:rsid w:val="004947C5"/>
    <w:rsid w:val="004B0093"/>
    <w:rsid w:val="004B336C"/>
    <w:rsid w:val="004C7C7E"/>
    <w:rsid w:val="004E543F"/>
    <w:rsid w:val="004F5A30"/>
    <w:rsid w:val="005019FF"/>
    <w:rsid w:val="00512240"/>
    <w:rsid w:val="00514465"/>
    <w:rsid w:val="00523F0F"/>
    <w:rsid w:val="005243B1"/>
    <w:rsid w:val="005261CF"/>
    <w:rsid w:val="0053057A"/>
    <w:rsid w:val="00546473"/>
    <w:rsid w:val="00546A94"/>
    <w:rsid w:val="00560A29"/>
    <w:rsid w:val="00563C83"/>
    <w:rsid w:val="005766EE"/>
    <w:rsid w:val="00585FCF"/>
    <w:rsid w:val="005868B8"/>
    <w:rsid w:val="00593591"/>
    <w:rsid w:val="005A192B"/>
    <w:rsid w:val="005B20BE"/>
    <w:rsid w:val="005B5479"/>
    <w:rsid w:val="005C054A"/>
    <w:rsid w:val="005C6649"/>
    <w:rsid w:val="005D08B3"/>
    <w:rsid w:val="005D0B23"/>
    <w:rsid w:val="005F2F3B"/>
    <w:rsid w:val="00605827"/>
    <w:rsid w:val="00644AA2"/>
    <w:rsid w:val="00646050"/>
    <w:rsid w:val="00647B0C"/>
    <w:rsid w:val="00654AE9"/>
    <w:rsid w:val="00663BB3"/>
    <w:rsid w:val="006659A7"/>
    <w:rsid w:val="006713CA"/>
    <w:rsid w:val="00674ABA"/>
    <w:rsid w:val="00676C5C"/>
    <w:rsid w:val="00684699"/>
    <w:rsid w:val="006B5AF8"/>
    <w:rsid w:val="006C77A7"/>
    <w:rsid w:val="006D529E"/>
    <w:rsid w:val="006D6FDC"/>
    <w:rsid w:val="006E3D51"/>
    <w:rsid w:val="006F073B"/>
    <w:rsid w:val="006F33FF"/>
    <w:rsid w:val="00710D59"/>
    <w:rsid w:val="007227A5"/>
    <w:rsid w:val="00730AA5"/>
    <w:rsid w:val="00736CB9"/>
    <w:rsid w:val="00767C4D"/>
    <w:rsid w:val="00770A00"/>
    <w:rsid w:val="00773CE3"/>
    <w:rsid w:val="007742C7"/>
    <w:rsid w:val="00775EBD"/>
    <w:rsid w:val="00785F5E"/>
    <w:rsid w:val="00790A94"/>
    <w:rsid w:val="00796E07"/>
    <w:rsid w:val="007B7F73"/>
    <w:rsid w:val="007C3E9B"/>
    <w:rsid w:val="007D1613"/>
    <w:rsid w:val="007D250A"/>
    <w:rsid w:val="007E3259"/>
    <w:rsid w:val="007F4D09"/>
    <w:rsid w:val="007F5042"/>
    <w:rsid w:val="007F62D1"/>
    <w:rsid w:val="00804EC4"/>
    <w:rsid w:val="00834884"/>
    <w:rsid w:val="008429A9"/>
    <w:rsid w:val="00853FA8"/>
    <w:rsid w:val="00854071"/>
    <w:rsid w:val="00885618"/>
    <w:rsid w:val="00892E06"/>
    <w:rsid w:val="008948BE"/>
    <w:rsid w:val="008977D0"/>
    <w:rsid w:val="008A1761"/>
    <w:rsid w:val="008A51E9"/>
    <w:rsid w:val="008A701D"/>
    <w:rsid w:val="008B23F7"/>
    <w:rsid w:val="008B2CC1"/>
    <w:rsid w:val="008B60B2"/>
    <w:rsid w:val="008C2D2F"/>
    <w:rsid w:val="008C2FE6"/>
    <w:rsid w:val="008F1F70"/>
    <w:rsid w:val="00906C66"/>
    <w:rsid w:val="0090731E"/>
    <w:rsid w:val="00916EE2"/>
    <w:rsid w:val="009179B4"/>
    <w:rsid w:val="00922789"/>
    <w:rsid w:val="00933CC8"/>
    <w:rsid w:val="009378BE"/>
    <w:rsid w:val="00940793"/>
    <w:rsid w:val="009449F2"/>
    <w:rsid w:val="00944EDA"/>
    <w:rsid w:val="00953086"/>
    <w:rsid w:val="00965EC2"/>
    <w:rsid w:val="00966A22"/>
    <w:rsid w:val="0096722F"/>
    <w:rsid w:val="009714DF"/>
    <w:rsid w:val="00980843"/>
    <w:rsid w:val="00981DC7"/>
    <w:rsid w:val="009820CB"/>
    <w:rsid w:val="00987E9A"/>
    <w:rsid w:val="00997AAD"/>
    <w:rsid w:val="009A4CF3"/>
    <w:rsid w:val="009A591F"/>
    <w:rsid w:val="009B2765"/>
    <w:rsid w:val="009C0C04"/>
    <w:rsid w:val="009E2791"/>
    <w:rsid w:val="009E3F6F"/>
    <w:rsid w:val="009E4372"/>
    <w:rsid w:val="009E56CA"/>
    <w:rsid w:val="009E5F9F"/>
    <w:rsid w:val="009F2A14"/>
    <w:rsid w:val="009F499F"/>
    <w:rsid w:val="009F5578"/>
    <w:rsid w:val="00A0256B"/>
    <w:rsid w:val="00A04B6E"/>
    <w:rsid w:val="00A1570B"/>
    <w:rsid w:val="00A21684"/>
    <w:rsid w:val="00A2245A"/>
    <w:rsid w:val="00A25430"/>
    <w:rsid w:val="00A353ED"/>
    <w:rsid w:val="00A42DAF"/>
    <w:rsid w:val="00A43E23"/>
    <w:rsid w:val="00A456E7"/>
    <w:rsid w:val="00A45BD8"/>
    <w:rsid w:val="00A550FC"/>
    <w:rsid w:val="00A72767"/>
    <w:rsid w:val="00A869B7"/>
    <w:rsid w:val="00AA1EEF"/>
    <w:rsid w:val="00AA33A4"/>
    <w:rsid w:val="00AB5138"/>
    <w:rsid w:val="00AC205C"/>
    <w:rsid w:val="00AC27B5"/>
    <w:rsid w:val="00AD38EE"/>
    <w:rsid w:val="00AF0A6B"/>
    <w:rsid w:val="00AF5108"/>
    <w:rsid w:val="00B01AE9"/>
    <w:rsid w:val="00B05A69"/>
    <w:rsid w:val="00B1322D"/>
    <w:rsid w:val="00B21387"/>
    <w:rsid w:val="00B2247B"/>
    <w:rsid w:val="00B46D7E"/>
    <w:rsid w:val="00B54D7D"/>
    <w:rsid w:val="00B64468"/>
    <w:rsid w:val="00B83157"/>
    <w:rsid w:val="00B85937"/>
    <w:rsid w:val="00B9734B"/>
    <w:rsid w:val="00B97A85"/>
    <w:rsid w:val="00BA1910"/>
    <w:rsid w:val="00BA59F8"/>
    <w:rsid w:val="00BA63F6"/>
    <w:rsid w:val="00BA6DE5"/>
    <w:rsid w:val="00BB1F10"/>
    <w:rsid w:val="00BB30F3"/>
    <w:rsid w:val="00BB78C7"/>
    <w:rsid w:val="00BC0F31"/>
    <w:rsid w:val="00BD680E"/>
    <w:rsid w:val="00BE55D6"/>
    <w:rsid w:val="00BE5857"/>
    <w:rsid w:val="00C037E2"/>
    <w:rsid w:val="00C11BFE"/>
    <w:rsid w:val="00C146FC"/>
    <w:rsid w:val="00C17DAD"/>
    <w:rsid w:val="00C32448"/>
    <w:rsid w:val="00C32F61"/>
    <w:rsid w:val="00C34504"/>
    <w:rsid w:val="00C45642"/>
    <w:rsid w:val="00C46447"/>
    <w:rsid w:val="00C47421"/>
    <w:rsid w:val="00C556FE"/>
    <w:rsid w:val="00C633EF"/>
    <w:rsid w:val="00C634D0"/>
    <w:rsid w:val="00C67841"/>
    <w:rsid w:val="00C771EA"/>
    <w:rsid w:val="00C86A22"/>
    <w:rsid w:val="00C977DB"/>
    <w:rsid w:val="00CB132F"/>
    <w:rsid w:val="00CB13CA"/>
    <w:rsid w:val="00CC5016"/>
    <w:rsid w:val="00CD18BD"/>
    <w:rsid w:val="00CD330E"/>
    <w:rsid w:val="00CD714C"/>
    <w:rsid w:val="00CE0A51"/>
    <w:rsid w:val="00CE0F4D"/>
    <w:rsid w:val="00CE2130"/>
    <w:rsid w:val="00CE6390"/>
    <w:rsid w:val="00CF4536"/>
    <w:rsid w:val="00D1529B"/>
    <w:rsid w:val="00D22BD4"/>
    <w:rsid w:val="00D30CC7"/>
    <w:rsid w:val="00D31C2F"/>
    <w:rsid w:val="00D40064"/>
    <w:rsid w:val="00D409DF"/>
    <w:rsid w:val="00D40A98"/>
    <w:rsid w:val="00D424EC"/>
    <w:rsid w:val="00D45252"/>
    <w:rsid w:val="00D57F87"/>
    <w:rsid w:val="00D57F90"/>
    <w:rsid w:val="00D71B4D"/>
    <w:rsid w:val="00D76F38"/>
    <w:rsid w:val="00D90EE5"/>
    <w:rsid w:val="00D93D55"/>
    <w:rsid w:val="00DB010D"/>
    <w:rsid w:val="00DB42CB"/>
    <w:rsid w:val="00DC3E50"/>
    <w:rsid w:val="00DD7DFC"/>
    <w:rsid w:val="00DF7910"/>
    <w:rsid w:val="00E05D9A"/>
    <w:rsid w:val="00E06002"/>
    <w:rsid w:val="00E12773"/>
    <w:rsid w:val="00E207F7"/>
    <w:rsid w:val="00E213EE"/>
    <w:rsid w:val="00E335FE"/>
    <w:rsid w:val="00E42B9A"/>
    <w:rsid w:val="00E532DC"/>
    <w:rsid w:val="00E55177"/>
    <w:rsid w:val="00E66C2C"/>
    <w:rsid w:val="00E67306"/>
    <w:rsid w:val="00EB50E5"/>
    <w:rsid w:val="00EC23FC"/>
    <w:rsid w:val="00EC4E49"/>
    <w:rsid w:val="00EC7D1E"/>
    <w:rsid w:val="00ED4C4F"/>
    <w:rsid w:val="00ED77FB"/>
    <w:rsid w:val="00EE16E8"/>
    <w:rsid w:val="00EE45FA"/>
    <w:rsid w:val="00EE4919"/>
    <w:rsid w:val="00EE5748"/>
    <w:rsid w:val="00EF0146"/>
    <w:rsid w:val="00EF0EA4"/>
    <w:rsid w:val="00F03FA4"/>
    <w:rsid w:val="00F0720F"/>
    <w:rsid w:val="00F201C4"/>
    <w:rsid w:val="00F46336"/>
    <w:rsid w:val="00F52AC0"/>
    <w:rsid w:val="00F629AF"/>
    <w:rsid w:val="00F66152"/>
    <w:rsid w:val="00F7721F"/>
    <w:rsid w:val="00F77669"/>
    <w:rsid w:val="00F8364A"/>
    <w:rsid w:val="00F94DD2"/>
    <w:rsid w:val="00F95712"/>
    <w:rsid w:val="00FC3D36"/>
    <w:rsid w:val="00FC4C8A"/>
    <w:rsid w:val="00FD502F"/>
    <w:rsid w:val="00FE3A6D"/>
    <w:rsid w:val="00FE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llowedHyperlink">
    <w:name w:val="FollowedHyperlink"/>
    <w:basedOn w:val="DefaultParagraphFont"/>
    <w:rsid w:val="00987E9A"/>
    <w:rPr>
      <w:color w:val="800080" w:themeColor="followedHyperlink"/>
      <w:u w:val="single"/>
    </w:rPr>
  </w:style>
  <w:style w:type="character" w:styleId="CommentReference">
    <w:name w:val="annotation reference"/>
    <w:basedOn w:val="DefaultParagraphFont"/>
    <w:rsid w:val="00FE3A6D"/>
    <w:rPr>
      <w:sz w:val="16"/>
      <w:szCs w:val="16"/>
    </w:rPr>
  </w:style>
  <w:style w:type="paragraph" w:styleId="CommentSubject">
    <w:name w:val="annotation subject"/>
    <w:basedOn w:val="CommentText"/>
    <w:next w:val="CommentText"/>
    <w:link w:val="CommentSubjectChar"/>
    <w:rsid w:val="00FE3A6D"/>
    <w:rPr>
      <w:b/>
      <w:bCs/>
      <w:sz w:val="20"/>
    </w:rPr>
  </w:style>
  <w:style w:type="character" w:customStyle="1" w:styleId="CommentTextChar">
    <w:name w:val="Comment Text Char"/>
    <w:basedOn w:val="DefaultParagraphFont"/>
    <w:link w:val="CommentText"/>
    <w:semiHidden/>
    <w:rsid w:val="00FE3A6D"/>
    <w:rPr>
      <w:rFonts w:ascii="Arial" w:eastAsia="SimSun" w:hAnsi="Arial" w:cs="Arial"/>
      <w:sz w:val="18"/>
      <w:lang w:eastAsia="zh-CN"/>
    </w:rPr>
  </w:style>
  <w:style w:type="character" w:customStyle="1" w:styleId="CommentSubjectChar">
    <w:name w:val="Comment Subject Char"/>
    <w:basedOn w:val="CommentTextChar"/>
    <w:link w:val="CommentSubject"/>
    <w:rsid w:val="00FE3A6D"/>
    <w:rPr>
      <w:rFonts w:ascii="Arial" w:eastAsia="SimSun" w:hAnsi="Arial" w:cs="Arial"/>
      <w:b/>
      <w:bCs/>
      <w:sz w:val="18"/>
      <w:lang w:eastAsia="zh-CN"/>
    </w:rPr>
  </w:style>
  <w:style w:type="paragraph" w:styleId="ListParagraph">
    <w:name w:val="List Paragraph"/>
    <w:basedOn w:val="Normal"/>
    <w:uiPriority w:val="34"/>
    <w:qFormat/>
    <w:rsid w:val="00EE4919"/>
    <w:pPr>
      <w:ind w:left="720"/>
      <w:contextualSpacing/>
    </w:pPr>
  </w:style>
  <w:style w:type="paragraph" w:customStyle="1" w:styleId="Default">
    <w:name w:val="Default"/>
    <w:rsid w:val="008A1761"/>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BA1910"/>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llowedHyperlink">
    <w:name w:val="FollowedHyperlink"/>
    <w:basedOn w:val="DefaultParagraphFont"/>
    <w:rsid w:val="00987E9A"/>
    <w:rPr>
      <w:color w:val="800080" w:themeColor="followedHyperlink"/>
      <w:u w:val="single"/>
    </w:rPr>
  </w:style>
  <w:style w:type="character" w:styleId="CommentReference">
    <w:name w:val="annotation reference"/>
    <w:basedOn w:val="DefaultParagraphFont"/>
    <w:rsid w:val="00FE3A6D"/>
    <w:rPr>
      <w:sz w:val="16"/>
      <w:szCs w:val="16"/>
    </w:rPr>
  </w:style>
  <w:style w:type="paragraph" w:styleId="CommentSubject">
    <w:name w:val="annotation subject"/>
    <w:basedOn w:val="CommentText"/>
    <w:next w:val="CommentText"/>
    <w:link w:val="CommentSubjectChar"/>
    <w:rsid w:val="00FE3A6D"/>
    <w:rPr>
      <w:b/>
      <w:bCs/>
      <w:sz w:val="20"/>
    </w:rPr>
  </w:style>
  <w:style w:type="character" w:customStyle="1" w:styleId="CommentTextChar">
    <w:name w:val="Comment Text Char"/>
    <w:basedOn w:val="DefaultParagraphFont"/>
    <w:link w:val="CommentText"/>
    <w:semiHidden/>
    <w:rsid w:val="00FE3A6D"/>
    <w:rPr>
      <w:rFonts w:ascii="Arial" w:eastAsia="SimSun" w:hAnsi="Arial" w:cs="Arial"/>
      <w:sz w:val="18"/>
      <w:lang w:eastAsia="zh-CN"/>
    </w:rPr>
  </w:style>
  <w:style w:type="character" w:customStyle="1" w:styleId="CommentSubjectChar">
    <w:name w:val="Comment Subject Char"/>
    <w:basedOn w:val="CommentTextChar"/>
    <w:link w:val="CommentSubject"/>
    <w:rsid w:val="00FE3A6D"/>
    <w:rPr>
      <w:rFonts w:ascii="Arial" w:eastAsia="SimSun" w:hAnsi="Arial" w:cs="Arial"/>
      <w:b/>
      <w:bCs/>
      <w:sz w:val="18"/>
      <w:lang w:eastAsia="zh-CN"/>
    </w:rPr>
  </w:style>
  <w:style w:type="paragraph" w:styleId="ListParagraph">
    <w:name w:val="List Paragraph"/>
    <w:basedOn w:val="Normal"/>
    <w:uiPriority w:val="34"/>
    <w:qFormat/>
    <w:rsid w:val="00EE4919"/>
    <w:pPr>
      <w:ind w:left="720"/>
      <w:contextualSpacing/>
    </w:pPr>
  </w:style>
  <w:style w:type="paragraph" w:customStyle="1" w:styleId="Default">
    <w:name w:val="Default"/>
    <w:rsid w:val="008A1761"/>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BA191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06985">
      <w:bodyDiv w:val="1"/>
      <w:marLeft w:val="0"/>
      <w:marRight w:val="0"/>
      <w:marTop w:val="0"/>
      <w:marBottom w:val="0"/>
      <w:divBdr>
        <w:top w:val="none" w:sz="0" w:space="0" w:color="auto"/>
        <w:left w:val="none" w:sz="0" w:space="0" w:color="auto"/>
        <w:bottom w:val="none" w:sz="0" w:space="0" w:color="auto"/>
        <w:right w:val="none" w:sz="0" w:space="0" w:color="auto"/>
      </w:divBdr>
    </w:div>
    <w:div w:id="1971323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5.emf"/><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image" Target="media/image6.emf"/><Relationship Id="rId28" Type="http://schemas.openxmlformats.org/officeDocument/2006/relationships/image" Target="media/image10.emf"/><Relationship Id="rId10" Type="http://schemas.openxmlformats.org/officeDocument/2006/relationships/header" Target="header1.xml"/><Relationship Id="rId19" Type="http://schemas.openxmlformats.org/officeDocument/2006/relationships/image" Target="media/image4.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9.emf"/><Relationship Id="rId30"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20C16-7EBC-4524-B81D-18539D9D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27</cp:revision>
  <cp:lastPrinted>2014-12-15T15:39:00Z</cp:lastPrinted>
  <dcterms:created xsi:type="dcterms:W3CDTF">2014-11-12T10:10:00Z</dcterms:created>
  <dcterms:modified xsi:type="dcterms:W3CDTF">2014-12-18T14:12:00Z</dcterms:modified>
</cp:coreProperties>
</file>