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130" w:rsidRPr="00774130" w:rsidRDefault="00774130" w:rsidP="00774130">
      <w:pPr>
        <w:spacing w:after="120"/>
        <w:jc w:val="right"/>
      </w:pPr>
      <w:bookmarkStart w:id="0" w:name="_GoBack"/>
      <w:bookmarkEnd w:id="0"/>
      <w:r w:rsidRPr="00774130">
        <w:rPr>
          <w:noProof/>
          <w:lang w:val="en-US" w:eastAsia="en-US"/>
        </w:rPr>
        <w:drawing>
          <wp:inline distT="0" distB="0" distL="0" distR="0" wp14:anchorId="57CB3E41" wp14:editId="2B2034D5">
            <wp:extent cx="3067713" cy="1385965"/>
            <wp:effectExtent l="0" t="0" r="0" b="5080"/>
            <wp:docPr id="2" name="Picture 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42109" cy="1419577"/>
                    </a:xfrm>
                    <a:prstGeom prst="rect">
                      <a:avLst/>
                    </a:prstGeom>
                  </pic:spPr>
                </pic:pic>
              </a:graphicData>
            </a:graphic>
          </wp:inline>
        </w:drawing>
      </w:r>
    </w:p>
    <w:p w:rsidR="00774130" w:rsidRPr="00774130" w:rsidRDefault="00774130" w:rsidP="00FB46BF">
      <w:pPr>
        <w:spacing w:after="1560"/>
        <w:jc w:val="right"/>
      </w:pPr>
      <w:bookmarkStart w:id="1" w:name="Langue"/>
      <w:r w:rsidRPr="00774130">
        <w:rPr>
          <w:rFonts w:ascii="Arial Black" w:hAnsi="Arial Black"/>
          <w:caps/>
          <w:sz w:val="15"/>
        </w:rPr>
        <w:t>Avis n°</w:t>
      </w:r>
      <w:r w:rsidR="00D06BE2">
        <w:rPr>
          <w:rFonts w:ascii="Arial Black" w:hAnsi="Arial Black"/>
          <w:caps/>
          <w:sz w:val="15"/>
        </w:rPr>
        <w:t> </w:t>
      </w:r>
      <w:r w:rsidR="009C13E0">
        <w:rPr>
          <w:rFonts w:ascii="Arial Black" w:hAnsi="Arial Black"/>
          <w:caps/>
          <w:sz w:val="15"/>
        </w:rPr>
        <w:t>4</w:t>
      </w:r>
      <w:r w:rsidRPr="00774130">
        <w:rPr>
          <w:rFonts w:ascii="Arial Black" w:hAnsi="Arial Black"/>
          <w:caps/>
          <w:sz w:val="15"/>
        </w:rPr>
        <w:t>/2020</w:t>
      </w:r>
    </w:p>
    <w:bookmarkEnd w:id="1"/>
    <w:p w:rsidR="007D5792" w:rsidRPr="00774130" w:rsidRDefault="007D5792" w:rsidP="00FB46BF">
      <w:pPr>
        <w:pStyle w:val="Heading1"/>
      </w:pPr>
      <w:r w:rsidRPr="00774130">
        <w:t>Acte de Genève de l</w:t>
      </w:r>
      <w:r w:rsidR="009C13E0">
        <w:t>’</w:t>
      </w:r>
      <w:r w:rsidRPr="00774130">
        <w:t>Arrangement de Lisbonne sur les appellations d</w:t>
      </w:r>
      <w:r w:rsidR="009C13E0">
        <w:t>’</w:t>
      </w:r>
      <w:r w:rsidRPr="00774130">
        <w:t>origine et les indications géographiques</w:t>
      </w:r>
    </w:p>
    <w:p w:rsidR="007D5792" w:rsidRPr="00774130" w:rsidRDefault="00000F96" w:rsidP="00FB46BF">
      <w:pPr>
        <w:pStyle w:val="Heading2"/>
      </w:pPr>
      <w:r w:rsidRPr="00774130">
        <w:rPr>
          <w:noProof/>
          <w:lang w:val="en-US" w:eastAsia="en-US"/>
        </w:rPr>
        <mc:AlternateContent>
          <mc:Choice Requires="wps">
            <w:drawing>
              <wp:anchor distT="0" distB="0" distL="114300" distR="114300" simplePos="0" relativeHeight="251657216" behindDoc="1" locked="1" layoutInCell="0" allowOverlap="1">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EA75A"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lzVEAIAACg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" o:allowincell="f" strokeweight=".5pt">
                <w10:wrap anchorx="margin" anchory="margin"/>
                <w10:anchorlock/>
              </v:line>
            </w:pict>
          </mc:Fallback>
        </mc:AlternateContent>
      </w:r>
      <w:r w:rsidR="001B69E2">
        <w:t>AdhÉ</w:t>
      </w:r>
      <w:r w:rsidR="00F534D4">
        <w:t>sion de l</w:t>
      </w:r>
      <w:r w:rsidR="009C13E0">
        <w:t>’</w:t>
      </w:r>
      <w:r w:rsidR="00F534D4">
        <w:t>Union europÉenne</w:t>
      </w:r>
    </w:p>
    <w:p w:rsidR="00774130" w:rsidRPr="00774130" w:rsidRDefault="007D5792" w:rsidP="00E37455">
      <w:pPr>
        <w:pStyle w:val="ONUMFS"/>
        <w:ind w:left="540" w:hanging="540"/>
      </w:pPr>
      <w:r w:rsidRPr="00774130">
        <w:t xml:space="preserve">Le </w:t>
      </w:r>
      <w:r w:rsidR="00F534D4">
        <w:t>26 novembre</w:t>
      </w:r>
      <w:r w:rsidR="00891F02" w:rsidRPr="00774130">
        <w:t> 20</w:t>
      </w:r>
      <w:r w:rsidR="001B1DDA">
        <w:t>19</w:t>
      </w:r>
      <w:r w:rsidR="00F534D4">
        <w:t>, l</w:t>
      </w:r>
      <w:r w:rsidR="009C13E0">
        <w:t>’</w:t>
      </w:r>
      <w:r w:rsidR="0040765D">
        <w:t>Union e</w:t>
      </w:r>
      <w:r w:rsidR="00F534D4">
        <w:t xml:space="preserve">uropéenne </w:t>
      </w:r>
      <w:r w:rsidRPr="00774130">
        <w:t>a déposé auprès du Directeur général de l</w:t>
      </w:r>
      <w:r w:rsidR="009C13E0">
        <w:t>’</w:t>
      </w:r>
      <w:r w:rsidRPr="00774130">
        <w:t>Organisation Mondiale de la Propriété Intellectuelle (OMPI) son instrument d</w:t>
      </w:r>
      <w:r w:rsidR="009C13E0">
        <w:t>’</w:t>
      </w:r>
      <w:r w:rsidRPr="00774130">
        <w:t>adhésion à l</w:t>
      </w:r>
      <w:r w:rsidR="009C13E0">
        <w:t>’</w:t>
      </w:r>
      <w:r w:rsidRPr="00774130">
        <w:t>Acte de Genève de l</w:t>
      </w:r>
      <w:r w:rsidR="009C13E0">
        <w:t>’</w:t>
      </w:r>
      <w:r w:rsidRPr="00774130">
        <w:t>Arrangement de Lisbonne sur les appellations d</w:t>
      </w:r>
      <w:r w:rsidR="009C13E0">
        <w:t>’</w:t>
      </w:r>
      <w:r w:rsidRPr="00774130">
        <w:t>origine et les indications géographiques (</w:t>
      </w:r>
      <w:r w:rsidR="009C13E0">
        <w:t>“</w:t>
      </w:r>
      <w:r w:rsidRPr="00774130">
        <w:t>Acte de Genève de l</w:t>
      </w:r>
      <w:r w:rsidR="009C13E0">
        <w:t>’</w:t>
      </w:r>
      <w:r w:rsidRPr="00774130">
        <w:t>Arrangement de Lisbonne</w:t>
      </w:r>
      <w:r w:rsidR="009C13E0">
        <w:t>”</w:t>
      </w:r>
      <w:r w:rsidRPr="00774130">
        <w:t>), adopté à Genève le 2</w:t>
      </w:r>
      <w:r w:rsidR="00891F02" w:rsidRPr="00774130">
        <w:t>0 mai 20</w:t>
      </w:r>
      <w:r w:rsidRPr="00774130">
        <w:t>15.</w:t>
      </w:r>
    </w:p>
    <w:p w:rsidR="00774130" w:rsidRPr="00436D9C" w:rsidRDefault="007D5792" w:rsidP="00774130">
      <w:pPr>
        <w:pStyle w:val="ONUMFS"/>
      </w:pPr>
      <w:r w:rsidRPr="00436D9C">
        <w:t>Ledit instrument d</w:t>
      </w:r>
      <w:r w:rsidR="009C13E0" w:rsidRPr="00436D9C">
        <w:t>’</w:t>
      </w:r>
      <w:r w:rsidRPr="00436D9C">
        <w:t>adhésion était accompagné de</w:t>
      </w:r>
      <w:r w:rsidR="00F534D4" w:rsidRPr="00436D9C">
        <w:t>s</w:t>
      </w:r>
      <w:r w:rsidRPr="00436D9C">
        <w:t xml:space="preserve"> déclaration</w:t>
      </w:r>
      <w:r w:rsidR="00F534D4" w:rsidRPr="00436D9C">
        <w:t>s</w:t>
      </w:r>
      <w:r w:rsidRPr="00436D9C">
        <w:t xml:space="preserve"> suivante</w:t>
      </w:r>
      <w:r w:rsidR="00F534D4" w:rsidRPr="00436D9C">
        <w:t>s</w:t>
      </w:r>
      <w:r w:rsidR="00774130" w:rsidRPr="00436D9C">
        <w:t> :</w:t>
      </w:r>
    </w:p>
    <w:p w:rsidR="005C6E31" w:rsidRPr="00436D9C" w:rsidRDefault="007D5792" w:rsidP="007F69FC">
      <w:pPr>
        <w:pStyle w:val="ONUMFS"/>
        <w:numPr>
          <w:ilvl w:val="0"/>
          <w:numId w:val="15"/>
        </w:numPr>
        <w:ind w:left="1134" w:hanging="567"/>
        <w:rPr>
          <w:lang w:val="fr-CH"/>
        </w:rPr>
      </w:pPr>
      <w:r w:rsidRPr="00436D9C">
        <w:t>la déclaration visée à l</w:t>
      </w:r>
      <w:r w:rsidR="009C13E0" w:rsidRPr="00436D9C">
        <w:t>’</w:t>
      </w:r>
      <w:r w:rsidR="00AC68C3" w:rsidRPr="00436D9C">
        <w:t>article 29.4)</w:t>
      </w:r>
      <w:r w:rsidRPr="00436D9C">
        <w:t xml:space="preserve"> de l</w:t>
      </w:r>
      <w:r w:rsidR="009C13E0" w:rsidRPr="00436D9C">
        <w:t>’</w:t>
      </w:r>
      <w:r w:rsidRPr="00436D9C">
        <w:t>Acte de Genève de l</w:t>
      </w:r>
      <w:r w:rsidR="009C13E0" w:rsidRPr="00436D9C">
        <w:t>’</w:t>
      </w:r>
      <w:r w:rsidRPr="00436D9C">
        <w:t>Arrangement de Lis</w:t>
      </w:r>
      <w:r w:rsidR="00F534D4" w:rsidRPr="00436D9C">
        <w:t>bonne, selon laquelle l</w:t>
      </w:r>
      <w:r w:rsidR="009C13E0" w:rsidRPr="00436D9C">
        <w:t>’</w:t>
      </w:r>
      <w:r w:rsidR="0040765D" w:rsidRPr="00436D9C">
        <w:t>Union e</w:t>
      </w:r>
      <w:r w:rsidR="00F534D4" w:rsidRPr="00436D9C">
        <w:t xml:space="preserve">uropéenne </w:t>
      </w:r>
      <w:r w:rsidR="00AC68C3" w:rsidRPr="00436D9C">
        <w:t xml:space="preserve">déclare </w:t>
      </w:r>
      <w:r w:rsidR="00AC68C3" w:rsidRPr="00436D9C">
        <w:rPr>
          <w:color w:val="3B3B3B"/>
          <w:shd w:val="clear" w:color="auto" w:fill="FAFAFA"/>
        </w:rPr>
        <w:t>prolonger d</w:t>
      </w:r>
      <w:r w:rsidR="009C13E0" w:rsidRPr="00436D9C">
        <w:rPr>
          <w:color w:val="3B3B3B"/>
          <w:shd w:val="clear" w:color="auto" w:fill="FAFAFA"/>
        </w:rPr>
        <w:t>’</w:t>
      </w:r>
      <w:r w:rsidR="00AC68C3" w:rsidRPr="00436D9C">
        <w:rPr>
          <w:color w:val="3B3B3B"/>
          <w:shd w:val="clear" w:color="auto" w:fill="FAFAFA"/>
        </w:rPr>
        <w:t>un an le délai visé à l</w:t>
      </w:r>
      <w:r w:rsidR="009C13E0" w:rsidRPr="00436D9C">
        <w:rPr>
          <w:color w:val="3B3B3B"/>
          <w:shd w:val="clear" w:color="auto" w:fill="FAFAFA"/>
        </w:rPr>
        <w:t>’</w:t>
      </w:r>
      <w:r w:rsidR="00AC68C3" w:rsidRPr="00436D9C">
        <w:rPr>
          <w:color w:val="3B3B3B"/>
          <w:shd w:val="clear" w:color="auto" w:fill="FAFAFA"/>
        </w:rPr>
        <w:t>article 15.1) dudit Acte, et les délais visés à l</w:t>
      </w:r>
      <w:r w:rsidR="009C13E0" w:rsidRPr="00436D9C">
        <w:rPr>
          <w:color w:val="3B3B3B"/>
          <w:shd w:val="clear" w:color="auto" w:fill="FAFAFA"/>
        </w:rPr>
        <w:t>’</w:t>
      </w:r>
      <w:r w:rsidR="00AC68C3" w:rsidRPr="00436D9C">
        <w:rPr>
          <w:color w:val="3B3B3B"/>
          <w:shd w:val="clear" w:color="auto" w:fill="FAFAFA"/>
        </w:rPr>
        <w:t>article 17 de l</w:t>
      </w:r>
      <w:r w:rsidR="009C13E0" w:rsidRPr="00436D9C">
        <w:rPr>
          <w:color w:val="3B3B3B"/>
          <w:shd w:val="clear" w:color="auto" w:fill="FAFAFA"/>
        </w:rPr>
        <w:t>’</w:t>
      </w:r>
      <w:r w:rsidR="00AC68C3" w:rsidRPr="00436D9C">
        <w:rPr>
          <w:color w:val="3B3B3B"/>
          <w:shd w:val="clear" w:color="auto" w:fill="FAFAFA"/>
        </w:rPr>
        <w:t>Acte de Genève</w:t>
      </w:r>
      <w:r w:rsidR="00436D9C" w:rsidRPr="00436D9C">
        <w:t>, conformément aux procédures prescrites dans le règlement d’exécution commun à l’Arrangement de Lisbonne concernant la protection des appellations d’origine et leur enregistrement international et à l’Acte de Genève de l’Arrangement de Lisbonne (ci-après dénommé “règlement d’exécution commun”)</w:t>
      </w:r>
      <w:r w:rsidR="009C13E0" w:rsidRPr="00436D9C">
        <w:rPr>
          <w:color w:val="3B3B3B"/>
          <w:shd w:val="clear" w:color="auto" w:fill="FAFAFA"/>
        </w:rPr>
        <w:t>;</w:t>
      </w:r>
    </w:p>
    <w:p w:rsidR="00FB46BF" w:rsidRDefault="00436D9C" w:rsidP="007F69FC">
      <w:pPr>
        <w:pStyle w:val="ONUMFS"/>
        <w:numPr>
          <w:ilvl w:val="0"/>
          <w:numId w:val="15"/>
        </w:numPr>
        <w:ind w:left="1134" w:hanging="567"/>
      </w:pPr>
      <w:r w:rsidRPr="00436D9C">
        <w:t>la déclaration visée à la règle 5.3)a) du règlement d’exécution commun, selon laquelle l’Union européenne exige, pour qu’une appellation d’origine ou indication géographique enregistrée soit protégée sur son territoire, que la demande indique aussi, outre le contenu obligatoire visé à la règle 5.2) du règlement d’exécution commun, des données concernant, dans le cas d’une appellation d’origine, la qualité ou les caractères du produit et le lien existant avec le milieu géographique de l’aire géographique de production et, dans le cas d’une indication géographique, la qualité, la notoriété ou d’autres caractères du produit et le lien existant avec l’aire géographique d’origine</w:t>
      </w:r>
      <w:r w:rsidR="003D13C7" w:rsidRPr="00436D9C">
        <w:t>.</w:t>
      </w:r>
    </w:p>
    <w:p w:rsidR="00FB46BF" w:rsidRDefault="00FB46BF">
      <w:r>
        <w:br w:type="page"/>
      </w:r>
    </w:p>
    <w:p w:rsidR="00891F02" w:rsidRPr="00774130" w:rsidRDefault="007D5792" w:rsidP="00E37455">
      <w:pPr>
        <w:pStyle w:val="ONUMFS"/>
        <w:ind w:left="540" w:hanging="540"/>
      </w:pPr>
      <w:r w:rsidRPr="00774130">
        <w:lastRenderedPageBreak/>
        <w:t>Conformément à la règle 4.1) du règlement d</w:t>
      </w:r>
      <w:r w:rsidR="009C13E0">
        <w:t>’</w:t>
      </w:r>
      <w:r w:rsidR="00AC68C3">
        <w:t xml:space="preserve">exécution commun, </w:t>
      </w:r>
      <w:r w:rsidR="00F534D4">
        <w:t>l</w:t>
      </w:r>
      <w:r w:rsidR="009C13E0">
        <w:t>’</w:t>
      </w:r>
      <w:r w:rsidR="0040765D">
        <w:t>Union e</w:t>
      </w:r>
      <w:r w:rsidR="00F534D4">
        <w:t xml:space="preserve">uropéenne </w:t>
      </w:r>
      <w:r w:rsidRPr="00774130">
        <w:t>a notifié le nom et l</w:t>
      </w:r>
      <w:r w:rsidR="0013458A" w:rsidRPr="00774130">
        <w:t xml:space="preserve">es coordonnées </w:t>
      </w:r>
      <w:r w:rsidRPr="00774130">
        <w:t>de son administration compétente aux fins des procédures prévues par l</w:t>
      </w:r>
      <w:r w:rsidR="009C13E0">
        <w:t>’</w:t>
      </w:r>
      <w:r w:rsidRPr="00774130">
        <w:t>Acte de Genève de l</w:t>
      </w:r>
      <w:r w:rsidR="009C13E0">
        <w:t>’</w:t>
      </w:r>
      <w:r w:rsidRPr="00774130">
        <w:t>Arrangement de Lisbonne sur les appellations d</w:t>
      </w:r>
      <w:r w:rsidR="009C13E0">
        <w:t>’</w:t>
      </w:r>
      <w:r w:rsidRPr="00774130">
        <w:t>origine et les indications géographiques</w:t>
      </w:r>
      <w:r w:rsidR="00774130">
        <w:t> :</w:t>
      </w:r>
    </w:p>
    <w:p w:rsidR="00F534D4" w:rsidRPr="00436D9C" w:rsidRDefault="00436D9C" w:rsidP="00F534D4">
      <w:pPr>
        <w:keepNext/>
        <w:tabs>
          <w:tab w:val="left" w:pos="2268"/>
        </w:tabs>
        <w:spacing w:line="260" w:lineRule="exact"/>
        <w:ind w:left="2268"/>
        <w:jc w:val="both"/>
        <w:rPr>
          <w:rFonts w:eastAsia="Times New Roman" w:cs="Times New Roman"/>
          <w:szCs w:val="22"/>
          <w:lang w:val="fr-CH" w:eastAsia="en-US"/>
        </w:rPr>
      </w:pPr>
      <w:r w:rsidRPr="00436D9C">
        <w:t>Commission européenne</w:t>
      </w:r>
    </w:p>
    <w:p w:rsidR="00436D9C" w:rsidRPr="00436D9C" w:rsidRDefault="00436D9C" w:rsidP="00F534D4">
      <w:pPr>
        <w:keepNext/>
        <w:tabs>
          <w:tab w:val="left" w:pos="2268"/>
        </w:tabs>
        <w:spacing w:line="260" w:lineRule="exact"/>
        <w:ind w:left="2268"/>
        <w:jc w:val="both"/>
        <w:rPr>
          <w:rFonts w:eastAsia="Times New Roman" w:cs="Times New Roman"/>
          <w:szCs w:val="22"/>
          <w:lang w:val="fr-CH" w:eastAsia="en-US"/>
        </w:rPr>
      </w:pPr>
      <w:r w:rsidRPr="00436D9C">
        <w:t>Direction générale de l’agriculture et du développement rural</w:t>
      </w:r>
      <w:r w:rsidRPr="00436D9C">
        <w:rPr>
          <w:rFonts w:eastAsia="Times New Roman" w:cs="Times New Roman"/>
          <w:szCs w:val="22"/>
          <w:lang w:val="fr-CH" w:eastAsia="en-US"/>
        </w:rPr>
        <w:t xml:space="preserve"> </w:t>
      </w:r>
    </w:p>
    <w:p w:rsidR="00F534D4" w:rsidRPr="00436D9C" w:rsidRDefault="00436D9C" w:rsidP="00F534D4">
      <w:pPr>
        <w:keepNext/>
        <w:tabs>
          <w:tab w:val="left" w:pos="2268"/>
        </w:tabs>
        <w:spacing w:line="260" w:lineRule="exact"/>
        <w:ind w:left="2268"/>
        <w:jc w:val="both"/>
        <w:rPr>
          <w:rFonts w:eastAsia="Times New Roman" w:cs="Times New Roman"/>
          <w:szCs w:val="22"/>
          <w:lang w:val="fr-CH" w:eastAsia="en-US"/>
        </w:rPr>
      </w:pPr>
      <w:r w:rsidRPr="00436D9C">
        <w:rPr>
          <w:lang w:val="fr-CH"/>
        </w:rPr>
        <w:t xml:space="preserve">Direction </w:t>
      </w:r>
      <w:r w:rsidR="00F534D4" w:rsidRPr="00436D9C">
        <w:rPr>
          <w:rFonts w:eastAsia="Times New Roman" w:cs="Times New Roman"/>
          <w:szCs w:val="22"/>
          <w:lang w:val="fr-CH" w:eastAsia="en-US"/>
        </w:rPr>
        <w:t xml:space="preserve">B. </w:t>
      </w:r>
      <w:r w:rsidRPr="00436D9C">
        <w:t>Qualité, recherche et innovation</w:t>
      </w:r>
      <w:r w:rsidR="00F534D4" w:rsidRPr="00436D9C">
        <w:rPr>
          <w:rFonts w:eastAsia="Times New Roman" w:cs="Times New Roman"/>
          <w:szCs w:val="22"/>
          <w:lang w:val="fr-CH" w:eastAsia="en-US"/>
        </w:rPr>
        <w:t xml:space="preserve">, </w:t>
      </w:r>
      <w:r w:rsidRPr="00436D9C">
        <w:t>sensibilisation</w:t>
      </w:r>
    </w:p>
    <w:p w:rsidR="00F534D4" w:rsidRPr="00436D9C" w:rsidRDefault="00F534D4" w:rsidP="00F534D4">
      <w:pPr>
        <w:keepNext/>
        <w:tabs>
          <w:tab w:val="left" w:pos="2268"/>
        </w:tabs>
        <w:spacing w:line="260" w:lineRule="exact"/>
        <w:ind w:left="2268"/>
        <w:jc w:val="both"/>
        <w:rPr>
          <w:rFonts w:eastAsia="Times New Roman" w:cs="Times New Roman"/>
          <w:szCs w:val="22"/>
          <w:lang w:val="fr-CH" w:eastAsia="en-US"/>
        </w:rPr>
      </w:pPr>
      <w:r w:rsidRPr="00436D9C">
        <w:rPr>
          <w:rFonts w:eastAsia="Times New Roman" w:cs="Times New Roman"/>
          <w:szCs w:val="22"/>
          <w:lang w:val="fr-CH" w:eastAsia="en-US"/>
        </w:rPr>
        <w:t>Rue de la Loi</w:t>
      </w:r>
      <w:r w:rsidR="001E5D18" w:rsidRPr="00436D9C">
        <w:rPr>
          <w:rFonts w:eastAsia="Times New Roman" w:cs="Times New Roman"/>
          <w:szCs w:val="22"/>
          <w:lang w:val="fr-CH" w:eastAsia="en-US"/>
        </w:rPr>
        <w:t xml:space="preserve"> </w:t>
      </w:r>
      <w:r w:rsidRPr="00436D9C">
        <w:rPr>
          <w:rFonts w:eastAsia="Times New Roman" w:cs="Times New Roman"/>
          <w:szCs w:val="22"/>
          <w:lang w:val="fr-CH" w:eastAsia="en-US"/>
        </w:rPr>
        <w:t xml:space="preserve">/ </w:t>
      </w:r>
      <w:proofErr w:type="spellStart"/>
      <w:r w:rsidRPr="00436D9C">
        <w:rPr>
          <w:rFonts w:eastAsia="Times New Roman" w:cs="Times New Roman"/>
          <w:szCs w:val="22"/>
          <w:lang w:val="fr-CH" w:eastAsia="en-US"/>
        </w:rPr>
        <w:t>Wetstraat</w:t>
      </w:r>
      <w:proofErr w:type="spellEnd"/>
      <w:r w:rsidRPr="00436D9C">
        <w:rPr>
          <w:rFonts w:eastAsia="Times New Roman" w:cs="Times New Roman"/>
          <w:szCs w:val="22"/>
          <w:lang w:val="fr-CH" w:eastAsia="en-US"/>
        </w:rPr>
        <w:t xml:space="preserve"> 130</w:t>
      </w:r>
    </w:p>
    <w:p w:rsidR="00F534D4" w:rsidRPr="00436D9C" w:rsidRDefault="00F534D4" w:rsidP="00F534D4">
      <w:pPr>
        <w:keepNext/>
        <w:tabs>
          <w:tab w:val="left" w:pos="2268"/>
        </w:tabs>
        <w:spacing w:line="260" w:lineRule="exact"/>
        <w:ind w:left="2268"/>
        <w:jc w:val="both"/>
        <w:rPr>
          <w:rFonts w:eastAsia="Times New Roman" w:cs="Times New Roman"/>
          <w:szCs w:val="22"/>
          <w:lang w:val="fr-CH" w:eastAsia="en-US"/>
        </w:rPr>
      </w:pPr>
      <w:r w:rsidRPr="00436D9C">
        <w:rPr>
          <w:rFonts w:eastAsia="Times New Roman" w:cs="Times New Roman"/>
          <w:szCs w:val="22"/>
          <w:lang w:val="fr-CH" w:eastAsia="en-US"/>
        </w:rPr>
        <w:t>1040 Bruxelles</w:t>
      </w:r>
      <w:r w:rsidR="001E5D18" w:rsidRPr="00436D9C">
        <w:rPr>
          <w:rFonts w:eastAsia="Times New Roman" w:cs="Times New Roman"/>
          <w:szCs w:val="22"/>
          <w:lang w:val="fr-CH" w:eastAsia="en-US"/>
        </w:rPr>
        <w:t xml:space="preserve"> </w:t>
      </w:r>
      <w:r w:rsidRPr="00436D9C">
        <w:rPr>
          <w:rFonts w:eastAsia="Times New Roman" w:cs="Times New Roman"/>
          <w:szCs w:val="22"/>
          <w:lang w:val="fr-CH" w:eastAsia="en-US"/>
        </w:rPr>
        <w:t>/ Brussel</w:t>
      </w:r>
    </w:p>
    <w:p w:rsidR="00F534D4" w:rsidRPr="00436D9C" w:rsidRDefault="00436D9C" w:rsidP="00F534D4">
      <w:pPr>
        <w:keepNext/>
        <w:tabs>
          <w:tab w:val="left" w:pos="2268"/>
        </w:tabs>
        <w:spacing w:line="260" w:lineRule="exact"/>
        <w:ind w:left="2268"/>
        <w:jc w:val="both"/>
        <w:rPr>
          <w:rFonts w:eastAsia="Times New Roman" w:cs="Times New Roman"/>
          <w:szCs w:val="22"/>
          <w:lang w:val="fr-CH" w:eastAsia="en-US"/>
        </w:rPr>
      </w:pPr>
      <w:r w:rsidRPr="00436D9C">
        <w:t>Tél. </w:t>
      </w:r>
      <w:r w:rsidR="00F534D4" w:rsidRPr="00436D9C">
        <w:rPr>
          <w:rFonts w:eastAsia="Times New Roman" w:cs="Times New Roman"/>
          <w:szCs w:val="22"/>
          <w:lang w:val="fr-CH" w:eastAsia="en-US"/>
        </w:rPr>
        <w:t>: +32 2 299 11 11</w:t>
      </w:r>
    </w:p>
    <w:p w:rsidR="00F534D4" w:rsidRPr="00436D9C" w:rsidRDefault="00F534D4" w:rsidP="00F534D4">
      <w:pPr>
        <w:keepNext/>
        <w:tabs>
          <w:tab w:val="left" w:pos="2268"/>
        </w:tabs>
        <w:spacing w:line="260" w:lineRule="exact"/>
        <w:ind w:left="2268"/>
        <w:jc w:val="both"/>
        <w:rPr>
          <w:rFonts w:eastAsia="Times New Roman" w:cs="Times New Roman"/>
          <w:szCs w:val="22"/>
          <w:lang w:val="fr-CH" w:eastAsia="en-US"/>
        </w:rPr>
      </w:pPr>
      <w:r w:rsidRPr="00436D9C">
        <w:rPr>
          <w:rFonts w:eastAsia="Times New Roman" w:cs="Times New Roman"/>
          <w:szCs w:val="22"/>
          <w:lang w:val="fr-CH" w:eastAsia="en-US"/>
        </w:rPr>
        <w:t>Fax</w:t>
      </w:r>
      <w:r w:rsidR="00FB46BF">
        <w:rPr>
          <w:rFonts w:eastAsia="Times New Roman" w:cs="Times New Roman"/>
          <w:szCs w:val="22"/>
          <w:lang w:val="fr-CH" w:eastAsia="en-US"/>
        </w:rPr>
        <w:t xml:space="preserve"> </w:t>
      </w:r>
      <w:r w:rsidRPr="00436D9C">
        <w:rPr>
          <w:rFonts w:eastAsia="Times New Roman" w:cs="Times New Roman"/>
          <w:szCs w:val="22"/>
          <w:lang w:val="fr-CH" w:eastAsia="en-US"/>
        </w:rPr>
        <w:t>: /</w:t>
      </w:r>
    </w:p>
    <w:p w:rsidR="00F534D4" w:rsidRPr="00436D9C" w:rsidRDefault="00FB46BF" w:rsidP="00F534D4">
      <w:pPr>
        <w:keepNext/>
        <w:tabs>
          <w:tab w:val="left" w:pos="2268"/>
        </w:tabs>
        <w:spacing w:line="260" w:lineRule="exact"/>
        <w:ind w:left="2268"/>
        <w:jc w:val="both"/>
        <w:rPr>
          <w:rFonts w:eastAsia="Times New Roman" w:cs="Times New Roman"/>
          <w:szCs w:val="22"/>
          <w:lang w:val="fr-CH" w:eastAsia="en-US"/>
        </w:rPr>
      </w:pPr>
      <w:r>
        <w:rPr>
          <w:rFonts w:eastAsia="Times New Roman" w:cs="Times New Roman"/>
          <w:szCs w:val="22"/>
          <w:lang w:val="it-IT" w:eastAsia="en-US"/>
        </w:rPr>
        <w:t>Mél</w:t>
      </w:r>
      <w:r w:rsidR="00436D9C" w:rsidRPr="00436D9C">
        <w:rPr>
          <w:rFonts w:eastAsia="Times New Roman" w:cs="Times New Roman"/>
          <w:szCs w:val="22"/>
          <w:lang w:val="it-IT" w:eastAsia="en-US"/>
        </w:rPr>
        <w:t> </w:t>
      </w:r>
      <w:r w:rsidR="00F534D4" w:rsidRPr="00436D9C">
        <w:rPr>
          <w:rFonts w:eastAsia="Times New Roman" w:cs="Times New Roman"/>
          <w:szCs w:val="22"/>
          <w:lang w:val="it-IT" w:eastAsia="en-US"/>
        </w:rPr>
        <w:t xml:space="preserve">: </w:t>
      </w:r>
      <w:hyperlink r:id="rId9" w:history="1">
        <w:r w:rsidR="00F534D4" w:rsidRPr="00436D9C">
          <w:rPr>
            <w:rFonts w:eastAsia="Times New Roman" w:cs="Times New Roman"/>
            <w:color w:val="0563C1"/>
            <w:szCs w:val="22"/>
            <w:u w:val="single"/>
            <w:lang w:val="it-IT" w:eastAsia="en-US"/>
          </w:rPr>
          <w:t>AGRI-B3-GENEVA@ec.europa.eu</w:t>
        </w:r>
      </w:hyperlink>
    </w:p>
    <w:p w:rsidR="00F534D4" w:rsidRPr="00F534D4" w:rsidRDefault="00436D9C" w:rsidP="00FB46BF">
      <w:pPr>
        <w:keepNext/>
        <w:tabs>
          <w:tab w:val="left" w:pos="2268"/>
        </w:tabs>
        <w:spacing w:after="240" w:line="260" w:lineRule="exact"/>
        <w:ind w:left="2268"/>
        <w:jc w:val="both"/>
        <w:rPr>
          <w:rFonts w:eastAsia="Times New Roman" w:cs="Times New Roman"/>
          <w:szCs w:val="22"/>
          <w:lang w:val="nl-BE" w:eastAsia="en-US"/>
        </w:rPr>
      </w:pPr>
      <w:r w:rsidRPr="00436D9C">
        <w:rPr>
          <w:rFonts w:eastAsia="Times New Roman" w:cs="Times New Roman"/>
          <w:szCs w:val="22"/>
          <w:lang w:val="nl-BE" w:eastAsia="en-US"/>
        </w:rPr>
        <w:t>S</w:t>
      </w:r>
      <w:r w:rsidR="00F534D4" w:rsidRPr="00436D9C">
        <w:rPr>
          <w:rFonts w:eastAsia="Times New Roman" w:cs="Times New Roman"/>
          <w:szCs w:val="22"/>
          <w:lang w:val="nl-BE" w:eastAsia="en-US"/>
        </w:rPr>
        <w:t>ite</w:t>
      </w:r>
      <w:r w:rsidRPr="00436D9C">
        <w:rPr>
          <w:rFonts w:eastAsia="Times New Roman" w:cs="Times New Roman"/>
          <w:szCs w:val="22"/>
          <w:lang w:val="nl-BE" w:eastAsia="en-US"/>
        </w:rPr>
        <w:t xml:space="preserve"> Web </w:t>
      </w:r>
      <w:r w:rsidR="00FB46BF">
        <w:rPr>
          <w:rFonts w:eastAsia="Times New Roman" w:cs="Times New Roman"/>
          <w:szCs w:val="22"/>
          <w:lang w:val="nl-BE" w:eastAsia="en-US"/>
        </w:rPr>
        <w:t>:</w:t>
      </w:r>
      <w:r w:rsidR="009C13E0" w:rsidRPr="00436D9C">
        <w:rPr>
          <w:rFonts w:eastAsia="Times New Roman" w:cs="Times New Roman"/>
          <w:szCs w:val="22"/>
          <w:lang w:val="nl-BE" w:eastAsia="en-US"/>
        </w:rPr>
        <w:t xml:space="preserve"> </w:t>
      </w:r>
      <w:hyperlink r:id="rId10" w:history="1">
        <w:r w:rsidR="00F534D4" w:rsidRPr="00436D9C">
          <w:rPr>
            <w:rFonts w:eastAsia="Times New Roman" w:cs="Times New Roman"/>
            <w:color w:val="0563C1"/>
            <w:szCs w:val="22"/>
            <w:u w:val="single"/>
            <w:lang w:val="nl-BE" w:eastAsia="en-US"/>
          </w:rPr>
          <w:t>www.ec.europa.eu/agriculture/</w:t>
        </w:r>
      </w:hyperlink>
      <w:r w:rsidR="00F534D4" w:rsidRPr="00F534D4">
        <w:rPr>
          <w:rFonts w:eastAsia="Times New Roman" w:cs="Times New Roman"/>
          <w:szCs w:val="22"/>
          <w:lang w:val="nl-BE" w:eastAsia="en-US"/>
        </w:rPr>
        <w:t xml:space="preserve"> </w:t>
      </w:r>
    </w:p>
    <w:p w:rsidR="00774130" w:rsidRPr="00774130" w:rsidRDefault="009046C6" w:rsidP="00E37455">
      <w:pPr>
        <w:pStyle w:val="ONUMFS"/>
        <w:ind w:left="540" w:hanging="540"/>
      </w:pPr>
      <w:r w:rsidRPr="00774130">
        <w:t>Conformément à la règle 4.3) du règlement d</w:t>
      </w:r>
      <w:r w:rsidR="009C13E0">
        <w:t>’</w:t>
      </w:r>
      <w:r w:rsidRPr="00774130">
        <w:t>exécution commun, l</w:t>
      </w:r>
      <w:r w:rsidR="009C13E0">
        <w:t>’</w:t>
      </w:r>
      <w:r w:rsidRPr="00774130">
        <w:t>administration compétente visée au paragraphe</w:t>
      </w:r>
      <w:r w:rsidR="00F534D4">
        <w:t> 3</w:t>
      </w:r>
      <w:r w:rsidRPr="00774130">
        <w:t xml:space="preserve"> communiquera les informations relatives aux procédures applicables sur son territoire concernant la contestation et l</w:t>
      </w:r>
      <w:r w:rsidR="009C13E0">
        <w:t>’</w:t>
      </w:r>
      <w:r w:rsidR="009646FA" w:rsidRPr="00774130">
        <w:t>applicati</w:t>
      </w:r>
      <w:r w:rsidRPr="00774130">
        <w:t>on des droits sur les appellations d</w:t>
      </w:r>
      <w:r w:rsidR="009C13E0">
        <w:t>’</w:t>
      </w:r>
      <w:r w:rsidRPr="00774130">
        <w:t>origine et les indications géographiqu</w:t>
      </w:r>
      <w:r w:rsidR="004760B4" w:rsidRPr="00774130">
        <w:t>es</w:t>
      </w:r>
      <w:r w:rsidR="004760B4">
        <w:t xml:space="preserve">.  </w:t>
      </w:r>
      <w:r w:rsidR="004760B4" w:rsidRPr="00774130">
        <w:t>Ce</w:t>
      </w:r>
      <w:r w:rsidRPr="00774130">
        <w:t>s informations seront publiées à l</w:t>
      </w:r>
      <w:r w:rsidR="009C13E0">
        <w:t>’</w:t>
      </w:r>
      <w:r w:rsidRPr="00774130">
        <w:t xml:space="preserve">adresse </w:t>
      </w:r>
      <w:hyperlink r:id="rId11" w:history="1">
        <w:r w:rsidR="00774130" w:rsidRPr="00774130">
          <w:rPr>
            <w:rStyle w:val="Hyperlink"/>
          </w:rPr>
          <w:t>https://www.wipo.int/lisbon/fr/</w:t>
        </w:r>
      </w:hyperlink>
      <w:r w:rsidR="00774130" w:rsidRPr="00774130">
        <w:t>.</w:t>
      </w:r>
    </w:p>
    <w:p w:rsidR="007D5792" w:rsidRPr="00774130" w:rsidRDefault="009046C6" w:rsidP="00E37455">
      <w:pPr>
        <w:pStyle w:val="ONUMFS"/>
        <w:ind w:left="540" w:hanging="540"/>
      </w:pPr>
      <w:r w:rsidRPr="00774130">
        <w:t>Il est rappelé que les instruments de ratification de l</w:t>
      </w:r>
      <w:r w:rsidR="009C13E0">
        <w:t>’</w:t>
      </w:r>
      <w:r w:rsidRPr="00774130">
        <w:t>Acte de Genève de l</w:t>
      </w:r>
      <w:r w:rsidR="009C13E0">
        <w:t>’</w:t>
      </w:r>
      <w:r w:rsidRPr="00774130">
        <w:t>Arrangement de Lisbonne ou d</w:t>
      </w:r>
      <w:r w:rsidR="009C13E0">
        <w:t>’</w:t>
      </w:r>
      <w:r w:rsidRPr="00774130">
        <w:t>adhésion à cet acte ont été déposés</w:t>
      </w:r>
      <w:r w:rsidR="00774130">
        <w:t> :</w:t>
      </w:r>
    </w:p>
    <w:p w:rsidR="007D5792" w:rsidRPr="00774130" w:rsidRDefault="009046C6" w:rsidP="00774130">
      <w:pPr>
        <w:pStyle w:val="ListParagraph"/>
        <w:numPr>
          <w:ilvl w:val="1"/>
          <w:numId w:val="17"/>
        </w:numPr>
        <w:tabs>
          <w:tab w:val="left" w:pos="1560"/>
        </w:tabs>
        <w:spacing w:after="220"/>
        <w:ind w:left="1134" w:hanging="567"/>
        <w:rPr>
          <w:szCs w:val="22"/>
        </w:rPr>
      </w:pPr>
      <w:proofErr w:type="gramStart"/>
      <w:r w:rsidRPr="00774130">
        <w:rPr>
          <w:szCs w:val="22"/>
        </w:rPr>
        <w:t>le</w:t>
      </w:r>
      <w:proofErr w:type="gramEnd"/>
      <w:r w:rsidRPr="00774130">
        <w:rPr>
          <w:szCs w:val="22"/>
        </w:rPr>
        <w:t xml:space="preserve"> 9 </w:t>
      </w:r>
      <w:r w:rsidR="00891F02" w:rsidRPr="00774130">
        <w:rPr>
          <w:szCs w:val="22"/>
        </w:rPr>
        <w:t>mars 20</w:t>
      </w:r>
      <w:r w:rsidRPr="00774130">
        <w:rPr>
          <w:szCs w:val="22"/>
        </w:rPr>
        <w:t>18 par le Royaume du Cambodge;</w:t>
      </w:r>
    </w:p>
    <w:p w:rsidR="007D5792" w:rsidRPr="00774130" w:rsidRDefault="009046C6" w:rsidP="00774130">
      <w:pPr>
        <w:pStyle w:val="ListParagraph"/>
        <w:numPr>
          <w:ilvl w:val="1"/>
          <w:numId w:val="17"/>
        </w:numPr>
        <w:tabs>
          <w:tab w:val="left" w:pos="1560"/>
        </w:tabs>
        <w:spacing w:after="220"/>
        <w:ind w:left="1134" w:hanging="567"/>
        <w:rPr>
          <w:szCs w:val="22"/>
        </w:rPr>
      </w:pPr>
      <w:proofErr w:type="gramStart"/>
      <w:r w:rsidRPr="00774130">
        <w:rPr>
          <w:szCs w:val="22"/>
        </w:rPr>
        <w:t>le</w:t>
      </w:r>
      <w:proofErr w:type="gramEnd"/>
      <w:r w:rsidRPr="00774130">
        <w:rPr>
          <w:szCs w:val="22"/>
        </w:rPr>
        <w:t xml:space="preserve"> 2</w:t>
      </w:r>
      <w:r w:rsidR="00891F02" w:rsidRPr="00774130">
        <w:rPr>
          <w:szCs w:val="22"/>
        </w:rPr>
        <w:t>6 juin 20</w:t>
      </w:r>
      <w:r w:rsidRPr="00774130">
        <w:rPr>
          <w:szCs w:val="22"/>
        </w:rPr>
        <w:t>19 par la République d</w:t>
      </w:r>
      <w:r w:rsidR="009C13E0">
        <w:rPr>
          <w:szCs w:val="22"/>
        </w:rPr>
        <w:t>’</w:t>
      </w:r>
      <w:r w:rsidRPr="00774130">
        <w:rPr>
          <w:szCs w:val="22"/>
        </w:rPr>
        <w:t>Albanie;</w:t>
      </w:r>
    </w:p>
    <w:p w:rsidR="007D5792" w:rsidRPr="00774130" w:rsidRDefault="009046C6" w:rsidP="00774130">
      <w:pPr>
        <w:pStyle w:val="ListParagraph"/>
        <w:numPr>
          <w:ilvl w:val="1"/>
          <w:numId w:val="17"/>
        </w:numPr>
        <w:tabs>
          <w:tab w:val="left" w:pos="1560"/>
        </w:tabs>
        <w:spacing w:after="220"/>
        <w:ind w:left="1134" w:hanging="567"/>
        <w:rPr>
          <w:szCs w:val="22"/>
        </w:rPr>
      </w:pPr>
      <w:proofErr w:type="gramStart"/>
      <w:r w:rsidRPr="00774130">
        <w:rPr>
          <w:szCs w:val="22"/>
        </w:rPr>
        <w:t>le</w:t>
      </w:r>
      <w:proofErr w:type="gramEnd"/>
      <w:r w:rsidRPr="00774130">
        <w:rPr>
          <w:szCs w:val="22"/>
        </w:rPr>
        <w:t xml:space="preserve"> </w:t>
      </w:r>
      <w:r w:rsidR="00891F02" w:rsidRPr="00774130">
        <w:rPr>
          <w:szCs w:val="22"/>
        </w:rPr>
        <w:t>2 octobre 20</w:t>
      </w:r>
      <w:r w:rsidRPr="00774130">
        <w:rPr>
          <w:szCs w:val="22"/>
        </w:rPr>
        <w:t>19 par l</w:t>
      </w:r>
      <w:r w:rsidR="009C13E0">
        <w:rPr>
          <w:szCs w:val="22"/>
        </w:rPr>
        <w:t>’</w:t>
      </w:r>
      <w:r w:rsidRPr="00774130">
        <w:rPr>
          <w:szCs w:val="22"/>
        </w:rPr>
        <w:t>État indépendant du Samoa;</w:t>
      </w:r>
    </w:p>
    <w:p w:rsidR="007D5792" w:rsidRPr="00774130" w:rsidRDefault="009046C6" w:rsidP="00774130">
      <w:pPr>
        <w:pStyle w:val="ListParagraph"/>
        <w:numPr>
          <w:ilvl w:val="1"/>
          <w:numId w:val="17"/>
        </w:numPr>
        <w:tabs>
          <w:tab w:val="left" w:pos="1560"/>
        </w:tabs>
        <w:spacing w:after="220"/>
        <w:ind w:left="1134" w:hanging="567"/>
        <w:rPr>
          <w:szCs w:val="22"/>
        </w:rPr>
      </w:pPr>
      <w:proofErr w:type="gramStart"/>
      <w:r w:rsidRPr="00774130">
        <w:rPr>
          <w:szCs w:val="22"/>
        </w:rPr>
        <w:t>le</w:t>
      </w:r>
      <w:proofErr w:type="gramEnd"/>
      <w:r w:rsidRPr="00774130">
        <w:rPr>
          <w:szCs w:val="22"/>
        </w:rPr>
        <w:t xml:space="preserve"> </w:t>
      </w:r>
      <w:r w:rsidR="00891F02" w:rsidRPr="00774130">
        <w:rPr>
          <w:szCs w:val="22"/>
        </w:rPr>
        <w:t>8 octobre 20</w:t>
      </w:r>
      <w:r w:rsidRPr="00774130">
        <w:rPr>
          <w:szCs w:val="22"/>
        </w:rPr>
        <w:t>19 par la République populaire démocratique de Corée;</w:t>
      </w:r>
    </w:p>
    <w:p w:rsidR="007D5792" w:rsidRPr="00774130" w:rsidRDefault="009046C6" w:rsidP="00774130">
      <w:pPr>
        <w:pStyle w:val="ListParagraph"/>
        <w:numPr>
          <w:ilvl w:val="1"/>
          <w:numId w:val="17"/>
        </w:numPr>
        <w:tabs>
          <w:tab w:val="left" w:pos="1560"/>
        </w:tabs>
        <w:spacing w:after="220"/>
        <w:ind w:left="1134" w:hanging="567"/>
        <w:rPr>
          <w:szCs w:val="22"/>
        </w:rPr>
      </w:pPr>
      <w:proofErr w:type="gramStart"/>
      <w:r w:rsidRPr="00774130">
        <w:rPr>
          <w:szCs w:val="22"/>
        </w:rPr>
        <w:t>le</w:t>
      </w:r>
      <w:proofErr w:type="gramEnd"/>
      <w:r w:rsidRPr="00774130">
        <w:rPr>
          <w:szCs w:val="22"/>
        </w:rPr>
        <w:t xml:space="preserve"> 2</w:t>
      </w:r>
      <w:r w:rsidR="00891F02" w:rsidRPr="00774130">
        <w:rPr>
          <w:szCs w:val="22"/>
        </w:rPr>
        <w:t>6 novembre 20</w:t>
      </w:r>
      <w:r w:rsidRPr="00774130">
        <w:rPr>
          <w:szCs w:val="22"/>
        </w:rPr>
        <w:t>19 par l</w:t>
      </w:r>
      <w:r w:rsidR="009C13E0">
        <w:rPr>
          <w:szCs w:val="22"/>
        </w:rPr>
        <w:t>’</w:t>
      </w:r>
      <w:r w:rsidRPr="00774130">
        <w:rPr>
          <w:szCs w:val="22"/>
        </w:rPr>
        <w:t>Union européenne.</w:t>
      </w:r>
    </w:p>
    <w:p w:rsidR="007D5792" w:rsidRPr="00774130" w:rsidRDefault="009046C6" w:rsidP="00E37455">
      <w:pPr>
        <w:pStyle w:val="ONUMFS"/>
        <w:numPr>
          <w:ilvl w:val="0"/>
          <w:numId w:val="0"/>
        </w:numPr>
        <w:ind w:left="540"/>
      </w:pPr>
      <w:r w:rsidRPr="00774130">
        <w:t>Par conséquent, conformément aux dispositions de l</w:t>
      </w:r>
      <w:r w:rsidR="009C13E0">
        <w:t>’</w:t>
      </w:r>
      <w:r w:rsidRPr="00774130">
        <w:t>article 29.2), ledit acte entrera en vigueur le 2</w:t>
      </w:r>
      <w:r w:rsidR="00891F02" w:rsidRPr="00774130">
        <w:t>6 février 20</w:t>
      </w:r>
      <w:r w:rsidRPr="00774130">
        <w:t xml:space="preserve">20 </w:t>
      </w:r>
      <w:r w:rsidR="00774130">
        <w:t>à l</w:t>
      </w:r>
      <w:r w:rsidR="009C13E0">
        <w:t>’</w:t>
      </w:r>
      <w:r w:rsidR="00774130">
        <w:t>égard</w:t>
      </w:r>
      <w:r w:rsidRPr="00774130">
        <w:t xml:space="preserve"> des cinq</w:t>
      </w:r>
      <w:r w:rsidR="001920D6" w:rsidRPr="00774130">
        <w:t> </w:t>
      </w:r>
      <w:r w:rsidRPr="00774130">
        <w:t>États et de l</w:t>
      </w:r>
      <w:r w:rsidR="009C13E0">
        <w:t>’</w:t>
      </w:r>
      <w:r w:rsidR="00275EA3">
        <w:t xml:space="preserve">organisation </w:t>
      </w:r>
      <w:r w:rsidRPr="00774130">
        <w:t>intergouvernementale susmentionnés.</w:t>
      </w:r>
    </w:p>
    <w:p w:rsidR="007D5792" w:rsidRPr="00774130" w:rsidRDefault="00C61213" w:rsidP="00774130">
      <w:pPr>
        <w:pStyle w:val="Endofdocument-Annex"/>
      </w:pPr>
      <w:r>
        <w:t>Le 27</w:t>
      </w:r>
      <w:r w:rsidR="009046C6" w:rsidRPr="00774130">
        <w:t xml:space="preserve"> </w:t>
      </w:r>
      <w:r w:rsidR="00891F02" w:rsidRPr="00774130">
        <w:t>février 20</w:t>
      </w:r>
      <w:r w:rsidR="009046C6" w:rsidRPr="00774130">
        <w:t>20</w:t>
      </w:r>
    </w:p>
    <w:sectPr w:rsidR="007D5792" w:rsidRPr="00774130" w:rsidSect="00774130">
      <w:headerReference w:type="even" r:id="rId12"/>
      <w:headerReference w:type="default" r:id="rId13"/>
      <w:footerReference w:type="even" r:id="rId14"/>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881" w:rsidRDefault="005B4881">
      <w:r>
        <w:separator/>
      </w:r>
    </w:p>
  </w:endnote>
  <w:endnote w:type="continuationSeparator" w:id="0">
    <w:p w:rsidR="005B4881" w:rsidRDefault="005B4881">
      <w:r>
        <w:separator/>
      </w:r>
    </w:p>
    <w:p w:rsidR="005B4881" w:rsidRPr="0013458A" w:rsidRDefault="005B4881">
      <w:pPr>
        <w:pStyle w:val="Footer"/>
        <w:spacing w:after="60"/>
        <w:rPr>
          <w:sz w:val="17"/>
          <w:lang w:val="en-US"/>
        </w:rPr>
      </w:pPr>
      <w:r w:rsidRPr="0013458A">
        <w:rPr>
          <w:sz w:val="17"/>
          <w:lang w:val="en-US"/>
        </w:rPr>
        <w:t>[Endnote continued from previous page]</w:t>
      </w:r>
    </w:p>
  </w:endnote>
  <w:endnote w:type="continuationNotice" w:id="1">
    <w:p w:rsidR="005B4881" w:rsidRPr="0013458A" w:rsidRDefault="005B4881">
      <w:pPr>
        <w:spacing w:before="60"/>
        <w:jc w:val="right"/>
        <w:rPr>
          <w:sz w:val="17"/>
          <w:lang w:val="en-US"/>
        </w:rPr>
      </w:pPr>
      <w:r w:rsidRPr="0013458A">
        <w:rPr>
          <w:sz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66A" w:rsidRDefault="005D566A" w:rsidP="005D566A">
    <w:pPr>
      <w:pStyle w:val="Footer"/>
      <w:jc w:val="right"/>
      <w:rPr>
        <w:color w:val="000000"/>
        <w:sz w:val="17"/>
      </w:rPr>
    </w:pPr>
    <w:r>
      <w:rPr>
        <w:color w:val="000000"/>
        <w:sz w:val="17"/>
      </w:rPr>
      <w:t xml:space="preserve">  </w:t>
    </w:r>
  </w:p>
  <w:p w:rsidR="000D3864" w:rsidRDefault="00015C4C" w:rsidP="005D566A">
    <w:pPr>
      <w:pStyle w:val="Footer"/>
      <w:jc w:val="right"/>
      <w:rPr>
        <w:color w:val="000000"/>
        <w:sz w:val="17"/>
      </w:rPr>
    </w:pPr>
    <w:r w:rsidRPr="00015C4C">
      <w:rPr>
        <w:color w:val="000000"/>
        <w:sz w:val="17"/>
      </w:rPr>
      <w:t xml:space="preserve">  </w:t>
    </w:r>
  </w:p>
  <w:p w:rsidR="00015C4C" w:rsidRDefault="00015C4C" w:rsidP="00015C4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881" w:rsidRDefault="005B4881">
      <w:r>
        <w:separator/>
      </w:r>
    </w:p>
  </w:footnote>
  <w:footnote w:type="continuationSeparator" w:id="0">
    <w:p w:rsidR="005B4881" w:rsidRDefault="005B4881">
      <w:r>
        <w:separator/>
      </w:r>
    </w:p>
    <w:p w:rsidR="005B4881" w:rsidRPr="0013458A" w:rsidRDefault="005B4881">
      <w:pPr>
        <w:pStyle w:val="Footer"/>
        <w:spacing w:after="60"/>
        <w:rPr>
          <w:sz w:val="17"/>
          <w:lang w:val="en-US"/>
        </w:rPr>
      </w:pPr>
      <w:r w:rsidRPr="0013458A">
        <w:rPr>
          <w:sz w:val="17"/>
          <w:lang w:val="en-US"/>
        </w:rPr>
        <w:t>[Footnote continued from previous page]</w:t>
      </w:r>
    </w:p>
  </w:footnote>
  <w:footnote w:type="continuationNotice" w:id="1">
    <w:p w:rsidR="005B4881" w:rsidRPr="0013458A" w:rsidRDefault="005B4881">
      <w:pPr>
        <w:spacing w:before="60"/>
        <w:jc w:val="right"/>
        <w:rPr>
          <w:sz w:val="17"/>
          <w:lang w:val="en-US"/>
        </w:rPr>
      </w:pPr>
      <w:r w:rsidRPr="0013458A">
        <w:rPr>
          <w:sz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864" w:rsidRDefault="005D566A" w:rsidP="005D566A">
    <w:pPr>
      <w:jc w:val="right"/>
      <w:rPr>
        <w:color w:val="000000"/>
        <w:sz w:val="17"/>
      </w:rPr>
    </w:pPr>
    <w:bookmarkStart w:id="2" w:name="TITUS1HeaderEvenPages"/>
    <w:r>
      <w:rPr>
        <w:color w:val="000000"/>
        <w:sz w:val="17"/>
      </w:rPr>
      <w:t xml:space="preserve">  </w:t>
    </w:r>
  </w:p>
  <w:bookmarkEnd w:id="2"/>
  <w:p w:rsidR="000D3864" w:rsidRDefault="000D3864" w:rsidP="000D3864">
    <w:pPr>
      <w:jc w:val="center"/>
    </w:pPr>
    <w:r>
      <w:t xml:space="preserve">page </w:t>
    </w:r>
    <w:r>
      <w:fldChar w:fldCharType="begin"/>
    </w:r>
    <w:r>
      <w:instrText xml:space="preserve"> PAGE  \* MERGEFORMAT </w:instrText>
    </w:r>
    <w:r>
      <w:fldChar w:fldCharType="separate"/>
    </w:r>
    <w:r w:rsidR="00774130">
      <w:rPr>
        <w:noProof/>
      </w:rPr>
      <w:t>2</w:t>
    </w:r>
    <w:r>
      <w:fldChar w:fldCharType="end"/>
    </w:r>
  </w:p>
  <w:p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130" w:rsidRDefault="00774130" w:rsidP="00774130">
    <w:pPr>
      <w:pStyle w:val="Header"/>
      <w:jc w:val="right"/>
    </w:pPr>
    <w:r>
      <w:t xml:space="preserve">page </w:t>
    </w:r>
    <w:r>
      <w:fldChar w:fldCharType="begin"/>
    </w:r>
    <w:r>
      <w:instrText>PAGE   \* MERGEFORMAT</w:instrText>
    </w:r>
    <w:r>
      <w:fldChar w:fldCharType="separate"/>
    </w:r>
    <w:r w:rsidR="006C2BE9">
      <w:rPr>
        <w:noProof/>
      </w:rPr>
      <w:t>2</w:t>
    </w:r>
    <w:r>
      <w:fldChar w:fldCharType="end"/>
    </w:r>
  </w:p>
  <w:p w:rsidR="00774130" w:rsidRDefault="00774130" w:rsidP="00774130">
    <w:pPr>
      <w:pStyle w:val="Header"/>
      <w:jc w:val="right"/>
    </w:pPr>
  </w:p>
  <w:p w:rsidR="001E5D18" w:rsidRDefault="001E5D18" w:rsidP="007741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1"/>
  </w:num>
  <w:num w:numId="5">
    <w:abstractNumId w:val="2"/>
  </w:num>
  <w:num w:numId="6">
    <w:abstractNumId w:val="9"/>
  </w:num>
  <w:num w:numId="7">
    <w:abstractNumId w:val="7"/>
  </w:num>
  <w:num w:numId="8">
    <w:abstractNumId w:val="1"/>
  </w:num>
  <w:num w:numId="9">
    <w:abstractNumId w:val="2"/>
  </w:num>
  <w:num w:numId="10">
    <w:abstractNumId w:val="7"/>
  </w:num>
  <w:num w:numId="11">
    <w:abstractNumId w:val="1"/>
  </w:num>
  <w:num w:numId="12">
    <w:abstractNumId w:val="2"/>
  </w:num>
  <w:num w:numId="13">
    <w:abstractNumId w:val="10"/>
  </w:num>
  <w:num w:numId="14">
    <w:abstractNumId w:val="8"/>
  </w:num>
  <w:num w:numId="15">
    <w:abstractNumId w:val="5"/>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F0"/>
    <w:rsid w:val="00000F96"/>
    <w:rsid w:val="000072EE"/>
    <w:rsid w:val="00015C4C"/>
    <w:rsid w:val="00022440"/>
    <w:rsid w:val="00023E8B"/>
    <w:rsid w:val="00040425"/>
    <w:rsid w:val="00042BD2"/>
    <w:rsid w:val="000A5742"/>
    <w:rsid w:val="000B6D65"/>
    <w:rsid w:val="000C774D"/>
    <w:rsid w:val="000D3864"/>
    <w:rsid w:val="000E072A"/>
    <w:rsid w:val="000F52A8"/>
    <w:rsid w:val="0010608E"/>
    <w:rsid w:val="00106BAE"/>
    <w:rsid w:val="0013458A"/>
    <w:rsid w:val="00150CF6"/>
    <w:rsid w:val="00191E44"/>
    <w:rsid w:val="001920D6"/>
    <w:rsid w:val="00197C7C"/>
    <w:rsid w:val="001A2E00"/>
    <w:rsid w:val="001B1DDA"/>
    <w:rsid w:val="001B534E"/>
    <w:rsid w:val="001B69E2"/>
    <w:rsid w:val="001E5D18"/>
    <w:rsid w:val="001E647B"/>
    <w:rsid w:val="001F5A8E"/>
    <w:rsid w:val="00200976"/>
    <w:rsid w:val="00212F6B"/>
    <w:rsid w:val="00230DF4"/>
    <w:rsid w:val="00237A67"/>
    <w:rsid w:val="00261D19"/>
    <w:rsid w:val="00264E42"/>
    <w:rsid w:val="00275EA3"/>
    <w:rsid w:val="0029704F"/>
    <w:rsid w:val="002A012E"/>
    <w:rsid w:val="002C69D9"/>
    <w:rsid w:val="002E1745"/>
    <w:rsid w:val="002E48C8"/>
    <w:rsid w:val="002E5E82"/>
    <w:rsid w:val="00305A8F"/>
    <w:rsid w:val="00321300"/>
    <w:rsid w:val="0032621F"/>
    <w:rsid w:val="00343428"/>
    <w:rsid w:val="00345F13"/>
    <w:rsid w:val="003500BE"/>
    <w:rsid w:val="003555F4"/>
    <w:rsid w:val="00361F8F"/>
    <w:rsid w:val="00377D89"/>
    <w:rsid w:val="00381D52"/>
    <w:rsid w:val="0038753D"/>
    <w:rsid w:val="003A032E"/>
    <w:rsid w:val="003A1368"/>
    <w:rsid w:val="003A4806"/>
    <w:rsid w:val="003B2C0D"/>
    <w:rsid w:val="003B4808"/>
    <w:rsid w:val="003C4B01"/>
    <w:rsid w:val="003C75F2"/>
    <w:rsid w:val="003D13C7"/>
    <w:rsid w:val="003D341E"/>
    <w:rsid w:val="003E4FB2"/>
    <w:rsid w:val="003F2264"/>
    <w:rsid w:val="003F4553"/>
    <w:rsid w:val="003F73CD"/>
    <w:rsid w:val="0040765D"/>
    <w:rsid w:val="00436D9C"/>
    <w:rsid w:val="00444D9B"/>
    <w:rsid w:val="00457669"/>
    <w:rsid w:val="004760B4"/>
    <w:rsid w:val="00481003"/>
    <w:rsid w:val="004D040D"/>
    <w:rsid w:val="004D38FC"/>
    <w:rsid w:val="004F4110"/>
    <w:rsid w:val="004F5DAB"/>
    <w:rsid w:val="005029BB"/>
    <w:rsid w:val="00517500"/>
    <w:rsid w:val="00531395"/>
    <w:rsid w:val="005712E6"/>
    <w:rsid w:val="00594394"/>
    <w:rsid w:val="005B3167"/>
    <w:rsid w:val="005B4881"/>
    <w:rsid w:val="005B5CBA"/>
    <w:rsid w:val="005C050E"/>
    <w:rsid w:val="005C2889"/>
    <w:rsid w:val="005C6E31"/>
    <w:rsid w:val="005D566A"/>
    <w:rsid w:val="005E0C9B"/>
    <w:rsid w:val="00602E39"/>
    <w:rsid w:val="00606B9A"/>
    <w:rsid w:val="006210A3"/>
    <w:rsid w:val="00641EDA"/>
    <w:rsid w:val="00663C08"/>
    <w:rsid w:val="00665CEB"/>
    <w:rsid w:val="006776ED"/>
    <w:rsid w:val="00683DEF"/>
    <w:rsid w:val="0069384C"/>
    <w:rsid w:val="00694945"/>
    <w:rsid w:val="006B10E1"/>
    <w:rsid w:val="006B1C22"/>
    <w:rsid w:val="006C2BE9"/>
    <w:rsid w:val="006D0A46"/>
    <w:rsid w:val="006D7C44"/>
    <w:rsid w:val="00702FCB"/>
    <w:rsid w:val="007161AF"/>
    <w:rsid w:val="0072286E"/>
    <w:rsid w:val="0072508E"/>
    <w:rsid w:val="00730F6A"/>
    <w:rsid w:val="007650B4"/>
    <w:rsid w:val="00765841"/>
    <w:rsid w:val="00774130"/>
    <w:rsid w:val="007921E8"/>
    <w:rsid w:val="007C0638"/>
    <w:rsid w:val="007D47E6"/>
    <w:rsid w:val="007D5792"/>
    <w:rsid w:val="007D6437"/>
    <w:rsid w:val="007F0A7A"/>
    <w:rsid w:val="007F5046"/>
    <w:rsid w:val="00800A9B"/>
    <w:rsid w:val="008116BA"/>
    <w:rsid w:val="00831A26"/>
    <w:rsid w:val="00842AB1"/>
    <w:rsid w:val="0084410A"/>
    <w:rsid w:val="00856B5E"/>
    <w:rsid w:val="0086291A"/>
    <w:rsid w:val="00871A37"/>
    <w:rsid w:val="00885998"/>
    <w:rsid w:val="00886D3A"/>
    <w:rsid w:val="00891F02"/>
    <w:rsid w:val="008A42FA"/>
    <w:rsid w:val="008D6245"/>
    <w:rsid w:val="008E183B"/>
    <w:rsid w:val="008F33F5"/>
    <w:rsid w:val="008F55E4"/>
    <w:rsid w:val="009046C6"/>
    <w:rsid w:val="00915416"/>
    <w:rsid w:val="00916252"/>
    <w:rsid w:val="00922A50"/>
    <w:rsid w:val="009646FA"/>
    <w:rsid w:val="0097265A"/>
    <w:rsid w:val="009958B7"/>
    <w:rsid w:val="009A3CD4"/>
    <w:rsid w:val="009A4966"/>
    <w:rsid w:val="009A6B40"/>
    <w:rsid w:val="009C024E"/>
    <w:rsid w:val="009C13E0"/>
    <w:rsid w:val="009C2AD1"/>
    <w:rsid w:val="009D2534"/>
    <w:rsid w:val="009E0489"/>
    <w:rsid w:val="009E185D"/>
    <w:rsid w:val="00A0608E"/>
    <w:rsid w:val="00A5573D"/>
    <w:rsid w:val="00A63F09"/>
    <w:rsid w:val="00A72B6D"/>
    <w:rsid w:val="00A746A0"/>
    <w:rsid w:val="00AC68C3"/>
    <w:rsid w:val="00AD03FA"/>
    <w:rsid w:val="00B05311"/>
    <w:rsid w:val="00B06A0C"/>
    <w:rsid w:val="00B14807"/>
    <w:rsid w:val="00B246BF"/>
    <w:rsid w:val="00B702C1"/>
    <w:rsid w:val="00B833E5"/>
    <w:rsid w:val="00B85527"/>
    <w:rsid w:val="00BA0C38"/>
    <w:rsid w:val="00BB1EDC"/>
    <w:rsid w:val="00BB68A2"/>
    <w:rsid w:val="00BB750D"/>
    <w:rsid w:val="00BC34F6"/>
    <w:rsid w:val="00BC544A"/>
    <w:rsid w:val="00BD1AE0"/>
    <w:rsid w:val="00BE7D73"/>
    <w:rsid w:val="00BF5D1B"/>
    <w:rsid w:val="00C37291"/>
    <w:rsid w:val="00C61213"/>
    <w:rsid w:val="00C7431C"/>
    <w:rsid w:val="00C74AC2"/>
    <w:rsid w:val="00CA3902"/>
    <w:rsid w:val="00CC479A"/>
    <w:rsid w:val="00CD3C70"/>
    <w:rsid w:val="00CE4F7F"/>
    <w:rsid w:val="00D06BE2"/>
    <w:rsid w:val="00D07D28"/>
    <w:rsid w:val="00D21A15"/>
    <w:rsid w:val="00D55F36"/>
    <w:rsid w:val="00D61292"/>
    <w:rsid w:val="00D61452"/>
    <w:rsid w:val="00D91EF7"/>
    <w:rsid w:val="00DB0343"/>
    <w:rsid w:val="00DC5733"/>
    <w:rsid w:val="00DE5C8D"/>
    <w:rsid w:val="00E02550"/>
    <w:rsid w:val="00E11C88"/>
    <w:rsid w:val="00E17632"/>
    <w:rsid w:val="00E37455"/>
    <w:rsid w:val="00E47591"/>
    <w:rsid w:val="00E54EFB"/>
    <w:rsid w:val="00E77AA5"/>
    <w:rsid w:val="00E8230D"/>
    <w:rsid w:val="00E950BD"/>
    <w:rsid w:val="00EA01D2"/>
    <w:rsid w:val="00EB3E9F"/>
    <w:rsid w:val="00EC39FE"/>
    <w:rsid w:val="00EE2556"/>
    <w:rsid w:val="00EE4D0F"/>
    <w:rsid w:val="00EE7293"/>
    <w:rsid w:val="00EF43B9"/>
    <w:rsid w:val="00F000AF"/>
    <w:rsid w:val="00F15381"/>
    <w:rsid w:val="00F21C00"/>
    <w:rsid w:val="00F25ED6"/>
    <w:rsid w:val="00F322C9"/>
    <w:rsid w:val="00F534D4"/>
    <w:rsid w:val="00F648DE"/>
    <w:rsid w:val="00F76C94"/>
    <w:rsid w:val="00FA272A"/>
    <w:rsid w:val="00FB46BF"/>
    <w:rsid w:val="00FB4F2F"/>
    <w:rsid w:val="00FF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130"/>
    <w:rPr>
      <w:rFonts w:ascii="Arial" w:eastAsia="SimSun" w:hAnsi="Arial" w:cs="Arial"/>
      <w:sz w:val="22"/>
      <w:lang w:val="fr-FR" w:eastAsia="zh-CN"/>
    </w:rPr>
  </w:style>
  <w:style w:type="paragraph" w:styleId="Heading1">
    <w:name w:val="heading 1"/>
    <w:basedOn w:val="Normal"/>
    <w:next w:val="Normal"/>
    <w:autoRedefine/>
    <w:qFormat/>
    <w:rsid w:val="00FB46BF"/>
    <w:pPr>
      <w:keepNext/>
      <w:spacing w:after="720"/>
      <w:outlineLvl w:val="0"/>
    </w:pPr>
    <w:rPr>
      <w:b/>
      <w:bCs/>
      <w:kern w:val="32"/>
      <w:sz w:val="28"/>
      <w:szCs w:val="32"/>
    </w:rPr>
  </w:style>
  <w:style w:type="paragraph" w:styleId="Heading2">
    <w:name w:val="heading 2"/>
    <w:basedOn w:val="Normal"/>
    <w:next w:val="Normal"/>
    <w:autoRedefine/>
    <w:qFormat/>
    <w:rsid w:val="00FB46BF"/>
    <w:pPr>
      <w:keepNext/>
      <w:tabs>
        <w:tab w:val="left" w:pos="8056"/>
      </w:tabs>
      <w:spacing w:before="240" w:after="360"/>
      <w:outlineLvl w:val="1"/>
    </w:pPr>
    <w:rPr>
      <w:b/>
      <w:bCs/>
      <w:iCs/>
      <w:caps/>
      <w:szCs w:val="28"/>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fr-FR"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iPriority w:val="99"/>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fr-FR"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rPr>
      <w:lang w:val="fr-CH"/>
    </w:r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fr-FR"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lisbon/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c.europa.eu/agriculture/" TargetMode="External"/><Relationship Id="rId4" Type="http://schemas.openxmlformats.org/officeDocument/2006/relationships/settings" Target="settings.xml"/><Relationship Id="rId9" Type="http://schemas.openxmlformats.org/officeDocument/2006/relationships/hyperlink" Target="mailto:AGRI-B3-GENEVA@ec.europa.e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92791-4D75-4878-B825-B9473778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2950</Characters>
  <Application>Microsoft Office Word</Application>
  <DocSecurity>0</DocSecurity>
  <Lines>57</Lines>
  <Paragraphs>26</Paragraphs>
  <ScaleCrop>false</ScaleCrop>
  <HeadingPairs>
    <vt:vector size="2" baseType="variant">
      <vt:variant>
        <vt:lpstr>Title</vt:lpstr>
      </vt:variant>
      <vt:variant>
        <vt:i4>1</vt:i4>
      </vt:variant>
    </vt:vector>
  </HeadingPairs>
  <TitlesOfParts>
    <vt:vector size="1" baseType="lpstr">
      <vt:lpstr>Hague Information No. 3/2010</vt:lpstr>
    </vt:vector>
  </TitlesOfParts>
  <Manager>Lähdesmäki</Manager>
  <Company>WIPO</Company>
  <LinksUpToDate>false</LinksUpToDate>
  <CharactersWithSpaces>3437</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4/2020</dc:title>
  <dc:subject>Change in the Amounts of the Individual Fee:  European Union</dc:subject>
  <dc:creator>CleaveleyA</dc:creator>
  <cp:keywords>FOR OFFICIAL USE ONLY</cp:keywords>
  <cp:lastModifiedBy>VINCENT Anouck</cp:lastModifiedBy>
  <cp:revision>5</cp:revision>
  <cp:lastPrinted>2018-02-28T13:51:00Z</cp:lastPrinted>
  <dcterms:created xsi:type="dcterms:W3CDTF">2020-02-27T10:22:00Z</dcterms:created>
  <dcterms:modified xsi:type="dcterms:W3CDTF">2020-02-28T15:47:00Z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