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3090" w14:textId="145F7522"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57CDFB7D" w14:textId="746FD9B0" w:rsidR="004D5F69" w:rsidRPr="0082737B" w:rsidRDefault="004D5F69" w:rsidP="004D5F69">
      <w:pPr>
        <w:spacing w:after="1560"/>
        <w:jc w:val="right"/>
        <w:rPr>
          <w:caps/>
        </w:rPr>
      </w:pPr>
      <w:r w:rsidRPr="0082737B">
        <w:rPr>
          <w:rFonts w:ascii="Arial Black" w:hAnsi="Arial Black"/>
          <w:caps/>
          <w:sz w:val="15"/>
        </w:rPr>
        <w:t xml:space="preserve">Information Notice No. </w:t>
      </w:r>
      <w:r w:rsidR="006068E2">
        <w:rPr>
          <w:rFonts w:ascii="Arial Black" w:hAnsi="Arial Black"/>
          <w:caps/>
          <w:sz w:val="15"/>
        </w:rPr>
        <w:t>4</w:t>
      </w:r>
      <w:r w:rsidRPr="00C00576">
        <w:rPr>
          <w:rFonts w:ascii="Arial Black" w:hAnsi="Arial Black"/>
          <w:caps/>
          <w:sz w:val="15"/>
        </w:rPr>
        <w:t>/202</w:t>
      </w:r>
      <w:r w:rsidR="00446B66">
        <w:rPr>
          <w:rFonts w:ascii="Arial Black" w:hAnsi="Arial Black"/>
          <w:caps/>
          <w:sz w:val="15"/>
        </w:rPr>
        <w:t>5</w:t>
      </w:r>
    </w:p>
    <w:p w14:paraId="1435E00D" w14:textId="77777777" w:rsidR="004D5F69" w:rsidRPr="00774130" w:rsidRDefault="004D5F69" w:rsidP="004D5F69">
      <w:pPr>
        <w:pStyle w:val="Heading1"/>
      </w:pPr>
      <w:r>
        <w:t>Geneva Act of the Lisbon Agreement on Appellations of Origin and Geographical Indications</w:t>
      </w:r>
    </w:p>
    <w:p w14:paraId="71E10CF0" w14:textId="027CE2FC" w:rsidR="004D5F69" w:rsidRPr="0082737B" w:rsidRDefault="004D5F69" w:rsidP="005D059F">
      <w:pPr>
        <w:pStyle w:val="Heading2"/>
      </w:pPr>
      <w:r w:rsidRPr="0082737B">
        <w:rPr>
          <w:noProof/>
        </w:rPr>
        <mc:AlternateContent>
          <mc:Choice Requires="wps">
            <w:drawing>
              <wp:anchor distT="0" distB="0" distL="114300" distR="114300" simplePos="0" relativeHeight="251659264" behindDoc="1" locked="1" layoutInCell="0" allowOverlap="1" wp14:anchorId="03EA1A8E" wp14:editId="47096BCA">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03B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00446B66">
        <w:rPr>
          <w:noProof/>
        </w:rPr>
        <w:t>Accession</w:t>
      </w:r>
      <w:r w:rsidRPr="0082737B">
        <w:t xml:space="preserve"> by </w:t>
      </w:r>
      <w:r w:rsidR="00446B66">
        <w:t>Georgi</w:t>
      </w:r>
      <w:r w:rsidR="00012554">
        <w:t>a</w:t>
      </w:r>
    </w:p>
    <w:p w14:paraId="61BA588F" w14:textId="40B6AF9D" w:rsidR="004D5F69" w:rsidRDefault="004D5F69" w:rsidP="004D5F69">
      <w:pPr>
        <w:pStyle w:val="ONUMFS"/>
        <w:numPr>
          <w:ilvl w:val="0"/>
          <w:numId w:val="5"/>
        </w:numPr>
        <w:tabs>
          <w:tab w:val="clear" w:pos="567"/>
          <w:tab w:val="num" w:pos="0"/>
        </w:tabs>
      </w:pPr>
      <w:r>
        <w:t xml:space="preserve">On </w:t>
      </w:r>
      <w:r w:rsidR="00DC3EFA">
        <w:t>July 1</w:t>
      </w:r>
      <w:r w:rsidR="00446B66">
        <w:t>4</w:t>
      </w:r>
      <w:r>
        <w:t>, 202</w:t>
      </w:r>
      <w:r w:rsidR="00446B66">
        <w:t>5</w:t>
      </w:r>
      <w:r>
        <w:t xml:space="preserve">, the Government of </w:t>
      </w:r>
      <w:r w:rsidR="00446B66">
        <w:t>Georgia</w:t>
      </w:r>
      <w:r>
        <w:t xml:space="preserve"> deposited with the Director</w:t>
      </w:r>
      <w:r w:rsidR="001A5917">
        <w:t> </w:t>
      </w:r>
      <w:r>
        <w:t xml:space="preserve">General of the World Intellectual Property Organization (WIPO) its instrument of </w:t>
      </w:r>
      <w:r w:rsidR="00446B66">
        <w:t>accession</w:t>
      </w:r>
      <w:r>
        <w:t xml:space="preserve"> to the Geneva Act of the Lisbon Agreement on Appellations of Origin and Geographical Indications</w:t>
      </w:r>
      <w:r w:rsidR="00B31A3B">
        <w:t xml:space="preserve"> (Geneva Act)</w:t>
      </w:r>
      <w:r>
        <w:t>, which was adopted in Geneva on May</w:t>
      </w:r>
      <w:r w:rsidR="001A5917">
        <w:t> </w:t>
      </w:r>
      <w:r>
        <w:t>20,</w:t>
      </w:r>
      <w:r w:rsidR="001A5917">
        <w:t> </w:t>
      </w:r>
      <w:r>
        <w:t>2015.</w:t>
      </w:r>
    </w:p>
    <w:p w14:paraId="4F2E7C4D" w14:textId="57739C1C" w:rsidR="004D5F69" w:rsidRDefault="004D5F69" w:rsidP="004D5F69">
      <w:pPr>
        <w:pStyle w:val="ONUMFS"/>
        <w:numPr>
          <w:ilvl w:val="0"/>
          <w:numId w:val="5"/>
        </w:numPr>
        <w:tabs>
          <w:tab w:val="clear" w:pos="567"/>
          <w:tab w:val="num" w:pos="0"/>
        </w:tabs>
      </w:pPr>
      <w:r>
        <w:t>Pursuant to Rule 4(1) of the Common Regulations</w:t>
      </w:r>
      <w:r w:rsidR="00DC3EFA">
        <w:t xml:space="preserve"> under the Lisbon Agreement for the Protection of Appellations of Origin and their International Registration and the Geneva Act of the Lisbon Agreement on Appellations of Origin and Geographical Indications (Common Regulations)</w:t>
      </w:r>
      <w:r>
        <w:t xml:space="preserve">, the Government of </w:t>
      </w:r>
      <w:r w:rsidR="00446B66">
        <w:t>Georgia</w:t>
      </w:r>
      <w:r>
        <w:t xml:space="preserve"> has </w:t>
      </w:r>
      <w:r w:rsidR="00B92CF3">
        <w:t>notified</w:t>
      </w:r>
      <w:r>
        <w:t xml:space="preserve"> </w:t>
      </w:r>
      <w:r w:rsidR="003A3A2B">
        <w:t xml:space="preserve">the </w:t>
      </w:r>
      <w:r>
        <w:t>following name and contact details of its Competent Authority for the purposes of the procedures provided for by the Geneva Act:</w:t>
      </w:r>
    </w:p>
    <w:p w14:paraId="1E8C6D37" w14:textId="4D9903A3" w:rsidR="00DC3EFA" w:rsidRPr="005D583E" w:rsidRDefault="00446B66" w:rsidP="004D5F69">
      <w:pPr>
        <w:keepNext/>
        <w:tabs>
          <w:tab w:val="left" w:pos="2268"/>
        </w:tabs>
        <w:spacing w:line="260" w:lineRule="exact"/>
        <w:ind w:left="2268"/>
        <w:jc w:val="both"/>
        <w:rPr>
          <w:rFonts w:eastAsia="Times New Roman" w:cs="Times New Roman"/>
          <w:szCs w:val="22"/>
        </w:rPr>
      </w:pPr>
      <w:r w:rsidRPr="005D583E">
        <w:rPr>
          <w:rFonts w:eastAsia="Times New Roman" w:cs="Times New Roman"/>
          <w:szCs w:val="22"/>
        </w:rPr>
        <w:t>National Intellectual Property Center</w:t>
      </w:r>
      <w:r w:rsidR="005D583E" w:rsidRPr="005D583E">
        <w:rPr>
          <w:rFonts w:eastAsia="Times New Roman" w:cs="Times New Roman"/>
          <w:szCs w:val="22"/>
        </w:rPr>
        <w:t xml:space="preserve"> of Georgia</w:t>
      </w:r>
      <w:r w:rsidRPr="005D583E">
        <w:rPr>
          <w:rFonts w:eastAsia="Times New Roman" w:cs="Times New Roman"/>
          <w:szCs w:val="22"/>
        </w:rPr>
        <w:t xml:space="preserve"> </w:t>
      </w:r>
      <w:r w:rsidR="005D583E" w:rsidRPr="005D583E">
        <w:rPr>
          <w:rFonts w:eastAsia="Times New Roman" w:cs="Times New Roman"/>
          <w:szCs w:val="22"/>
        </w:rPr>
        <w:t xml:space="preserve">– </w:t>
      </w:r>
      <w:r w:rsidRPr="005D583E">
        <w:rPr>
          <w:rFonts w:eastAsia="Times New Roman" w:cs="Times New Roman"/>
          <w:szCs w:val="22"/>
        </w:rPr>
        <w:t>SAKPATENTI</w:t>
      </w:r>
    </w:p>
    <w:p w14:paraId="1AB5AB03" w14:textId="43E4A9AA" w:rsidR="00835EE3" w:rsidRPr="005D583E" w:rsidRDefault="00446B66" w:rsidP="00835EE3">
      <w:pPr>
        <w:keepNext/>
        <w:tabs>
          <w:tab w:val="left" w:pos="2268"/>
        </w:tabs>
        <w:spacing w:line="260" w:lineRule="exact"/>
        <w:ind w:left="2268"/>
        <w:jc w:val="both"/>
        <w:rPr>
          <w:rFonts w:eastAsia="Times New Roman" w:cs="Times New Roman"/>
          <w:szCs w:val="22"/>
        </w:rPr>
      </w:pPr>
      <w:r w:rsidRPr="005D583E">
        <w:rPr>
          <w:rFonts w:eastAsia="Times New Roman" w:cs="Times New Roman"/>
          <w:szCs w:val="22"/>
        </w:rPr>
        <w:t xml:space="preserve">Antioch </w:t>
      </w:r>
      <w:proofErr w:type="spellStart"/>
      <w:r w:rsidRPr="005D583E">
        <w:rPr>
          <w:rFonts w:eastAsia="Times New Roman" w:cs="Times New Roman"/>
          <w:szCs w:val="22"/>
        </w:rPr>
        <w:t>st.</w:t>
      </w:r>
      <w:proofErr w:type="spellEnd"/>
      <w:r w:rsidRPr="005D583E">
        <w:rPr>
          <w:rFonts w:eastAsia="Times New Roman" w:cs="Times New Roman"/>
          <w:szCs w:val="22"/>
        </w:rPr>
        <w:t xml:space="preserve"> 5</w:t>
      </w:r>
    </w:p>
    <w:p w14:paraId="1F1B99AF" w14:textId="1B6ECCDF" w:rsidR="00883C46" w:rsidRPr="005D583E" w:rsidRDefault="00446B66" w:rsidP="00BD13C2">
      <w:pPr>
        <w:keepNext/>
        <w:tabs>
          <w:tab w:val="left" w:pos="2268"/>
        </w:tabs>
        <w:spacing w:line="260" w:lineRule="exact"/>
        <w:ind w:left="2268"/>
        <w:jc w:val="both"/>
        <w:rPr>
          <w:rFonts w:eastAsia="Times New Roman" w:cs="Times New Roman"/>
          <w:szCs w:val="22"/>
        </w:rPr>
      </w:pPr>
      <w:r w:rsidRPr="005D583E">
        <w:rPr>
          <w:rFonts w:eastAsia="Times New Roman" w:cs="Times New Roman"/>
          <w:szCs w:val="22"/>
        </w:rPr>
        <w:t>3300 Mtskheta</w:t>
      </w:r>
    </w:p>
    <w:p w14:paraId="6263CBBD" w14:textId="668462C6" w:rsidR="00446B66" w:rsidRPr="005D583E" w:rsidRDefault="00446B66" w:rsidP="00BD13C2">
      <w:pPr>
        <w:keepNext/>
        <w:tabs>
          <w:tab w:val="left" w:pos="2268"/>
        </w:tabs>
        <w:spacing w:line="260" w:lineRule="exact"/>
        <w:ind w:left="2268"/>
        <w:jc w:val="both"/>
        <w:rPr>
          <w:rFonts w:eastAsia="Times New Roman" w:cs="Times New Roman"/>
          <w:szCs w:val="22"/>
        </w:rPr>
      </w:pPr>
      <w:r w:rsidRPr="005D583E">
        <w:rPr>
          <w:rFonts w:eastAsia="Times New Roman" w:cs="Times New Roman"/>
          <w:szCs w:val="22"/>
        </w:rPr>
        <w:t>Georgia</w:t>
      </w:r>
    </w:p>
    <w:p w14:paraId="6E294348" w14:textId="0D151339" w:rsidR="00835EE3" w:rsidRPr="005D583E" w:rsidRDefault="00835EE3" w:rsidP="008C348D">
      <w:pPr>
        <w:keepNext/>
        <w:tabs>
          <w:tab w:val="left" w:pos="3272"/>
          <w:tab w:val="left" w:pos="3345"/>
        </w:tabs>
        <w:spacing w:line="260" w:lineRule="exact"/>
        <w:ind w:left="2268"/>
        <w:jc w:val="both"/>
        <w:rPr>
          <w:rFonts w:eastAsia="Times New Roman" w:cs="Times New Roman"/>
          <w:szCs w:val="22"/>
        </w:rPr>
      </w:pPr>
      <w:r w:rsidRPr="005D583E">
        <w:rPr>
          <w:rFonts w:eastAsia="Times New Roman" w:cs="Times New Roman"/>
          <w:szCs w:val="22"/>
        </w:rPr>
        <w:t>Tel.:</w:t>
      </w:r>
      <w:r w:rsidRPr="005D583E">
        <w:rPr>
          <w:rFonts w:eastAsia="Times New Roman" w:cs="Times New Roman"/>
          <w:szCs w:val="22"/>
        </w:rPr>
        <w:tab/>
        <w:t>(</w:t>
      </w:r>
      <w:r w:rsidR="003A3A2B" w:rsidRPr="005D583E">
        <w:rPr>
          <w:rFonts w:eastAsia="Times New Roman" w:cs="Times New Roman"/>
          <w:szCs w:val="22"/>
        </w:rPr>
        <w:t>+</w:t>
      </w:r>
      <w:r w:rsidR="00446B66" w:rsidRPr="005D583E">
        <w:rPr>
          <w:rFonts w:eastAsia="Times New Roman" w:cs="Times New Roman"/>
          <w:szCs w:val="22"/>
        </w:rPr>
        <w:t>995</w:t>
      </w:r>
      <w:r w:rsidRPr="005D583E">
        <w:rPr>
          <w:rFonts w:eastAsia="Times New Roman" w:cs="Times New Roman"/>
          <w:szCs w:val="22"/>
        </w:rPr>
        <w:t xml:space="preserve">) </w:t>
      </w:r>
      <w:r w:rsidR="00446B66" w:rsidRPr="005D583E">
        <w:rPr>
          <w:rFonts w:eastAsia="Times New Roman" w:cs="Times New Roman"/>
          <w:szCs w:val="22"/>
        </w:rPr>
        <w:t>32 225 25 33</w:t>
      </w:r>
    </w:p>
    <w:p w14:paraId="25F054B0" w14:textId="124174D9" w:rsidR="00835EE3" w:rsidRPr="005D583E" w:rsidRDefault="004D5F69" w:rsidP="00DC3EFA">
      <w:pPr>
        <w:keepNext/>
        <w:tabs>
          <w:tab w:val="left" w:pos="3272"/>
          <w:tab w:val="left" w:pos="3345"/>
        </w:tabs>
        <w:spacing w:line="260" w:lineRule="exact"/>
        <w:ind w:left="2268"/>
        <w:jc w:val="both"/>
      </w:pPr>
      <w:r w:rsidRPr="005D583E">
        <w:t>E</w:t>
      </w:r>
      <w:r w:rsidR="00B92CF3" w:rsidRPr="005D583E">
        <w:t>-</w:t>
      </w:r>
      <w:r w:rsidRPr="005D583E">
        <w:t>mail:</w:t>
      </w:r>
      <w:r w:rsidR="008C348D" w:rsidRPr="005D583E">
        <w:tab/>
      </w:r>
      <w:r w:rsidR="00446B66" w:rsidRPr="005D583E">
        <w:rPr>
          <w:rStyle w:val="Hyperlink"/>
          <w:color w:val="auto"/>
        </w:rPr>
        <w:t>info</w:t>
      </w:r>
      <w:r w:rsidR="00955F20" w:rsidRPr="005D583E">
        <w:rPr>
          <w:rStyle w:val="Hyperlink"/>
          <w:color w:val="auto"/>
        </w:rPr>
        <w:t>@</w:t>
      </w:r>
      <w:r w:rsidR="00446B66" w:rsidRPr="005D583E">
        <w:rPr>
          <w:rStyle w:val="Hyperlink"/>
          <w:color w:val="auto"/>
        </w:rPr>
        <w:t>sakpatenti.org</w:t>
      </w:r>
      <w:r w:rsidR="00955F20" w:rsidRPr="005D583E">
        <w:rPr>
          <w:rStyle w:val="Hyperlink"/>
          <w:color w:val="auto"/>
        </w:rPr>
        <w:t>.</w:t>
      </w:r>
      <w:r w:rsidR="00446B66" w:rsidRPr="005D583E">
        <w:rPr>
          <w:rStyle w:val="Hyperlink"/>
          <w:color w:val="auto"/>
        </w:rPr>
        <w:t>ge</w:t>
      </w:r>
    </w:p>
    <w:p w14:paraId="40BB288A" w14:textId="7D7141C7" w:rsidR="004D5F69" w:rsidRPr="00446B66" w:rsidRDefault="004D5F69" w:rsidP="008C348D">
      <w:pPr>
        <w:keepNext/>
        <w:tabs>
          <w:tab w:val="left" w:pos="3272"/>
          <w:tab w:val="left" w:pos="3345"/>
        </w:tabs>
        <w:spacing w:line="260" w:lineRule="exact"/>
        <w:ind w:left="2268"/>
        <w:jc w:val="both"/>
        <w:rPr>
          <w:rFonts w:eastAsia="Times New Roman" w:cs="Times New Roman"/>
          <w:szCs w:val="22"/>
        </w:rPr>
      </w:pPr>
      <w:r w:rsidRPr="005D583E">
        <w:t>Website:</w:t>
      </w:r>
      <w:r w:rsidR="008C348D" w:rsidRPr="005D583E">
        <w:tab/>
      </w:r>
      <w:hyperlink r:id="rId9" w:history="1">
        <w:r w:rsidR="00446B66" w:rsidRPr="005D583E">
          <w:rPr>
            <w:rStyle w:val="Hyperlink"/>
            <w:color w:val="auto"/>
          </w:rPr>
          <w:t>https://www.sakpatenti.gov.ge</w:t>
        </w:r>
      </w:hyperlink>
    </w:p>
    <w:p w14:paraId="670F155D" w14:textId="77777777" w:rsidR="004D5F69" w:rsidRPr="00446B66" w:rsidRDefault="004D5F69" w:rsidP="004D5F69">
      <w:pPr>
        <w:keepNext/>
        <w:tabs>
          <w:tab w:val="left" w:pos="2268"/>
        </w:tabs>
        <w:spacing w:line="260" w:lineRule="exact"/>
        <w:ind w:left="2268"/>
        <w:jc w:val="both"/>
        <w:rPr>
          <w:rFonts w:eastAsia="Times New Roman" w:cs="Times New Roman"/>
          <w:szCs w:val="22"/>
          <w:lang w:eastAsia="en-US"/>
        </w:rPr>
      </w:pPr>
    </w:p>
    <w:p w14:paraId="48B38BD1" w14:textId="5948CD59" w:rsidR="004D5F69" w:rsidRDefault="004D5F69" w:rsidP="004D5F69">
      <w:pPr>
        <w:pStyle w:val="ONUMFS"/>
        <w:numPr>
          <w:ilvl w:val="0"/>
          <w:numId w:val="5"/>
        </w:numPr>
      </w:pPr>
      <w:r>
        <w:t>Pursuant to Rule 4(3) of the Common Regulations, the Competent Authority referred to in paragraph</w:t>
      </w:r>
      <w:r w:rsidR="008C348D">
        <w:t> </w:t>
      </w:r>
      <w:r w:rsidR="00DC3EFA">
        <w:t>2</w:t>
      </w:r>
      <w:r>
        <w:t xml:space="preserve"> will make available information on the applicable procedures in its territory to challenge and enforce rights in appellations of origin and geographical indications.  This information will be published at:</w:t>
      </w:r>
      <w:r w:rsidR="00580D8B">
        <w:t xml:space="preserve"> </w:t>
      </w:r>
      <w:r>
        <w:t xml:space="preserve"> </w:t>
      </w:r>
      <w:hyperlink r:id="rId10" w:history="1">
        <w:r>
          <w:rPr>
            <w:rStyle w:val="Hyperlink"/>
            <w:color w:val="auto"/>
          </w:rPr>
          <w:t>https://www.wipo.int/lisbon/en/applicable_procedures.html</w:t>
        </w:r>
      </w:hyperlink>
      <w:r>
        <w:t>.</w:t>
      </w:r>
    </w:p>
    <w:p w14:paraId="2B07B482" w14:textId="7E07B077" w:rsidR="004D5F69" w:rsidRDefault="004D5F69" w:rsidP="00F20066">
      <w:pPr>
        <w:pStyle w:val="ONUMFS"/>
        <w:numPr>
          <w:ilvl w:val="0"/>
          <w:numId w:val="5"/>
        </w:numPr>
        <w:spacing w:after="720"/>
      </w:pPr>
      <w:r>
        <w:t>The Geneva Act</w:t>
      </w:r>
      <w:r w:rsidR="008C348D">
        <w:t xml:space="preserve"> will</w:t>
      </w:r>
      <w:r>
        <w:t xml:space="preserve"> enter into force for </w:t>
      </w:r>
      <w:r w:rsidR="00446B66">
        <w:t>Georgia</w:t>
      </w:r>
      <w:r>
        <w:t xml:space="preserve"> on </w:t>
      </w:r>
      <w:r w:rsidR="00DC3EFA">
        <w:t>October</w:t>
      </w:r>
      <w:r w:rsidR="001A5917">
        <w:t> </w:t>
      </w:r>
      <w:r w:rsidR="00DC3EFA">
        <w:t>1</w:t>
      </w:r>
      <w:r w:rsidR="00446B66">
        <w:t>4</w:t>
      </w:r>
      <w:r>
        <w:t>,</w:t>
      </w:r>
      <w:r w:rsidR="001A5917">
        <w:t> </w:t>
      </w:r>
      <w:r>
        <w:t>202</w:t>
      </w:r>
      <w:r w:rsidR="00446B66">
        <w:t>5</w:t>
      </w:r>
      <w:r>
        <w:t>.</w:t>
      </w:r>
    </w:p>
    <w:p w14:paraId="61A4A210" w14:textId="0E2A50D0" w:rsidR="004D5F69" w:rsidRPr="00774130" w:rsidRDefault="006068E2" w:rsidP="004D5F69">
      <w:pPr>
        <w:pStyle w:val="Endofdocument-Annex"/>
        <w:spacing w:before="0"/>
      </w:pPr>
      <w:r>
        <w:t xml:space="preserve">August </w:t>
      </w:r>
      <w:r w:rsidR="005D583E">
        <w:t>11</w:t>
      </w:r>
      <w:r w:rsidR="004D5F69">
        <w:t>, 202</w:t>
      </w:r>
      <w:r w:rsidR="00446B66">
        <w:t>5</w:t>
      </w:r>
    </w:p>
    <w:sectPr w:rsidR="004D5F69" w:rsidRPr="00774130" w:rsidSect="00A46727">
      <w:headerReference w:type="even" r:id="rId11"/>
      <w:headerReference w:type="default" r:id="rId12"/>
      <w:footerReference w:type="even" r:id="rId13"/>
      <w:footerReference w:type="default" r:id="rId14"/>
      <w:headerReference w:type="first" r:id="rId15"/>
      <w:footerReference w:type="first" r:id="rId16"/>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864C" w14:textId="77777777" w:rsidR="009F3DB6" w:rsidRDefault="009F3DB6">
      <w:r>
        <w:separator/>
      </w:r>
    </w:p>
  </w:endnote>
  <w:endnote w:type="continuationSeparator" w:id="0">
    <w:p w14:paraId="7038BB22" w14:textId="77777777" w:rsidR="009F3DB6" w:rsidRDefault="009F3DB6">
      <w:r>
        <w:separator/>
      </w:r>
    </w:p>
    <w:p w14:paraId="4B6FFEA3" w14:textId="77777777" w:rsidR="009F3DB6" w:rsidRPr="0013458A" w:rsidRDefault="009F3DB6">
      <w:pPr>
        <w:pStyle w:val="Footer"/>
        <w:spacing w:after="60"/>
        <w:rPr>
          <w:sz w:val="17"/>
        </w:rPr>
      </w:pPr>
      <w:r w:rsidRPr="0013458A">
        <w:rPr>
          <w:sz w:val="17"/>
        </w:rPr>
        <w:t>[Endnote continued from previous page]</w:t>
      </w:r>
    </w:p>
  </w:endnote>
  <w:endnote w:type="continuationNotice" w:id="1">
    <w:p w14:paraId="6C951860" w14:textId="77777777" w:rsidR="009F3DB6" w:rsidRPr="0013458A" w:rsidRDefault="009F3DB6">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36D8" w14:textId="77777777" w:rsidR="009F3DB6" w:rsidRDefault="009F3DB6">
      <w:r>
        <w:separator/>
      </w:r>
    </w:p>
  </w:footnote>
  <w:footnote w:type="continuationSeparator" w:id="0">
    <w:p w14:paraId="34244F8E" w14:textId="77777777" w:rsidR="009F3DB6" w:rsidRDefault="009F3DB6">
      <w:r>
        <w:separator/>
      </w:r>
    </w:p>
    <w:p w14:paraId="700CC5BD" w14:textId="77777777" w:rsidR="009F3DB6" w:rsidRPr="0013458A" w:rsidRDefault="009F3DB6">
      <w:pPr>
        <w:pStyle w:val="Footer"/>
        <w:spacing w:after="60"/>
        <w:rPr>
          <w:sz w:val="17"/>
        </w:rPr>
      </w:pPr>
      <w:r w:rsidRPr="0013458A">
        <w:rPr>
          <w:sz w:val="17"/>
        </w:rPr>
        <w:t>[Footnote continued from previous page]</w:t>
      </w:r>
    </w:p>
  </w:footnote>
  <w:footnote w:type="continuationNotice" w:id="1">
    <w:p w14:paraId="7925BD08" w14:textId="77777777" w:rsidR="009F3DB6" w:rsidRPr="0013458A" w:rsidRDefault="009F3DB6">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6D53" w14:textId="77777777" w:rsidR="000D3864" w:rsidRDefault="005D566A" w:rsidP="005D566A">
    <w:pPr>
      <w:jc w:val="right"/>
      <w:rPr>
        <w:color w:val="000000"/>
        <w:sz w:val="17"/>
      </w:rPr>
    </w:pPr>
    <w:bookmarkStart w:id="0" w:name="TITUS1HeaderEvenPages"/>
    <w:r>
      <w:rPr>
        <w:color w:val="000000"/>
        <w:sz w:val="17"/>
      </w:rPr>
      <w:t xml:space="preserve">  </w:t>
    </w:r>
  </w:p>
  <w:bookmarkEnd w:id="0"/>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2554"/>
    <w:rsid w:val="00015C4C"/>
    <w:rsid w:val="00022440"/>
    <w:rsid w:val="00023E8B"/>
    <w:rsid w:val="00025FF6"/>
    <w:rsid w:val="00034CAA"/>
    <w:rsid w:val="00040425"/>
    <w:rsid w:val="00042BD2"/>
    <w:rsid w:val="000440D2"/>
    <w:rsid w:val="00082378"/>
    <w:rsid w:val="0009556E"/>
    <w:rsid w:val="000A1B1A"/>
    <w:rsid w:val="000A5742"/>
    <w:rsid w:val="000B6D65"/>
    <w:rsid w:val="000C774D"/>
    <w:rsid w:val="000D3864"/>
    <w:rsid w:val="000D7AA9"/>
    <w:rsid w:val="000E072A"/>
    <w:rsid w:val="000E388C"/>
    <w:rsid w:val="000F52A8"/>
    <w:rsid w:val="0010608E"/>
    <w:rsid w:val="00106BAE"/>
    <w:rsid w:val="0013425C"/>
    <w:rsid w:val="0013458A"/>
    <w:rsid w:val="00150CF6"/>
    <w:rsid w:val="00154EA5"/>
    <w:rsid w:val="001600E5"/>
    <w:rsid w:val="00163DEC"/>
    <w:rsid w:val="00191E44"/>
    <w:rsid w:val="001920D6"/>
    <w:rsid w:val="00197C7C"/>
    <w:rsid w:val="001A2E00"/>
    <w:rsid w:val="001A5917"/>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542C1"/>
    <w:rsid w:val="00261D19"/>
    <w:rsid w:val="00264E42"/>
    <w:rsid w:val="002705C5"/>
    <w:rsid w:val="00275EA3"/>
    <w:rsid w:val="00291C02"/>
    <w:rsid w:val="0029704F"/>
    <w:rsid w:val="002A012E"/>
    <w:rsid w:val="002A234F"/>
    <w:rsid w:val="002A5F6A"/>
    <w:rsid w:val="002C69D9"/>
    <w:rsid w:val="002D0455"/>
    <w:rsid w:val="002E1745"/>
    <w:rsid w:val="002E48C8"/>
    <w:rsid w:val="002E5E82"/>
    <w:rsid w:val="002F3C22"/>
    <w:rsid w:val="00305A8F"/>
    <w:rsid w:val="00307FB5"/>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3A2B"/>
    <w:rsid w:val="003A4806"/>
    <w:rsid w:val="003A4DB2"/>
    <w:rsid w:val="003B2C0D"/>
    <w:rsid w:val="003B4808"/>
    <w:rsid w:val="003C4B01"/>
    <w:rsid w:val="003C75F2"/>
    <w:rsid w:val="003D0289"/>
    <w:rsid w:val="003D13C7"/>
    <w:rsid w:val="003D341E"/>
    <w:rsid w:val="003E0A73"/>
    <w:rsid w:val="003E0E45"/>
    <w:rsid w:val="003E4FB2"/>
    <w:rsid w:val="003F2264"/>
    <w:rsid w:val="003F2BCD"/>
    <w:rsid w:val="003F4553"/>
    <w:rsid w:val="003F5DF9"/>
    <w:rsid w:val="003F73CD"/>
    <w:rsid w:val="0040765D"/>
    <w:rsid w:val="00413060"/>
    <w:rsid w:val="00424BEF"/>
    <w:rsid w:val="00436D9C"/>
    <w:rsid w:val="0044137A"/>
    <w:rsid w:val="00444D9B"/>
    <w:rsid w:val="00446B66"/>
    <w:rsid w:val="00455C9D"/>
    <w:rsid w:val="00457669"/>
    <w:rsid w:val="004760B4"/>
    <w:rsid w:val="00476D8E"/>
    <w:rsid w:val="00481003"/>
    <w:rsid w:val="00487125"/>
    <w:rsid w:val="004A08AC"/>
    <w:rsid w:val="004D040D"/>
    <w:rsid w:val="004D2AFC"/>
    <w:rsid w:val="004D38FC"/>
    <w:rsid w:val="004D5F69"/>
    <w:rsid w:val="004E4DCD"/>
    <w:rsid w:val="004F2CB7"/>
    <w:rsid w:val="004F4110"/>
    <w:rsid w:val="004F4DF5"/>
    <w:rsid w:val="004F5DAB"/>
    <w:rsid w:val="005029BB"/>
    <w:rsid w:val="00504F59"/>
    <w:rsid w:val="005104F1"/>
    <w:rsid w:val="00517500"/>
    <w:rsid w:val="00523627"/>
    <w:rsid w:val="00531395"/>
    <w:rsid w:val="005559AD"/>
    <w:rsid w:val="005712E6"/>
    <w:rsid w:val="00580D8B"/>
    <w:rsid w:val="00594394"/>
    <w:rsid w:val="005A72F5"/>
    <w:rsid w:val="005A739A"/>
    <w:rsid w:val="005B3167"/>
    <w:rsid w:val="005B4881"/>
    <w:rsid w:val="005B5CBA"/>
    <w:rsid w:val="005C050E"/>
    <w:rsid w:val="005C2889"/>
    <w:rsid w:val="005C6E31"/>
    <w:rsid w:val="005D059F"/>
    <w:rsid w:val="005D566A"/>
    <w:rsid w:val="005D583E"/>
    <w:rsid w:val="005D5883"/>
    <w:rsid w:val="005E0C9B"/>
    <w:rsid w:val="005E5821"/>
    <w:rsid w:val="005E647E"/>
    <w:rsid w:val="005E756D"/>
    <w:rsid w:val="005F51D6"/>
    <w:rsid w:val="00602E39"/>
    <w:rsid w:val="006068E2"/>
    <w:rsid w:val="00606B9A"/>
    <w:rsid w:val="00613976"/>
    <w:rsid w:val="006210A3"/>
    <w:rsid w:val="00641EDA"/>
    <w:rsid w:val="00644CFD"/>
    <w:rsid w:val="00646A36"/>
    <w:rsid w:val="00663C08"/>
    <w:rsid w:val="00665CEB"/>
    <w:rsid w:val="006667AC"/>
    <w:rsid w:val="00671957"/>
    <w:rsid w:val="00677183"/>
    <w:rsid w:val="006776ED"/>
    <w:rsid w:val="00683DEF"/>
    <w:rsid w:val="00692810"/>
    <w:rsid w:val="0069384C"/>
    <w:rsid w:val="00694945"/>
    <w:rsid w:val="006A731A"/>
    <w:rsid w:val="006B10E1"/>
    <w:rsid w:val="006B1C22"/>
    <w:rsid w:val="006C2BE9"/>
    <w:rsid w:val="006C59EF"/>
    <w:rsid w:val="006D0A46"/>
    <w:rsid w:val="006D384F"/>
    <w:rsid w:val="006D7C44"/>
    <w:rsid w:val="006E1406"/>
    <w:rsid w:val="006E191A"/>
    <w:rsid w:val="006E734B"/>
    <w:rsid w:val="00702198"/>
    <w:rsid w:val="00702FCB"/>
    <w:rsid w:val="007161AF"/>
    <w:rsid w:val="0072286E"/>
    <w:rsid w:val="0072508E"/>
    <w:rsid w:val="00730F6A"/>
    <w:rsid w:val="007650B4"/>
    <w:rsid w:val="00765841"/>
    <w:rsid w:val="00774130"/>
    <w:rsid w:val="00774F74"/>
    <w:rsid w:val="007921E8"/>
    <w:rsid w:val="007A7234"/>
    <w:rsid w:val="007C0638"/>
    <w:rsid w:val="007D3C4E"/>
    <w:rsid w:val="007D47E6"/>
    <w:rsid w:val="007D5792"/>
    <w:rsid w:val="007D6437"/>
    <w:rsid w:val="007F0A7A"/>
    <w:rsid w:val="007F5046"/>
    <w:rsid w:val="00800A9B"/>
    <w:rsid w:val="008116BA"/>
    <w:rsid w:val="00824E6E"/>
    <w:rsid w:val="00831A26"/>
    <w:rsid w:val="008335E2"/>
    <w:rsid w:val="0083486C"/>
    <w:rsid w:val="00835EE3"/>
    <w:rsid w:val="00842AB1"/>
    <w:rsid w:val="0084410A"/>
    <w:rsid w:val="0085328B"/>
    <w:rsid w:val="00856B5E"/>
    <w:rsid w:val="0086291A"/>
    <w:rsid w:val="00871A37"/>
    <w:rsid w:val="00883C46"/>
    <w:rsid w:val="00885998"/>
    <w:rsid w:val="00886D3A"/>
    <w:rsid w:val="00887990"/>
    <w:rsid w:val="00891F02"/>
    <w:rsid w:val="00893B56"/>
    <w:rsid w:val="008A42FA"/>
    <w:rsid w:val="008C2F64"/>
    <w:rsid w:val="008C348D"/>
    <w:rsid w:val="008D6245"/>
    <w:rsid w:val="008E183B"/>
    <w:rsid w:val="008F33F5"/>
    <w:rsid w:val="008F55E4"/>
    <w:rsid w:val="009046C6"/>
    <w:rsid w:val="00905506"/>
    <w:rsid w:val="009125DD"/>
    <w:rsid w:val="00913811"/>
    <w:rsid w:val="00914C51"/>
    <w:rsid w:val="00915416"/>
    <w:rsid w:val="00916252"/>
    <w:rsid w:val="00922A50"/>
    <w:rsid w:val="00924E31"/>
    <w:rsid w:val="009337CE"/>
    <w:rsid w:val="00935E28"/>
    <w:rsid w:val="00946E4A"/>
    <w:rsid w:val="00953EDB"/>
    <w:rsid w:val="00955F20"/>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9F3DB6"/>
    <w:rsid w:val="00A0608E"/>
    <w:rsid w:val="00A115F6"/>
    <w:rsid w:val="00A13465"/>
    <w:rsid w:val="00A200E5"/>
    <w:rsid w:val="00A441DB"/>
    <w:rsid w:val="00A46727"/>
    <w:rsid w:val="00A5573D"/>
    <w:rsid w:val="00A6014D"/>
    <w:rsid w:val="00A61211"/>
    <w:rsid w:val="00A6201C"/>
    <w:rsid w:val="00A63F09"/>
    <w:rsid w:val="00A72B6D"/>
    <w:rsid w:val="00A746A0"/>
    <w:rsid w:val="00A82614"/>
    <w:rsid w:val="00AA2183"/>
    <w:rsid w:val="00AA3BD1"/>
    <w:rsid w:val="00AB4112"/>
    <w:rsid w:val="00AC68C3"/>
    <w:rsid w:val="00AC6D89"/>
    <w:rsid w:val="00AC7616"/>
    <w:rsid w:val="00AD03FA"/>
    <w:rsid w:val="00AD34E9"/>
    <w:rsid w:val="00AD464A"/>
    <w:rsid w:val="00AF5261"/>
    <w:rsid w:val="00B00F73"/>
    <w:rsid w:val="00B02F2E"/>
    <w:rsid w:val="00B05311"/>
    <w:rsid w:val="00B06A0C"/>
    <w:rsid w:val="00B14807"/>
    <w:rsid w:val="00B246BF"/>
    <w:rsid w:val="00B25CDF"/>
    <w:rsid w:val="00B31A3B"/>
    <w:rsid w:val="00B702C1"/>
    <w:rsid w:val="00B806F9"/>
    <w:rsid w:val="00B833E5"/>
    <w:rsid w:val="00B85527"/>
    <w:rsid w:val="00B902E6"/>
    <w:rsid w:val="00B9042E"/>
    <w:rsid w:val="00B92CF3"/>
    <w:rsid w:val="00B94745"/>
    <w:rsid w:val="00BA0C38"/>
    <w:rsid w:val="00BB1EDC"/>
    <w:rsid w:val="00BB68A2"/>
    <w:rsid w:val="00BB750D"/>
    <w:rsid w:val="00BC34F6"/>
    <w:rsid w:val="00BC544A"/>
    <w:rsid w:val="00BD13C2"/>
    <w:rsid w:val="00BD1AE0"/>
    <w:rsid w:val="00BE7D73"/>
    <w:rsid w:val="00BF5D1B"/>
    <w:rsid w:val="00BF6D60"/>
    <w:rsid w:val="00BF7D2A"/>
    <w:rsid w:val="00C259B3"/>
    <w:rsid w:val="00C365DD"/>
    <w:rsid w:val="00C37291"/>
    <w:rsid w:val="00C5396E"/>
    <w:rsid w:val="00C61213"/>
    <w:rsid w:val="00C7431C"/>
    <w:rsid w:val="00C74AC2"/>
    <w:rsid w:val="00C82B25"/>
    <w:rsid w:val="00CA3902"/>
    <w:rsid w:val="00CC479A"/>
    <w:rsid w:val="00CD3C70"/>
    <w:rsid w:val="00CE4F7F"/>
    <w:rsid w:val="00D056D7"/>
    <w:rsid w:val="00D06BE2"/>
    <w:rsid w:val="00D07D28"/>
    <w:rsid w:val="00D12430"/>
    <w:rsid w:val="00D20713"/>
    <w:rsid w:val="00D21A15"/>
    <w:rsid w:val="00D32691"/>
    <w:rsid w:val="00D479D5"/>
    <w:rsid w:val="00D55F36"/>
    <w:rsid w:val="00D61292"/>
    <w:rsid w:val="00D61452"/>
    <w:rsid w:val="00D90A68"/>
    <w:rsid w:val="00D91EF7"/>
    <w:rsid w:val="00D961DD"/>
    <w:rsid w:val="00DB0343"/>
    <w:rsid w:val="00DC32F2"/>
    <w:rsid w:val="00DC3EFA"/>
    <w:rsid w:val="00DC5733"/>
    <w:rsid w:val="00DE5C8D"/>
    <w:rsid w:val="00DF1EAC"/>
    <w:rsid w:val="00E02493"/>
    <w:rsid w:val="00E02550"/>
    <w:rsid w:val="00E11C88"/>
    <w:rsid w:val="00E17151"/>
    <w:rsid w:val="00E17632"/>
    <w:rsid w:val="00E225F4"/>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066"/>
    <w:rsid w:val="00F2087A"/>
    <w:rsid w:val="00F21904"/>
    <w:rsid w:val="00F21C00"/>
    <w:rsid w:val="00F25ED6"/>
    <w:rsid w:val="00F275C6"/>
    <w:rsid w:val="00F322C9"/>
    <w:rsid w:val="00F401EA"/>
    <w:rsid w:val="00F50CFF"/>
    <w:rsid w:val="00F534D4"/>
    <w:rsid w:val="00F56432"/>
    <w:rsid w:val="00F648DE"/>
    <w:rsid w:val="00F76C94"/>
    <w:rsid w:val="00F770E2"/>
    <w:rsid w:val="00F91FE2"/>
    <w:rsid w:val="00FA0C4F"/>
    <w:rsid w:val="00FA272A"/>
    <w:rsid w:val="00FB46BF"/>
    <w:rsid w:val="00FB4F2F"/>
    <w:rsid w:val="00FB6740"/>
    <w:rsid w:val="00FD2304"/>
    <w:rsid w:val="00FD67F9"/>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5D059F"/>
    <w:pPr>
      <w:keepNext/>
      <w:tabs>
        <w:tab w:val="left" w:pos="8056"/>
      </w:tabs>
      <w:spacing w:before="240" w:after="48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lisbon/en/applicable_procedures.html" TargetMode="External"/><Relationship Id="rId4" Type="http://schemas.openxmlformats.org/officeDocument/2006/relationships/settings" Target="settings.xml"/><Relationship Id="rId9" Type="http://schemas.openxmlformats.org/officeDocument/2006/relationships/hyperlink" Target="https://www.sakpatenti.gov.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1674</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MAILLARD Amber</cp:lastModifiedBy>
  <cp:revision>3</cp:revision>
  <cp:lastPrinted>2024-04-22T12:56:00Z</cp:lastPrinted>
  <dcterms:created xsi:type="dcterms:W3CDTF">2025-08-11T12:07:00Z</dcterms:created>
  <dcterms:modified xsi:type="dcterms:W3CDTF">2025-08-11T12:08:00Z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