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14:paraId="7D3BEF3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DD9AF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FC5DB" w14:textId="77777777"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1187838D" wp14:editId="16CE68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A65C9F" w14:textId="77777777" w:rsidR="00EC4E49" w:rsidRPr="00F73DCF" w:rsidRDefault="00EC4E49" w:rsidP="00916EE2">
            <w:pPr>
              <w:jc w:val="right"/>
            </w:pPr>
          </w:p>
        </w:tc>
      </w:tr>
      <w:tr w:rsidR="008B2CC1" w:rsidRPr="00F73DCF" w14:paraId="55233AA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5403D0" w14:textId="77777777"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14:paraId="5558E0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38EB8EB" w14:textId="766C1E97"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D30043">
              <w:rPr>
                <w:rFonts w:ascii="Arial Black" w:hAnsi="Arial Black"/>
                <w:caps/>
                <w:sz w:val="15"/>
                <w:lang w:val="fr-CH"/>
              </w:rPr>
              <w:t>5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562538">
              <w:rPr>
                <w:rFonts w:ascii="Arial Black" w:hAnsi="Arial Black"/>
                <w:caps/>
                <w:sz w:val="15"/>
                <w:lang w:val="fr-CH"/>
              </w:rPr>
              <w:t>6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4DA73D6B" w14:textId="77777777"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14:paraId="23EC2111" w14:textId="6AF71815"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 xml:space="preserve">: </w:t>
      </w:r>
      <w:r w:rsidR="004F2BA5">
        <w:rPr>
          <w:b/>
          <w:bCs/>
          <w:sz w:val="24"/>
          <w:szCs w:val="24"/>
          <w:lang w:val="fr-FR"/>
        </w:rPr>
        <w:t>République de Corée</w:t>
      </w:r>
    </w:p>
    <w:p w14:paraId="34BD51EF" w14:textId="5E49558F" w:rsidR="0065608D" w:rsidRPr="00F73DCF" w:rsidRDefault="0065608D" w:rsidP="004F2BA5">
      <w:pPr>
        <w:pStyle w:val="ONUMFS"/>
        <w:spacing w:after="240"/>
        <w:rPr>
          <w:lang w:val="fr-FR"/>
        </w:rPr>
      </w:pPr>
      <w:r w:rsidRPr="00F73DCF">
        <w:rPr>
          <w:lang w:val="fr-FR"/>
        </w:rPr>
        <w:t xml:space="preserve">Conformément à la règle 28.2)d) du </w:t>
      </w:r>
      <w:r w:rsidR="00111C42">
        <w:rPr>
          <w:lang w:val="fr-FR"/>
        </w:rPr>
        <w:t>R</w:t>
      </w:r>
      <w:r w:rsidRPr="00F73DCF">
        <w:rPr>
          <w:lang w:val="fr-FR"/>
        </w:rPr>
        <w:t xml:space="preserve">èglement d’exécution à l’Acte de </w:t>
      </w:r>
      <w:r w:rsidR="00F605C3">
        <w:rPr>
          <w:lang w:val="fr-FR"/>
        </w:rPr>
        <w:t>Genève (</w:t>
      </w:r>
      <w:r w:rsidRPr="00F73DCF">
        <w:rPr>
          <w:lang w:val="fr-FR"/>
        </w:rPr>
        <w:t>1999</w:t>
      </w:r>
      <w:r w:rsidR="00F605C3">
        <w:rPr>
          <w:lang w:val="fr-FR"/>
        </w:rPr>
        <w:t>)</w:t>
      </w:r>
      <w:r w:rsidRPr="00F73DCF">
        <w:rPr>
          <w:lang w:val="fr-FR"/>
        </w:rPr>
        <w:t xml:space="preserve"> de l’Arrangement de La Haye, le Directeur général de l’Organisation Mondiale de </w:t>
      </w:r>
      <w:r w:rsidR="00E85398">
        <w:rPr>
          <w:lang w:val="fr-FR"/>
        </w:rPr>
        <w:t>la</w:t>
      </w:r>
      <w:r w:rsidR="00BC2DBD">
        <w:rPr>
          <w:lang w:val="fr-FR"/>
        </w:rPr>
        <w:t> 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</w:t>
      </w:r>
      <w:r w:rsidR="00E051E0">
        <w:rPr>
          <w:rStyle w:val="EndnoteReference"/>
          <w:lang w:val="fr-FR"/>
        </w:rPr>
        <w:endnoteReference w:id="2"/>
      </w:r>
      <w:r w:rsidRPr="00F73DCF">
        <w:rPr>
          <w:lang w:val="fr-FR"/>
        </w:rPr>
        <w:t xml:space="preserve"> 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 xml:space="preserve">ée à l'égard de la désignation </w:t>
      </w:r>
      <w:r w:rsidR="001E0B83">
        <w:rPr>
          <w:lang w:val="fr-FR"/>
        </w:rPr>
        <w:t>de la République de</w:t>
      </w:r>
      <w:r w:rsidR="00BC2DBD">
        <w:rPr>
          <w:lang w:val="fr-FR"/>
        </w:rPr>
        <w:t> </w:t>
      </w:r>
      <w:r w:rsidR="001E0B83">
        <w:rPr>
          <w:lang w:val="fr-FR"/>
        </w:rPr>
        <w:t>Corée</w:t>
      </w:r>
      <w:r w:rsidRPr="00F73DCF">
        <w:rPr>
          <w:lang w:val="fr-FR"/>
        </w:rPr>
        <w:t xml:space="preserve"> dans une demande internationale, ainsi que pour le renouvellement d’un enregistrement international désignant </w:t>
      </w:r>
      <w:r w:rsidR="004F2BA5">
        <w:rPr>
          <w:lang w:val="fr-FR"/>
        </w:rPr>
        <w:t>la République de Corée</w:t>
      </w:r>
      <w:r w:rsidRPr="00F73DCF">
        <w:rPr>
          <w:lang w:val="fr-FR"/>
        </w:rPr>
        <w:t> :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600"/>
        <w:gridCol w:w="1890"/>
        <w:gridCol w:w="2160"/>
      </w:tblGrid>
      <w:tr w:rsidR="004F2BA5" w:rsidRPr="00DE67CD" w14:paraId="1CAAF63E" w14:textId="77777777" w:rsidTr="00DC1130">
        <w:trPr>
          <w:trHeight w:val="736"/>
        </w:trPr>
        <w:tc>
          <w:tcPr>
            <w:tcW w:w="5755" w:type="dxa"/>
            <w:gridSpan w:val="2"/>
            <w:vAlign w:val="center"/>
          </w:tcPr>
          <w:p w14:paraId="1A1B076C" w14:textId="77777777" w:rsidR="004F2BA5" w:rsidRPr="006D0A89" w:rsidRDefault="004F2BA5" w:rsidP="00AF6E31">
            <w:pPr>
              <w:jc w:val="center"/>
              <w:rPr>
                <w:b/>
              </w:rPr>
            </w:pPr>
            <w:r>
              <w:rPr>
                <w:b/>
              </w:rPr>
              <w:t xml:space="preserve">Taxe de </w:t>
            </w:r>
            <w:proofErr w:type="spellStart"/>
            <w:r>
              <w:rPr>
                <w:b/>
              </w:rPr>
              <w:t>désignation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individuelle</w:t>
            </w:r>
            <w:proofErr w:type="spellEnd"/>
          </w:p>
        </w:tc>
        <w:tc>
          <w:tcPr>
            <w:tcW w:w="1890" w:type="dxa"/>
            <w:vAlign w:val="center"/>
          </w:tcPr>
          <w:p w14:paraId="19F88ADC" w14:textId="77777777" w:rsidR="004F2BA5" w:rsidRPr="003C4E4C" w:rsidRDefault="004F2BA5" w:rsidP="00AF6E31">
            <w:pPr>
              <w:ind w:left="-104" w:right="-10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Montants 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EF3DE7B" w14:textId="77777777" w:rsidR="004F2BA5" w:rsidRPr="003C4E4C" w:rsidRDefault="004F2BA5" w:rsidP="00AF6E31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2F2B3B" w:rsidRPr="00193442" w14:paraId="4242A908" w14:textId="77777777" w:rsidTr="006B5479">
        <w:trPr>
          <w:trHeight w:val="377"/>
        </w:trPr>
        <w:tc>
          <w:tcPr>
            <w:tcW w:w="2155" w:type="dxa"/>
            <w:vAlign w:val="center"/>
          </w:tcPr>
          <w:p w14:paraId="65B56F2E" w14:textId="77777777" w:rsidR="002F2B3B" w:rsidRPr="006D0A89" w:rsidRDefault="002F2B3B" w:rsidP="002F2B3B">
            <w:proofErr w:type="spellStart"/>
            <w:r>
              <w:t>Demande</w:t>
            </w:r>
            <w:proofErr w:type="spellEnd"/>
            <w:r>
              <w:t xml:space="preserve"> </w:t>
            </w:r>
            <w:proofErr w:type="spellStart"/>
            <w:r>
              <w:t>internationale</w:t>
            </w:r>
            <w:proofErr w:type="spellEnd"/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7C771C90" w14:textId="57DCB57E" w:rsidR="002F2B3B" w:rsidRPr="00901BC2" w:rsidRDefault="002F2B3B" w:rsidP="002F2B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proofErr w:type="gramStart"/>
            <w:r w:rsidRPr="00901BC2">
              <w:rPr>
                <w:lang w:val="fr-CH"/>
              </w:rPr>
              <w:t>pour</w:t>
            </w:r>
            <w:proofErr w:type="gramEnd"/>
            <w:r w:rsidRPr="00901BC2">
              <w:rPr>
                <w:lang w:val="fr-CH"/>
              </w:rPr>
              <w:t xml:space="preserve"> chaque dessin ou modèle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008FACE3" w14:textId="72B36722" w:rsidR="002F2B3B" w:rsidRPr="003C4E4C" w:rsidRDefault="002F2B3B" w:rsidP="002F2B3B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>
              <w:rPr>
                <w:rFonts w:eastAsia="Arial"/>
                <w:szCs w:val="22"/>
              </w:rPr>
              <w:t>143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22E83B96" w14:textId="6A53CCE0" w:rsidR="002F2B3B" w:rsidRPr="00193442" w:rsidRDefault="002F2B3B" w:rsidP="002F2B3B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rPr>
                <w:rFonts w:eastAsia="Arial"/>
                <w:szCs w:val="22"/>
              </w:rPr>
              <w:t>125</w:t>
            </w:r>
          </w:p>
        </w:tc>
      </w:tr>
      <w:tr w:rsidR="002F2B3B" w:rsidRPr="006B5479" w14:paraId="01481B4C" w14:textId="77777777" w:rsidTr="006B5479">
        <w:trPr>
          <w:trHeight w:val="377"/>
        </w:trPr>
        <w:tc>
          <w:tcPr>
            <w:tcW w:w="2155" w:type="dxa"/>
            <w:vAlign w:val="center"/>
          </w:tcPr>
          <w:p w14:paraId="2D40A06C" w14:textId="4319CA01" w:rsidR="002F2B3B" w:rsidRDefault="002F2B3B" w:rsidP="002F2B3B">
            <w:r>
              <w:t xml:space="preserve">Premier </w:t>
            </w:r>
            <w:proofErr w:type="spellStart"/>
            <w:r>
              <w:t>renouvellement</w:t>
            </w:r>
            <w:proofErr w:type="spellEnd"/>
          </w:p>
        </w:tc>
        <w:tc>
          <w:tcPr>
            <w:tcW w:w="3600" w:type="dxa"/>
            <w:tcBorders>
              <w:bottom w:val="nil"/>
            </w:tcBorders>
            <w:vAlign w:val="center"/>
          </w:tcPr>
          <w:p w14:paraId="235726FA" w14:textId="49E7B0D1" w:rsidR="002F2B3B" w:rsidRPr="00901BC2" w:rsidRDefault="002F2B3B" w:rsidP="002F2B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proofErr w:type="gramStart"/>
            <w:r w:rsidRPr="00901BC2">
              <w:rPr>
                <w:lang w:val="fr-CH"/>
              </w:rPr>
              <w:t>pour</w:t>
            </w:r>
            <w:proofErr w:type="gramEnd"/>
            <w:r w:rsidRPr="00901BC2">
              <w:rPr>
                <w:lang w:val="fr-CH"/>
              </w:rPr>
              <w:t xml:space="preserve"> chaque dessin ou modèle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617F1332" w14:textId="67887637" w:rsidR="002F2B3B" w:rsidRPr="006B5479" w:rsidRDefault="002F2B3B" w:rsidP="002F2B3B">
            <w:pPr>
              <w:spacing w:before="120" w:after="120"/>
              <w:ind w:right="705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230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63103EDA" w14:textId="2BE7A496" w:rsidR="002F2B3B" w:rsidRPr="006B5479" w:rsidRDefault="002F2B3B" w:rsidP="002F2B3B">
            <w:pPr>
              <w:spacing w:before="120" w:after="120"/>
              <w:ind w:right="796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201</w:t>
            </w:r>
          </w:p>
        </w:tc>
      </w:tr>
      <w:tr w:rsidR="002F2B3B" w:rsidRPr="006B5479" w14:paraId="0B1D694F" w14:textId="77777777" w:rsidTr="006B5479">
        <w:trPr>
          <w:trHeight w:val="377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0C2F5C" w14:textId="30B89AFD" w:rsidR="002F2B3B" w:rsidRDefault="002F2B3B" w:rsidP="002F2B3B">
            <w:r>
              <w:t xml:space="preserve">Deuxième </w:t>
            </w:r>
            <w:proofErr w:type="spellStart"/>
            <w:r>
              <w:t>renouvellement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C819B10" w14:textId="140E1746" w:rsidR="002F2B3B" w:rsidRPr="00901BC2" w:rsidRDefault="002F2B3B" w:rsidP="002F2B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proofErr w:type="gramStart"/>
            <w:r>
              <w:rPr>
                <w:lang w:val="fr-CH"/>
              </w:rPr>
              <w:t>pour</w:t>
            </w:r>
            <w:proofErr w:type="gramEnd"/>
            <w:r>
              <w:rPr>
                <w:lang w:val="fr-CH"/>
              </w:rPr>
              <w:t xml:space="preserve"> chaque dessin ou modèle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32688F5" w14:textId="792C0759" w:rsidR="002F2B3B" w:rsidRPr="006B5479" w:rsidRDefault="002F2B3B" w:rsidP="002F2B3B">
            <w:pPr>
              <w:spacing w:before="120" w:after="120"/>
              <w:ind w:right="705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544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860F82C" w14:textId="70A1E7F4" w:rsidR="002F2B3B" w:rsidRPr="006B5479" w:rsidRDefault="002F2B3B" w:rsidP="002F2B3B">
            <w:pPr>
              <w:spacing w:before="120" w:after="120"/>
              <w:ind w:right="796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475</w:t>
            </w:r>
          </w:p>
        </w:tc>
      </w:tr>
      <w:tr w:rsidR="002F2B3B" w:rsidRPr="006B5479" w14:paraId="174847E8" w14:textId="77777777" w:rsidTr="006B5479">
        <w:trPr>
          <w:trHeight w:val="377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CAE0A2" w14:textId="5526A63B" w:rsidR="002F2B3B" w:rsidRDefault="002F2B3B" w:rsidP="002F2B3B">
            <w:proofErr w:type="spellStart"/>
            <w:r>
              <w:t>Troisième</w:t>
            </w:r>
            <w:proofErr w:type="spellEnd"/>
            <w:r>
              <w:t xml:space="preserve"> </w:t>
            </w:r>
            <w:proofErr w:type="spellStart"/>
            <w:r>
              <w:t>renouvellement</w:t>
            </w:r>
            <w:proofErr w:type="spellEnd"/>
            <w:r>
              <w:t xml:space="preserve">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01185948" w14:textId="7F12D14A" w:rsidR="002F2B3B" w:rsidRDefault="002F2B3B" w:rsidP="002F2B3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260" w:right="-190" w:hanging="250"/>
              <w:rPr>
                <w:lang w:val="fr-CH"/>
              </w:rPr>
            </w:pPr>
            <w:proofErr w:type="gramStart"/>
            <w:r>
              <w:rPr>
                <w:lang w:val="fr-CH"/>
              </w:rPr>
              <w:t>pour</w:t>
            </w:r>
            <w:proofErr w:type="gramEnd"/>
            <w:r>
              <w:rPr>
                <w:lang w:val="fr-CH"/>
              </w:rPr>
              <w:t xml:space="preserve"> chaque dessin ou modèle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E25DC00" w14:textId="2922ECB3" w:rsidR="002F2B3B" w:rsidRPr="006B5479" w:rsidRDefault="002F2B3B" w:rsidP="002F2B3B">
            <w:pPr>
              <w:spacing w:before="120" w:after="120"/>
              <w:ind w:right="705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628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5B25C" w14:textId="0E4C7733" w:rsidR="002F2B3B" w:rsidRPr="006B5479" w:rsidRDefault="002F2B3B" w:rsidP="002F2B3B">
            <w:pPr>
              <w:spacing w:before="120" w:after="120"/>
              <w:ind w:right="796"/>
              <w:jc w:val="right"/>
              <w:rPr>
                <w:rFonts w:eastAsia="Arial"/>
                <w:szCs w:val="22"/>
                <w:lang w:val="fr-FR"/>
              </w:rPr>
            </w:pPr>
            <w:r>
              <w:rPr>
                <w:rFonts w:eastAsia="Arial"/>
                <w:szCs w:val="22"/>
              </w:rPr>
              <w:t>548</w:t>
            </w:r>
          </w:p>
        </w:tc>
      </w:tr>
    </w:tbl>
    <w:p w14:paraId="079F7D91" w14:textId="687C5FE8" w:rsidR="00FB3226" w:rsidRPr="00F73DCF" w:rsidRDefault="0065608D" w:rsidP="004F2BA5">
      <w:pPr>
        <w:pStyle w:val="ONUMFS"/>
        <w:spacing w:before="240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</w:t>
      </w:r>
      <w:r w:rsidR="00A44DBC">
        <w:rPr>
          <w:lang w:val="fr-FR"/>
        </w:rPr>
        <w:t>septembre</w:t>
      </w:r>
      <w:r w:rsidR="006B5479">
        <w:rPr>
          <w:lang w:val="fr-FR"/>
        </w:rPr>
        <w:t xml:space="preserve"> 202</w:t>
      </w:r>
      <w:r w:rsidR="00A44DBC">
        <w:rPr>
          <w:lang w:val="fr-FR"/>
        </w:rPr>
        <w:t>6</w:t>
      </w:r>
      <w:r w:rsidRPr="00F73DCF">
        <w:rPr>
          <w:lang w:val="fr-FR"/>
        </w:rPr>
        <w:t>.</w:t>
      </w:r>
    </w:p>
    <w:p w14:paraId="0CA0D7E7" w14:textId="0F01226D" w:rsidR="0065608D" w:rsidRDefault="0065608D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5A26D1">
        <w:rPr>
          <w:lang w:val="fr-FR"/>
        </w:rPr>
        <w:t>10</w:t>
      </w:r>
      <w:r w:rsidR="006B5479">
        <w:rPr>
          <w:lang w:val="fr-FR"/>
        </w:rPr>
        <w:t xml:space="preserve"> </w:t>
      </w:r>
      <w:r w:rsidR="000A1CDA">
        <w:rPr>
          <w:lang w:val="fr-FR"/>
        </w:rPr>
        <w:t>juillet</w:t>
      </w:r>
      <w:r w:rsidR="006B5479">
        <w:rPr>
          <w:lang w:val="fr-FR"/>
        </w:rPr>
        <w:t xml:space="preserve"> 202</w:t>
      </w:r>
      <w:r w:rsidR="000A1CDA">
        <w:rPr>
          <w:lang w:val="fr-FR"/>
        </w:rPr>
        <w:t>6</w:t>
      </w:r>
    </w:p>
    <w:p w14:paraId="13F31C35" w14:textId="708DC989" w:rsidR="00E051E0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0A797406" w14:textId="77777777" w:rsidR="00E051E0" w:rsidRPr="00FB3226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sectPr w:rsidR="00E051E0" w:rsidRPr="00FB3226" w:rsidSect="00E051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chicago"/>
      </w:endnotePr>
      <w:pgSz w:w="11907" w:h="16840" w:code="9"/>
      <w:pgMar w:top="567" w:right="1134" w:bottom="720" w:left="1170" w:header="510" w:footer="4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49797" w14:textId="77777777" w:rsidR="001D5D60" w:rsidRDefault="001D5D60">
      <w:r>
        <w:separator/>
      </w:r>
    </w:p>
  </w:endnote>
  <w:endnote w:type="continuationSeparator" w:id="0">
    <w:p w14:paraId="344B7B76" w14:textId="77777777" w:rsidR="001D5D60" w:rsidRDefault="001D5D60" w:rsidP="003B38C1">
      <w:r>
        <w:separator/>
      </w:r>
    </w:p>
    <w:p w14:paraId="4ECC1D1B" w14:textId="77777777" w:rsidR="001D5D60" w:rsidRPr="003B38C1" w:rsidRDefault="001D5D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B313CE" w14:textId="77777777" w:rsidR="001D5D60" w:rsidRPr="003B38C1" w:rsidRDefault="001D5D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  <w:endnote w:id="2">
    <w:p w14:paraId="41C1C8DE" w14:textId="7F18154B" w:rsidR="00E051E0" w:rsidRPr="00E051E0" w:rsidRDefault="00E051E0">
      <w:pPr>
        <w:pStyle w:val="EndnoteText"/>
        <w:rPr>
          <w:lang w:val="fr-CH"/>
        </w:rPr>
      </w:pPr>
      <w:r>
        <w:rPr>
          <w:rStyle w:val="EndnoteReference"/>
        </w:rPr>
        <w:endnoteRef/>
      </w:r>
      <w:r>
        <w:rPr>
          <w:lang w:val="fr-CH"/>
        </w:rPr>
        <w:tab/>
      </w:r>
      <w:r w:rsidR="00B05A5B">
        <w:rPr>
          <w:lang w:val="fr-CH"/>
        </w:rPr>
        <w:t>L’application de la</w:t>
      </w:r>
      <w:r w:rsidRPr="00E051E0">
        <w:rPr>
          <w:lang w:val="fr-CH"/>
        </w:rPr>
        <w:t xml:space="preserve"> taxe de désignation individuelle (au lieu du niveau 3 de la taxe de désignation standard) </w:t>
      </w:r>
      <w:r w:rsidR="00C332C3">
        <w:rPr>
          <w:lang w:val="fr-CH"/>
        </w:rPr>
        <w:t>en ce qui concerne une</w:t>
      </w:r>
      <w:r w:rsidRPr="00E051E0">
        <w:rPr>
          <w:lang w:val="fr-CH"/>
        </w:rPr>
        <w:t xml:space="preserve"> demande internationale et le renouvellement d’un enregistrement international</w:t>
      </w:r>
      <w:r w:rsidR="00F92A80">
        <w:rPr>
          <w:lang w:val="fr-CH"/>
        </w:rPr>
        <w:t>,</w:t>
      </w:r>
      <w:r w:rsidRPr="00E051E0">
        <w:rPr>
          <w:lang w:val="fr-CH"/>
        </w:rPr>
        <w:t xml:space="preserve"> dans lequel la</w:t>
      </w:r>
      <w:r w:rsidR="00F85382">
        <w:rPr>
          <w:lang w:val="fr-CH"/>
        </w:rPr>
        <w:t> </w:t>
      </w:r>
      <w:r w:rsidRPr="00E051E0">
        <w:rPr>
          <w:lang w:val="fr-CH"/>
        </w:rPr>
        <w:t>République de Corée est désignée, est déterminé</w:t>
      </w:r>
      <w:r w:rsidR="00B05A5B">
        <w:rPr>
          <w:lang w:val="fr-CH"/>
        </w:rPr>
        <w:t>e</w:t>
      </w:r>
      <w:r w:rsidRPr="00E051E0">
        <w:rPr>
          <w:lang w:val="fr-CH"/>
        </w:rPr>
        <w:t xml:space="preserve"> </w:t>
      </w:r>
      <w:r w:rsidR="00B05A5B">
        <w:rPr>
          <w:lang w:val="fr-CH"/>
        </w:rPr>
        <w:t xml:space="preserve">en fonction des </w:t>
      </w:r>
      <w:r w:rsidRPr="00E051E0">
        <w:rPr>
          <w:lang w:val="fr-CH"/>
        </w:rPr>
        <w:t>classe</w:t>
      </w:r>
      <w:r w:rsidR="00B05A5B">
        <w:rPr>
          <w:lang w:val="fr-CH"/>
        </w:rPr>
        <w:t>s</w:t>
      </w:r>
      <w:r w:rsidRPr="00E051E0">
        <w:rPr>
          <w:lang w:val="fr-CH"/>
        </w:rPr>
        <w:t xml:space="preserve"> de la </w:t>
      </w:r>
      <w:r w:rsidR="00C1749E">
        <w:rPr>
          <w:lang w:val="fr-CH"/>
        </w:rPr>
        <w:t>classification internationale pour les dessins et modèles industriels (</w:t>
      </w:r>
      <w:r w:rsidRPr="00F85382">
        <w:rPr>
          <w:lang w:val="fr-CH"/>
        </w:rPr>
        <w:t>classification de Locarno</w:t>
      </w:r>
      <w:r w:rsidR="00C1749E">
        <w:rPr>
          <w:rStyle w:val="Hyperlink"/>
          <w:color w:val="auto"/>
          <w:lang w:val="fr-CH"/>
        </w:rPr>
        <w:t>)</w:t>
      </w:r>
      <w:r w:rsidRPr="00E051E0">
        <w:rPr>
          <w:lang w:val="fr-CH"/>
        </w:rPr>
        <w:t xml:space="preserve"> et</w:t>
      </w:r>
      <w:r w:rsidR="00C332C3">
        <w:rPr>
          <w:lang w:val="fr-CH"/>
        </w:rPr>
        <w:t xml:space="preserve"> de </w:t>
      </w:r>
      <w:r w:rsidRPr="00E051E0">
        <w:rPr>
          <w:lang w:val="fr-CH"/>
        </w:rPr>
        <w:t>la date d</w:t>
      </w:r>
      <w:r w:rsidR="00C332C3">
        <w:rPr>
          <w:lang w:val="fr-CH"/>
        </w:rPr>
        <w:t>e l</w:t>
      </w:r>
      <w:r w:rsidRPr="00E051E0">
        <w:rPr>
          <w:lang w:val="fr-CH"/>
        </w:rPr>
        <w:t>’enregistrement international</w:t>
      </w:r>
      <w:r w:rsidR="004F0A7A">
        <w:rPr>
          <w:lang w:val="fr-CH"/>
        </w:rPr>
        <w:t xml:space="preserve"> (</w:t>
      </w:r>
      <w:r w:rsidR="006F27C7">
        <w:rPr>
          <w:lang w:val="fr-CH"/>
        </w:rPr>
        <w:t>v</w:t>
      </w:r>
      <w:r w:rsidRPr="00E051E0">
        <w:rPr>
          <w:lang w:val="fr-CH"/>
        </w:rPr>
        <w:t xml:space="preserve">oir </w:t>
      </w:r>
      <w:hyperlink r:id="rId1" w:history="1">
        <w:r w:rsidRPr="004F0A7A">
          <w:rPr>
            <w:rStyle w:val="Hyperlink"/>
            <w:color w:val="0070C0"/>
            <w:lang w:val="fr-CH"/>
          </w:rPr>
          <w:t>l’</w:t>
        </w:r>
        <w:r w:rsidR="00111C42" w:rsidRPr="004F0A7A">
          <w:rPr>
            <w:rStyle w:val="Hyperlink"/>
            <w:color w:val="0070C0"/>
            <w:lang w:val="fr-CH"/>
          </w:rPr>
          <w:t>a</w:t>
        </w:r>
        <w:r w:rsidRPr="004F0A7A">
          <w:rPr>
            <w:rStyle w:val="Hyperlink"/>
            <w:color w:val="0070C0"/>
            <w:lang w:val="fr-CH"/>
          </w:rPr>
          <w:t>vis</w:t>
        </w:r>
        <w:r w:rsidR="00F85382" w:rsidRPr="004F0A7A">
          <w:rPr>
            <w:rStyle w:val="Hyperlink"/>
            <w:color w:val="0070C0"/>
            <w:lang w:val="fr-CH"/>
          </w:rPr>
          <w:t> </w:t>
        </w:r>
        <w:r w:rsidR="00111C42" w:rsidRPr="004F0A7A">
          <w:rPr>
            <w:rStyle w:val="Hyperlink"/>
            <w:color w:val="0070C0"/>
            <w:lang w:val="fr-CH"/>
          </w:rPr>
          <w:t>n°</w:t>
        </w:r>
        <w:r w:rsidR="00F85382" w:rsidRPr="004F0A7A">
          <w:rPr>
            <w:rStyle w:val="Hyperlink"/>
            <w:color w:val="0070C0"/>
            <w:lang w:val="fr-CH"/>
          </w:rPr>
          <w:t> </w:t>
        </w:r>
        <w:r w:rsidRPr="004F0A7A">
          <w:rPr>
            <w:rStyle w:val="Hyperlink"/>
            <w:color w:val="0070C0"/>
            <w:lang w:val="fr-CH"/>
          </w:rPr>
          <w:t>35/2020</w:t>
        </w:r>
      </w:hyperlink>
      <w:r w:rsidR="004F0A7A" w:rsidRPr="004F0A7A">
        <w:rPr>
          <w:lang w:val="fr-CH"/>
        </w:rPr>
        <w:t>)</w:t>
      </w:r>
      <w:r w:rsidR="004F0A7A">
        <w:rPr>
          <w:lang w:val="fr-CH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2443" w14:textId="77777777" w:rsidR="00762E3D" w:rsidRDefault="0076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FF02" w14:textId="77777777" w:rsidR="00762E3D" w:rsidRDefault="0076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A4A8" w14:textId="77777777" w:rsidR="00762E3D" w:rsidRDefault="0076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CA34" w14:textId="77777777" w:rsidR="001D5D60" w:rsidRDefault="001D5D60">
      <w:r>
        <w:separator/>
      </w:r>
    </w:p>
  </w:footnote>
  <w:footnote w:type="continuationSeparator" w:id="0">
    <w:p w14:paraId="2225FC81" w14:textId="77777777" w:rsidR="001D5D60" w:rsidRDefault="001D5D60" w:rsidP="008B60B2">
      <w:r>
        <w:separator/>
      </w:r>
    </w:p>
    <w:p w14:paraId="26549790" w14:textId="77777777" w:rsidR="001D5D60" w:rsidRPr="00ED77FB" w:rsidRDefault="001D5D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57E097B" w14:textId="77777777" w:rsidR="001D5D60" w:rsidRPr="00ED77FB" w:rsidRDefault="001D5D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2B9" w14:textId="77777777" w:rsidR="00762E3D" w:rsidRDefault="0076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E3C1" w14:textId="77777777" w:rsidR="002A513E" w:rsidRDefault="002A513E" w:rsidP="00477D6B">
    <w:pPr>
      <w:jc w:val="right"/>
    </w:pPr>
    <w:bookmarkStart w:id="2" w:name="Code2"/>
    <w:bookmarkEnd w:id="2"/>
  </w:p>
  <w:p w14:paraId="587E219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79DBFD8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3856" w14:textId="77777777" w:rsidR="00762E3D" w:rsidRDefault="0076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236493"/>
    <w:multiLevelType w:val="hybridMultilevel"/>
    <w:tmpl w:val="4E4062EE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61CF"/>
    <w:multiLevelType w:val="hybridMultilevel"/>
    <w:tmpl w:val="1CA2DFBC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7714C7"/>
    <w:multiLevelType w:val="hybridMultilevel"/>
    <w:tmpl w:val="D01C6CD6"/>
    <w:lvl w:ilvl="0" w:tplc="BE847CF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99916">
    <w:abstractNumId w:val="3"/>
  </w:num>
  <w:num w:numId="2" w16cid:durableId="1474442548">
    <w:abstractNumId w:val="7"/>
  </w:num>
  <w:num w:numId="3" w16cid:durableId="405150866">
    <w:abstractNumId w:val="0"/>
  </w:num>
  <w:num w:numId="4" w16cid:durableId="627275865">
    <w:abstractNumId w:val="8"/>
  </w:num>
  <w:num w:numId="5" w16cid:durableId="1447970416">
    <w:abstractNumId w:val="1"/>
  </w:num>
  <w:num w:numId="6" w16cid:durableId="1824000794">
    <w:abstractNumId w:val="4"/>
  </w:num>
  <w:num w:numId="7" w16cid:durableId="153079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452863745">
    <w:abstractNumId w:val="5"/>
  </w:num>
  <w:num w:numId="9" w16cid:durableId="1985356667">
    <w:abstractNumId w:val="9"/>
  </w:num>
  <w:num w:numId="10" w16cid:durableId="1111047081">
    <w:abstractNumId w:val="2"/>
  </w:num>
  <w:num w:numId="11" w16cid:durableId="2137328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28E4"/>
    <w:rsid w:val="000669B5"/>
    <w:rsid w:val="00067DE1"/>
    <w:rsid w:val="000728FF"/>
    <w:rsid w:val="0007453B"/>
    <w:rsid w:val="000752AB"/>
    <w:rsid w:val="00075432"/>
    <w:rsid w:val="0008499C"/>
    <w:rsid w:val="00093F9B"/>
    <w:rsid w:val="000968ED"/>
    <w:rsid w:val="000A1CDA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1C42"/>
    <w:rsid w:val="00116E5E"/>
    <w:rsid w:val="001207CE"/>
    <w:rsid w:val="001269FA"/>
    <w:rsid w:val="001272E3"/>
    <w:rsid w:val="00131BD8"/>
    <w:rsid w:val="00133F53"/>
    <w:rsid w:val="001362EE"/>
    <w:rsid w:val="00145058"/>
    <w:rsid w:val="0014531F"/>
    <w:rsid w:val="0015037D"/>
    <w:rsid w:val="00154A46"/>
    <w:rsid w:val="00165217"/>
    <w:rsid w:val="00166299"/>
    <w:rsid w:val="0017248B"/>
    <w:rsid w:val="00175970"/>
    <w:rsid w:val="0018155D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D5D60"/>
    <w:rsid w:val="001E0B83"/>
    <w:rsid w:val="001E3850"/>
    <w:rsid w:val="001E3C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46FB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A703B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2B3B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0069"/>
    <w:rsid w:val="004052E1"/>
    <w:rsid w:val="00411FB2"/>
    <w:rsid w:val="0041572A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0A7A"/>
    <w:rsid w:val="004F2BA5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2538"/>
    <w:rsid w:val="00563640"/>
    <w:rsid w:val="00571DE4"/>
    <w:rsid w:val="00580BA2"/>
    <w:rsid w:val="00584D6B"/>
    <w:rsid w:val="005868B8"/>
    <w:rsid w:val="00592F4D"/>
    <w:rsid w:val="005A26D1"/>
    <w:rsid w:val="005A4466"/>
    <w:rsid w:val="005A78E1"/>
    <w:rsid w:val="005B5E40"/>
    <w:rsid w:val="005C30B6"/>
    <w:rsid w:val="005C6649"/>
    <w:rsid w:val="005D5CCD"/>
    <w:rsid w:val="005D6DD3"/>
    <w:rsid w:val="005D78F9"/>
    <w:rsid w:val="005E650D"/>
    <w:rsid w:val="005F0F41"/>
    <w:rsid w:val="005F2F3B"/>
    <w:rsid w:val="005F4AAF"/>
    <w:rsid w:val="00601D81"/>
    <w:rsid w:val="00605827"/>
    <w:rsid w:val="0060657C"/>
    <w:rsid w:val="00606944"/>
    <w:rsid w:val="00612BDF"/>
    <w:rsid w:val="00620A6B"/>
    <w:rsid w:val="006223DB"/>
    <w:rsid w:val="00624B95"/>
    <w:rsid w:val="00634801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ABA"/>
    <w:rsid w:val="00676C5C"/>
    <w:rsid w:val="00691D5D"/>
    <w:rsid w:val="006A58BA"/>
    <w:rsid w:val="006B5479"/>
    <w:rsid w:val="006B6E59"/>
    <w:rsid w:val="006B7354"/>
    <w:rsid w:val="006C0838"/>
    <w:rsid w:val="006D454F"/>
    <w:rsid w:val="006D4792"/>
    <w:rsid w:val="006D61E8"/>
    <w:rsid w:val="006E3324"/>
    <w:rsid w:val="006E47EF"/>
    <w:rsid w:val="006F27C7"/>
    <w:rsid w:val="006F52C6"/>
    <w:rsid w:val="007147FE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E3D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A6743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4F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1BC2"/>
    <w:rsid w:val="00906353"/>
    <w:rsid w:val="00906A01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4DBC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5A5B"/>
    <w:rsid w:val="00B05A69"/>
    <w:rsid w:val="00B21387"/>
    <w:rsid w:val="00B2247B"/>
    <w:rsid w:val="00B460F5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2DBD"/>
    <w:rsid w:val="00BC4010"/>
    <w:rsid w:val="00BD0610"/>
    <w:rsid w:val="00BE2AA1"/>
    <w:rsid w:val="00BE55D6"/>
    <w:rsid w:val="00BE5857"/>
    <w:rsid w:val="00C00B92"/>
    <w:rsid w:val="00C02D72"/>
    <w:rsid w:val="00C06008"/>
    <w:rsid w:val="00C11BFE"/>
    <w:rsid w:val="00C1749E"/>
    <w:rsid w:val="00C2085B"/>
    <w:rsid w:val="00C2184D"/>
    <w:rsid w:val="00C332C3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3C07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043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1130"/>
    <w:rsid w:val="00DC3E50"/>
    <w:rsid w:val="00DE1838"/>
    <w:rsid w:val="00DE67CD"/>
    <w:rsid w:val="00DF0121"/>
    <w:rsid w:val="00E024A3"/>
    <w:rsid w:val="00E051E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B333E"/>
    <w:rsid w:val="00EB414B"/>
    <w:rsid w:val="00EB5297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05C3"/>
    <w:rsid w:val="00F61466"/>
    <w:rsid w:val="00F66152"/>
    <w:rsid w:val="00F66B9C"/>
    <w:rsid w:val="00F73092"/>
    <w:rsid w:val="00F73DCF"/>
    <w:rsid w:val="00F7721F"/>
    <w:rsid w:val="00F83B36"/>
    <w:rsid w:val="00F85382"/>
    <w:rsid w:val="00F85873"/>
    <w:rsid w:val="00F92A80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42D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051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5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documents/d/hague-system/information-notices-fr-2020-hague_2020_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6A82D3637C30AC4EB0296BB89F86EBE7" ma:contentTypeVersion="36" ma:contentTypeDescription="" ma:contentTypeScope="" ma:versionID="c6ff6216044254833b1d6fa5c65d15c2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178a353b-07a4-4986-a4a2-cbf49365616c" targetNamespace="http://schemas.microsoft.com/office/2006/metadata/properties" ma:root="true" ma:fieldsID="168697890a18a9e3e472ac676fa57f08" ns2:_="" ns3:_="" ns4:_="">
    <xsd:import namespace="0d6abe56-55ad-41de-8124-44420a0ee71d"/>
    <xsd:import namespace="56500874-bba0-4b48-9090-b201492e8473"/>
    <xsd:import namespace="178a353b-07a4-4986-a4a2-cbf49365616c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IPSystem" minOccurs="0"/>
                <xsd:element ref="ns2:ECCM_Description" minOccurs="0"/>
                <xsd:element ref="ns3:TaxCatchAllLabel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  <xsd:element name="ECCM_Description" ma:index="8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IPSystem" ma:index="5" nillable="true" ma:displayName="IP System" ma:internalName="IP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gue"/>
                    <xsd:enumeration value="Madrid"/>
                    <xsd:enumeration value="Lisbon"/>
                    <xsd:enumeration value="PCT"/>
                  </xsd:restriction>
                </xsd:simpleType>
              </xsd:element>
            </xsd:sequence>
          </xsd:extension>
        </xsd:complexContent>
      </xsd:complexType>
    </xsd:element>
    <xsd:element name="TaxCatchAllLabel" ma:index="9" nillable="true" ma:displayName="Taxonomy Catch All Column1" ma:hidden="true" ma:list="{d6db2db8-776d-489a-ba43-4ec19fa1c4af}" ma:internalName="TaxCatchAllLabel" ma:readOnly="true" ma:showField="CatchAllDataLabel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1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3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6db2db8-776d-489a-ba43-4ec19fa1c4af}" ma:internalName="TaxCatchAll" ma:showField="CatchAllData" ma:web="178a353b-07a4-4986-a4a2-cbf493656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353b-07a4-4986-a4a2-cbf49365616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The Hague Registry</TermName>
          <TermId xmlns="http://schemas.microsoft.com/office/infopath/2007/PartnerControls">790cdd2a-41c2-41e5-9c6d-a78e0e194170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 Hague System</TermName>
          <TermId xmlns="http://schemas.microsoft.com/office/infopath/2007/PartnerControls">225a4ffb-14e1-4e93-a807-d7a6f14a44fd</TermId>
        </TermInfo>
      </Terms>
    </oec7080f59824b85bfab9bab42c36e68>
    <IPSystem xmlns="56500874-bba0-4b48-9090-b201492e8473">
      <Value>Hague</Value>
    </IPSystem>
    <_dlc_DocId xmlns="178a353b-07a4-4986-a4a2-cbf49365616c">HAGREGBFP-1080078287-2128</_dlc_DocId>
    <_dlc_DocIdUrl xmlns="178a353b-07a4-4986-a4a2-cbf49365616c">
      <Url>https://wipoprod.sharepoint.com/sites/SPS-INT-BFP-HAGREG-WebsPubl/_layouts/15/DocIdRedir.aspx?ID=HAGREGBFP-1080078287-2128</Url>
      <Description>HAGREGBFP-1080078287-2128</Description>
    </_dlc_DocIdUrl>
  </documentManagement>
</p:properties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57B54-28F0-4545-AF35-84F6BBCC1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464E2-A683-4B09-8E15-3D2570BE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178a353b-07a4-4986-a4a2-cbf493656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52907-3083-4482-BE6A-274A047CB96B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178a353b-07a4-4986-a4a2-cbf49365616c"/>
  </ds:schemaRefs>
</ds:datastoreItem>
</file>

<file path=customXml/itemProps5.xml><?xml version="1.0" encoding="utf-8"?>
<ds:datastoreItem xmlns:ds="http://schemas.openxmlformats.org/officeDocument/2006/customXml" ds:itemID="{C5986602-E7AC-47AF-9333-F1972A9498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A019190-D703-41C6-BF4C-316196C833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44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6</cp:revision>
  <cp:lastPrinted>2020-07-27T08:23:00Z</cp:lastPrinted>
  <dcterms:created xsi:type="dcterms:W3CDTF">2026-07-02T15:40:00Z</dcterms:created>
  <dcterms:modified xsi:type="dcterms:W3CDTF">2026-07-10T16:04:00Z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2023-10-11T08:52:28Z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52eeb697-e60d-4107-aa1b-71c951c0647b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ContentTypeId">
    <vt:lpwstr>0x01010043A0F979BE30A3469F998CB749C11FBD006A82D3637C30AC4EB0296BB89F86EBE7</vt:lpwstr>
  </property>
  <property fmtid="{D5CDD505-2E9C-101B-9397-08002B2CF9AE}" pid="15" name="BusinessUnit">
    <vt:lpwstr>3;#The Hague Registry|790cdd2a-41c2-41e5-9c6d-a78e0e194170</vt:lpwstr>
  </property>
  <property fmtid="{D5CDD505-2E9C-101B-9397-08002B2CF9AE}" pid="16" name="RMClassification">
    <vt:lpwstr>2;#10 Hague System|225a4ffb-14e1-4e93-a807-d7a6f14a44fd</vt:lpwstr>
  </property>
  <property fmtid="{D5CDD505-2E9C-101B-9397-08002B2CF9AE}" pid="17" name="Languages">
    <vt:lpwstr>1;#English|950e6fa2-2df0-4983-a604-54e57c7a6d93</vt:lpwstr>
  </property>
  <property fmtid="{D5CDD505-2E9C-101B-9397-08002B2CF9AE}" pid="18" name="_dlc_DocIdItemGuid">
    <vt:lpwstr>971b37a4-1ad2-43b6-8663-12c50aa081ea</vt:lpwstr>
  </property>
</Properties>
</file>