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14:paraId="144D52BC" w14:textId="77777777">
        <w:tc>
          <w:tcPr>
            <w:tcW w:w="4513" w:type="dxa"/>
            <w:tcMar>
              <w:left w:w="0" w:type="dxa"/>
              <w:right w:w="0" w:type="dxa"/>
            </w:tcMar>
          </w:tcPr>
          <w:p w14:paraId="10B87228" w14:textId="77777777" w:rsidR="00A953E1" w:rsidRPr="007161E8" w:rsidRDefault="00A953E1"/>
        </w:tc>
        <w:tc>
          <w:tcPr>
            <w:tcW w:w="0" w:type="auto"/>
            <w:tcMar>
              <w:left w:w="0" w:type="dxa"/>
              <w:bottom w:w="142" w:type="dxa"/>
              <w:right w:w="0" w:type="dxa"/>
            </w:tcMar>
          </w:tcPr>
          <w:p w14:paraId="0F0029B9" w14:textId="6433EA9E" w:rsidR="00A953E1" w:rsidRPr="007161E8" w:rsidRDefault="000202A3">
            <w:r w:rsidRPr="007161E8">
              <w:rPr>
                <w:noProof/>
                <w:lang w:val="fr-FR"/>
              </w:rPr>
              <w:drawing>
                <wp:inline distT="0" distB="0" distL="0" distR="0" wp14:anchorId="216097E0" wp14:editId="36BC9B12">
                  <wp:extent cx="1856105"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r>
    </w:tbl>
    <w:p w14:paraId="756BB66F" w14:textId="049354DD" w:rsidR="00E25414" w:rsidRPr="007161E8" w:rsidRDefault="005E284E" w:rsidP="00CE0628">
      <w:pPr>
        <w:spacing w:before="240" w:after="1440"/>
        <w:jc w:val="right"/>
        <w:rPr>
          <w:lang w:val="fr-CH"/>
        </w:rPr>
      </w:pPr>
      <w:r w:rsidRPr="0003279E">
        <w:rPr>
          <w:rFonts w:ascii="Arial Black" w:hAnsi="Arial Black"/>
          <w:sz w:val="15"/>
          <w:szCs w:val="15"/>
          <w:lang w:val="fr-FR"/>
        </w:rPr>
        <w:t>AVIS</w:t>
      </w:r>
      <w:r w:rsidR="00715D12" w:rsidRPr="0003279E">
        <w:rPr>
          <w:rFonts w:ascii="Arial Black" w:hAnsi="Arial Black"/>
          <w:sz w:val="15"/>
          <w:szCs w:val="15"/>
          <w:lang w:val="fr-FR"/>
        </w:rPr>
        <w:t xml:space="preserve"> N</w:t>
      </w:r>
      <w:r w:rsidRPr="0003279E">
        <w:rPr>
          <w:rFonts w:ascii="Arial Black" w:hAnsi="Arial Black"/>
          <w:sz w:val="15"/>
          <w:szCs w:val="15"/>
          <w:lang w:val="fr-FR"/>
        </w:rPr>
        <w:t>° </w:t>
      </w:r>
      <w:r w:rsidR="000202A3" w:rsidRPr="0003279E">
        <w:rPr>
          <w:rFonts w:ascii="Arial Black" w:hAnsi="Arial Black"/>
          <w:sz w:val="15"/>
          <w:szCs w:val="15"/>
          <w:lang w:val="fr-FR"/>
        </w:rPr>
        <w:t>6</w:t>
      </w:r>
      <w:r w:rsidR="00715D12" w:rsidRPr="0003279E">
        <w:rPr>
          <w:rFonts w:ascii="Arial Black" w:hAnsi="Arial Black"/>
          <w:sz w:val="15"/>
          <w:szCs w:val="15"/>
          <w:lang w:val="fr-FR"/>
        </w:rPr>
        <w:t>/20</w:t>
      </w:r>
      <w:r w:rsidR="000202A3" w:rsidRPr="0003279E">
        <w:rPr>
          <w:rFonts w:ascii="Arial Black" w:hAnsi="Arial Black"/>
          <w:sz w:val="15"/>
          <w:szCs w:val="15"/>
          <w:lang w:val="fr-FR"/>
        </w:rPr>
        <w:t>25</w:t>
      </w:r>
    </w:p>
    <w:p w14:paraId="4042ACBF" w14:textId="1D66A69B" w:rsidR="00E25414" w:rsidRPr="007161E8" w:rsidRDefault="000202A3" w:rsidP="00096EA4">
      <w:pPr>
        <w:spacing w:after="720"/>
        <w:rPr>
          <w:b/>
          <w:sz w:val="28"/>
          <w:szCs w:val="28"/>
          <w:lang w:val="fr-CH"/>
        </w:rPr>
      </w:pPr>
      <w:r w:rsidRPr="000202A3">
        <w:rPr>
          <w:b/>
          <w:sz w:val="28"/>
          <w:lang w:val="fr-FR"/>
        </w:rPr>
        <w:t xml:space="preserve">Arrangement de </w:t>
      </w:r>
      <w:r w:rsidR="009824A8">
        <w:rPr>
          <w:b/>
          <w:sz w:val="28"/>
          <w:lang w:val="fr-FR"/>
        </w:rPr>
        <w:t>La Haye</w:t>
      </w:r>
      <w:r w:rsidRPr="000202A3">
        <w:rPr>
          <w:b/>
          <w:sz w:val="28"/>
          <w:lang w:val="fr-FR"/>
        </w:rPr>
        <w:t xml:space="preserve"> concernant l</w:t>
      </w:r>
      <w:r w:rsidR="009824A8">
        <w:rPr>
          <w:b/>
          <w:sz w:val="28"/>
          <w:lang w:val="fr-FR"/>
        </w:rPr>
        <w:t>’</w:t>
      </w:r>
      <w:r w:rsidRPr="000202A3">
        <w:rPr>
          <w:b/>
          <w:sz w:val="28"/>
          <w:lang w:val="fr-FR"/>
        </w:rPr>
        <w:t>enregistrement international des dessins et modèles industrie</w:t>
      </w:r>
      <w:r>
        <w:rPr>
          <w:b/>
          <w:sz w:val="28"/>
          <w:lang w:val="fr-FR"/>
        </w:rPr>
        <w:t>ls</w:t>
      </w:r>
    </w:p>
    <w:p w14:paraId="58E9EEEE" w14:textId="3C34076D" w:rsidR="00C2151D" w:rsidRPr="009319A3" w:rsidRDefault="000202A3" w:rsidP="005B121A">
      <w:pPr>
        <w:spacing w:after="240"/>
        <w:rPr>
          <w:b/>
          <w:sz w:val="24"/>
          <w:szCs w:val="24"/>
          <w:lang w:val="fr-CH"/>
        </w:rPr>
      </w:pPr>
      <w:r w:rsidRPr="000202A3">
        <w:rPr>
          <w:b/>
          <w:sz w:val="24"/>
          <w:szCs w:val="24"/>
          <w:lang w:val="fr-CH"/>
        </w:rPr>
        <w:t>Taxe de désignation individuelle</w:t>
      </w:r>
      <w:r w:rsidR="009824A8">
        <w:rPr>
          <w:b/>
          <w:sz w:val="24"/>
          <w:szCs w:val="24"/>
          <w:lang w:val="fr-CH"/>
        </w:rPr>
        <w:t> :</w:t>
      </w:r>
      <w:r w:rsidRPr="000202A3">
        <w:rPr>
          <w:b/>
          <w:sz w:val="24"/>
          <w:szCs w:val="24"/>
          <w:lang w:val="fr-CH"/>
        </w:rPr>
        <w:t xml:space="preserve"> </w:t>
      </w:r>
      <w:r>
        <w:rPr>
          <w:b/>
          <w:sz w:val="24"/>
          <w:szCs w:val="24"/>
          <w:lang w:val="fr-CH"/>
        </w:rPr>
        <w:t>Ouzbékistan</w:t>
      </w:r>
    </w:p>
    <w:p w14:paraId="47F71097" w14:textId="7DF05C67" w:rsidR="000202A3" w:rsidRPr="000202A3" w:rsidRDefault="000202A3" w:rsidP="009824A8">
      <w:pPr>
        <w:pStyle w:val="ONUMFS"/>
        <w:rPr>
          <w:color w:val="000000"/>
          <w:lang w:val="fr-FR"/>
        </w:rPr>
      </w:pPr>
      <w:r w:rsidRPr="000202A3">
        <w:rPr>
          <w:lang w:val="fr-FR"/>
        </w:rPr>
        <w:t>Le 10 </w:t>
      </w:r>
      <w:r w:rsidR="009824A8" w:rsidRPr="000202A3">
        <w:rPr>
          <w:lang w:val="fr-FR"/>
        </w:rPr>
        <w:t>octobre</w:t>
      </w:r>
      <w:r w:rsidR="009824A8">
        <w:rPr>
          <w:lang w:val="fr-FR"/>
        </w:rPr>
        <w:t> </w:t>
      </w:r>
      <w:r w:rsidR="009824A8" w:rsidRPr="000202A3">
        <w:rPr>
          <w:lang w:val="fr-FR"/>
        </w:rPr>
        <w:t>20</w:t>
      </w:r>
      <w:r w:rsidRPr="000202A3">
        <w:rPr>
          <w:lang w:val="fr-FR"/>
        </w:rPr>
        <w:t>24, le Gouvernement de l</w:t>
      </w:r>
      <w:r w:rsidR="009824A8">
        <w:rPr>
          <w:lang w:val="fr-FR"/>
        </w:rPr>
        <w:t>’</w:t>
      </w:r>
      <w:r w:rsidRPr="000202A3">
        <w:rPr>
          <w:lang w:val="fr-FR"/>
        </w:rPr>
        <w:t>Ouzbékistan a déposé auprès du Directeur</w:t>
      </w:r>
      <w:r w:rsidR="0003279E">
        <w:rPr>
          <w:lang w:val="fr-FR"/>
        </w:rPr>
        <w:t> </w:t>
      </w:r>
      <w:r w:rsidRPr="000202A3">
        <w:rPr>
          <w:lang w:val="fr-FR"/>
        </w:rPr>
        <w:t>général de l</w:t>
      </w:r>
      <w:r w:rsidR="009824A8">
        <w:rPr>
          <w:lang w:val="fr-FR"/>
        </w:rPr>
        <w:t>’</w:t>
      </w:r>
      <w:r w:rsidRPr="000202A3">
        <w:rPr>
          <w:lang w:val="fr-FR"/>
        </w:rPr>
        <w:t>Organisation Mondiale de la Propriété Intellectuelle (OMPI) son instrument d</w:t>
      </w:r>
      <w:r w:rsidR="009824A8">
        <w:rPr>
          <w:lang w:val="fr-FR"/>
        </w:rPr>
        <w:t>’</w:t>
      </w:r>
      <w:r w:rsidRPr="000202A3">
        <w:rPr>
          <w:lang w:val="fr-FR"/>
        </w:rPr>
        <w:t>adhésion à l</w:t>
      </w:r>
      <w:r w:rsidR="009824A8">
        <w:rPr>
          <w:lang w:val="fr-FR"/>
        </w:rPr>
        <w:t>’</w:t>
      </w:r>
      <w:r w:rsidRPr="000202A3">
        <w:rPr>
          <w:lang w:val="fr-FR"/>
        </w:rPr>
        <w:t>Acte de Genève de l</w:t>
      </w:r>
      <w:r w:rsidR="009824A8">
        <w:rPr>
          <w:lang w:val="fr-FR"/>
        </w:rPr>
        <w:t>’</w:t>
      </w:r>
      <w:r w:rsidRPr="000202A3">
        <w:rPr>
          <w:lang w:val="fr-FR"/>
        </w:rPr>
        <w:t xml:space="preserve">Arrangement de </w:t>
      </w:r>
      <w:r w:rsidR="009824A8">
        <w:rPr>
          <w:lang w:val="fr-FR"/>
        </w:rPr>
        <w:t>La Haye</w:t>
      </w:r>
      <w:r w:rsidRPr="000202A3">
        <w:rPr>
          <w:lang w:val="fr-FR"/>
        </w:rPr>
        <w:t xml:space="preserve"> concernant l</w:t>
      </w:r>
      <w:r w:rsidR="009824A8">
        <w:rPr>
          <w:lang w:val="fr-FR"/>
        </w:rPr>
        <w:t>’</w:t>
      </w:r>
      <w:r w:rsidRPr="000202A3">
        <w:rPr>
          <w:lang w:val="fr-FR"/>
        </w:rPr>
        <w:t>enregistrement international des dessins et modèles industriels (“Acte de Genève”).</w:t>
      </w:r>
    </w:p>
    <w:p w14:paraId="52C00E2E" w14:textId="14FEFB34" w:rsidR="009824A8" w:rsidRDefault="000202A3" w:rsidP="009824A8">
      <w:pPr>
        <w:pStyle w:val="ONUMFS"/>
        <w:rPr>
          <w:lang w:val="fr-FR"/>
        </w:rPr>
      </w:pPr>
      <w:r w:rsidRPr="000202A3">
        <w:rPr>
          <w:lang w:val="fr-FR"/>
        </w:rPr>
        <w:t>L</w:t>
      </w:r>
      <w:r w:rsidR="009824A8">
        <w:rPr>
          <w:lang w:val="fr-FR"/>
        </w:rPr>
        <w:t>’</w:t>
      </w:r>
      <w:r w:rsidRPr="000202A3">
        <w:rPr>
          <w:lang w:val="fr-FR"/>
        </w:rPr>
        <w:t>instrument d</w:t>
      </w:r>
      <w:r w:rsidR="009824A8">
        <w:rPr>
          <w:lang w:val="fr-FR"/>
        </w:rPr>
        <w:t>’</w:t>
      </w:r>
      <w:r w:rsidRPr="000202A3">
        <w:rPr>
          <w:lang w:val="fr-FR"/>
        </w:rPr>
        <w:t>adhésion était accompagné de la déclaration visée à l</w:t>
      </w:r>
      <w:r w:rsidR="009824A8">
        <w:rPr>
          <w:lang w:val="fr-FR"/>
        </w:rPr>
        <w:t>’</w:t>
      </w:r>
      <w:r w:rsidRPr="000202A3">
        <w:rPr>
          <w:lang w:val="fr-FR"/>
        </w:rPr>
        <w:t>article 7.2) de l</w:t>
      </w:r>
      <w:r w:rsidR="009824A8">
        <w:rPr>
          <w:lang w:val="fr-FR"/>
        </w:rPr>
        <w:t>’</w:t>
      </w:r>
      <w:r w:rsidRPr="000202A3">
        <w:rPr>
          <w:lang w:val="fr-FR"/>
        </w:rPr>
        <w:t>Acte de Genève, selon laquelle, pour une demande internationale dans laquelle l</w:t>
      </w:r>
      <w:r w:rsidR="009824A8">
        <w:rPr>
          <w:lang w:val="fr-FR"/>
        </w:rPr>
        <w:t>’</w:t>
      </w:r>
      <w:r w:rsidRPr="000202A3">
        <w:rPr>
          <w:lang w:val="fr-FR"/>
        </w:rPr>
        <w:t>Ouzbékistan est désigné, ainsi que pour le renouvellement d</w:t>
      </w:r>
      <w:r w:rsidR="009824A8">
        <w:rPr>
          <w:lang w:val="fr-FR"/>
        </w:rPr>
        <w:t>’</w:t>
      </w:r>
      <w:r w:rsidRPr="000202A3">
        <w:rPr>
          <w:lang w:val="fr-FR"/>
        </w:rPr>
        <w:t>un enregistrement international désignant l</w:t>
      </w:r>
      <w:r w:rsidR="009824A8">
        <w:rPr>
          <w:lang w:val="fr-FR"/>
        </w:rPr>
        <w:t>’</w:t>
      </w:r>
      <w:r w:rsidRPr="000202A3">
        <w:rPr>
          <w:lang w:val="fr-FR"/>
        </w:rPr>
        <w:t xml:space="preserve">Ouzbékistan, la taxe de désignation prescrite est remplacée par une taxe de désignation individuelle (voir </w:t>
      </w:r>
      <w:hyperlink r:id="rId10" w:history="1">
        <w:r w:rsidRPr="0003279E">
          <w:rPr>
            <w:rStyle w:val="Hyperlink"/>
            <w:lang w:val="fr-FR"/>
          </w:rPr>
          <w:t>l</w:t>
        </w:r>
        <w:r w:rsidR="009824A8" w:rsidRPr="0003279E">
          <w:rPr>
            <w:rStyle w:val="Hyperlink"/>
            <w:lang w:val="fr-FR"/>
          </w:rPr>
          <w:t>’</w:t>
        </w:r>
        <w:r w:rsidRPr="0003279E">
          <w:rPr>
            <w:rStyle w:val="Hyperlink"/>
            <w:lang w:val="fr-FR"/>
          </w:rPr>
          <w:t>avis n° 16/2024</w:t>
        </w:r>
      </w:hyperlink>
      <w:r w:rsidRPr="000202A3">
        <w:rPr>
          <w:lang w:val="fr-FR"/>
        </w:rPr>
        <w:t>).  Le 30 </w:t>
      </w:r>
      <w:r w:rsidR="009824A8" w:rsidRPr="000202A3">
        <w:rPr>
          <w:lang w:val="fr-FR"/>
        </w:rPr>
        <w:t>avril</w:t>
      </w:r>
      <w:r w:rsidR="009824A8">
        <w:rPr>
          <w:lang w:val="fr-FR"/>
        </w:rPr>
        <w:t> </w:t>
      </w:r>
      <w:r w:rsidR="009824A8" w:rsidRPr="000202A3">
        <w:rPr>
          <w:lang w:val="fr-FR"/>
        </w:rPr>
        <w:t>20</w:t>
      </w:r>
      <w:r w:rsidRPr="000202A3">
        <w:rPr>
          <w:lang w:val="fr-FR"/>
        </w:rPr>
        <w:t>25, le Gouvernement de l</w:t>
      </w:r>
      <w:r w:rsidR="009824A8">
        <w:rPr>
          <w:lang w:val="fr-FR"/>
        </w:rPr>
        <w:t>’</w:t>
      </w:r>
      <w:r w:rsidRPr="000202A3">
        <w:rPr>
          <w:lang w:val="fr-FR"/>
        </w:rPr>
        <w:t>Ouzbékistan a notifié au Bureau international les montants de la taxe de désignation individuelle.</w:t>
      </w:r>
    </w:p>
    <w:p w14:paraId="12AD6371" w14:textId="709A2E9E" w:rsidR="000202A3" w:rsidRPr="000202A3" w:rsidRDefault="000202A3" w:rsidP="009824A8">
      <w:pPr>
        <w:pStyle w:val="ONUMFS"/>
        <w:rPr>
          <w:spacing w:val="-3"/>
          <w:lang w:val="fr-FR"/>
        </w:rPr>
      </w:pPr>
      <w:r w:rsidRPr="000202A3">
        <w:rPr>
          <w:lang w:val="fr-FR"/>
        </w:rPr>
        <w:t xml:space="preserve">Conformément à la </w:t>
      </w:r>
      <w:r w:rsidR="009824A8" w:rsidRPr="000202A3">
        <w:rPr>
          <w:lang w:val="fr-FR"/>
        </w:rPr>
        <w:t>règle</w:t>
      </w:r>
      <w:r w:rsidR="009824A8">
        <w:rPr>
          <w:lang w:val="fr-FR"/>
        </w:rPr>
        <w:t> </w:t>
      </w:r>
      <w:r w:rsidR="009824A8" w:rsidRPr="000202A3">
        <w:rPr>
          <w:lang w:val="fr-FR"/>
        </w:rPr>
        <w:t>2</w:t>
      </w:r>
      <w:r w:rsidRPr="000202A3">
        <w:rPr>
          <w:lang w:val="fr-FR"/>
        </w:rPr>
        <w:t xml:space="preserve">8.2)b) du </w:t>
      </w:r>
      <w:r w:rsidR="0003279E">
        <w:rPr>
          <w:lang w:val="fr-FR"/>
        </w:rPr>
        <w:t>R</w:t>
      </w:r>
      <w:r w:rsidRPr="000202A3">
        <w:rPr>
          <w:lang w:val="fr-FR"/>
        </w:rPr>
        <w:t>èglement d</w:t>
      </w:r>
      <w:r w:rsidR="009824A8">
        <w:rPr>
          <w:lang w:val="fr-FR"/>
        </w:rPr>
        <w:t>’</w:t>
      </w:r>
      <w:r w:rsidRPr="000202A3">
        <w:rPr>
          <w:lang w:val="fr-FR"/>
        </w:rPr>
        <w:t>exécution de l</w:t>
      </w:r>
      <w:r w:rsidR="009824A8">
        <w:rPr>
          <w:lang w:val="fr-FR"/>
        </w:rPr>
        <w:t>’</w:t>
      </w:r>
      <w:r w:rsidRPr="000202A3">
        <w:rPr>
          <w:lang w:val="fr-FR"/>
        </w:rPr>
        <w:t>Acte de Genève (1999) de l</w:t>
      </w:r>
      <w:r w:rsidR="009824A8">
        <w:rPr>
          <w:lang w:val="fr-FR"/>
        </w:rPr>
        <w:t>’</w:t>
      </w:r>
      <w:r w:rsidRPr="000202A3">
        <w:rPr>
          <w:lang w:val="fr-FR"/>
        </w:rPr>
        <w:t xml:space="preserve">Arrangement de </w:t>
      </w:r>
      <w:r w:rsidR="009824A8">
        <w:rPr>
          <w:lang w:val="fr-FR"/>
        </w:rPr>
        <w:t>La Haye</w:t>
      </w:r>
      <w:r w:rsidRPr="000202A3">
        <w:rPr>
          <w:lang w:val="fr-FR"/>
        </w:rPr>
        <w:t xml:space="preserve"> concernant l</w:t>
      </w:r>
      <w:r w:rsidR="009824A8">
        <w:rPr>
          <w:lang w:val="fr-FR"/>
        </w:rPr>
        <w:t>’</w:t>
      </w:r>
      <w:r w:rsidRPr="000202A3">
        <w:rPr>
          <w:lang w:val="fr-FR"/>
        </w:rPr>
        <w:t>enregistrement international des dessins et modèles industriels (ci</w:t>
      </w:r>
      <w:r w:rsidR="00D42E51">
        <w:rPr>
          <w:lang w:val="fr-FR"/>
        </w:rPr>
        <w:noBreakHyphen/>
      </w:r>
      <w:r w:rsidRPr="000202A3">
        <w:rPr>
          <w:lang w:val="fr-FR"/>
        </w:rPr>
        <w:t>après dénommé “règlement d</w:t>
      </w:r>
      <w:r w:rsidR="009824A8">
        <w:rPr>
          <w:lang w:val="fr-FR"/>
        </w:rPr>
        <w:t>’</w:t>
      </w:r>
      <w:r w:rsidRPr="000202A3">
        <w:rPr>
          <w:lang w:val="fr-FR"/>
        </w:rPr>
        <w:t>exécution”), le Directeur général de l</w:t>
      </w:r>
      <w:r w:rsidR="009824A8">
        <w:rPr>
          <w:lang w:val="fr-FR"/>
        </w:rPr>
        <w:t>’</w:t>
      </w:r>
      <w:r w:rsidRPr="000202A3">
        <w:rPr>
          <w:lang w:val="fr-FR"/>
        </w:rPr>
        <w:t>O</w:t>
      </w:r>
      <w:r w:rsidR="00733C8C">
        <w:rPr>
          <w:lang w:val="fr-FR"/>
        </w:rPr>
        <w:t>MPI</w:t>
      </w:r>
      <w:r w:rsidRPr="000202A3">
        <w:rPr>
          <w:lang w:val="fr-FR"/>
        </w:rPr>
        <w:t xml:space="preserve"> a établi</w:t>
      </w:r>
      <w:r w:rsidR="00EE4C50">
        <w:rPr>
          <w:lang w:val="fr-FR"/>
        </w:rPr>
        <w:t xml:space="preserve"> </w:t>
      </w:r>
      <w:r w:rsidRPr="000202A3">
        <w:rPr>
          <w:lang w:val="fr-FR"/>
        </w:rPr>
        <w:t>comme suit, après consultation de l</w:t>
      </w:r>
      <w:r w:rsidR="009824A8">
        <w:rPr>
          <w:lang w:val="fr-FR"/>
        </w:rPr>
        <w:t>’</w:t>
      </w:r>
      <w:r w:rsidRPr="000202A3">
        <w:rPr>
          <w:lang w:val="fr-FR"/>
        </w:rPr>
        <w:t>Office de l</w:t>
      </w:r>
      <w:r w:rsidR="009824A8">
        <w:rPr>
          <w:lang w:val="fr-FR"/>
        </w:rPr>
        <w:t>’</w:t>
      </w:r>
      <w:r w:rsidRPr="000202A3">
        <w:rPr>
          <w:lang w:val="fr-FR"/>
        </w:rPr>
        <w:t xml:space="preserve">Ouzbékistan, les montants de la taxe de désignation individuelle qui doit être payée </w:t>
      </w:r>
      <w:r w:rsidR="009824A8">
        <w:rPr>
          <w:lang w:val="fr-FR"/>
        </w:rPr>
        <w:t>à l’égard</w:t>
      </w:r>
      <w:r w:rsidRPr="000202A3">
        <w:rPr>
          <w:lang w:val="fr-FR"/>
        </w:rPr>
        <w:t xml:space="preserve"> d</w:t>
      </w:r>
      <w:r w:rsidR="009824A8">
        <w:rPr>
          <w:lang w:val="fr-FR"/>
        </w:rPr>
        <w:t>’</w:t>
      </w:r>
      <w:r w:rsidRPr="000202A3">
        <w:rPr>
          <w:lang w:val="fr-FR"/>
        </w:rPr>
        <w:t>une désignation de l</w:t>
      </w:r>
      <w:r w:rsidR="009824A8">
        <w:rPr>
          <w:lang w:val="fr-FR"/>
        </w:rPr>
        <w:t>’</w:t>
      </w:r>
      <w:r w:rsidRPr="000202A3">
        <w:rPr>
          <w:lang w:val="fr-FR"/>
        </w:rPr>
        <w:t>Ouzbékistan dans une demande internationale, ainsi que pour le renouvellement d</w:t>
      </w:r>
      <w:r w:rsidR="009824A8">
        <w:rPr>
          <w:lang w:val="fr-FR"/>
        </w:rPr>
        <w:t>’</w:t>
      </w:r>
      <w:r w:rsidRPr="000202A3">
        <w:rPr>
          <w:lang w:val="fr-FR"/>
        </w:rPr>
        <w:t>un enregistrement international désignant l</w:t>
      </w:r>
      <w:r w:rsidR="009824A8">
        <w:rPr>
          <w:lang w:val="fr-FR"/>
        </w:rPr>
        <w:t>’</w:t>
      </w:r>
      <w:r w:rsidRPr="000202A3">
        <w:rPr>
          <w:lang w:val="fr-FR"/>
        </w:rPr>
        <w:t>Ouzbékistan</w:t>
      </w:r>
      <w:r w:rsidR="009824A8">
        <w:rPr>
          <w:lang w:val="fr-FR"/>
        </w:rPr>
        <w:t>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5103"/>
        <w:gridCol w:w="2182"/>
      </w:tblGrid>
      <w:tr w:rsidR="000202A3" w:rsidRPr="005C6604" w14:paraId="1ADB8AF2" w14:textId="77777777" w:rsidTr="00733C8C">
        <w:trPr>
          <w:trHeight w:val="473"/>
        </w:trPr>
        <w:tc>
          <w:tcPr>
            <w:tcW w:w="6975" w:type="dxa"/>
            <w:gridSpan w:val="2"/>
            <w:vAlign w:val="center"/>
          </w:tcPr>
          <w:p w14:paraId="20CCAF68" w14:textId="77777777" w:rsidR="000202A3" w:rsidRPr="00CE0628" w:rsidRDefault="000202A3" w:rsidP="00CE0628">
            <w:pPr>
              <w:jc w:val="center"/>
              <w:rPr>
                <w:b/>
                <w:szCs w:val="22"/>
              </w:rPr>
            </w:pPr>
            <w:r w:rsidRPr="00CE0628">
              <w:rPr>
                <w:b/>
                <w:szCs w:val="22"/>
              </w:rPr>
              <w:t xml:space="preserve">Taxe de </w:t>
            </w:r>
            <w:proofErr w:type="spellStart"/>
            <w:r w:rsidRPr="00CE0628">
              <w:rPr>
                <w:b/>
                <w:szCs w:val="22"/>
              </w:rPr>
              <w:t>désignation</w:t>
            </w:r>
            <w:proofErr w:type="spellEnd"/>
            <w:r w:rsidRPr="00CE0628">
              <w:rPr>
                <w:b/>
                <w:szCs w:val="22"/>
              </w:rPr>
              <w:t xml:space="preserve"> </w:t>
            </w:r>
            <w:proofErr w:type="spellStart"/>
            <w:r w:rsidRPr="00CE0628">
              <w:rPr>
                <w:b/>
                <w:szCs w:val="22"/>
              </w:rPr>
              <w:t>individuell</w:t>
            </w:r>
            <w:r w:rsidRPr="00CE0628">
              <w:rPr>
                <w:b/>
                <w:bCs/>
                <w:szCs w:val="22"/>
              </w:rPr>
              <w:t>e</w:t>
            </w:r>
            <w:proofErr w:type="spellEnd"/>
          </w:p>
        </w:tc>
        <w:tc>
          <w:tcPr>
            <w:tcW w:w="2182" w:type="dxa"/>
            <w:vAlign w:val="center"/>
          </w:tcPr>
          <w:p w14:paraId="6771FBF3" w14:textId="5365E347" w:rsidR="000202A3" w:rsidRPr="00CE0628" w:rsidRDefault="000202A3" w:rsidP="00733C8C">
            <w:pPr>
              <w:spacing w:after="120"/>
              <w:jc w:val="center"/>
              <w:rPr>
                <w:b/>
                <w:szCs w:val="22"/>
              </w:rPr>
            </w:pPr>
            <w:r w:rsidRPr="00CE0628">
              <w:rPr>
                <w:b/>
                <w:bCs/>
                <w:szCs w:val="22"/>
              </w:rPr>
              <w:t>Montants</w:t>
            </w:r>
            <w:r w:rsidR="00CE0628" w:rsidRPr="00CE0628">
              <w:rPr>
                <w:b/>
                <w:bCs/>
                <w:szCs w:val="22"/>
              </w:rPr>
              <w:t xml:space="preserve"> </w:t>
            </w:r>
            <w:r w:rsidRPr="00CE0628">
              <w:rPr>
                <w:szCs w:val="22"/>
              </w:rPr>
              <w:br/>
            </w:r>
            <w:r w:rsidRPr="00733C8C">
              <w:rPr>
                <w:szCs w:val="22"/>
              </w:rPr>
              <w:t>(en francs suisses)</w:t>
            </w:r>
          </w:p>
        </w:tc>
      </w:tr>
      <w:tr w:rsidR="000202A3" w:rsidRPr="005C6604" w14:paraId="3672A77F" w14:textId="77777777" w:rsidTr="00733C8C">
        <w:trPr>
          <w:trHeight w:val="551"/>
        </w:trPr>
        <w:tc>
          <w:tcPr>
            <w:tcW w:w="1872" w:type="dxa"/>
            <w:vAlign w:val="center"/>
          </w:tcPr>
          <w:p w14:paraId="736E2E71" w14:textId="77777777" w:rsidR="000202A3" w:rsidRPr="00CE0628" w:rsidRDefault="000202A3" w:rsidP="005B121A">
            <w:pPr>
              <w:spacing w:before="120" w:line="360" w:lineRule="auto"/>
              <w:rPr>
                <w:szCs w:val="22"/>
              </w:rPr>
            </w:pPr>
            <w:proofErr w:type="spellStart"/>
            <w:r w:rsidRPr="00CE0628">
              <w:rPr>
                <w:szCs w:val="22"/>
              </w:rPr>
              <w:t>Demande</w:t>
            </w:r>
            <w:proofErr w:type="spellEnd"/>
            <w:r w:rsidRPr="00CE0628">
              <w:rPr>
                <w:szCs w:val="22"/>
              </w:rPr>
              <w:t xml:space="preserve"> </w:t>
            </w:r>
            <w:proofErr w:type="spellStart"/>
            <w:r w:rsidRPr="00CE0628">
              <w:rPr>
                <w:szCs w:val="22"/>
              </w:rPr>
              <w:t>internationale</w:t>
            </w:r>
            <w:proofErr w:type="spellEnd"/>
          </w:p>
        </w:tc>
        <w:tc>
          <w:tcPr>
            <w:tcW w:w="5103" w:type="dxa"/>
          </w:tcPr>
          <w:p w14:paraId="64F89EA8" w14:textId="6EABBF26" w:rsidR="000202A3" w:rsidRPr="00CE0628" w:rsidRDefault="000202A3" w:rsidP="004F21F6">
            <w:pPr>
              <w:pStyle w:val="ListParagraph"/>
              <w:numPr>
                <w:ilvl w:val="0"/>
                <w:numId w:val="14"/>
              </w:numPr>
              <w:spacing w:before="120"/>
              <w:ind w:left="331"/>
              <w:rPr>
                <w:szCs w:val="22"/>
              </w:rPr>
            </w:pPr>
            <w:proofErr w:type="gramStart"/>
            <w:r w:rsidRPr="00CE0628">
              <w:rPr>
                <w:szCs w:val="22"/>
              </w:rPr>
              <w:t>pour</w:t>
            </w:r>
            <w:proofErr w:type="gramEnd"/>
            <w:r w:rsidRPr="00CE0628">
              <w:rPr>
                <w:szCs w:val="22"/>
              </w:rPr>
              <w:t xml:space="preserve"> le premier dessin ou modèle</w:t>
            </w:r>
          </w:p>
          <w:p w14:paraId="30EB8BBE" w14:textId="513396A4" w:rsidR="000202A3" w:rsidRPr="00CE0628" w:rsidRDefault="000202A3" w:rsidP="004F21F6">
            <w:pPr>
              <w:pStyle w:val="ListParagraph"/>
              <w:numPr>
                <w:ilvl w:val="0"/>
                <w:numId w:val="14"/>
              </w:numPr>
              <w:spacing w:before="120"/>
              <w:ind w:left="331"/>
              <w:rPr>
                <w:szCs w:val="22"/>
              </w:rPr>
            </w:pPr>
            <w:proofErr w:type="gramStart"/>
            <w:r w:rsidRPr="00CE0628">
              <w:rPr>
                <w:szCs w:val="22"/>
              </w:rPr>
              <w:t>pour</w:t>
            </w:r>
            <w:proofErr w:type="gramEnd"/>
            <w:r w:rsidRPr="00CE0628">
              <w:rPr>
                <w:szCs w:val="22"/>
              </w:rPr>
              <w:t xml:space="preserve"> chaque dessin ou modèle supplémentaire</w:t>
            </w:r>
            <w:r w:rsidRPr="00CE0628">
              <w:rPr>
                <w:szCs w:val="22"/>
                <w:vertAlign w:val="superscript"/>
              </w:rPr>
              <w:footnoteReference w:id="2"/>
            </w:r>
          </w:p>
        </w:tc>
        <w:tc>
          <w:tcPr>
            <w:tcW w:w="2182" w:type="dxa"/>
          </w:tcPr>
          <w:p w14:paraId="575CC366" w14:textId="77777777" w:rsidR="000202A3" w:rsidRPr="00CE0628" w:rsidRDefault="000202A3" w:rsidP="005B121A">
            <w:pPr>
              <w:spacing w:before="120" w:line="360" w:lineRule="auto"/>
              <w:jc w:val="center"/>
              <w:rPr>
                <w:szCs w:val="22"/>
              </w:rPr>
            </w:pPr>
            <w:r w:rsidRPr="00CE0628">
              <w:rPr>
                <w:szCs w:val="22"/>
              </w:rPr>
              <w:t>262</w:t>
            </w:r>
          </w:p>
          <w:p w14:paraId="1CC115EB" w14:textId="32CC1DDC" w:rsidR="000202A3" w:rsidRPr="00CE0628" w:rsidRDefault="000202A3" w:rsidP="005B121A">
            <w:pPr>
              <w:spacing w:before="120" w:line="360" w:lineRule="auto"/>
              <w:jc w:val="center"/>
              <w:rPr>
                <w:szCs w:val="22"/>
              </w:rPr>
            </w:pPr>
            <w:r w:rsidRPr="00CE0628">
              <w:rPr>
                <w:szCs w:val="22"/>
              </w:rPr>
              <w:t>43</w:t>
            </w:r>
          </w:p>
        </w:tc>
      </w:tr>
      <w:tr w:rsidR="000202A3" w:rsidRPr="005C6604" w14:paraId="0B48F983" w14:textId="77777777" w:rsidTr="00733C8C">
        <w:trPr>
          <w:trHeight w:val="489"/>
        </w:trPr>
        <w:tc>
          <w:tcPr>
            <w:tcW w:w="1872" w:type="dxa"/>
            <w:vAlign w:val="center"/>
          </w:tcPr>
          <w:p w14:paraId="679085C8" w14:textId="77777777" w:rsidR="000202A3" w:rsidRPr="00CE0628" w:rsidRDefault="000202A3" w:rsidP="005B121A">
            <w:pPr>
              <w:spacing w:before="120" w:line="360" w:lineRule="auto"/>
              <w:rPr>
                <w:szCs w:val="22"/>
              </w:rPr>
            </w:pPr>
            <w:r w:rsidRPr="00CE0628">
              <w:rPr>
                <w:szCs w:val="22"/>
              </w:rPr>
              <w:t>Renouvellement</w:t>
            </w:r>
          </w:p>
        </w:tc>
        <w:tc>
          <w:tcPr>
            <w:tcW w:w="5103" w:type="dxa"/>
          </w:tcPr>
          <w:p w14:paraId="2E6930E9" w14:textId="3C9C4AE8" w:rsidR="000202A3" w:rsidRPr="00CE0628" w:rsidRDefault="000202A3" w:rsidP="004F21F6">
            <w:pPr>
              <w:pStyle w:val="ListParagraph"/>
              <w:numPr>
                <w:ilvl w:val="0"/>
                <w:numId w:val="14"/>
              </w:numPr>
              <w:spacing w:before="120"/>
              <w:ind w:left="331"/>
              <w:rPr>
                <w:szCs w:val="22"/>
              </w:rPr>
            </w:pPr>
            <w:proofErr w:type="gramStart"/>
            <w:r w:rsidRPr="00CE0628">
              <w:rPr>
                <w:szCs w:val="22"/>
              </w:rPr>
              <w:t>premier</w:t>
            </w:r>
            <w:proofErr w:type="gramEnd"/>
            <w:r w:rsidRPr="00CE0628">
              <w:rPr>
                <w:szCs w:val="22"/>
              </w:rPr>
              <w:t xml:space="preserve"> renouvellement</w:t>
            </w:r>
          </w:p>
          <w:p w14:paraId="148619AA" w14:textId="115B50E4" w:rsidR="000202A3" w:rsidRPr="00CE0628" w:rsidRDefault="000202A3" w:rsidP="004F21F6">
            <w:pPr>
              <w:pStyle w:val="ListParagraph"/>
              <w:numPr>
                <w:ilvl w:val="0"/>
                <w:numId w:val="14"/>
              </w:numPr>
              <w:spacing w:before="120"/>
              <w:ind w:left="331"/>
              <w:rPr>
                <w:szCs w:val="22"/>
              </w:rPr>
            </w:pPr>
            <w:proofErr w:type="gramStart"/>
            <w:r w:rsidRPr="00CE0628">
              <w:rPr>
                <w:szCs w:val="22"/>
              </w:rPr>
              <w:t>deuxième</w:t>
            </w:r>
            <w:proofErr w:type="gramEnd"/>
            <w:r w:rsidRPr="00CE0628">
              <w:rPr>
                <w:szCs w:val="22"/>
              </w:rPr>
              <w:t xml:space="preserve"> renouvellement</w:t>
            </w:r>
          </w:p>
        </w:tc>
        <w:tc>
          <w:tcPr>
            <w:tcW w:w="2182" w:type="dxa"/>
          </w:tcPr>
          <w:p w14:paraId="77933904" w14:textId="77777777" w:rsidR="000202A3" w:rsidRPr="00CE0628" w:rsidRDefault="000202A3" w:rsidP="005B121A">
            <w:pPr>
              <w:spacing w:before="120" w:line="360" w:lineRule="auto"/>
              <w:jc w:val="center"/>
              <w:rPr>
                <w:szCs w:val="22"/>
              </w:rPr>
            </w:pPr>
            <w:r w:rsidRPr="00CE0628">
              <w:rPr>
                <w:szCs w:val="22"/>
              </w:rPr>
              <w:t>284</w:t>
            </w:r>
          </w:p>
          <w:p w14:paraId="65FF3960" w14:textId="77777777" w:rsidR="000202A3" w:rsidRPr="00CE0628" w:rsidRDefault="000202A3" w:rsidP="005B121A">
            <w:pPr>
              <w:spacing w:before="120" w:line="360" w:lineRule="auto"/>
              <w:jc w:val="center"/>
              <w:rPr>
                <w:szCs w:val="22"/>
              </w:rPr>
            </w:pPr>
            <w:r w:rsidRPr="00CE0628">
              <w:rPr>
                <w:szCs w:val="22"/>
              </w:rPr>
              <w:t>437</w:t>
            </w:r>
          </w:p>
        </w:tc>
      </w:tr>
    </w:tbl>
    <w:p w14:paraId="0998BDB5" w14:textId="1A631EBE" w:rsidR="000202A3" w:rsidRPr="000202A3" w:rsidRDefault="000202A3" w:rsidP="009824A8">
      <w:pPr>
        <w:pStyle w:val="ONUMFS"/>
        <w:rPr>
          <w:lang w:val="fr-FR"/>
        </w:rPr>
      </w:pPr>
      <w:r w:rsidRPr="000202A3">
        <w:rPr>
          <w:lang w:val="fr-FR"/>
        </w:rPr>
        <w:lastRenderedPageBreak/>
        <w:t>Conformément à l</w:t>
      </w:r>
      <w:r w:rsidR="009824A8">
        <w:rPr>
          <w:lang w:val="fr-FR"/>
        </w:rPr>
        <w:t>’</w:t>
      </w:r>
      <w:r w:rsidRPr="000202A3">
        <w:rPr>
          <w:lang w:val="fr-FR"/>
        </w:rPr>
        <w:t>article 30.1)ii) de l</w:t>
      </w:r>
      <w:r w:rsidR="009824A8">
        <w:rPr>
          <w:lang w:val="fr-FR"/>
        </w:rPr>
        <w:t>’</w:t>
      </w:r>
      <w:r w:rsidRPr="000202A3">
        <w:rPr>
          <w:lang w:val="fr-FR"/>
        </w:rPr>
        <w:t>Acte de Genève, la déclaration susmentionnée relative à la taxe de désignation individuelle entrera en vigueur le 30 </w:t>
      </w:r>
      <w:r w:rsidR="009824A8" w:rsidRPr="000202A3">
        <w:rPr>
          <w:lang w:val="fr-FR"/>
        </w:rPr>
        <w:t>juillet</w:t>
      </w:r>
      <w:r w:rsidR="009824A8">
        <w:rPr>
          <w:lang w:val="fr-FR"/>
        </w:rPr>
        <w:t> </w:t>
      </w:r>
      <w:r w:rsidR="009824A8" w:rsidRPr="000202A3">
        <w:rPr>
          <w:lang w:val="fr-FR"/>
        </w:rPr>
        <w:t>20</w:t>
      </w:r>
      <w:r w:rsidRPr="000202A3">
        <w:rPr>
          <w:lang w:val="fr-FR"/>
        </w:rPr>
        <w:t>25.  À ce sujet, il convient de noter que la taxe de désignation individuelle sera due lorsque l</w:t>
      </w:r>
      <w:r w:rsidR="009824A8">
        <w:rPr>
          <w:lang w:val="fr-FR"/>
        </w:rPr>
        <w:t>’</w:t>
      </w:r>
      <w:r w:rsidRPr="000202A3">
        <w:rPr>
          <w:lang w:val="fr-FR"/>
        </w:rPr>
        <w:t>Ouzbékistan sera désigné dans une demande internationale dont la date de l</w:t>
      </w:r>
      <w:r w:rsidR="009824A8">
        <w:rPr>
          <w:lang w:val="fr-FR"/>
        </w:rPr>
        <w:t>’</w:t>
      </w:r>
      <w:r w:rsidRPr="000202A3">
        <w:rPr>
          <w:lang w:val="fr-FR"/>
        </w:rPr>
        <w:t>enregistrement international est la date indiquée ci</w:t>
      </w:r>
      <w:r w:rsidR="00D42E51">
        <w:rPr>
          <w:lang w:val="fr-FR"/>
        </w:rPr>
        <w:noBreakHyphen/>
      </w:r>
      <w:r w:rsidRPr="000202A3">
        <w:rPr>
          <w:lang w:val="fr-FR"/>
        </w:rPr>
        <w:t>dessus ou une date postérieure, en application de l</w:t>
      </w:r>
      <w:r w:rsidR="009824A8">
        <w:rPr>
          <w:lang w:val="fr-FR"/>
        </w:rPr>
        <w:t>’</w:t>
      </w:r>
      <w:r w:rsidRPr="000202A3">
        <w:rPr>
          <w:lang w:val="fr-FR"/>
        </w:rPr>
        <w:t>article 10.2) de l</w:t>
      </w:r>
      <w:r w:rsidR="009824A8">
        <w:rPr>
          <w:lang w:val="fr-FR"/>
        </w:rPr>
        <w:t>’</w:t>
      </w:r>
      <w:r w:rsidRPr="000202A3">
        <w:rPr>
          <w:lang w:val="fr-FR"/>
        </w:rPr>
        <w:t>Acte de</w:t>
      </w:r>
      <w:r w:rsidR="00D04106">
        <w:rPr>
          <w:lang w:val="fr-FR"/>
        </w:rPr>
        <w:t> </w:t>
      </w:r>
      <w:r w:rsidRPr="000202A3">
        <w:rPr>
          <w:lang w:val="fr-FR"/>
        </w:rPr>
        <w:t>Genève.</w:t>
      </w:r>
    </w:p>
    <w:p w14:paraId="74B00FF1" w14:textId="1F809181" w:rsidR="00E25414" w:rsidRPr="000202A3" w:rsidRDefault="00EE4C50" w:rsidP="00096EA4">
      <w:pPr>
        <w:pStyle w:val="ONUME"/>
        <w:numPr>
          <w:ilvl w:val="0"/>
          <w:numId w:val="0"/>
        </w:numPr>
        <w:spacing w:before="480" w:after="0"/>
        <w:ind w:left="5534"/>
        <w:rPr>
          <w:lang w:val="fr-FR"/>
        </w:rPr>
      </w:pPr>
      <w:r>
        <w:rPr>
          <w:lang w:val="fr-FR" w:eastAsia="ja-JP"/>
        </w:rPr>
        <w:t>20</w:t>
      </w:r>
      <w:r w:rsidR="001C32BE" w:rsidRPr="000202A3">
        <w:rPr>
          <w:lang w:val="fr-FR" w:eastAsia="ja-JP"/>
        </w:rPr>
        <w:t> </w:t>
      </w:r>
      <w:r w:rsidR="000202A3">
        <w:rPr>
          <w:lang w:val="fr-FR" w:eastAsia="ja-JP"/>
        </w:rPr>
        <w:t>juin</w:t>
      </w:r>
      <w:r w:rsidR="006F18C8" w:rsidRPr="000202A3">
        <w:rPr>
          <w:lang w:val="fr-FR" w:eastAsia="ja-JP"/>
        </w:rPr>
        <w:t> </w:t>
      </w:r>
      <w:r w:rsidR="00AD1B68" w:rsidRPr="000202A3">
        <w:rPr>
          <w:lang w:val="fr-FR" w:eastAsia="ja-JP"/>
        </w:rPr>
        <w:t>20</w:t>
      </w:r>
      <w:r w:rsidR="00096EA4" w:rsidRPr="000202A3">
        <w:rPr>
          <w:lang w:val="fr-FR" w:eastAsia="ja-JP"/>
        </w:rPr>
        <w:t>2</w:t>
      </w:r>
      <w:r w:rsidR="000202A3">
        <w:rPr>
          <w:lang w:val="fr-FR" w:eastAsia="ja-JP"/>
        </w:rPr>
        <w:t>5</w:t>
      </w:r>
    </w:p>
    <w:sectPr w:rsidR="00E25414" w:rsidRPr="000202A3" w:rsidSect="005B121A">
      <w:headerReference w:type="even" r:id="rId11"/>
      <w:headerReference w:type="default" r:id="rId12"/>
      <w:footnotePr>
        <w:numFmt w:val="chicago"/>
      </w:footnotePr>
      <w:pgSz w:w="11907" w:h="16840" w:code="9"/>
      <w:pgMar w:top="567" w:right="1134" w:bottom="63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F5D0" w14:textId="77777777" w:rsidR="000202A3" w:rsidRDefault="000202A3">
      <w:r>
        <w:separator/>
      </w:r>
    </w:p>
  </w:endnote>
  <w:endnote w:type="continuationSeparator" w:id="0">
    <w:p w14:paraId="2056E526" w14:textId="77777777" w:rsidR="000202A3" w:rsidRDefault="000202A3" w:rsidP="00A326CA">
      <w:r>
        <w:separator/>
      </w:r>
    </w:p>
    <w:p w14:paraId="40A1B873" w14:textId="77777777" w:rsidR="000202A3" w:rsidRPr="00A326CA" w:rsidRDefault="000202A3" w:rsidP="00A326CA">
      <w:r>
        <w:rPr>
          <w:sz w:val="17"/>
        </w:rPr>
        <w:t>[Endnote continued from previous page]</w:t>
      </w:r>
    </w:p>
  </w:endnote>
  <w:endnote w:type="continuationNotice" w:id="1">
    <w:p w14:paraId="55CB518C" w14:textId="77777777" w:rsidR="000202A3" w:rsidRPr="00A326CA" w:rsidRDefault="000202A3"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5531" w14:textId="77777777" w:rsidR="000202A3" w:rsidRDefault="000202A3">
      <w:r>
        <w:separator/>
      </w:r>
    </w:p>
  </w:footnote>
  <w:footnote w:type="continuationSeparator" w:id="0">
    <w:p w14:paraId="38888DC6" w14:textId="77777777" w:rsidR="000202A3" w:rsidRDefault="000202A3" w:rsidP="00A326CA">
      <w:r>
        <w:separator/>
      </w:r>
    </w:p>
    <w:p w14:paraId="69B3A571" w14:textId="77777777" w:rsidR="000202A3" w:rsidRPr="00A326CA" w:rsidRDefault="000202A3"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CCFF782" w14:textId="77777777" w:rsidR="000202A3" w:rsidRPr="00A326CA" w:rsidRDefault="000202A3" w:rsidP="00A326CA">
      <w:pPr>
        <w:spacing w:before="60"/>
        <w:jc w:val="right"/>
        <w:rPr>
          <w:sz w:val="17"/>
          <w:szCs w:val="17"/>
        </w:rPr>
      </w:pPr>
      <w:r w:rsidRPr="000C7343">
        <w:rPr>
          <w:sz w:val="17"/>
          <w:szCs w:val="17"/>
        </w:rPr>
        <w:t>[F</w:t>
      </w:r>
      <w:r>
        <w:rPr>
          <w:sz w:val="17"/>
          <w:szCs w:val="17"/>
        </w:rPr>
        <w:t>ootnote continued on next page]</w:t>
      </w:r>
    </w:p>
  </w:footnote>
  <w:footnote w:id="2">
    <w:p w14:paraId="30468143" w14:textId="418B228A" w:rsidR="000202A3" w:rsidRPr="000202A3" w:rsidRDefault="000202A3" w:rsidP="00CE0628">
      <w:pPr>
        <w:pStyle w:val="EndnoteText"/>
        <w:tabs>
          <w:tab w:val="left" w:pos="567"/>
        </w:tabs>
        <w:rPr>
          <w:lang w:val="fr-FR"/>
        </w:rPr>
      </w:pPr>
      <w:r>
        <w:rPr>
          <w:rStyle w:val="FootnoteReference"/>
        </w:rPr>
        <w:footnoteRef/>
      </w:r>
      <w:r w:rsidRPr="000202A3">
        <w:rPr>
          <w:lang w:val="fr-FR"/>
        </w:rPr>
        <w:tab/>
        <w:t>L</w:t>
      </w:r>
      <w:r w:rsidR="002E2A85">
        <w:rPr>
          <w:lang w:val="fr-FR"/>
        </w:rPr>
        <w:t>’</w:t>
      </w:r>
      <w:r w:rsidRPr="000202A3">
        <w:rPr>
          <w:lang w:val="fr-FR"/>
        </w:rPr>
        <w:t>Ouzbékistan a fait la déclaration visée à l</w:t>
      </w:r>
      <w:r w:rsidR="002E2A85">
        <w:rPr>
          <w:lang w:val="fr-FR"/>
        </w:rPr>
        <w:t>’</w:t>
      </w:r>
      <w:r w:rsidRPr="000202A3">
        <w:rPr>
          <w:lang w:val="fr-FR"/>
        </w:rPr>
        <w:t>article 13.1) de l</w:t>
      </w:r>
      <w:r w:rsidR="002E2A85">
        <w:rPr>
          <w:lang w:val="fr-FR"/>
        </w:rPr>
        <w:t>’</w:t>
      </w:r>
      <w:r w:rsidRPr="000202A3">
        <w:rPr>
          <w:lang w:val="fr-FR"/>
        </w:rPr>
        <w:t>Acte de Genève, selon laquelle, conformément à la législation de l</w:t>
      </w:r>
      <w:r w:rsidR="002E2A85">
        <w:rPr>
          <w:lang w:val="fr-FR"/>
        </w:rPr>
        <w:t>’</w:t>
      </w:r>
      <w:r w:rsidRPr="000202A3">
        <w:rPr>
          <w:lang w:val="fr-FR"/>
        </w:rPr>
        <w:t>Ouzbékistan, une demande ne peut contenir qu</w:t>
      </w:r>
      <w:r w:rsidR="002E2A85">
        <w:rPr>
          <w:lang w:val="fr-FR"/>
        </w:rPr>
        <w:t>’</w:t>
      </w:r>
      <w:r w:rsidRPr="000202A3">
        <w:rPr>
          <w:lang w:val="fr-FR"/>
        </w:rPr>
        <w:t>un dessin ou modèle industriel indépendant et distinct, ou un dessin ou modèle et ses variantes qui diffèrent de ce dessin ou modèle par des caractéristiques insignifiantes sur le plan visuel ou par une combinaison de couleurs, ou un groupe de dessins ou modèles industriels appartenant au même ensemble de produits, ainsi qu</w:t>
      </w:r>
      <w:r w:rsidR="002E2A85">
        <w:rPr>
          <w:lang w:val="fr-FR"/>
        </w:rPr>
        <w:t>’</w:t>
      </w:r>
      <w:r w:rsidRPr="000202A3">
        <w:rPr>
          <w:lang w:val="fr-FR"/>
        </w:rPr>
        <w:t>un ou plusieurs dessins ou modèles industriels pour des produits distincts appartenant au même ensemble de produits.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5B94" w14:textId="524D750E" w:rsidR="00096EA4" w:rsidRPr="00DD4C78" w:rsidRDefault="00096EA4" w:rsidP="00CE0628">
    <w:pPr>
      <w:pStyle w:val="Header"/>
      <w:spacing w:after="480"/>
      <w:jc w:val="right"/>
      <w:rPr>
        <w:lang w:val="fr-CH"/>
      </w:rPr>
    </w:pPr>
    <w:proofErr w:type="gramStart"/>
    <w:r>
      <w:rPr>
        <w:lang w:val="fr-CH"/>
      </w:rPr>
      <w:t>page</w:t>
    </w:r>
    <w:proofErr w:type="gramEnd"/>
    <w:r w:rsidR="00CE0628">
      <w:rPr>
        <w:lang w:val="fr-CH"/>
      </w:rP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ABCB" w14:textId="3E079DB1" w:rsidR="009319A3" w:rsidRDefault="000202A3"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14:anchorId="299E472E" wp14:editId="57BE63CD">
              <wp:simplePos x="0" y="0"/>
              <wp:positionH relativeFrom="page">
                <wp:posOffset>0</wp:posOffset>
              </wp:positionH>
              <wp:positionV relativeFrom="page">
                <wp:posOffset>558800</wp:posOffset>
              </wp:positionV>
              <wp:extent cx="7620000" cy="317500"/>
              <wp:effectExtent l="0" t="0" r="0" b="0"/>
              <wp:wrapNone/>
              <wp:docPr id="207563430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60E4E"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E472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" o:allowincell="f" filled="f" stroked="f">
              <v:textbox>
                <w:txbxContent>
                  <w:p w14:paraId="01060E4E"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14:anchorId="381D8BCC" wp14:editId="43DAA9CB">
              <wp:simplePos x="0" y="0"/>
              <wp:positionH relativeFrom="page">
                <wp:posOffset>0</wp:posOffset>
              </wp:positionH>
              <wp:positionV relativeFrom="page">
                <wp:posOffset>558800</wp:posOffset>
              </wp:positionV>
              <wp:extent cx="7620000" cy="317500"/>
              <wp:effectExtent l="0" t="0" r="0" b="0"/>
              <wp:wrapNone/>
              <wp:docPr id="1444124030"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92E2"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D8BCC"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" o:allowincell="f" filled="f" stroked="f">
              <v:textbox>
                <w:txbxContent>
                  <w:p w14:paraId="49C292E2"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14:anchorId="6088F403" wp14:editId="22522664">
              <wp:simplePos x="0" y="0"/>
              <wp:positionH relativeFrom="page">
                <wp:posOffset>0</wp:posOffset>
              </wp:positionH>
              <wp:positionV relativeFrom="page">
                <wp:posOffset>558800</wp:posOffset>
              </wp:positionV>
              <wp:extent cx="7620000" cy="317500"/>
              <wp:effectExtent l="0" t="0" r="0" b="0"/>
              <wp:wrapNone/>
              <wp:docPr id="1791376079"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F57DC"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F403"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" o:allowincell="f" filled="f" stroked="f">
              <v:textbox>
                <w:txbxContent>
                  <w:p w14:paraId="66DF57DC"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14:paraId="477F65DC" w14:textId="77777777" w:rsidR="004921F7" w:rsidRDefault="004921F7" w:rsidP="00DD4C78">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14:paraId="7D737DF6" w14:textId="77777777"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229D24D6"/>
    <w:multiLevelType w:val="hybridMultilevel"/>
    <w:tmpl w:val="BD3AF3A2"/>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3A4A4B"/>
    <w:multiLevelType w:val="hybridMultilevel"/>
    <w:tmpl w:val="9B9E781E"/>
    <w:lvl w:ilvl="0" w:tplc="86E460F6">
      <w:numFmt w:val="bullet"/>
      <w:lvlText w:val="–"/>
      <w:lvlJc w:val="left"/>
      <w:pPr>
        <w:ind w:left="720" w:hanging="360"/>
      </w:pPr>
      <w:rPr>
        <w:rFonts w:ascii="Arial" w:eastAsia="SimSu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A368F"/>
    <w:multiLevelType w:val="hybridMultilevel"/>
    <w:tmpl w:val="E9C6F436"/>
    <w:lvl w:ilvl="0" w:tplc="3FAC0F2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332830541">
    <w:abstractNumId w:val="3"/>
  </w:num>
  <w:num w:numId="2" w16cid:durableId="116143344">
    <w:abstractNumId w:val="8"/>
  </w:num>
  <w:num w:numId="3" w16cid:durableId="543711616">
    <w:abstractNumId w:val="0"/>
  </w:num>
  <w:num w:numId="4" w16cid:durableId="990525163">
    <w:abstractNumId w:val="11"/>
  </w:num>
  <w:num w:numId="5" w16cid:durableId="223611068">
    <w:abstractNumId w:val="1"/>
  </w:num>
  <w:num w:numId="6" w16cid:durableId="1447655803">
    <w:abstractNumId w:val="4"/>
  </w:num>
  <w:num w:numId="7" w16cid:durableId="1015493959">
    <w:abstractNumId w:val="12"/>
  </w:num>
  <w:num w:numId="8" w16cid:durableId="547910291">
    <w:abstractNumId w:val="2"/>
  </w:num>
  <w:num w:numId="9" w16cid:durableId="791367852">
    <w:abstractNumId w:val="10"/>
  </w:num>
  <w:num w:numId="10" w16cid:durableId="634406405">
    <w:abstractNumId w:val="5"/>
  </w:num>
  <w:num w:numId="11" w16cid:durableId="392430185">
    <w:abstractNumId w:val="6"/>
  </w:num>
  <w:num w:numId="12" w16cid:durableId="1383944664">
    <w:abstractNumId w:val="1"/>
    <w:lvlOverride w:ilvl="0">
      <w:startOverride w:val="4"/>
    </w:lvlOverride>
  </w:num>
  <w:num w:numId="13" w16cid:durableId="458692799">
    <w:abstractNumId w:val="9"/>
  </w:num>
  <w:num w:numId="14" w16cid:durableId="1893034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0202A3"/>
    <w:rsid w:val="0000121D"/>
    <w:rsid w:val="00002628"/>
    <w:rsid w:val="00010053"/>
    <w:rsid w:val="0001121D"/>
    <w:rsid w:val="00013E3F"/>
    <w:rsid w:val="000202A3"/>
    <w:rsid w:val="00026397"/>
    <w:rsid w:val="00030BB4"/>
    <w:rsid w:val="000312C4"/>
    <w:rsid w:val="0003279E"/>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C687A"/>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63AE2"/>
    <w:rsid w:val="002735D5"/>
    <w:rsid w:val="002920A5"/>
    <w:rsid w:val="00294534"/>
    <w:rsid w:val="00295BAA"/>
    <w:rsid w:val="00297FCC"/>
    <w:rsid w:val="002A65C1"/>
    <w:rsid w:val="002E202E"/>
    <w:rsid w:val="002E2A85"/>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72B2A"/>
    <w:rsid w:val="00373C38"/>
    <w:rsid w:val="00381CA6"/>
    <w:rsid w:val="0038497B"/>
    <w:rsid w:val="0038618A"/>
    <w:rsid w:val="003904B6"/>
    <w:rsid w:val="00393056"/>
    <w:rsid w:val="003934B8"/>
    <w:rsid w:val="00393B6C"/>
    <w:rsid w:val="003A1028"/>
    <w:rsid w:val="003A37B2"/>
    <w:rsid w:val="003A5D6B"/>
    <w:rsid w:val="003C2136"/>
    <w:rsid w:val="003C334B"/>
    <w:rsid w:val="003C36AC"/>
    <w:rsid w:val="003D0A71"/>
    <w:rsid w:val="003D0A7E"/>
    <w:rsid w:val="003D22AF"/>
    <w:rsid w:val="0040386E"/>
    <w:rsid w:val="004132B9"/>
    <w:rsid w:val="0041796E"/>
    <w:rsid w:val="00421DAF"/>
    <w:rsid w:val="0042403F"/>
    <w:rsid w:val="00426EA2"/>
    <w:rsid w:val="00432B5B"/>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4F21F6"/>
    <w:rsid w:val="00504205"/>
    <w:rsid w:val="0051291E"/>
    <w:rsid w:val="00521DAC"/>
    <w:rsid w:val="00530150"/>
    <w:rsid w:val="00530187"/>
    <w:rsid w:val="005473CD"/>
    <w:rsid w:val="0057245E"/>
    <w:rsid w:val="0057360E"/>
    <w:rsid w:val="00576A06"/>
    <w:rsid w:val="0058229E"/>
    <w:rsid w:val="00582B32"/>
    <w:rsid w:val="005839D1"/>
    <w:rsid w:val="0058636A"/>
    <w:rsid w:val="00587374"/>
    <w:rsid w:val="005B121A"/>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86937"/>
    <w:rsid w:val="006A1DE6"/>
    <w:rsid w:val="006A3CA1"/>
    <w:rsid w:val="006B2AD7"/>
    <w:rsid w:val="006B6251"/>
    <w:rsid w:val="006B71AB"/>
    <w:rsid w:val="006C7BC4"/>
    <w:rsid w:val="006D1AD0"/>
    <w:rsid w:val="006D20CD"/>
    <w:rsid w:val="006D6EBA"/>
    <w:rsid w:val="006E230F"/>
    <w:rsid w:val="006F18C8"/>
    <w:rsid w:val="006F53C2"/>
    <w:rsid w:val="00713BA1"/>
    <w:rsid w:val="00715D12"/>
    <w:rsid w:val="007161E8"/>
    <w:rsid w:val="00733C8C"/>
    <w:rsid w:val="007343C9"/>
    <w:rsid w:val="00734F71"/>
    <w:rsid w:val="007464CA"/>
    <w:rsid w:val="0075255B"/>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D64B7"/>
    <w:rsid w:val="008D7F6B"/>
    <w:rsid w:val="008E6468"/>
    <w:rsid w:val="00907F4A"/>
    <w:rsid w:val="00911B74"/>
    <w:rsid w:val="0091724D"/>
    <w:rsid w:val="00930665"/>
    <w:rsid w:val="009319A3"/>
    <w:rsid w:val="00933DEA"/>
    <w:rsid w:val="00933F8C"/>
    <w:rsid w:val="00934458"/>
    <w:rsid w:val="009402DE"/>
    <w:rsid w:val="0094666C"/>
    <w:rsid w:val="009824A8"/>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C108A"/>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82F85"/>
    <w:rsid w:val="00C85F30"/>
    <w:rsid w:val="00C90726"/>
    <w:rsid w:val="00CA1A2C"/>
    <w:rsid w:val="00CA4EED"/>
    <w:rsid w:val="00CB3CB8"/>
    <w:rsid w:val="00CB5093"/>
    <w:rsid w:val="00CC017F"/>
    <w:rsid w:val="00CC672B"/>
    <w:rsid w:val="00CC7C1C"/>
    <w:rsid w:val="00CD2134"/>
    <w:rsid w:val="00CD3318"/>
    <w:rsid w:val="00CD57F7"/>
    <w:rsid w:val="00CD6034"/>
    <w:rsid w:val="00CD7CFA"/>
    <w:rsid w:val="00CE0628"/>
    <w:rsid w:val="00CE39D2"/>
    <w:rsid w:val="00CF38C8"/>
    <w:rsid w:val="00D04106"/>
    <w:rsid w:val="00D04BAC"/>
    <w:rsid w:val="00D05838"/>
    <w:rsid w:val="00D1442A"/>
    <w:rsid w:val="00D24AFC"/>
    <w:rsid w:val="00D41C60"/>
    <w:rsid w:val="00D423D8"/>
    <w:rsid w:val="00D42E51"/>
    <w:rsid w:val="00D4481A"/>
    <w:rsid w:val="00D46A92"/>
    <w:rsid w:val="00D510D3"/>
    <w:rsid w:val="00D51EB9"/>
    <w:rsid w:val="00D529C4"/>
    <w:rsid w:val="00D54B03"/>
    <w:rsid w:val="00D733AB"/>
    <w:rsid w:val="00D73759"/>
    <w:rsid w:val="00D872E7"/>
    <w:rsid w:val="00D92B47"/>
    <w:rsid w:val="00DA000D"/>
    <w:rsid w:val="00DA0453"/>
    <w:rsid w:val="00DA071B"/>
    <w:rsid w:val="00DA7B8A"/>
    <w:rsid w:val="00DB0A0E"/>
    <w:rsid w:val="00DB28AE"/>
    <w:rsid w:val="00DB4EBB"/>
    <w:rsid w:val="00DB60CA"/>
    <w:rsid w:val="00DC7C2D"/>
    <w:rsid w:val="00DD4C78"/>
    <w:rsid w:val="00DD77A0"/>
    <w:rsid w:val="00DE5A4F"/>
    <w:rsid w:val="00DE6474"/>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11B4"/>
    <w:rsid w:val="00EB5EF3"/>
    <w:rsid w:val="00EE0442"/>
    <w:rsid w:val="00EE1300"/>
    <w:rsid w:val="00EE4C50"/>
    <w:rsid w:val="00EE6096"/>
    <w:rsid w:val="00EF1CA7"/>
    <w:rsid w:val="00EF4D91"/>
    <w:rsid w:val="00F00A8C"/>
    <w:rsid w:val="00F0133E"/>
    <w:rsid w:val="00F01B52"/>
    <w:rsid w:val="00F06CE8"/>
    <w:rsid w:val="00F12A6E"/>
    <w:rsid w:val="00F2226C"/>
    <w:rsid w:val="00F36FD2"/>
    <w:rsid w:val="00F41529"/>
    <w:rsid w:val="00F45796"/>
    <w:rsid w:val="00F50021"/>
    <w:rsid w:val="00F6061D"/>
    <w:rsid w:val="00F64645"/>
    <w:rsid w:val="00F7095D"/>
    <w:rsid w:val="00F80F11"/>
    <w:rsid w:val="00F82596"/>
    <w:rsid w:val="00F836C9"/>
    <w:rsid w:val="00F96E95"/>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BF78A"/>
  <w15:chartTrackingRefBased/>
  <w15:docId w15:val="{1011EC8C-215D-42C5-B813-4479CD62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0202A3"/>
    <w:rPr>
      <w:rFonts w:ascii="Arial" w:eastAsia="SimSun" w:hAnsi="Arial" w:cs="Arial"/>
      <w:sz w:val="22"/>
      <w:lang w:eastAsia="zh-CN"/>
    </w:rPr>
  </w:style>
  <w:style w:type="paragraph" w:styleId="ListParagraph">
    <w:name w:val="List Paragraph"/>
    <w:basedOn w:val="Normal"/>
    <w:uiPriority w:val="34"/>
    <w:qFormat/>
    <w:rsid w:val="000202A3"/>
    <w:pPr>
      <w:spacing w:line="360" w:lineRule="auto"/>
      <w:ind w:left="720"/>
      <w:contextualSpacing/>
    </w:pPr>
    <w:rPr>
      <w:lang w:val="fr-FR"/>
    </w:rPr>
  </w:style>
  <w:style w:type="character" w:styleId="FollowedHyperlink">
    <w:name w:val="FollowedHyperlink"/>
    <w:basedOn w:val="DefaultParagraphFont"/>
    <w:rsid w:val="005B121A"/>
    <w:rPr>
      <w:color w:val="96607D" w:themeColor="followedHyperlink"/>
      <w:u w:val="single"/>
    </w:rPr>
  </w:style>
  <w:style w:type="character" w:styleId="UnresolvedMention">
    <w:name w:val="Unresolved Mention"/>
    <w:basedOn w:val="DefaultParagraphFont"/>
    <w:uiPriority w:val="99"/>
    <w:semiHidden/>
    <w:unhideWhenUsed/>
    <w:rsid w:val="0003279E"/>
    <w:rPr>
      <w:color w:val="605E5C"/>
      <w:shd w:val="clear" w:color="auto" w:fill="E1DFDD"/>
    </w:rPr>
  </w:style>
  <w:style w:type="paragraph" w:styleId="Revision">
    <w:name w:val="Revision"/>
    <w:hidden/>
    <w:uiPriority w:val="99"/>
    <w:semiHidden/>
    <w:rsid w:val="0003279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wipo.int/documents/d/hague-system/information-notices-fr-2024-uzbekistan-accession_f.pdf-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E03AB-90A6-4DDA-999C-57B25F67005F}">
  <ds:schemaRefs>
    <ds:schemaRef ds:uri="http://schemas.openxmlformats.org/officeDocument/2006/bibliography"/>
  </ds:schemaRefs>
</ds:datastoreItem>
</file>

<file path=customXml/itemProps2.xml><?xml version="1.0" encoding="utf-8"?>
<ds:datastoreItem xmlns:ds="http://schemas.openxmlformats.org/officeDocument/2006/customXml" ds:itemID="{06276A2E-EF62-4D39-AA03-B09E50EE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2130</Characters>
  <Application>Microsoft Office Word</Application>
  <DocSecurity>4</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 6/2025</vt:lpstr>
      <vt:lpstr> </vt:lpstr>
    </vt:vector>
  </TitlesOfParts>
  <Company>WIPO</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6/2025</dc:title>
  <dc:subject/>
  <dc:creator>LE GUEN Haude</dc:creator>
  <cp:keywords>FOR OFFICIAL USE ONLY</cp:keywords>
  <cp:lastModifiedBy>DUMITRU Elena</cp:lastModifiedBy>
  <cp:revision>2</cp:revision>
  <cp:lastPrinted>2013-12-12T12:33:00Z</cp:lastPrinted>
  <dcterms:created xsi:type="dcterms:W3CDTF">2025-06-20T08:54:00Z</dcterms:created>
  <dcterms:modified xsi:type="dcterms:W3CDTF">2025-06-20T08:54:00Z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2025-06-16T13:14:53Z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4723b37c-ea0b-4509-acb0-48719bf1f8fc</vt:lpwstr>
  </property>
  <property fmtid="{D5CDD505-2E9C-101B-9397-08002B2CF9AE}" pid="13" name="MSIP_Label_bfc084f7-b690-4c43-8ee6-d475b6d3461d_ContentBits">
    <vt:lpwstr>2</vt:lpwstr>
  </property>
  <property fmtid="{D5CDD505-2E9C-101B-9397-08002B2CF9AE}" pid="14" name="MSIP_Label_bfc084f7-b690-4c43-8ee6-d475b6d3461d_Tag">
    <vt:lpwstr>10, 3, 0, 1</vt:lpwstr>
  </property>
</Properties>
</file>