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20"/>
      </w:tblGrid>
      <w:tr w:rsidR="00DA05F4" w:rsidRPr="00507773" w:rsidTr="00A301FF">
        <w:trPr>
          <w:gridAfter w:val="1"/>
          <w:wAfter w:w="20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1185" cy="1326515"/>
                  <wp:effectExtent l="0" t="0" r="5715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jc w:val="right"/>
              <w:rPr>
                <w:lang w:val="fr-FR"/>
              </w:rPr>
            </w:pPr>
          </w:p>
        </w:tc>
      </w:tr>
      <w:tr w:rsidR="00DA05F4" w:rsidRPr="001832A6" w:rsidTr="00A301FF">
        <w:trPr>
          <w:trHeight w:hRule="exact" w:val="170"/>
        </w:trPr>
        <w:tc>
          <w:tcPr>
            <w:tcW w:w="9376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A301FF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DA05F4" w:rsidRPr="001832A6" w:rsidTr="00A301FF">
        <w:trPr>
          <w:trHeight w:hRule="exact" w:val="198"/>
        </w:trPr>
        <w:tc>
          <w:tcPr>
            <w:tcW w:w="9376" w:type="dxa"/>
            <w:gridSpan w:val="4"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D4669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AVIS </w:t>
            </w:r>
            <w:r w:rsidRPr="00315F24">
              <w:rPr>
                <w:rFonts w:ascii="Arial Black" w:hAnsi="Arial Black"/>
                <w:caps/>
                <w:sz w:val="15"/>
              </w:rPr>
              <w:t>N</w:t>
            </w:r>
            <w:r w:rsidRPr="00315F24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4669A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4669A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Date"/>
            <w:bookmarkEnd w:id="0"/>
          </w:p>
        </w:tc>
      </w:tr>
    </w:tbl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117306" w:rsidRDefault="00DA05F4" w:rsidP="00DA05F4">
      <w:pPr>
        <w:rPr>
          <w:b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Arrangement</w:t>
      </w:r>
      <w:r w:rsidRPr="00117306">
        <w:rPr>
          <w:b/>
          <w:bCs/>
          <w:sz w:val="28"/>
          <w:szCs w:val="28"/>
          <w:lang w:val="fr-FR"/>
        </w:rPr>
        <w:t xml:space="preserve"> de La Haye concernant l’enregistrement international des</w:t>
      </w:r>
      <w:r>
        <w:rPr>
          <w:b/>
          <w:bCs/>
          <w:sz w:val="28"/>
          <w:szCs w:val="28"/>
          <w:lang w:val="fr-FR"/>
        </w:rPr>
        <w:t> </w:t>
      </w:r>
      <w:r w:rsidRPr="00117306">
        <w:rPr>
          <w:b/>
          <w:bCs/>
          <w:sz w:val="28"/>
          <w:szCs w:val="28"/>
          <w:lang w:val="fr-FR"/>
        </w:rPr>
        <w:t>dessins et modèles industriels</w:t>
      </w: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szCs w:val="22"/>
          <w:lang w:val="fr-FR"/>
        </w:rPr>
      </w:pPr>
    </w:p>
    <w:p w:rsidR="00C2151D" w:rsidRPr="00B0068A" w:rsidRDefault="00D4669A" w:rsidP="00A8340E">
      <w:pPr>
        <w:ind w:right="-143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Retrait d’une déclaration selon la règle 18.1)c) du règlement d’exécution commun</w:t>
      </w:r>
      <w:r w:rsidR="00A8340E">
        <w:rPr>
          <w:b/>
          <w:sz w:val="24"/>
          <w:szCs w:val="24"/>
          <w:lang w:val="fr-FR"/>
        </w:rPr>
        <w:t xml:space="preserve"> </w:t>
      </w:r>
      <w:r w:rsidR="00A8340E">
        <w:rPr>
          <w:b/>
          <w:sz w:val="24"/>
          <w:szCs w:val="24"/>
          <w:lang w:val="fr-FR"/>
        </w:rPr>
        <w:br/>
      </w:r>
      <w:bookmarkStart w:id="1" w:name="_GoBack"/>
      <w:bookmarkEnd w:id="1"/>
      <w:r w:rsidR="004B1B67" w:rsidRPr="004B1B67">
        <w:rPr>
          <w:b/>
          <w:sz w:val="24"/>
          <w:szCs w:val="24"/>
          <w:lang w:val="fr-FR"/>
        </w:rPr>
        <w:t>à l’Acte de 1999 et l’Acte de 1960 de l’Arrangement de La Haye</w:t>
      </w:r>
      <w:r w:rsidR="00A8340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: Espagne</w:t>
      </w:r>
    </w:p>
    <w:p w:rsidR="00E25414" w:rsidRPr="00B0068A" w:rsidRDefault="00E25414" w:rsidP="00FB0131">
      <w:pPr>
        <w:rPr>
          <w:szCs w:val="22"/>
          <w:lang w:val="fr-FR"/>
        </w:rPr>
      </w:pPr>
    </w:p>
    <w:p w:rsidR="001C7C5B" w:rsidRPr="00770EAC" w:rsidRDefault="00FC6D28" w:rsidP="004758C8">
      <w:pPr>
        <w:pStyle w:val="ONUMFS"/>
        <w:rPr>
          <w:lang w:val="fr-FR"/>
        </w:rPr>
      </w:pPr>
      <w:r w:rsidRPr="00770EAC">
        <w:rPr>
          <w:lang w:val="fr-FR"/>
        </w:rPr>
        <w:t>Le 30 mai 2017, le Directeur général de l’Organisation Mondiale de la Propriété Intellectuelle (OMPI) a reçu de l’Office espagnol des brevets et des marques (OEPM) une lettre officielle indiquant que la loi sur les brevets n</w:t>
      </w:r>
      <w:r w:rsidRPr="00770EAC">
        <w:rPr>
          <w:vertAlign w:val="superscript"/>
          <w:lang w:val="fr-FR"/>
        </w:rPr>
        <w:t>o</w:t>
      </w:r>
      <w:r w:rsidRPr="00770EAC">
        <w:rPr>
          <w:lang w:val="fr-FR"/>
        </w:rPr>
        <w:t> 24/2015</w:t>
      </w:r>
      <w:r w:rsidR="004B1B67" w:rsidRPr="00770EAC">
        <w:rPr>
          <w:lang w:val="fr-FR"/>
        </w:rPr>
        <w:t xml:space="preserve"> du 24 juillet 2015</w:t>
      </w:r>
      <w:r w:rsidRPr="00770EAC">
        <w:rPr>
          <w:lang w:val="fr-FR"/>
        </w:rPr>
        <w:t xml:space="preserve">, </w:t>
      </w:r>
      <w:r w:rsidR="004B1B67" w:rsidRPr="00770EAC">
        <w:rPr>
          <w:lang w:val="fr-FR"/>
        </w:rPr>
        <w:t xml:space="preserve">qui est </w:t>
      </w:r>
      <w:r w:rsidRPr="00770EAC">
        <w:rPr>
          <w:lang w:val="fr-FR"/>
        </w:rPr>
        <w:t>entrée en vigueur le 1</w:t>
      </w:r>
      <w:r w:rsidRPr="00770EAC">
        <w:rPr>
          <w:vertAlign w:val="superscript"/>
          <w:lang w:val="fr-FR"/>
        </w:rPr>
        <w:t>er</w:t>
      </w:r>
      <w:r w:rsidRPr="00770EAC">
        <w:rPr>
          <w:lang w:val="fr-FR"/>
        </w:rPr>
        <w:t xml:space="preserve"> avril 2017, </w:t>
      </w:r>
      <w:r w:rsidR="00817DA0" w:rsidRPr="00770EAC">
        <w:rPr>
          <w:lang w:val="fr-FR"/>
        </w:rPr>
        <w:t>a introduit</w:t>
      </w:r>
      <w:r w:rsidRPr="00770EAC">
        <w:rPr>
          <w:lang w:val="fr-FR"/>
        </w:rPr>
        <w:t xml:space="preserve"> de</w:t>
      </w:r>
      <w:r w:rsidR="004B1B67" w:rsidRPr="00770EAC">
        <w:rPr>
          <w:lang w:val="fr-FR"/>
        </w:rPr>
        <w:t>s</w:t>
      </w:r>
      <w:r w:rsidRPr="00770EAC">
        <w:rPr>
          <w:lang w:val="fr-FR"/>
        </w:rPr>
        <w:t xml:space="preserve"> modifications </w:t>
      </w:r>
      <w:r w:rsidR="004B1B67" w:rsidRPr="00770EAC">
        <w:rPr>
          <w:lang w:val="fr-FR"/>
        </w:rPr>
        <w:t>aux paragraphes 4 et 5 de l’article 76 de</w:t>
      </w:r>
      <w:r w:rsidRPr="00770EAC">
        <w:rPr>
          <w:lang w:val="fr-FR"/>
        </w:rPr>
        <w:t xml:space="preserve"> la loi sur la protection juridique des dessins et modèles industriels</w:t>
      </w:r>
      <w:r w:rsidR="00817DA0" w:rsidRPr="00770EAC">
        <w:rPr>
          <w:lang w:val="fr-FR"/>
        </w:rPr>
        <w:t>,</w:t>
      </w:r>
      <w:r w:rsidRPr="00770EAC">
        <w:rPr>
          <w:lang w:val="fr-FR"/>
        </w:rPr>
        <w:t xml:space="preserve"> n</w:t>
      </w:r>
      <w:r w:rsidRPr="00770EAC">
        <w:rPr>
          <w:vertAlign w:val="superscript"/>
          <w:lang w:val="fr-FR"/>
        </w:rPr>
        <w:t>o</w:t>
      </w:r>
      <w:r w:rsidRPr="00770EAC">
        <w:rPr>
          <w:lang w:val="fr-FR"/>
        </w:rPr>
        <w:t> 20/2003</w:t>
      </w:r>
      <w:r w:rsidR="004B1B67" w:rsidRPr="00770EAC">
        <w:rPr>
          <w:lang w:val="fr-FR"/>
        </w:rPr>
        <w:t>, du 7 juillet 2003</w:t>
      </w:r>
      <w:r w:rsidR="00310C5C" w:rsidRPr="00770EAC">
        <w:rPr>
          <w:lang w:val="fr-FR"/>
        </w:rPr>
        <w:t>.</w:t>
      </w:r>
      <w:r w:rsidR="00770EAC" w:rsidRPr="00770EAC">
        <w:rPr>
          <w:lang w:val="fr-FR"/>
        </w:rPr>
        <w:t xml:space="preserve">  </w:t>
      </w:r>
      <w:r w:rsidR="00817DA0" w:rsidRPr="00770EAC">
        <w:rPr>
          <w:lang w:val="fr-FR"/>
        </w:rPr>
        <w:t>En conséquence, la protection conférée par l’enregistrement international d’un dessin prendra effet</w:t>
      </w:r>
      <w:r w:rsidR="001208EC">
        <w:rPr>
          <w:lang w:val="fr-FR"/>
        </w:rPr>
        <w:t xml:space="preserve"> en Espagne</w:t>
      </w:r>
      <w:r w:rsidR="00817DA0" w:rsidRPr="00770EAC">
        <w:rPr>
          <w:lang w:val="fr-FR"/>
        </w:rPr>
        <w:t xml:space="preserve"> à la date de sa publication par le Bureau international, à condition que cet enregistrement ne fasse pas l’objet d’un refus de protection.  </w:t>
      </w:r>
      <w:r w:rsidR="00100F6B" w:rsidRPr="00770EAC">
        <w:rPr>
          <w:lang w:val="fr-FR"/>
        </w:rPr>
        <w:t>Ainsi,</w:t>
      </w:r>
      <w:r w:rsidR="00817DA0" w:rsidRPr="00770EAC">
        <w:rPr>
          <w:lang w:val="fr-FR"/>
        </w:rPr>
        <w:t xml:space="preserve"> la communication</w:t>
      </w:r>
      <w:r w:rsidR="00770EAC">
        <w:rPr>
          <w:lang w:val="fr-FR"/>
        </w:rPr>
        <w:t xml:space="preserve"> antérieure</w:t>
      </w:r>
      <w:r w:rsidR="00817DA0" w:rsidRPr="00770EAC">
        <w:rPr>
          <w:lang w:val="fr-FR"/>
        </w:rPr>
        <w:t xml:space="preserve"> faite </w:t>
      </w:r>
      <w:r w:rsidR="00043F97" w:rsidRPr="00770EAC">
        <w:rPr>
          <w:lang w:val="fr-FR"/>
        </w:rPr>
        <w:t xml:space="preserve">par </w:t>
      </w:r>
      <w:r w:rsidR="00817DA0" w:rsidRPr="00770EAC">
        <w:rPr>
          <w:lang w:val="fr-FR"/>
        </w:rPr>
        <w:t>l’OEPM</w:t>
      </w:r>
      <w:r w:rsidR="004758C8">
        <w:rPr>
          <w:lang w:val="fr-FR"/>
        </w:rPr>
        <w:t xml:space="preserve"> concernant la déclaration</w:t>
      </w:r>
      <w:r w:rsidR="00817DA0" w:rsidRPr="00770EAC">
        <w:rPr>
          <w:lang w:val="fr-FR"/>
        </w:rPr>
        <w:t xml:space="preserve"> </w:t>
      </w:r>
      <w:r w:rsidR="00043F97" w:rsidRPr="00770EAC">
        <w:rPr>
          <w:lang w:val="fr-FR"/>
        </w:rPr>
        <w:t>en vertu de la règle 18.1)c) du règlement d’exécution commun à l’Acte de 1999 et l’Acte de 1960 de l’Arrangement de La Haye</w:t>
      </w:r>
      <w:r w:rsidR="004758C8">
        <w:rPr>
          <w:lang w:val="fr-FR"/>
        </w:rPr>
        <w:t>, reçue le 28 juin 2011,</w:t>
      </w:r>
      <w:r w:rsidR="00043F97" w:rsidRPr="00770EAC">
        <w:rPr>
          <w:lang w:val="fr-FR"/>
        </w:rPr>
        <w:t xml:space="preserve"> est retirée (voir avis n</w:t>
      </w:r>
      <w:r w:rsidR="00BB67D3" w:rsidRPr="00770EAC">
        <w:rPr>
          <w:vertAlign w:val="superscript"/>
          <w:lang w:val="fr-FR"/>
        </w:rPr>
        <w:t>o </w:t>
      </w:r>
      <w:r w:rsidR="00043F97" w:rsidRPr="00770EAC">
        <w:rPr>
          <w:lang w:val="fr-FR"/>
        </w:rPr>
        <w:t>12</w:t>
      </w:r>
      <w:r w:rsidR="00BB67D3" w:rsidRPr="00770EAC">
        <w:rPr>
          <w:lang w:val="fr-FR"/>
        </w:rPr>
        <w:t>/</w:t>
      </w:r>
      <w:r w:rsidR="00043F97" w:rsidRPr="00770EAC">
        <w:rPr>
          <w:lang w:val="fr-FR"/>
        </w:rPr>
        <w:t>2011).</w:t>
      </w:r>
    </w:p>
    <w:p w:rsidR="001C7C5B" w:rsidRDefault="002329B0" w:rsidP="00FB0131">
      <w:pPr>
        <w:pStyle w:val="ONUMFS"/>
        <w:rPr>
          <w:lang w:val="fr-FR"/>
        </w:rPr>
      </w:pPr>
      <w:r>
        <w:rPr>
          <w:lang w:val="fr-FR"/>
        </w:rPr>
        <w:t>Par conséquent</w:t>
      </w:r>
      <w:r w:rsidR="00FC6D28" w:rsidRPr="00F13DC2">
        <w:rPr>
          <w:lang w:val="fr-FR"/>
        </w:rPr>
        <w:t xml:space="preserve">, la </w:t>
      </w:r>
      <w:r>
        <w:rPr>
          <w:lang w:val="fr-FR"/>
        </w:rPr>
        <w:t xml:space="preserve">déclaration en vertu </w:t>
      </w:r>
      <w:r w:rsidRPr="00F13DC2">
        <w:rPr>
          <w:lang w:val="fr-FR"/>
        </w:rPr>
        <w:t>de la règle 18.1)c) du règlement d’exécution commun</w:t>
      </w:r>
      <w:r w:rsidR="00770EAC" w:rsidRPr="00770EAC">
        <w:rPr>
          <w:lang w:val="fr-FR"/>
        </w:rPr>
        <w:t xml:space="preserve"> </w:t>
      </w:r>
      <w:r w:rsidR="00770EAC">
        <w:rPr>
          <w:lang w:val="fr-FR"/>
        </w:rPr>
        <w:t>faite par l’Espagne le 23 septembre 2003</w:t>
      </w:r>
      <w:r w:rsidRPr="00F13DC2">
        <w:rPr>
          <w:lang w:val="fr-FR"/>
        </w:rPr>
        <w:t xml:space="preserve"> </w:t>
      </w:r>
      <w:r>
        <w:rPr>
          <w:lang w:val="fr-FR"/>
        </w:rPr>
        <w:t>n’est plus applicable et doit être considérée comme retirée.</w:t>
      </w:r>
    </w:p>
    <w:p w:rsidR="00FC6D28" w:rsidRPr="00B0068A" w:rsidRDefault="002329B0" w:rsidP="00FB0131">
      <w:pPr>
        <w:pStyle w:val="ONUMFS"/>
        <w:rPr>
          <w:lang w:val="fr-FR"/>
        </w:rPr>
      </w:pPr>
      <w:r>
        <w:rPr>
          <w:lang w:val="fr-FR"/>
        </w:rPr>
        <w:t xml:space="preserve">Conformément </w:t>
      </w:r>
      <w:r w:rsidR="00100F6B">
        <w:rPr>
          <w:lang w:val="fr-FR"/>
        </w:rPr>
        <w:t>à</w:t>
      </w:r>
      <w:r>
        <w:rPr>
          <w:lang w:val="fr-FR"/>
        </w:rPr>
        <w:t xml:space="preserve"> la règle</w:t>
      </w:r>
      <w:r w:rsidR="00432D9A">
        <w:rPr>
          <w:lang w:val="fr-FR"/>
        </w:rPr>
        <w:t> </w:t>
      </w:r>
      <w:r>
        <w:rPr>
          <w:lang w:val="fr-FR"/>
        </w:rPr>
        <w:t>35</w:t>
      </w:r>
      <w:r w:rsidR="00100F6B">
        <w:rPr>
          <w:lang w:val="fr-FR"/>
        </w:rPr>
        <w:t xml:space="preserve">.2) </w:t>
      </w:r>
      <w:r>
        <w:rPr>
          <w:lang w:val="fr-FR"/>
        </w:rPr>
        <w:t xml:space="preserve">du </w:t>
      </w:r>
      <w:r w:rsidRPr="00F13DC2">
        <w:rPr>
          <w:lang w:val="fr-FR"/>
        </w:rPr>
        <w:t>règlement d’exécution commun</w:t>
      </w:r>
      <w:r>
        <w:rPr>
          <w:lang w:val="fr-FR"/>
        </w:rPr>
        <w:t xml:space="preserve">, ce retrait </w:t>
      </w:r>
      <w:r w:rsidR="009F3821">
        <w:rPr>
          <w:lang w:val="fr-FR"/>
        </w:rPr>
        <w:t>a pris</w:t>
      </w:r>
      <w:r>
        <w:rPr>
          <w:lang w:val="fr-FR"/>
        </w:rPr>
        <w:t xml:space="preserve"> effet à la date de réception de cette notification par le Directeur général</w:t>
      </w:r>
      <w:r w:rsidR="00100F6B">
        <w:rPr>
          <w:lang w:val="fr-FR"/>
        </w:rPr>
        <w:t>,</w:t>
      </w:r>
      <w:r>
        <w:rPr>
          <w:lang w:val="fr-FR"/>
        </w:rPr>
        <w:t xml:space="preserve"> le 30</w:t>
      </w:r>
      <w:r w:rsidR="00432D9A">
        <w:rPr>
          <w:lang w:val="fr-FR"/>
        </w:rPr>
        <w:t> </w:t>
      </w:r>
      <w:r>
        <w:rPr>
          <w:lang w:val="fr-FR"/>
        </w:rPr>
        <w:t>mai</w:t>
      </w:r>
      <w:r w:rsidR="00432D9A">
        <w:rPr>
          <w:lang w:val="fr-FR"/>
        </w:rPr>
        <w:t> </w:t>
      </w:r>
      <w:r>
        <w:rPr>
          <w:lang w:val="fr-FR"/>
        </w:rPr>
        <w:t>2017</w:t>
      </w:r>
      <w:r w:rsidR="00FC6D28" w:rsidRPr="00F13DC2">
        <w:rPr>
          <w:lang w:val="fr-FR"/>
        </w:rPr>
        <w:t>.</w:t>
      </w:r>
    </w:p>
    <w:p w:rsidR="001C7C5B" w:rsidRDefault="001C7C5B" w:rsidP="00FB0131">
      <w:pPr>
        <w:rPr>
          <w:lang w:val="fr-FR"/>
        </w:rPr>
      </w:pPr>
    </w:p>
    <w:p w:rsidR="00154F16" w:rsidRPr="00B0068A" w:rsidRDefault="00154F16" w:rsidP="00FB0131">
      <w:pPr>
        <w:rPr>
          <w:lang w:val="fr-FR"/>
        </w:rPr>
      </w:pPr>
    </w:p>
    <w:p w:rsidR="001C7C5B" w:rsidRPr="00B0068A" w:rsidRDefault="00CD02A1" w:rsidP="00FB0131">
      <w:pPr>
        <w:pStyle w:val="Endofdocument-Annex"/>
        <w:rPr>
          <w:lang w:val="fr-FR"/>
        </w:rPr>
      </w:pPr>
      <w:r>
        <w:rPr>
          <w:lang w:val="fr-FR"/>
        </w:rPr>
        <w:t>Le</w:t>
      </w:r>
      <w:r w:rsidR="00154F16">
        <w:rPr>
          <w:lang w:val="fr-FR"/>
        </w:rPr>
        <w:t xml:space="preserve"> </w:t>
      </w:r>
      <w:r w:rsidR="002142CA">
        <w:rPr>
          <w:lang w:val="fr-FR"/>
        </w:rPr>
        <w:t>4 juillet</w:t>
      </w:r>
      <w:r w:rsidR="001C7C5B" w:rsidRPr="00B0068A">
        <w:rPr>
          <w:lang w:val="fr-FR"/>
        </w:rPr>
        <w:t> 201</w:t>
      </w:r>
      <w:r w:rsidR="002142CA">
        <w:rPr>
          <w:lang w:val="fr-FR"/>
        </w:rPr>
        <w:t>7</w:t>
      </w:r>
    </w:p>
    <w:sectPr w:rsidR="001C7C5B" w:rsidRPr="00B0068A" w:rsidSect="00954034">
      <w:headerReference w:type="defaul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4D" w:rsidRDefault="0028734D">
      <w:r>
        <w:separator/>
      </w:r>
    </w:p>
  </w:endnote>
  <w:endnote w:type="continuationSeparator" w:id="0">
    <w:p w:rsidR="0028734D" w:rsidRDefault="0028734D" w:rsidP="00A326CA">
      <w:r>
        <w:separator/>
      </w:r>
    </w:p>
    <w:p w:rsidR="0028734D" w:rsidRPr="00A326CA" w:rsidRDefault="0028734D" w:rsidP="00A326CA">
      <w:r>
        <w:rPr>
          <w:sz w:val="17"/>
        </w:rPr>
        <w:t>[Endnote continued from previous page]</w:t>
      </w:r>
    </w:p>
  </w:endnote>
  <w:endnote w:type="continuationNotice" w:id="1">
    <w:p w:rsidR="0028734D" w:rsidRPr="00A326CA" w:rsidRDefault="0028734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4D" w:rsidRDefault="0028734D">
      <w:r>
        <w:separator/>
      </w:r>
    </w:p>
  </w:footnote>
  <w:footnote w:type="continuationSeparator" w:id="0">
    <w:p w:rsidR="0028734D" w:rsidRDefault="0028734D" w:rsidP="00A326CA">
      <w:r>
        <w:separator/>
      </w:r>
    </w:p>
    <w:p w:rsidR="0028734D" w:rsidRPr="00A326CA" w:rsidRDefault="0028734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8734D" w:rsidRPr="00A326CA" w:rsidRDefault="0028734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6966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1C7C5B"/>
    <w:rsid w:val="0000121D"/>
    <w:rsid w:val="00002628"/>
    <w:rsid w:val="00010053"/>
    <w:rsid w:val="0001121D"/>
    <w:rsid w:val="00026397"/>
    <w:rsid w:val="00030BB4"/>
    <w:rsid w:val="00033B61"/>
    <w:rsid w:val="0004379E"/>
    <w:rsid w:val="00043F97"/>
    <w:rsid w:val="00051DBB"/>
    <w:rsid w:val="0006054A"/>
    <w:rsid w:val="00064EFA"/>
    <w:rsid w:val="000651AA"/>
    <w:rsid w:val="0007642A"/>
    <w:rsid w:val="000777BD"/>
    <w:rsid w:val="00081827"/>
    <w:rsid w:val="00094D3C"/>
    <w:rsid w:val="000C20E6"/>
    <w:rsid w:val="000C26B7"/>
    <w:rsid w:val="000C4F36"/>
    <w:rsid w:val="000D58A8"/>
    <w:rsid w:val="000D679A"/>
    <w:rsid w:val="000D74A8"/>
    <w:rsid w:val="000E451B"/>
    <w:rsid w:val="000E4932"/>
    <w:rsid w:val="000E6A7E"/>
    <w:rsid w:val="000E6C47"/>
    <w:rsid w:val="000F376E"/>
    <w:rsid w:val="000F5E56"/>
    <w:rsid w:val="00100F6B"/>
    <w:rsid w:val="00103AFE"/>
    <w:rsid w:val="001041E0"/>
    <w:rsid w:val="00105079"/>
    <w:rsid w:val="001129D5"/>
    <w:rsid w:val="00113653"/>
    <w:rsid w:val="001208EC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54F16"/>
    <w:rsid w:val="0016034A"/>
    <w:rsid w:val="00165C8B"/>
    <w:rsid w:val="00165F53"/>
    <w:rsid w:val="00167584"/>
    <w:rsid w:val="00170258"/>
    <w:rsid w:val="0017702B"/>
    <w:rsid w:val="001847E8"/>
    <w:rsid w:val="00185D5F"/>
    <w:rsid w:val="00196416"/>
    <w:rsid w:val="001A23AF"/>
    <w:rsid w:val="001B6596"/>
    <w:rsid w:val="001B77F1"/>
    <w:rsid w:val="001C1337"/>
    <w:rsid w:val="001C31EA"/>
    <w:rsid w:val="001C32BE"/>
    <w:rsid w:val="001C43BF"/>
    <w:rsid w:val="001C7C5B"/>
    <w:rsid w:val="001D222D"/>
    <w:rsid w:val="001D4433"/>
    <w:rsid w:val="001D4D6E"/>
    <w:rsid w:val="001D5A19"/>
    <w:rsid w:val="001E14AA"/>
    <w:rsid w:val="001E35D3"/>
    <w:rsid w:val="001F1C3B"/>
    <w:rsid w:val="001F3CFD"/>
    <w:rsid w:val="00201F4C"/>
    <w:rsid w:val="002142CA"/>
    <w:rsid w:val="00224137"/>
    <w:rsid w:val="00227CED"/>
    <w:rsid w:val="00231577"/>
    <w:rsid w:val="002329B0"/>
    <w:rsid w:val="0023494B"/>
    <w:rsid w:val="002445FB"/>
    <w:rsid w:val="00246BF1"/>
    <w:rsid w:val="002473D1"/>
    <w:rsid w:val="0028734D"/>
    <w:rsid w:val="002920A5"/>
    <w:rsid w:val="00294534"/>
    <w:rsid w:val="00295BAA"/>
    <w:rsid w:val="00296F67"/>
    <w:rsid w:val="00297FCC"/>
    <w:rsid w:val="002A65C1"/>
    <w:rsid w:val="002E202E"/>
    <w:rsid w:val="002F6356"/>
    <w:rsid w:val="002F67F6"/>
    <w:rsid w:val="00300122"/>
    <w:rsid w:val="003030B7"/>
    <w:rsid w:val="00307E98"/>
    <w:rsid w:val="00310C5C"/>
    <w:rsid w:val="00313032"/>
    <w:rsid w:val="003171DB"/>
    <w:rsid w:val="0032095F"/>
    <w:rsid w:val="00321DFB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32D9A"/>
    <w:rsid w:val="00456CF9"/>
    <w:rsid w:val="00461332"/>
    <w:rsid w:val="00462FE1"/>
    <w:rsid w:val="004758C8"/>
    <w:rsid w:val="004828C8"/>
    <w:rsid w:val="0048340F"/>
    <w:rsid w:val="0049146B"/>
    <w:rsid w:val="004921F7"/>
    <w:rsid w:val="00494CC4"/>
    <w:rsid w:val="004B0C77"/>
    <w:rsid w:val="004B1B6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176F5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3FBB"/>
    <w:rsid w:val="006B6251"/>
    <w:rsid w:val="006B71AB"/>
    <w:rsid w:val="006C777D"/>
    <w:rsid w:val="006C7BC4"/>
    <w:rsid w:val="006D1AD0"/>
    <w:rsid w:val="006D20CD"/>
    <w:rsid w:val="006D6EBA"/>
    <w:rsid w:val="006E0A2F"/>
    <w:rsid w:val="006E230F"/>
    <w:rsid w:val="006F1660"/>
    <w:rsid w:val="006F18C8"/>
    <w:rsid w:val="006F53C2"/>
    <w:rsid w:val="00713BA1"/>
    <w:rsid w:val="00715D12"/>
    <w:rsid w:val="007161E8"/>
    <w:rsid w:val="007343C9"/>
    <w:rsid w:val="007349FE"/>
    <w:rsid w:val="00734F71"/>
    <w:rsid w:val="007464CA"/>
    <w:rsid w:val="007536B7"/>
    <w:rsid w:val="0076301A"/>
    <w:rsid w:val="00770EAC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17DA0"/>
    <w:rsid w:val="00820CAA"/>
    <w:rsid w:val="008233C2"/>
    <w:rsid w:val="00841EC6"/>
    <w:rsid w:val="00842923"/>
    <w:rsid w:val="00842CE9"/>
    <w:rsid w:val="00853A00"/>
    <w:rsid w:val="008600B9"/>
    <w:rsid w:val="0086382F"/>
    <w:rsid w:val="00872100"/>
    <w:rsid w:val="00880F71"/>
    <w:rsid w:val="008A7155"/>
    <w:rsid w:val="008A7F15"/>
    <w:rsid w:val="008B425E"/>
    <w:rsid w:val="008D1437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54034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E6D20"/>
    <w:rsid w:val="009F0C26"/>
    <w:rsid w:val="009F3821"/>
    <w:rsid w:val="009F428A"/>
    <w:rsid w:val="009F4EF4"/>
    <w:rsid w:val="00A00EA1"/>
    <w:rsid w:val="00A01E5D"/>
    <w:rsid w:val="00A06472"/>
    <w:rsid w:val="00A066E7"/>
    <w:rsid w:val="00A07274"/>
    <w:rsid w:val="00A10F54"/>
    <w:rsid w:val="00A13ECE"/>
    <w:rsid w:val="00A16459"/>
    <w:rsid w:val="00A243BA"/>
    <w:rsid w:val="00A2580D"/>
    <w:rsid w:val="00A26966"/>
    <w:rsid w:val="00A323F9"/>
    <w:rsid w:val="00A326CA"/>
    <w:rsid w:val="00A3459C"/>
    <w:rsid w:val="00A41F5B"/>
    <w:rsid w:val="00A42F34"/>
    <w:rsid w:val="00A5423E"/>
    <w:rsid w:val="00A570CF"/>
    <w:rsid w:val="00A726F7"/>
    <w:rsid w:val="00A8340E"/>
    <w:rsid w:val="00A90F3B"/>
    <w:rsid w:val="00A9519F"/>
    <w:rsid w:val="00A953E1"/>
    <w:rsid w:val="00A97FF2"/>
    <w:rsid w:val="00AA15D6"/>
    <w:rsid w:val="00AA35D3"/>
    <w:rsid w:val="00AB4229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068A"/>
    <w:rsid w:val="00B03D5A"/>
    <w:rsid w:val="00B04D1A"/>
    <w:rsid w:val="00B100BD"/>
    <w:rsid w:val="00B16D21"/>
    <w:rsid w:val="00B178E7"/>
    <w:rsid w:val="00B22443"/>
    <w:rsid w:val="00B32412"/>
    <w:rsid w:val="00B44B19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67D3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41478"/>
    <w:rsid w:val="00C52D12"/>
    <w:rsid w:val="00C5527E"/>
    <w:rsid w:val="00C55400"/>
    <w:rsid w:val="00C82F85"/>
    <w:rsid w:val="00C85F30"/>
    <w:rsid w:val="00C87BC0"/>
    <w:rsid w:val="00C90726"/>
    <w:rsid w:val="00C96168"/>
    <w:rsid w:val="00CA4EED"/>
    <w:rsid w:val="00CB3CB8"/>
    <w:rsid w:val="00CC017F"/>
    <w:rsid w:val="00CC672B"/>
    <w:rsid w:val="00CC7C1C"/>
    <w:rsid w:val="00CD02A1"/>
    <w:rsid w:val="00CD2134"/>
    <w:rsid w:val="00CD2ED3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69A"/>
    <w:rsid w:val="00D46A92"/>
    <w:rsid w:val="00D510D3"/>
    <w:rsid w:val="00D529C4"/>
    <w:rsid w:val="00D54B03"/>
    <w:rsid w:val="00D733AB"/>
    <w:rsid w:val="00D73759"/>
    <w:rsid w:val="00D872E7"/>
    <w:rsid w:val="00DA000D"/>
    <w:rsid w:val="00DA0453"/>
    <w:rsid w:val="00DA05F4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E7A63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D5CC9"/>
    <w:rsid w:val="00EE0442"/>
    <w:rsid w:val="00EE1300"/>
    <w:rsid w:val="00EE4D75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0131"/>
    <w:rsid w:val="00FB6472"/>
    <w:rsid w:val="00FC6D28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ABCE-7ECF-4988-B37B-247C7A88E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7CFF8-B037-4363-8C17-4EBE8129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NGG/ko</cp:keywords>
  <cp:lastModifiedBy>MAILLARD Amber</cp:lastModifiedBy>
  <cp:revision>15</cp:revision>
  <cp:lastPrinted>2017-07-04T08:32:00Z</cp:lastPrinted>
  <dcterms:created xsi:type="dcterms:W3CDTF">2017-06-14T13:04:00Z</dcterms:created>
  <dcterms:modified xsi:type="dcterms:W3CDTF">2017-07-04T08:33:00Z</dcterms:modified>
</cp:coreProperties>
</file>