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E3747B" w:rsidTr="00CC5016">
        <w:tc>
          <w:tcPr>
            <w:tcW w:w="4513" w:type="dxa"/>
            <w:tcBorders>
              <w:bottom w:val="single" w:sz="4" w:space="0" w:color="auto"/>
            </w:tcBorders>
            <w:tcMar>
              <w:bottom w:w="170" w:type="dxa"/>
            </w:tcMar>
          </w:tcPr>
          <w:p w:rsidR="00EC4E49" w:rsidRPr="00E3747B" w:rsidRDefault="00EC4E49" w:rsidP="00916EE2">
            <w:pPr>
              <w:rPr>
                <w:lang w:val="es-ES"/>
              </w:rPr>
            </w:pPr>
          </w:p>
        </w:tc>
        <w:tc>
          <w:tcPr>
            <w:tcW w:w="4337" w:type="dxa"/>
            <w:tcBorders>
              <w:bottom w:val="single" w:sz="4" w:space="0" w:color="auto"/>
            </w:tcBorders>
            <w:tcMar>
              <w:left w:w="0" w:type="dxa"/>
              <w:right w:w="0" w:type="dxa"/>
            </w:tcMar>
          </w:tcPr>
          <w:p w:rsidR="00EC4E49" w:rsidRPr="00E3747B" w:rsidRDefault="004F5BA6" w:rsidP="00916EE2">
            <w:pPr>
              <w:rPr>
                <w:lang w:val="es-ES"/>
              </w:rPr>
            </w:pPr>
            <w:r w:rsidRPr="00E3747B">
              <w:rPr>
                <w:noProof/>
                <w:lang w:eastAsia="en-US"/>
              </w:rPr>
              <w:drawing>
                <wp:inline distT="0" distB="0" distL="0" distR="0" wp14:anchorId="3E9D0339" wp14:editId="28917CF9">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E3747B" w:rsidRDefault="00EC4E49" w:rsidP="00916EE2">
            <w:pPr>
              <w:jc w:val="right"/>
              <w:rPr>
                <w:lang w:val="es-ES"/>
              </w:rPr>
            </w:pPr>
          </w:p>
        </w:tc>
      </w:tr>
      <w:tr w:rsidR="008B2CC1" w:rsidRPr="00E3747B" w:rsidTr="00916EE2">
        <w:trPr>
          <w:trHeight w:hRule="exact" w:val="170"/>
        </w:trPr>
        <w:tc>
          <w:tcPr>
            <w:tcW w:w="9356" w:type="dxa"/>
            <w:gridSpan w:val="3"/>
            <w:noWrap/>
            <w:tcMar>
              <w:left w:w="0" w:type="dxa"/>
              <w:right w:w="0" w:type="dxa"/>
            </w:tcMar>
            <w:vAlign w:val="bottom"/>
          </w:tcPr>
          <w:p w:rsidR="008B2CC1" w:rsidRPr="00E3747B" w:rsidRDefault="008B2CC1" w:rsidP="00916EE2">
            <w:pPr>
              <w:jc w:val="right"/>
              <w:rPr>
                <w:rFonts w:ascii="Arial Black" w:hAnsi="Arial Black"/>
                <w:caps/>
                <w:sz w:val="15"/>
                <w:lang w:val="es-ES"/>
              </w:rPr>
            </w:pPr>
            <w:bookmarkStart w:id="0" w:name="Original"/>
            <w:bookmarkEnd w:id="0"/>
          </w:p>
        </w:tc>
      </w:tr>
      <w:tr w:rsidR="008B2CC1" w:rsidRPr="00E3747B" w:rsidTr="00916EE2">
        <w:trPr>
          <w:trHeight w:hRule="exact" w:val="198"/>
        </w:trPr>
        <w:tc>
          <w:tcPr>
            <w:tcW w:w="9356" w:type="dxa"/>
            <w:gridSpan w:val="3"/>
            <w:tcMar>
              <w:left w:w="0" w:type="dxa"/>
              <w:right w:w="0" w:type="dxa"/>
            </w:tcMar>
            <w:vAlign w:val="bottom"/>
          </w:tcPr>
          <w:p w:rsidR="008B2CC1" w:rsidRPr="00E3747B" w:rsidRDefault="00CC5016" w:rsidP="00B92372">
            <w:pPr>
              <w:jc w:val="right"/>
              <w:rPr>
                <w:rFonts w:ascii="Arial Black" w:hAnsi="Arial Black"/>
                <w:caps/>
                <w:sz w:val="15"/>
                <w:lang w:val="es-ES"/>
              </w:rPr>
            </w:pPr>
            <w:r w:rsidRPr="00E3747B">
              <w:rPr>
                <w:rFonts w:ascii="Arial Black" w:hAnsi="Arial Black"/>
                <w:caps/>
                <w:sz w:val="15"/>
                <w:lang w:val="es-ES"/>
              </w:rPr>
              <w:t>AVISO N.</w:t>
            </w:r>
            <w:r w:rsidR="005663C6">
              <w:rPr>
                <w:rFonts w:ascii="Arial Black" w:hAnsi="Arial Black"/>
                <w:caps/>
                <w:sz w:val="15"/>
                <w:vertAlign w:val="superscript"/>
                <w:lang w:val="es-ES"/>
              </w:rPr>
              <w:t>o</w:t>
            </w:r>
            <w:r w:rsidRPr="00E3747B">
              <w:rPr>
                <w:rFonts w:ascii="Arial Black" w:hAnsi="Arial Black"/>
                <w:caps/>
                <w:sz w:val="15"/>
                <w:lang w:val="es-ES"/>
              </w:rPr>
              <w:t xml:space="preserve"> </w:t>
            </w:r>
            <w:r w:rsidR="00B92372">
              <w:rPr>
                <w:rFonts w:ascii="Arial Black" w:hAnsi="Arial Black"/>
                <w:caps/>
                <w:sz w:val="15"/>
                <w:lang w:val="es-ES"/>
              </w:rPr>
              <w:t>2</w:t>
            </w:r>
            <w:r w:rsidRPr="00E3747B">
              <w:rPr>
                <w:rFonts w:ascii="Arial Black" w:hAnsi="Arial Black"/>
                <w:caps/>
                <w:sz w:val="15"/>
                <w:lang w:val="es-ES"/>
              </w:rPr>
              <w:t>/201</w:t>
            </w:r>
            <w:r w:rsidR="00B92372">
              <w:rPr>
                <w:rFonts w:ascii="Arial Black" w:hAnsi="Arial Black"/>
                <w:caps/>
                <w:sz w:val="15"/>
                <w:lang w:val="es-ES"/>
              </w:rPr>
              <w:t>8</w:t>
            </w:r>
            <w:r w:rsidRPr="00E3747B">
              <w:rPr>
                <w:rFonts w:ascii="Arial Black" w:hAnsi="Arial Black"/>
                <w:caps/>
                <w:sz w:val="15"/>
                <w:lang w:val="es-ES"/>
              </w:rPr>
              <w:t xml:space="preserve">  </w:t>
            </w:r>
            <w:bookmarkStart w:id="1" w:name="Date"/>
            <w:bookmarkEnd w:id="1"/>
          </w:p>
        </w:tc>
      </w:tr>
    </w:tbl>
    <w:p w:rsidR="008B2CC1" w:rsidRPr="00E3747B" w:rsidRDefault="008B2CC1" w:rsidP="008B2CC1">
      <w:pPr>
        <w:rPr>
          <w:lang w:val="es-ES"/>
        </w:rPr>
      </w:pPr>
    </w:p>
    <w:p w:rsidR="008B2CC1" w:rsidRPr="00E3747B" w:rsidRDefault="008B2CC1" w:rsidP="008B2CC1">
      <w:pPr>
        <w:rPr>
          <w:lang w:val="es-ES"/>
        </w:rPr>
      </w:pPr>
    </w:p>
    <w:p w:rsidR="008B2CC1" w:rsidRPr="00E3747B" w:rsidRDefault="008B2CC1" w:rsidP="008B2CC1">
      <w:pPr>
        <w:rPr>
          <w:lang w:val="es-ES"/>
        </w:rPr>
      </w:pPr>
    </w:p>
    <w:p w:rsidR="00CC5016" w:rsidRPr="00E3747B" w:rsidRDefault="00CC5016" w:rsidP="00CC5016">
      <w:pPr>
        <w:rPr>
          <w:lang w:val="es-ES"/>
        </w:rPr>
      </w:pPr>
    </w:p>
    <w:p w:rsidR="00CC5016" w:rsidRPr="00E3747B" w:rsidRDefault="00CC5016" w:rsidP="00CC5016">
      <w:pPr>
        <w:rPr>
          <w:lang w:val="es-ES"/>
        </w:rPr>
      </w:pPr>
    </w:p>
    <w:p w:rsidR="00CC5016" w:rsidRPr="00E3747B" w:rsidRDefault="006223DB" w:rsidP="00CC5016">
      <w:pPr>
        <w:autoSpaceDE w:val="0"/>
        <w:autoSpaceDN w:val="0"/>
        <w:adjustRightInd w:val="0"/>
        <w:rPr>
          <w:b/>
          <w:bCs/>
          <w:sz w:val="28"/>
          <w:szCs w:val="28"/>
          <w:lang w:val="es-ES"/>
        </w:rPr>
      </w:pPr>
      <w:r w:rsidRPr="00E3747B">
        <w:rPr>
          <w:b/>
          <w:bCs/>
          <w:sz w:val="28"/>
          <w:szCs w:val="28"/>
          <w:lang w:val="es-ES"/>
        </w:rPr>
        <w:t xml:space="preserve">Arreglo de La Haya relativo al </w:t>
      </w:r>
      <w:r w:rsidR="0091232D">
        <w:rPr>
          <w:b/>
          <w:bCs/>
          <w:sz w:val="28"/>
          <w:szCs w:val="28"/>
          <w:lang w:val="es-ES"/>
        </w:rPr>
        <w:t>R</w:t>
      </w:r>
      <w:r w:rsidRPr="00E3747B">
        <w:rPr>
          <w:b/>
          <w:bCs/>
          <w:sz w:val="28"/>
          <w:szCs w:val="28"/>
          <w:lang w:val="es-ES"/>
        </w:rPr>
        <w:t xml:space="preserve">egistro </w:t>
      </w:r>
      <w:r w:rsidR="0091232D">
        <w:rPr>
          <w:b/>
          <w:bCs/>
          <w:sz w:val="28"/>
          <w:szCs w:val="28"/>
          <w:lang w:val="es-ES"/>
        </w:rPr>
        <w:t>I</w:t>
      </w:r>
      <w:r w:rsidRPr="00E3747B">
        <w:rPr>
          <w:b/>
          <w:bCs/>
          <w:sz w:val="28"/>
          <w:szCs w:val="28"/>
          <w:lang w:val="es-ES"/>
        </w:rPr>
        <w:t>nternacional de</w:t>
      </w:r>
      <w:r w:rsidR="004F5BA6" w:rsidRPr="00E3747B">
        <w:rPr>
          <w:b/>
          <w:bCs/>
          <w:sz w:val="28"/>
          <w:szCs w:val="28"/>
          <w:lang w:val="es-ES"/>
        </w:rPr>
        <w:t xml:space="preserve"> </w:t>
      </w:r>
      <w:r w:rsidR="0091232D">
        <w:rPr>
          <w:b/>
          <w:bCs/>
          <w:sz w:val="28"/>
          <w:szCs w:val="28"/>
          <w:lang w:val="es-ES"/>
        </w:rPr>
        <w:t>D</w:t>
      </w:r>
      <w:r w:rsidR="004F5BA6" w:rsidRPr="00E3747B">
        <w:rPr>
          <w:b/>
          <w:bCs/>
          <w:sz w:val="28"/>
          <w:szCs w:val="28"/>
          <w:lang w:val="es-ES"/>
        </w:rPr>
        <w:t xml:space="preserve">ibujos y </w:t>
      </w:r>
      <w:r w:rsidR="0091232D">
        <w:rPr>
          <w:b/>
          <w:bCs/>
          <w:sz w:val="28"/>
          <w:szCs w:val="28"/>
          <w:lang w:val="es-ES"/>
        </w:rPr>
        <w:t>M</w:t>
      </w:r>
      <w:r w:rsidR="004F5BA6" w:rsidRPr="00E3747B">
        <w:rPr>
          <w:b/>
          <w:bCs/>
          <w:sz w:val="28"/>
          <w:szCs w:val="28"/>
          <w:lang w:val="es-ES"/>
        </w:rPr>
        <w:t xml:space="preserve">odelos </w:t>
      </w:r>
      <w:r w:rsidR="0091232D">
        <w:rPr>
          <w:b/>
          <w:bCs/>
          <w:sz w:val="28"/>
          <w:szCs w:val="28"/>
          <w:lang w:val="es-ES"/>
        </w:rPr>
        <w:t>I</w:t>
      </w:r>
      <w:r w:rsidR="004F5BA6" w:rsidRPr="00E3747B">
        <w:rPr>
          <w:b/>
          <w:bCs/>
          <w:sz w:val="28"/>
          <w:szCs w:val="28"/>
          <w:lang w:val="es-ES"/>
        </w:rPr>
        <w:t>ndustriales</w:t>
      </w:r>
    </w:p>
    <w:p w:rsidR="00CC5016" w:rsidRPr="00E3747B" w:rsidRDefault="00CC5016" w:rsidP="00CC5016">
      <w:pPr>
        <w:autoSpaceDE w:val="0"/>
        <w:autoSpaceDN w:val="0"/>
        <w:adjustRightInd w:val="0"/>
        <w:rPr>
          <w:bCs/>
          <w:szCs w:val="22"/>
          <w:lang w:val="es-ES"/>
        </w:rPr>
      </w:pPr>
    </w:p>
    <w:p w:rsidR="00CB4916" w:rsidRPr="00E3747B" w:rsidRDefault="00CB4916" w:rsidP="00CC5016">
      <w:pPr>
        <w:autoSpaceDE w:val="0"/>
        <w:autoSpaceDN w:val="0"/>
        <w:adjustRightInd w:val="0"/>
        <w:rPr>
          <w:bCs/>
          <w:szCs w:val="22"/>
          <w:lang w:val="es-ES"/>
        </w:rPr>
      </w:pPr>
    </w:p>
    <w:p w:rsidR="00CB4916" w:rsidRPr="00E3747B" w:rsidRDefault="00CB4916" w:rsidP="00CC5016">
      <w:pPr>
        <w:autoSpaceDE w:val="0"/>
        <w:autoSpaceDN w:val="0"/>
        <w:adjustRightInd w:val="0"/>
        <w:rPr>
          <w:bCs/>
          <w:szCs w:val="22"/>
          <w:lang w:val="es-ES"/>
        </w:rPr>
      </w:pPr>
    </w:p>
    <w:p w:rsidR="001F1B95" w:rsidRPr="00E3747B" w:rsidRDefault="00827E3C" w:rsidP="001F1B95">
      <w:pPr>
        <w:autoSpaceDE w:val="0"/>
        <w:autoSpaceDN w:val="0"/>
        <w:adjustRightInd w:val="0"/>
        <w:rPr>
          <w:b/>
          <w:bCs/>
          <w:sz w:val="24"/>
          <w:szCs w:val="24"/>
          <w:lang w:val="es-ES"/>
        </w:rPr>
      </w:pPr>
      <w:r w:rsidRPr="00E3747B">
        <w:rPr>
          <w:b/>
          <w:bCs/>
          <w:sz w:val="24"/>
          <w:szCs w:val="24"/>
          <w:lang w:val="es-ES"/>
        </w:rPr>
        <w:t>Ratificación del Acta de 1999:  Federación de Rusia</w:t>
      </w:r>
    </w:p>
    <w:p w:rsidR="00CC5016" w:rsidRPr="00E3747B" w:rsidRDefault="00CC5016" w:rsidP="00CC5016">
      <w:pPr>
        <w:rPr>
          <w:szCs w:val="22"/>
          <w:lang w:val="es-ES"/>
        </w:rPr>
      </w:pPr>
    </w:p>
    <w:p w:rsidR="00824E57" w:rsidRPr="00E3747B" w:rsidRDefault="00824E57" w:rsidP="00CC5016">
      <w:pPr>
        <w:rPr>
          <w:szCs w:val="22"/>
          <w:lang w:val="es-ES"/>
        </w:rPr>
      </w:pPr>
    </w:p>
    <w:p w:rsidR="00117C57" w:rsidRPr="00E3747B" w:rsidRDefault="00117C57" w:rsidP="00117C57">
      <w:pPr>
        <w:pStyle w:val="ONUME"/>
        <w:rPr>
          <w:lang w:val="es-ES"/>
        </w:rPr>
      </w:pPr>
      <w:r w:rsidRPr="00E3747B">
        <w:rPr>
          <w:lang w:val="es-ES"/>
        </w:rPr>
        <w:t xml:space="preserve">El 30 de </w:t>
      </w:r>
      <w:r w:rsidR="004F5BA6" w:rsidRPr="00E3747B">
        <w:rPr>
          <w:lang w:val="es-ES"/>
        </w:rPr>
        <w:t>noviembre</w:t>
      </w:r>
      <w:r w:rsidRPr="00E3747B">
        <w:rPr>
          <w:lang w:val="es-ES"/>
        </w:rPr>
        <w:t xml:space="preserve"> de 2017 el Gobierno de la Federación de Rusia depositó en poder del </w:t>
      </w:r>
      <w:r w:rsidR="0091232D">
        <w:rPr>
          <w:lang w:val="es-ES"/>
        </w:rPr>
        <w:t>D</w:t>
      </w:r>
      <w:r w:rsidRPr="00E3747B">
        <w:rPr>
          <w:lang w:val="es-ES"/>
        </w:rPr>
        <w:t xml:space="preserve">irector </w:t>
      </w:r>
      <w:r w:rsidR="0091232D">
        <w:rPr>
          <w:lang w:val="es-ES"/>
        </w:rPr>
        <w:t>G</w:t>
      </w:r>
      <w:r w:rsidRPr="00E3747B">
        <w:rPr>
          <w:lang w:val="es-ES"/>
        </w:rPr>
        <w:t xml:space="preserve">eneral de la Organización Mundial de la Propiedad Intelectual (OMPI) su instrumento de ratificación del Acta de Ginebra (1999) del Arreglo de La Haya relativo al </w:t>
      </w:r>
      <w:r w:rsidR="0091232D">
        <w:rPr>
          <w:lang w:val="es-ES"/>
        </w:rPr>
        <w:t>R</w:t>
      </w:r>
      <w:r w:rsidRPr="00E3747B">
        <w:rPr>
          <w:lang w:val="es-ES"/>
        </w:rPr>
        <w:t xml:space="preserve">egistro </w:t>
      </w:r>
      <w:r w:rsidR="0091232D">
        <w:rPr>
          <w:lang w:val="es-ES"/>
        </w:rPr>
        <w:t>I</w:t>
      </w:r>
      <w:r w:rsidRPr="00E3747B">
        <w:rPr>
          <w:lang w:val="es-ES"/>
        </w:rPr>
        <w:t xml:space="preserve">nternacional de </w:t>
      </w:r>
      <w:r w:rsidR="0091232D">
        <w:rPr>
          <w:lang w:val="es-ES"/>
        </w:rPr>
        <w:t>D</w:t>
      </w:r>
      <w:r w:rsidRPr="00E3747B">
        <w:rPr>
          <w:lang w:val="es-ES"/>
        </w:rPr>
        <w:t xml:space="preserve">ibujos y </w:t>
      </w:r>
      <w:r w:rsidR="0091232D">
        <w:rPr>
          <w:lang w:val="es-ES"/>
        </w:rPr>
        <w:t>M</w:t>
      </w:r>
      <w:r w:rsidRPr="00E3747B">
        <w:rPr>
          <w:lang w:val="es-ES"/>
        </w:rPr>
        <w:t xml:space="preserve">odelos </w:t>
      </w:r>
      <w:r w:rsidR="0091232D">
        <w:rPr>
          <w:lang w:val="es-ES"/>
        </w:rPr>
        <w:t>I</w:t>
      </w:r>
      <w:r w:rsidRPr="00E3747B">
        <w:rPr>
          <w:lang w:val="es-ES"/>
        </w:rPr>
        <w:t>ndustriales.</w:t>
      </w:r>
    </w:p>
    <w:p w:rsidR="00117C57" w:rsidRPr="00E3747B" w:rsidRDefault="00117C57" w:rsidP="00117C57">
      <w:pPr>
        <w:pStyle w:val="ONUME"/>
        <w:rPr>
          <w:lang w:val="es-ES"/>
        </w:rPr>
      </w:pPr>
      <w:r w:rsidRPr="00E3747B">
        <w:rPr>
          <w:lang w:val="es-ES"/>
        </w:rPr>
        <w:t>Acompaña</w:t>
      </w:r>
      <w:r w:rsidR="003838F1">
        <w:rPr>
          <w:lang w:val="es-ES"/>
        </w:rPr>
        <w:t>ba</w:t>
      </w:r>
      <w:r w:rsidRPr="00E3747B">
        <w:rPr>
          <w:lang w:val="es-ES"/>
        </w:rPr>
        <w:t>n al instrumento de ratificación las declaraciones siguientes:</w:t>
      </w:r>
    </w:p>
    <w:p w:rsidR="00117C57" w:rsidRPr="00E3747B" w:rsidRDefault="004F5BA6" w:rsidP="00117C57">
      <w:pPr>
        <w:pStyle w:val="ONUME"/>
        <w:numPr>
          <w:ilvl w:val="0"/>
          <w:numId w:val="0"/>
        </w:numPr>
        <w:ind w:firstLine="567"/>
        <w:rPr>
          <w:lang w:val="es-ES"/>
        </w:rPr>
      </w:pPr>
      <w:r w:rsidRPr="00E3747B">
        <w:rPr>
          <w:lang w:val="es-ES"/>
        </w:rPr>
        <w:t>–</w:t>
      </w:r>
      <w:r w:rsidR="00117C57" w:rsidRPr="00E3747B">
        <w:rPr>
          <w:lang w:val="es-ES"/>
        </w:rPr>
        <w:tab/>
      </w:r>
      <w:r w:rsidRPr="00E3747B">
        <w:rPr>
          <w:lang w:val="es-ES"/>
        </w:rPr>
        <w:t>l</w:t>
      </w:r>
      <w:r w:rsidR="00215B9D" w:rsidRPr="00E3747B">
        <w:rPr>
          <w:lang w:val="es-ES"/>
        </w:rPr>
        <w:t xml:space="preserve">a declaración a la que se refiere el Artículo 7.2) del Acta de 1999, en la que se indica que, en relación con toda solicitud internacional en la que la Federación de Rusia haya sido designada, y en relación con la renovación de todo registro internacional resultante de dicha solicitud internacional, se sustituirá la tasa de designación prescrita por una tasa de designación individual.  Los detalles de la declaración y la cuantía de la tasa individual de designación serán objeto de </w:t>
      </w:r>
      <w:r w:rsidR="00AE53D3">
        <w:rPr>
          <w:lang w:val="es-ES"/>
        </w:rPr>
        <w:t>un</w:t>
      </w:r>
      <w:r w:rsidR="00215B9D" w:rsidRPr="00E3747B">
        <w:rPr>
          <w:lang w:val="es-ES"/>
        </w:rPr>
        <w:t xml:space="preserve"> aviso</w:t>
      </w:r>
      <w:r w:rsidR="00AE53D3">
        <w:rPr>
          <w:lang w:val="es-ES"/>
        </w:rPr>
        <w:t xml:space="preserve"> informativo posterior</w:t>
      </w:r>
      <w:r w:rsidR="00215B9D" w:rsidRPr="00E3747B">
        <w:rPr>
          <w:lang w:val="es-ES"/>
        </w:rPr>
        <w:t>;</w:t>
      </w:r>
    </w:p>
    <w:p w:rsidR="00215B9D" w:rsidRPr="00E3747B" w:rsidRDefault="004F5BA6" w:rsidP="00117C57">
      <w:pPr>
        <w:pStyle w:val="ONUME"/>
        <w:numPr>
          <w:ilvl w:val="0"/>
          <w:numId w:val="0"/>
        </w:numPr>
        <w:ind w:firstLine="567"/>
        <w:rPr>
          <w:lang w:val="es-ES"/>
        </w:rPr>
      </w:pPr>
      <w:r w:rsidRPr="00E3747B">
        <w:rPr>
          <w:lang w:val="es-ES"/>
        </w:rPr>
        <w:t>–</w:t>
      </w:r>
      <w:r w:rsidR="00215B9D" w:rsidRPr="00E3747B">
        <w:rPr>
          <w:lang w:val="es-ES"/>
        </w:rPr>
        <w:tab/>
        <w:t xml:space="preserve">la declaración a la que se refiere el Artículo 11.1)b) del </w:t>
      </w:r>
      <w:r w:rsidR="00B954D3" w:rsidRPr="00E3747B">
        <w:rPr>
          <w:lang w:val="es-ES"/>
        </w:rPr>
        <w:t>Acta de 1999, en la que se indica que la legislación de la Federación de Rusia no dispone el aplazamiento de la publicación de un dibujo o modelo industrial;</w:t>
      </w:r>
    </w:p>
    <w:p w:rsidR="00117C57" w:rsidRPr="00E3747B" w:rsidRDefault="004F5BA6" w:rsidP="00117C57">
      <w:pPr>
        <w:pStyle w:val="ONUME"/>
        <w:numPr>
          <w:ilvl w:val="0"/>
          <w:numId w:val="0"/>
        </w:numPr>
        <w:ind w:firstLine="567"/>
        <w:rPr>
          <w:lang w:val="es-ES"/>
        </w:rPr>
      </w:pPr>
      <w:r w:rsidRPr="00E3747B">
        <w:rPr>
          <w:lang w:val="es-ES"/>
        </w:rPr>
        <w:t>–</w:t>
      </w:r>
      <w:r w:rsidR="00117C57" w:rsidRPr="00E3747B">
        <w:rPr>
          <w:lang w:val="es-ES"/>
        </w:rPr>
        <w:tab/>
        <w:t xml:space="preserve">la declaración a la que se refiere el Artículo 13.1) del </w:t>
      </w:r>
      <w:r w:rsidR="00215B9D" w:rsidRPr="00E3747B">
        <w:rPr>
          <w:lang w:val="es-ES"/>
        </w:rPr>
        <w:t>Acta de 1999, en la que, de conformidad con la legislación de la Federación de Rusia, los dibujos o modelos industriales que sean objeto de una misma solicitud internacional deberán satisfacer el requisito de unidad de un único concepto creativo;</w:t>
      </w:r>
    </w:p>
    <w:p w:rsidR="00E75EA9" w:rsidRPr="00E3747B" w:rsidRDefault="004F5BA6" w:rsidP="00117C57">
      <w:pPr>
        <w:pStyle w:val="ONUME"/>
        <w:numPr>
          <w:ilvl w:val="0"/>
          <w:numId w:val="0"/>
        </w:numPr>
        <w:ind w:firstLine="567"/>
        <w:rPr>
          <w:lang w:val="es-ES"/>
        </w:rPr>
      </w:pPr>
      <w:r w:rsidRPr="00E3747B">
        <w:rPr>
          <w:lang w:val="es-ES"/>
        </w:rPr>
        <w:t>–</w:t>
      </w:r>
      <w:r w:rsidR="00E75EA9" w:rsidRPr="00E3747B">
        <w:rPr>
          <w:lang w:val="es-ES"/>
        </w:rPr>
        <w:tab/>
        <w:t xml:space="preserve">la declaración a la que se refiere el Artículo 16.2) del </w:t>
      </w:r>
      <w:r w:rsidR="00B270C9" w:rsidRPr="00E3747B">
        <w:rPr>
          <w:lang w:val="es-ES"/>
        </w:rPr>
        <w:t xml:space="preserve">Acta de 1999, según la cual la inscripción de un cambio en la titularidad de un registro internacional en el Registro </w:t>
      </w:r>
      <w:r w:rsidR="0091232D">
        <w:rPr>
          <w:lang w:val="es-ES"/>
        </w:rPr>
        <w:t>I</w:t>
      </w:r>
      <w:r w:rsidR="00B270C9" w:rsidRPr="00E3747B">
        <w:rPr>
          <w:lang w:val="es-ES"/>
        </w:rPr>
        <w:t>nternacional no surtirá efecto en la Federación de Rusia hasta que la Oficina de la Federación de</w:t>
      </w:r>
      <w:r w:rsidR="00B92372">
        <w:rPr>
          <w:lang w:val="es-ES"/>
        </w:rPr>
        <w:t> </w:t>
      </w:r>
      <w:r w:rsidR="00B270C9" w:rsidRPr="00E3747B">
        <w:rPr>
          <w:lang w:val="es-ES"/>
        </w:rPr>
        <w:t>Rusia haya recibido los correspondientes documentos sobre la cesión de los derechos;</w:t>
      </w:r>
    </w:p>
    <w:p w:rsidR="00117C57" w:rsidRPr="00E3747B" w:rsidRDefault="004F5BA6" w:rsidP="00117C57">
      <w:pPr>
        <w:pStyle w:val="ONUME"/>
        <w:numPr>
          <w:ilvl w:val="0"/>
          <w:numId w:val="0"/>
        </w:numPr>
        <w:ind w:firstLine="567"/>
        <w:rPr>
          <w:lang w:val="es-ES"/>
        </w:rPr>
      </w:pPr>
      <w:r w:rsidRPr="00E3747B">
        <w:rPr>
          <w:lang w:val="es-ES"/>
        </w:rPr>
        <w:t>–</w:t>
      </w:r>
      <w:r w:rsidR="00117C57" w:rsidRPr="00E3747B">
        <w:rPr>
          <w:lang w:val="es-ES"/>
        </w:rPr>
        <w:tab/>
        <w:t xml:space="preserve">la declaración exigida en virtud del </w:t>
      </w:r>
      <w:r w:rsidR="00215B9D" w:rsidRPr="00E3747B">
        <w:rPr>
          <w:lang w:val="es-ES"/>
        </w:rPr>
        <w:t xml:space="preserve">Artículo 17.3)c) del Acta de 1999, en la que se especifica que la duración máxima de la protección para los dibujos y modelos industriales en la legislación de la Federación de Rusia </w:t>
      </w:r>
      <w:r w:rsidR="00117C57" w:rsidRPr="00E3747B">
        <w:rPr>
          <w:lang w:val="es-ES"/>
        </w:rPr>
        <w:t>es de 25 años;</w:t>
      </w:r>
    </w:p>
    <w:p w:rsidR="005663C6" w:rsidRDefault="005663C6">
      <w:pPr>
        <w:rPr>
          <w:lang w:val="es-ES"/>
        </w:rPr>
      </w:pPr>
      <w:r>
        <w:rPr>
          <w:lang w:val="es-ES"/>
        </w:rPr>
        <w:br w:type="page"/>
      </w:r>
    </w:p>
    <w:p w:rsidR="00E75EA9" w:rsidRPr="00E3747B" w:rsidRDefault="004F5BA6" w:rsidP="00117C57">
      <w:pPr>
        <w:pStyle w:val="ONUME"/>
        <w:numPr>
          <w:ilvl w:val="0"/>
          <w:numId w:val="0"/>
        </w:numPr>
        <w:ind w:firstLine="567"/>
        <w:rPr>
          <w:lang w:val="es-ES"/>
        </w:rPr>
      </w:pPr>
      <w:r w:rsidRPr="00E3747B">
        <w:rPr>
          <w:lang w:val="es-ES"/>
        </w:rPr>
        <w:lastRenderedPageBreak/>
        <w:t>–</w:t>
      </w:r>
      <w:r w:rsidR="00E75EA9" w:rsidRPr="00E3747B">
        <w:rPr>
          <w:lang w:val="es-ES"/>
        </w:rPr>
        <w:tab/>
        <w:t xml:space="preserve">la declaración a la que se refiere la </w:t>
      </w:r>
      <w:r w:rsidR="00A275C8" w:rsidRPr="00E3747B">
        <w:rPr>
          <w:lang w:val="es-ES"/>
        </w:rPr>
        <w:t>Regla 13.4) d</w:t>
      </w:r>
      <w:r w:rsidR="00E3747B" w:rsidRPr="00E3747B">
        <w:rPr>
          <w:lang w:val="es-ES"/>
        </w:rPr>
        <w:t>el Reglamento Común del Acta de </w:t>
      </w:r>
      <w:r w:rsidR="00A275C8" w:rsidRPr="00E3747B">
        <w:rPr>
          <w:lang w:val="es-ES"/>
        </w:rPr>
        <w:t>1999 y del Acta de 1960 del Arreglo de La Haya, en la que se especifica que el período de un mes mencionado en el párrafo 3) de dicha regla, para enviar una solicitud internacional presentada por conducto de la Oficina de la Federación de Rusia, será reemplazado por un período de seis meses debido al control de seguridad;</w:t>
      </w:r>
    </w:p>
    <w:p w:rsidR="00827E3C" w:rsidRPr="00E3747B" w:rsidRDefault="004F5BA6" w:rsidP="00827E3C">
      <w:pPr>
        <w:pStyle w:val="ONUME"/>
        <w:numPr>
          <w:ilvl w:val="0"/>
          <w:numId w:val="0"/>
        </w:numPr>
        <w:ind w:firstLine="567"/>
        <w:rPr>
          <w:lang w:val="es-ES"/>
        </w:rPr>
      </w:pPr>
      <w:r w:rsidRPr="00E3747B">
        <w:rPr>
          <w:lang w:val="es-ES"/>
        </w:rPr>
        <w:t>–</w:t>
      </w:r>
      <w:r w:rsidR="00827E3C" w:rsidRPr="00E3747B">
        <w:rPr>
          <w:lang w:val="es-ES"/>
        </w:rPr>
        <w:tab/>
        <w:t>la declaración a la que se refiere la Regla 18.1)b) del Reglamento Común, en la que se indica que el plazo prescrito de seis meses para la notificación de una denegación de los efectos de un registro internacional es reemplazado por un plazo de 12 meses;  y,</w:t>
      </w:r>
    </w:p>
    <w:p w:rsidR="00827E3C" w:rsidRPr="00E3747B" w:rsidRDefault="004F5BA6" w:rsidP="00827E3C">
      <w:pPr>
        <w:pStyle w:val="ONUME"/>
        <w:numPr>
          <w:ilvl w:val="0"/>
          <w:numId w:val="0"/>
        </w:numPr>
        <w:ind w:firstLine="567"/>
        <w:rPr>
          <w:lang w:val="es-ES"/>
        </w:rPr>
      </w:pPr>
      <w:r w:rsidRPr="00E3747B">
        <w:rPr>
          <w:lang w:val="es-ES"/>
        </w:rPr>
        <w:t>–</w:t>
      </w:r>
      <w:r w:rsidR="00827E3C" w:rsidRPr="00E3747B">
        <w:rPr>
          <w:lang w:val="es-ES"/>
        </w:rPr>
        <w:tab/>
        <w:t xml:space="preserve">la declaración mencionada en la Regla 18.1)c)i) del Reglamento Común, en la que el registro internacional surtirá el efecto mencionado en el Artículo 14.2)a) del Acta de 1999 en la Federación de Rusia a partir de la fecha en que la Oficina de la Federación de Rusia notifique a la Oficina </w:t>
      </w:r>
      <w:r w:rsidR="0091232D">
        <w:rPr>
          <w:lang w:val="es-ES"/>
        </w:rPr>
        <w:t>I</w:t>
      </w:r>
      <w:bookmarkStart w:id="2" w:name="_GoBack"/>
      <w:bookmarkEnd w:id="2"/>
      <w:r w:rsidR="00827E3C" w:rsidRPr="00E3747B">
        <w:rPr>
          <w:lang w:val="es-ES"/>
        </w:rPr>
        <w:t>nternacional de la OMPI la concesión de la protección, que deberá realizarse en un plazo de seis meses a partir de la fecha de vencimiento del plazo de denegación.</w:t>
      </w:r>
    </w:p>
    <w:p w:rsidR="00117C57" w:rsidRPr="00E3747B" w:rsidRDefault="00117C57" w:rsidP="00117C57">
      <w:pPr>
        <w:pStyle w:val="ONUME"/>
        <w:tabs>
          <w:tab w:val="clear" w:pos="567"/>
        </w:tabs>
        <w:rPr>
          <w:lang w:val="es-ES"/>
        </w:rPr>
      </w:pPr>
      <w:r w:rsidRPr="00E3747B">
        <w:rPr>
          <w:color w:val="000000"/>
          <w:lang w:val="es-ES"/>
        </w:rPr>
        <w:t>De conformidad con el Artículo 28.3)b) del Acta de 1999, el Acta de 1999 y las declaraciones entrarán en vigor con respecto a la Federaci</w:t>
      </w:r>
      <w:r w:rsidR="004F5BA6" w:rsidRPr="00E3747B">
        <w:rPr>
          <w:color w:val="000000"/>
          <w:lang w:val="es-ES"/>
        </w:rPr>
        <w:t>ón de Rusia el 28 de febrero de </w:t>
      </w:r>
      <w:r w:rsidRPr="00E3747B">
        <w:rPr>
          <w:color w:val="000000"/>
          <w:lang w:val="es-ES"/>
        </w:rPr>
        <w:t>2018.</w:t>
      </w:r>
    </w:p>
    <w:p w:rsidR="00117C57" w:rsidRPr="00E3747B" w:rsidRDefault="00117C57" w:rsidP="00117C57">
      <w:pPr>
        <w:pStyle w:val="ONUME"/>
        <w:tabs>
          <w:tab w:val="clear" w:pos="567"/>
        </w:tabs>
        <w:rPr>
          <w:lang w:val="es-ES"/>
        </w:rPr>
      </w:pPr>
      <w:r w:rsidRPr="00E3747B">
        <w:rPr>
          <w:lang w:val="es-ES"/>
        </w:rPr>
        <w:t>La ratificación por</w:t>
      </w:r>
      <w:r w:rsidR="00B97AE6">
        <w:rPr>
          <w:lang w:val="es-ES"/>
        </w:rPr>
        <w:t xml:space="preserve"> parte de</w:t>
      </w:r>
      <w:r w:rsidRPr="00E3747B">
        <w:rPr>
          <w:lang w:val="es-ES"/>
        </w:rPr>
        <w:t xml:space="preserve"> la Federación de Rusia del Acta de 1999 eleva </w:t>
      </w:r>
      <w:r w:rsidR="004F5BA6" w:rsidRPr="00E3747B">
        <w:rPr>
          <w:lang w:val="es-ES"/>
        </w:rPr>
        <w:t xml:space="preserve">a 53 </w:t>
      </w:r>
      <w:r w:rsidRPr="00E3747B">
        <w:rPr>
          <w:lang w:val="es-ES"/>
        </w:rPr>
        <w:t xml:space="preserve">el número de Partes Contratantes de esa Acta, y </w:t>
      </w:r>
      <w:r w:rsidR="004F5BA6" w:rsidRPr="00E3747B">
        <w:rPr>
          <w:lang w:val="es-ES"/>
        </w:rPr>
        <w:t xml:space="preserve">a 67 </w:t>
      </w:r>
      <w:r w:rsidRPr="00E3747B">
        <w:rPr>
          <w:lang w:val="es-ES"/>
        </w:rPr>
        <w:t>el número total de Partes Contratantes del Arreglo de La Haya.  En la página del sitio web de la OMPI que se indica a continuación figura una lista de las Partes Contratantes del Arreglo de La Haya:  http://www.wipo.int/export/sites/www/treaties/es/documents/pdf/hague.pdf.</w:t>
      </w:r>
    </w:p>
    <w:p w:rsidR="00117C57" w:rsidRPr="00E3747B" w:rsidRDefault="00117C57" w:rsidP="00117C57">
      <w:pPr>
        <w:rPr>
          <w:lang w:val="es-ES"/>
        </w:rPr>
      </w:pPr>
    </w:p>
    <w:p w:rsidR="00884CCB" w:rsidRPr="00E3747B" w:rsidRDefault="00884CCB" w:rsidP="00E3747B">
      <w:pPr>
        <w:pStyle w:val="Endofdocument-Annex"/>
        <w:ind w:left="0"/>
        <w:rPr>
          <w:lang w:val="es-ES"/>
        </w:rPr>
      </w:pPr>
    </w:p>
    <w:p w:rsidR="00117C57" w:rsidRPr="00E3747B" w:rsidRDefault="00475C25" w:rsidP="00117C57">
      <w:pPr>
        <w:pStyle w:val="Endofdocument-Annex"/>
        <w:rPr>
          <w:lang w:val="es-ES"/>
        </w:rPr>
      </w:pPr>
      <w:r>
        <w:rPr>
          <w:lang w:val="es-ES"/>
        </w:rPr>
        <w:t>16</w:t>
      </w:r>
      <w:r w:rsidR="00E75EA9" w:rsidRPr="00E3747B">
        <w:rPr>
          <w:lang w:val="es-ES"/>
        </w:rPr>
        <w:t xml:space="preserve"> de </w:t>
      </w:r>
      <w:r w:rsidR="00B92372">
        <w:rPr>
          <w:lang w:val="es-ES"/>
        </w:rPr>
        <w:t>enero</w:t>
      </w:r>
      <w:r w:rsidR="00E75EA9" w:rsidRPr="00E3747B">
        <w:rPr>
          <w:lang w:val="es-ES"/>
        </w:rPr>
        <w:t xml:space="preserve"> de 201</w:t>
      </w:r>
      <w:r w:rsidR="00B92372">
        <w:rPr>
          <w:lang w:val="es-ES"/>
        </w:rPr>
        <w:t>8</w:t>
      </w:r>
    </w:p>
    <w:sectPr w:rsidR="00117C57" w:rsidRPr="00E3747B" w:rsidSect="00605827">
      <w:headerReference w:type="default" r:id="rId10"/>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C67" w:rsidRDefault="00FF5C67">
      <w:r>
        <w:separator/>
      </w:r>
    </w:p>
  </w:endnote>
  <w:endnote w:type="continuationSeparator" w:id="0">
    <w:p w:rsidR="00FF5C67" w:rsidRDefault="00FF5C67" w:rsidP="003B38C1">
      <w:r>
        <w:separator/>
      </w:r>
    </w:p>
    <w:p w:rsidR="00FF5C67" w:rsidRPr="004F5BA6" w:rsidRDefault="00FF5C67" w:rsidP="003B38C1">
      <w:pPr>
        <w:spacing w:after="60"/>
        <w:rPr>
          <w:sz w:val="17"/>
          <w:lang w:val="es-ES"/>
        </w:rPr>
      </w:pPr>
      <w:r w:rsidRPr="004F5BA6">
        <w:rPr>
          <w:sz w:val="17"/>
          <w:lang w:val="es-ES"/>
        </w:rPr>
        <w:t>[Continuación de la nota de la página anterior]</w:t>
      </w:r>
    </w:p>
  </w:endnote>
  <w:endnote w:type="continuationNotice" w:id="1">
    <w:p w:rsidR="00FF5C67" w:rsidRPr="003B38C1" w:rsidRDefault="00FF5C6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C67" w:rsidRDefault="00FF5C67">
      <w:r>
        <w:separator/>
      </w:r>
    </w:p>
  </w:footnote>
  <w:footnote w:type="continuationSeparator" w:id="0">
    <w:p w:rsidR="00FF5C67" w:rsidRDefault="00FF5C67" w:rsidP="008B60B2">
      <w:r>
        <w:separator/>
      </w:r>
    </w:p>
    <w:p w:rsidR="00FF5C67" w:rsidRPr="004F5BA6" w:rsidRDefault="00FF5C67" w:rsidP="008B60B2">
      <w:pPr>
        <w:spacing w:after="60"/>
        <w:rPr>
          <w:sz w:val="17"/>
          <w:szCs w:val="17"/>
          <w:lang w:val="es-ES"/>
        </w:rPr>
      </w:pPr>
      <w:r w:rsidRPr="004F5BA6">
        <w:rPr>
          <w:sz w:val="17"/>
          <w:szCs w:val="17"/>
          <w:lang w:val="es-ES"/>
        </w:rPr>
        <w:t>[Continuación de la nota de pie de página de la página anterior]</w:t>
      </w:r>
    </w:p>
  </w:footnote>
  <w:footnote w:type="continuationNotice" w:id="1">
    <w:p w:rsidR="00FF5C67" w:rsidRPr="004F5BA6" w:rsidRDefault="00FF5C67" w:rsidP="008B60B2">
      <w:pPr>
        <w:spacing w:before="60"/>
        <w:jc w:val="right"/>
        <w:rPr>
          <w:sz w:val="17"/>
          <w:szCs w:val="17"/>
          <w:lang w:val="es-ES"/>
        </w:rPr>
      </w:pPr>
      <w:r w:rsidRPr="004F5BA6">
        <w:rPr>
          <w:sz w:val="17"/>
          <w:szCs w:val="17"/>
          <w:lang w:val="es-ES"/>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13E" w:rsidRPr="00E3747B" w:rsidRDefault="002A513E" w:rsidP="00477D6B">
    <w:pPr>
      <w:jc w:val="right"/>
      <w:rPr>
        <w:lang w:val="es-ES"/>
      </w:rPr>
    </w:pPr>
    <w:r w:rsidRPr="00E3747B">
      <w:rPr>
        <w:lang w:val="es-ES"/>
      </w:rPr>
      <w:t xml:space="preserve">página </w:t>
    </w:r>
    <w:r w:rsidRPr="00E3747B">
      <w:rPr>
        <w:lang w:val="es-ES"/>
      </w:rPr>
      <w:fldChar w:fldCharType="begin"/>
    </w:r>
    <w:r w:rsidRPr="00E3747B">
      <w:rPr>
        <w:lang w:val="es-ES"/>
      </w:rPr>
      <w:instrText xml:space="preserve"> PAGE  \* MERGEFORMAT </w:instrText>
    </w:r>
    <w:r w:rsidRPr="00E3747B">
      <w:rPr>
        <w:lang w:val="es-ES"/>
      </w:rPr>
      <w:fldChar w:fldCharType="separate"/>
    </w:r>
    <w:r w:rsidR="00E9665F">
      <w:rPr>
        <w:noProof/>
        <w:lang w:val="es-ES"/>
      </w:rPr>
      <w:t>2</w:t>
    </w:r>
    <w:r w:rsidRPr="00E3747B">
      <w:rPr>
        <w:lang w:val="es-ES"/>
      </w:rPr>
      <w:fldChar w:fldCharType="end"/>
    </w:r>
  </w:p>
  <w:p w:rsidR="002A513E" w:rsidRDefault="002A513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2C9D"/>
    <w:rsid w:val="0002095F"/>
    <w:rsid w:val="0003763C"/>
    <w:rsid w:val="00043313"/>
    <w:rsid w:val="00043CAA"/>
    <w:rsid w:val="00050D24"/>
    <w:rsid w:val="000728FF"/>
    <w:rsid w:val="0007453B"/>
    <w:rsid w:val="00075432"/>
    <w:rsid w:val="00092199"/>
    <w:rsid w:val="000968ED"/>
    <w:rsid w:val="000A525D"/>
    <w:rsid w:val="000D3921"/>
    <w:rsid w:val="000D4BD3"/>
    <w:rsid w:val="000F5E56"/>
    <w:rsid w:val="00113996"/>
    <w:rsid w:val="00117C57"/>
    <w:rsid w:val="001272E3"/>
    <w:rsid w:val="00131BD8"/>
    <w:rsid w:val="00133F53"/>
    <w:rsid w:val="001362EE"/>
    <w:rsid w:val="00136F5B"/>
    <w:rsid w:val="00142108"/>
    <w:rsid w:val="001437C8"/>
    <w:rsid w:val="0014531F"/>
    <w:rsid w:val="0015037D"/>
    <w:rsid w:val="001569AF"/>
    <w:rsid w:val="00165217"/>
    <w:rsid w:val="00166299"/>
    <w:rsid w:val="00175970"/>
    <w:rsid w:val="001832A6"/>
    <w:rsid w:val="00185E31"/>
    <w:rsid w:val="00186DE1"/>
    <w:rsid w:val="001C2D7E"/>
    <w:rsid w:val="001D4F09"/>
    <w:rsid w:val="001D7343"/>
    <w:rsid w:val="001E3850"/>
    <w:rsid w:val="001F1B95"/>
    <w:rsid w:val="001F717F"/>
    <w:rsid w:val="0020551F"/>
    <w:rsid w:val="00206EB9"/>
    <w:rsid w:val="00215B9D"/>
    <w:rsid w:val="0022493E"/>
    <w:rsid w:val="00232F02"/>
    <w:rsid w:val="00251890"/>
    <w:rsid w:val="0025278E"/>
    <w:rsid w:val="002634C4"/>
    <w:rsid w:val="00266029"/>
    <w:rsid w:val="002928D3"/>
    <w:rsid w:val="002A2E4F"/>
    <w:rsid w:val="002A513E"/>
    <w:rsid w:val="002C1554"/>
    <w:rsid w:val="002C38D8"/>
    <w:rsid w:val="002C7052"/>
    <w:rsid w:val="002E5A3A"/>
    <w:rsid w:val="002F1FE6"/>
    <w:rsid w:val="002F4E68"/>
    <w:rsid w:val="00303961"/>
    <w:rsid w:val="003118DD"/>
    <w:rsid w:val="00312F7F"/>
    <w:rsid w:val="00317670"/>
    <w:rsid w:val="003336CA"/>
    <w:rsid w:val="00335EC1"/>
    <w:rsid w:val="00347330"/>
    <w:rsid w:val="00347CE8"/>
    <w:rsid w:val="00357985"/>
    <w:rsid w:val="00361450"/>
    <w:rsid w:val="003673CF"/>
    <w:rsid w:val="003838F1"/>
    <w:rsid w:val="00383EC2"/>
    <w:rsid w:val="003845C1"/>
    <w:rsid w:val="003A6F89"/>
    <w:rsid w:val="003B38C1"/>
    <w:rsid w:val="003D1AB0"/>
    <w:rsid w:val="003E0D9F"/>
    <w:rsid w:val="004052E1"/>
    <w:rsid w:val="00407BC6"/>
    <w:rsid w:val="00411FB2"/>
    <w:rsid w:val="00423E3E"/>
    <w:rsid w:val="00427AF4"/>
    <w:rsid w:val="004630B4"/>
    <w:rsid w:val="004647DA"/>
    <w:rsid w:val="0047006A"/>
    <w:rsid w:val="00474062"/>
    <w:rsid w:val="00475C25"/>
    <w:rsid w:val="00477D6B"/>
    <w:rsid w:val="00492BD2"/>
    <w:rsid w:val="004936FC"/>
    <w:rsid w:val="004947C5"/>
    <w:rsid w:val="004B0093"/>
    <w:rsid w:val="004B1ABF"/>
    <w:rsid w:val="004B336C"/>
    <w:rsid w:val="004D4170"/>
    <w:rsid w:val="004F5A30"/>
    <w:rsid w:val="004F5BA6"/>
    <w:rsid w:val="005019FF"/>
    <w:rsid w:val="005243B1"/>
    <w:rsid w:val="0053057A"/>
    <w:rsid w:val="00546473"/>
    <w:rsid w:val="00546A94"/>
    <w:rsid w:val="00560A29"/>
    <w:rsid w:val="005663C6"/>
    <w:rsid w:val="005868B8"/>
    <w:rsid w:val="005A78E1"/>
    <w:rsid w:val="005C6649"/>
    <w:rsid w:val="005F2F3B"/>
    <w:rsid w:val="005F4AAF"/>
    <w:rsid w:val="00605827"/>
    <w:rsid w:val="006223DB"/>
    <w:rsid w:val="00644AA2"/>
    <w:rsid w:val="00646050"/>
    <w:rsid w:val="00647B0C"/>
    <w:rsid w:val="00654AE9"/>
    <w:rsid w:val="006659A7"/>
    <w:rsid w:val="00667CBB"/>
    <w:rsid w:val="006713CA"/>
    <w:rsid w:val="00674ABA"/>
    <w:rsid w:val="00676C5C"/>
    <w:rsid w:val="006E3324"/>
    <w:rsid w:val="007315CB"/>
    <w:rsid w:val="00767C4D"/>
    <w:rsid w:val="00773CE3"/>
    <w:rsid w:val="00775EBD"/>
    <w:rsid w:val="007771D3"/>
    <w:rsid w:val="00790A94"/>
    <w:rsid w:val="007919C3"/>
    <w:rsid w:val="007B7F73"/>
    <w:rsid w:val="007C3E9B"/>
    <w:rsid w:val="007D1613"/>
    <w:rsid w:val="007D250A"/>
    <w:rsid w:val="007D290D"/>
    <w:rsid w:val="007F4D09"/>
    <w:rsid w:val="00804EC4"/>
    <w:rsid w:val="00824E57"/>
    <w:rsid w:val="00827C57"/>
    <w:rsid w:val="00827E3C"/>
    <w:rsid w:val="00854071"/>
    <w:rsid w:val="00862599"/>
    <w:rsid w:val="00864E5E"/>
    <w:rsid w:val="00876A3C"/>
    <w:rsid w:val="00884CCB"/>
    <w:rsid w:val="00885618"/>
    <w:rsid w:val="008948BE"/>
    <w:rsid w:val="00895C02"/>
    <w:rsid w:val="00895FEA"/>
    <w:rsid w:val="008977D0"/>
    <w:rsid w:val="008A6724"/>
    <w:rsid w:val="008B2CC1"/>
    <w:rsid w:val="008B60B2"/>
    <w:rsid w:val="008B6115"/>
    <w:rsid w:val="008C2D2F"/>
    <w:rsid w:val="008C2FE6"/>
    <w:rsid w:val="008C67A6"/>
    <w:rsid w:val="008F1F70"/>
    <w:rsid w:val="0090731E"/>
    <w:rsid w:val="00911D6C"/>
    <w:rsid w:val="0091232D"/>
    <w:rsid w:val="00916EE2"/>
    <w:rsid w:val="00922789"/>
    <w:rsid w:val="00931A9C"/>
    <w:rsid w:val="0093216E"/>
    <w:rsid w:val="009378BE"/>
    <w:rsid w:val="00940793"/>
    <w:rsid w:val="009619BB"/>
    <w:rsid w:val="00966A22"/>
    <w:rsid w:val="0096722F"/>
    <w:rsid w:val="00980843"/>
    <w:rsid w:val="00997AAD"/>
    <w:rsid w:val="009A591F"/>
    <w:rsid w:val="009C0C04"/>
    <w:rsid w:val="009E2791"/>
    <w:rsid w:val="009E3F6F"/>
    <w:rsid w:val="009E5F9F"/>
    <w:rsid w:val="009F2A14"/>
    <w:rsid w:val="009F499F"/>
    <w:rsid w:val="00A1504E"/>
    <w:rsid w:val="00A21684"/>
    <w:rsid w:val="00A25430"/>
    <w:rsid w:val="00A26A24"/>
    <w:rsid w:val="00A275C8"/>
    <w:rsid w:val="00A353ED"/>
    <w:rsid w:val="00A42DAF"/>
    <w:rsid w:val="00A45BD8"/>
    <w:rsid w:val="00A468E2"/>
    <w:rsid w:val="00A869B7"/>
    <w:rsid w:val="00AA1EEF"/>
    <w:rsid w:val="00AC205C"/>
    <w:rsid w:val="00AD38EE"/>
    <w:rsid w:val="00AE53D3"/>
    <w:rsid w:val="00AF0A6B"/>
    <w:rsid w:val="00AF5108"/>
    <w:rsid w:val="00AF6402"/>
    <w:rsid w:val="00B05A69"/>
    <w:rsid w:val="00B21387"/>
    <w:rsid w:val="00B2247B"/>
    <w:rsid w:val="00B270C9"/>
    <w:rsid w:val="00B46D7E"/>
    <w:rsid w:val="00B54D7D"/>
    <w:rsid w:val="00B83157"/>
    <w:rsid w:val="00B92372"/>
    <w:rsid w:val="00B954D3"/>
    <w:rsid w:val="00B9734B"/>
    <w:rsid w:val="00B97A85"/>
    <w:rsid w:val="00B97AE6"/>
    <w:rsid w:val="00BA59F8"/>
    <w:rsid w:val="00BA63F6"/>
    <w:rsid w:val="00BA6DE5"/>
    <w:rsid w:val="00BB30F3"/>
    <w:rsid w:val="00BB4419"/>
    <w:rsid w:val="00BB78C7"/>
    <w:rsid w:val="00BC0270"/>
    <w:rsid w:val="00BE55D6"/>
    <w:rsid w:val="00BE5857"/>
    <w:rsid w:val="00C11BFE"/>
    <w:rsid w:val="00C45642"/>
    <w:rsid w:val="00C47421"/>
    <w:rsid w:val="00C556FE"/>
    <w:rsid w:val="00C80362"/>
    <w:rsid w:val="00C94776"/>
    <w:rsid w:val="00C977DB"/>
    <w:rsid w:val="00CB0370"/>
    <w:rsid w:val="00CB132F"/>
    <w:rsid w:val="00CB4916"/>
    <w:rsid w:val="00CC5016"/>
    <w:rsid w:val="00CC5077"/>
    <w:rsid w:val="00CE0A51"/>
    <w:rsid w:val="00CE0F4D"/>
    <w:rsid w:val="00CE6390"/>
    <w:rsid w:val="00CF4536"/>
    <w:rsid w:val="00D07763"/>
    <w:rsid w:val="00D22BD4"/>
    <w:rsid w:val="00D30CC7"/>
    <w:rsid w:val="00D31C2F"/>
    <w:rsid w:val="00D36664"/>
    <w:rsid w:val="00D40A98"/>
    <w:rsid w:val="00D424EC"/>
    <w:rsid w:val="00D45252"/>
    <w:rsid w:val="00D5142D"/>
    <w:rsid w:val="00D57F87"/>
    <w:rsid w:val="00D57F90"/>
    <w:rsid w:val="00D70F71"/>
    <w:rsid w:val="00D71B4D"/>
    <w:rsid w:val="00D76F38"/>
    <w:rsid w:val="00D81757"/>
    <w:rsid w:val="00D826DA"/>
    <w:rsid w:val="00D847BE"/>
    <w:rsid w:val="00D90EE5"/>
    <w:rsid w:val="00D93D55"/>
    <w:rsid w:val="00DB42CB"/>
    <w:rsid w:val="00DC3E50"/>
    <w:rsid w:val="00E24971"/>
    <w:rsid w:val="00E335FE"/>
    <w:rsid w:val="00E3747B"/>
    <w:rsid w:val="00E42B9A"/>
    <w:rsid w:val="00E532DC"/>
    <w:rsid w:val="00E66C2C"/>
    <w:rsid w:val="00E75EA9"/>
    <w:rsid w:val="00E77E2E"/>
    <w:rsid w:val="00E9010E"/>
    <w:rsid w:val="00E9665F"/>
    <w:rsid w:val="00EC23FC"/>
    <w:rsid w:val="00EC4E49"/>
    <w:rsid w:val="00ED38E9"/>
    <w:rsid w:val="00ED4C4F"/>
    <w:rsid w:val="00ED77FB"/>
    <w:rsid w:val="00EE45FA"/>
    <w:rsid w:val="00EE5748"/>
    <w:rsid w:val="00EF0146"/>
    <w:rsid w:val="00F0720F"/>
    <w:rsid w:val="00F201C4"/>
    <w:rsid w:val="00F30F25"/>
    <w:rsid w:val="00F41865"/>
    <w:rsid w:val="00F45753"/>
    <w:rsid w:val="00F66152"/>
    <w:rsid w:val="00F7721F"/>
    <w:rsid w:val="00FA156A"/>
    <w:rsid w:val="00FC3D36"/>
    <w:rsid w:val="00FC4C8A"/>
    <w:rsid w:val="00FF5C6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BCEA9-FF3E-47E4-9242-5029B4F6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Arreglo de La Haya relativo al registro internacional de dibujos y modelos industriales - Ratificación del Acta de 1999:  Federación de Rusia</vt:lpstr>
    </vt:vector>
  </TitlesOfParts>
  <Company>WIPO</Company>
  <LinksUpToDate>false</LinksUpToDate>
  <CharactersWithSpaces>3936</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Arreglo de La Haya relativo al registro internacional de dibujos y modelos industriales - Ratificación del Acta de 1999:  Federación de Rusia</dc:title>
  <dc:creator>Nora Dorado Perez</dc:creator>
  <dc:description>MH - 13.12.2017</dc:description>
  <cp:lastModifiedBy>MAILLARD Amber</cp:lastModifiedBy>
  <cp:revision>10</cp:revision>
  <cp:lastPrinted>2018-01-16T14:05:00Z</cp:lastPrinted>
  <dcterms:created xsi:type="dcterms:W3CDTF">2017-12-19T12:10:00Z</dcterms:created>
  <dcterms:modified xsi:type="dcterms:W3CDTF">2018-01-16T14:05:00Z</dcterms:modified>
</cp:coreProperties>
</file>