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DD5BE7" w:rsidTr="00CC501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DD5BE7" w:rsidRDefault="00EC4E49" w:rsidP="00916EE2">
            <w:pPr>
              <w:rPr>
                <w:lang w:val="es-ES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DD5BE7" w:rsidRDefault="002A665D" w:rsidP="00916EE2">
            <w:pPr>
              <w:rPr>
                <w:lang w:val="es-ES"/>
              </w:rPr>
            </w:pPr>
            <w:r>
              <w:rPr>
                <w:noProof/>
                <w:lang w:eastAsia="en-US"/>
              </w:rPr>
              <w:drawing>
                <wp:inline distT="0" distB="0" distL="0" distR="0" wp14:anchorId="6922ECF4" wp14:editId="7BE93AA2">
                  <wp:extent cx="1857375" cy="1323975"/>
                  <wp:effectExtent l="0" t="0" r="9525" b="9525"/>
                  <wp:docPr id="1" name="Picture 1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DD5BE7" w:rsidRDefault="00EC4E49" w:rsidP="00916EE2">
            <w:pPr>
              <w:jc w:val="right"/>
              <w:rPr>
                <w:lang w:val="es-ES"/>
              </w:rPr>
            </w:pPr>
          </w:p>
        </w:tc>
      </w:tr>
      <w:tr w:rsidR="008B2CC1" w:rsidRPr="00DD5BE7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DD5BE7" w:rsidRDefault="008B2CC1" w:rsidP="00916EE2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bookmarkStart w:id="0" w:name="Original"/>
            <w:bookmarkEnd w:id="0"/>
          </w:p>
        </w:tc>
      </w:tr>
      <w:tr w:rsidR="008B2CC1" w:rsidRPr="00DD5BE7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DD5BE7" w:rsidRDefault="002A665D" w:rsidP="00276735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r w:rsidRPr="00DD5BE7">
              <w:rPr>
                <w:rFonts w:ascii="Arial Black" w:hAnsi="Arial Black"/>
                <w:sz w:val="15"/>
                <w:lang w:val="es-ES"/>
              </w:rPr>
              <w:t>AVISO N</w:t>
            </w:r>
            <w:r w:rsidR="00D5477E">
              <w:rPr>
                <w:rFonts w:ascii="Arial Black" w:hAnsi="Arial Black"/>
                <w:sz w:val="15"/>
                <w:lang w:val="es-ES"/>
              </w:rPr>
              <w:t>.</w:t>
            </w:r>
            <w:r w:rsidRPr="00DD5BE7">
              <w:rPr>
                <w:rFonts w:ascii="Arial Black" w:hAnsi="Arial Black"/>
                <w:sz w:val="15"/>
                <w:lang w:val="es-ES"/>
              </w:rPr>
              <w:t>º </w:t>
            </w:r>
            <w:r w:rsidR="00276735">
              <w:rPr>
                <w:rFonts w:ascii="Arial Black" w:hAnsi="Arial Black"/>
                <w:sz w:val="15"/>
                <w:lang w:val="es-ES"/>
              </w:rPr>
              <w:t>19</w:t>
            </w:r>
            <w:r w:rsidRPr="00DD5BE7">
              <w:rPr>
                <w:rFonts w:ascii="Arial Black" w:hAnsi="Arial Black"/>
                <w:sz w:val="15"/>
                <w:lang w:val="es-ES"/>
              </w:rPr>
              <w:t>/201</w:t>
            </w:r>
            <w:r w:rsidR="00EE4720">
              <w:rPr>
                <w:rFonts w:ascii="Arial Black" w:hAnsi="Arial Black"/>
                <w:sz w:val="15"/>
                <w:lang w:val="es-ES"/>
              </w:rPr>
              <w:t>8</w:t>
            </w:r>
            <w:r w:rsidRPr="00DD5BE7">
              <w:rPr>
                <w:rFonts w:ascii="Arial Black" w:hAnsi="Arial Black"/>
                <w:sz w:val="15"/>
                <w:lang w:val="es-ES"/>
              </w:rPr>
              <w:t xml:space="preserve">  </w:t>
            </w:r>
            <w:bookmarkStart w:id="1" w:name="Date"/>
            <w:bookmarkEnd w:id="1"/>
          </w:p>
        </w:tc>
      </w:tr>
    </w:tbl>
    <w:p w:rsidR="004034D6" w:rsidRPr="00DD5BE7" w:rsidRDefault="004034D6" w:rsidP="008B2CC1">
      <w:pPr>
        <w:rPr>
          <w:lang w:val="es-ES"/>
        </w:rPr>
      </w:pPr>
    </w:p>
    <w:p w:rsidR="004034D6" w:rsidRPr="00DD5BE7" w:rsidRDefault="004034D6" w:rsidP="008B2CC1">
      <w:pPr>
        <w:rPr>
          <w:lang w:val="es-ES"/>
        </w:rPr>
      </w:pPr>
    </w:p>
    <w:p w:rsidR="004034D6" w:rsidRPr="00DD5BE7" w:rsidRDefault="004034D6" w:rsidP="008B2CC1">
      <w:pPr>
        <w:rPr>
          <w:lang w:val="es-ES"/>
        </w:rPr>
      </w:pPr>
    </w:p>
    <w:p w:rsidR="004034D6" w:rsidRPr="00DD5BE7" w:rsidRDefault="004034D6" w:rsidP="00CC5016">
      <w:pPr>
        <w:rPr>
          <w:lang w:val="es-ES"/>
        </w:rPr>
      </w:pPr>
    </w:p>
    <w:p w:rsidR="004034D6" w:rsidRPr="00DD5BE7" w:rsidRDefault="004034D6" w:rsidP="00CC5016">
      <w:pPr>
        <w:rPr>
          <w:lang w:val="es-ES"/>
        </w:rPr>
      </w:pPr>
    </w:p>
    <w:p w:rsidR="004034D6" w:rsidRPr="00DD5BE7" w:rsidRDefault="004034D6" w:rsidP="004034D6">
      <w:pPr>
        <w:autoSpaceDE w:val="0"/>
        <w:autoSpaceDN w:val="0"/>
        <w:adjustRightInd w:val="0"/>
        <w:rPr>
          <w:b/>
          <w:bCs/>
          <w:sz w:val="28"/>
          <w:szCs w:val="28"/>
          <w:lang w:val="es-ES"/>
        </w:rPr>
      </w:pPr>
      <w:r w:rsidRPr="00DD5BE7">
        <w:rPr>
          <w:b/>
          <w:bCs/>
          <w:sz w:val="28"/>
          <w:szCs w:val="28"/>
          <w:lang w:val="es-ES"/>
        </w:rPr>
        <w:t xml:space="preserve">Arreglo de La Haya relativo al </w:t>
      </w:r>
      <w:r w:rsidR="00B70372">
        <w:rPr>
          <w:b/>
          <w:bCs/>
          <w:sz w:val="28"/>
          <w:szCs w:val="28"/>
          <w:lang w:val="es-ES"/>
        </w:rPr>
        <w:t>R</w:t>
      </w:r>
      <w:r w:rsidRPr="00DD5BE7">
        <w:rPr>
          <w:b/>
          <w:bCs/>
          <w:sz w:val="28"/>
          <w:szCs w:val="28"/>
          <w:lang w:val="es-ES"/>
        </w:rPr>
        <w:t xml:space="preserve">egistro </w:t>
      </w:r>
      <w:r w:rsidR="00B70372">
        <w:rPr>
          <w:b/>
          <w:bCs/>
          <w:sz w:val="28"/>
          <w:szCs w:val="28"/>
          <w:lang w:val="es-ES"/>
        </w:rPr>
        <w:t>I</w:t>
      </w:r>
      <w:r w:rsidRPr="00DD5BE7">
        <w:rPr>
          <w:b/>
          <w:bCs/>
          <w:sz w:val="28"/>
          <w:szCs w:val="28"/>
          <w:lang w:val="es-ES"/>
        </w:rPr>
        <w:t xml:space="preserve">nternacional de </w:t>
      </w:r>
      <w:r w:rsidR="00B70372">
        <w:rPr>
          <w:b/>
          <w:bCs/>
          <w:sz w:val="28"/>
          <w:szCs w:val="28"/>
          <w:lang w:val="es-ES"/>
        </w:rPr>
        <w:t>D</w:t>
      </w:r>
      <w:r w:rsidRPr="00DD5BE7">
        <w:rPr>
          <w:b/>
          <w:bCs/>
          <w:sz w:val="28"/>
          <w:szCs w:val="28"/>
          <w:lang w:val="es-ES"/>
        </w:rPr>
        <w:t xml:space="preserve">ibujos y </w:t>
      </w:r>
      <w:r w:rsidR="00B70372">
        <w:rPr>
          <w:b/>
          <w:bCs/>
          <w:sz w:val="28"/>
          <w:szCs w:val="28"/>
          <w:lang w:val="es-ES"/>
        </w:rPr>
        <w:t>M</w:t>
      </w:r>
      <w:r w:rsidRPr="00DD5BE7">
        <w:rPr>
          <w:b/>
          <w:bCs/>
          <w:sz w:val="28"/>
          <w:szCs w:val="28"/>
          <w:lang w:val="es-ES"/>
        </w:rPr>
        <w:t xml:space="preserve">odelos </w:t>
      </w:r>
      <w:r w:rsidR="00B70372">
        <w:rPr>
          <w:b/>
          <w:bCs/>
          <w:sz w:val="28"/>
          <w:szCs w:val="28"/>
          <w:lang w:val="es-ES"/>
        </w:rPr>
        <w:t>I</w:t>
      </w:r>
      <w:r w:rsidRPr="00DD5BE7">
        <w:rPr>
          <w:b/>
          <w:bCs/>
          <w:sz w:val="28"/>
          <w:szCs w:val="28"/>
          <w:lang w:val="es-ES"/>
        </w:rPr>
        <w:t>ndustriales</w:t>
      </w:r>
    </w:p>
    <w:p w:rsidR="004034D6" w:rsidRDefault="004034D6" w:rsidP="00CC5016">
      <w:pPr>
        <w:autoSpaceDE w:val="0"/>
        <w:autoSpaceDN w:val="0"/>
        <w:adjustRightInd w:val="0"/>
        <w:rPr>
          <w:bCs/>
          <w:szCs w:val="22"/>
          <w:lang w:val="es-ES"/>
        </w:rPr>
      </w:pPr>
    </w:p>
    <w:p w:rsidR="00227190" w:rsidRDefault="00227190" w:rsidP="00CC5016">
      <w:pPr>
        <w:autoSpaceDE w:val="0"/>
        <w:autoSpaceDN w:val="0"/>
        <w:adjustRightInd w:val="0"/>
        <w:rPr>
          <w:bCs/>
          <w:szCs w:val="22"/>
          <w:lang w:val="es-ES"/>
        </w:rPr>
      </w:pPr>
    </w:p>
    <w:p w:rsidR="00227190" w:rsidRPr="00DD5BE7" w:rsidRDefault="00227190" w:rsidP="00CC5016">
      <w:pPr>
        <w:autoSpaceDE w:val="0"/>
        <w:autoSpaceDN w:val="0"/>
        <w:adjustRightInd w:val="0"/>
        <w:rPr>
          <w:bCs/>
          <w:szCs w:val="22"/>
          <w:lang w:val="es-ES"/>
        </w:rPr>
      </w:pPr>
    </w:p>
    <w:p w:rsidR="004034D6" w:rsidRPr="00DD5BE7" w:rsidRDefault="008E0663" w:rsidP="004034D6">
      <w:pPr>
        <w:autoSpaceDE w:val="0"/>
        <w:autoSpaceDN w:val="0"/>
        <w:adjustRightInd w:val="0"/>
        <w:rPr>
          <w:b/>
          <w:bCs/>
          <w:sz w:val="24"/>
          <w:szCs w:val="24"/>
          <w:lang w:val="es-ES"/>
        </w:rPr>
      </w:pPr>
      <w:r>
        <w:rPr>
          <w:b/>
          <w:bCs/>
          <w:sz w:val="24"/>
          <w:szCs w:val="24"/>
          <w:lang w:val="es-ES"/>
        </w:rPr>
        <w:t xml:space="preserve">Modificación de </w:t>
      </w:r>
      <w:r w:rsidR="00306C85">
        <w:rPr>
          <w:b/>
          <w:bCs/>
          <w:sz w:val="24"/>
          <w:szCs w:val="24"/>
          <w:lang w:val="es-ES"/>
        </w:rPr>
        <w:t>los importes</w:t>
      </w:r>
      <w:r>
        <w:rPr>
          <w:b/>
          <w:bCs/>
          <w:sz w:val="24"/>
          <w:szCs w:val="24"/>
          <w:lang w:val="es-ES"/>
        </w:rPr>
        <w:t xml:space="preserve"> de la t</w:t>
      </w:r>
      <w:r w:rsidR="004034D6" w:rsidRPr="00DD5BE7">
        <w:rPr>
          <w:b/>
          <w:bCs/>
          <w:sz w:val="24"/>
          <w:szCs w:val="24"/>
          <w:lang w:val="es-ES"/>
        </w:rPr>
        <w:t>asa de designación individual</w:t>
      </w:r>
      <w:bookmarkStart w:id="2" w:name="_GoBack"/>
      <w:bookmarkEnd w:id="2"/>
      <w:r w:rsidR="006D7BD8" w:rsidRPr="00DD5BE7">
        <w:rPr>
          <w:b/>
          <w:bCs/>
          <w:sz w:val="24"/>
          <w:szCs w:val="24"/>
          <w:lang w:val="es-ES"/>
        </w:rPr>
        <w:t xml:space="preserve">:  </w:t>
      </w:r>
      <w:r w:rsidR="00EE4720">
        <w:rPr>
          <w:b/>
          <w:bCs/>
          <w:sz w:val="24"/>
          <w:szCs w:val="24"/>
          <w:lang w:val="es-ES"/>
        </w:rPr>
        <w:t>Federación de Rusia</w:t>
      </w:r>
    </w:p>
    <w:p w:rsidR="004034D6" w:rsidRPr="00DD5BE7" w:rsidRDefault="004034D6" w:rsidP="00CC5016">
      <w:pPr>
        <w:rPr>
          <w:szCs w:val="22"/>
          <w:lang w:val="es-ES"/>
        </w:rPr>
      </w:pPr>
    </w:p>
    <w:p w:rsidR="004034D6" w:rsidRPr="00DD5BE7" w:rsidRDefault="004034D6" w:rsidP="00CC5016">
      <w:pPr>
        <w:rPr>
          <w:szCs w:val="22"/>
          <w:lang w:val="es-ES"/>
        </w:rPr>
      </w:pPr>
    </w:p>
    <w:p w:rsidR="004034D6" w:rsidRPr="00CF4E86" w:rsidRDefault="00AC4DCC" w:rsidP="00CF4E86">
      <w:pPr>
        <w:pStyle w:val="ONUME"/>
        <w:rPr>
          <w:color w:val="000000"/>
          <w:lang w:val="es-ES"/>
        </w:rPr>
      </w:pPr>
      <w:r>
        <w:rPr>
          <w:lang w:val="es-ES"/>
        </w:rPr>
        <w:t>De conformidad con</w:t>
      </w:r>
      <w:r w:rsidR="004034D6" w:rsidRPr="00A60CD5">
        <w:rPr>
          <w:lang w:val="es-ES"/>
        </w:rPr>
        <w:t xml:space="preserve"> la </w:t>
      </w:r>
      <w:r w:rsidR="00127B8D">
        <w:rPr>
          <w:lang w:val="es-ES"/>
        </w:rPr>
        <w:t>R</w:t>
      </w:r>
      <w:r w:rsidR="00127B8D" w:rsidRPr="00A60CD5">
        <w:rPr>
          <w:lang w:val="es-ES"/>
        </w:rPr>
        <w:t>egla </w:t>
      </w:r>
      <w:r w:rsidR="00A60CD5" w:rsidRPr="00A60CD5">
        <w:rPr>
          <w:lang w:val="es-ES"/>
        </w:rPr>
        <w:t>2</w:t>
      </w:r>
      <w:r w:rsidR="004034D6" w:rsidRPr="00A60CD5">
        <w:rPr>
          <w:lang w:val="es-ES"/>
        </w:rPr>
        <w:t>8.2)</w:t>
      </w:r>
      <w:r>
        <w:rPr>
          <w:lang w:val="es-ES"/>
        </w:rPr>
        <w:t>d</w:t>
      </w:r>
      <w:r w:rsidR="004034D6" w:rsidRPr="00A60CD5">
        <w:rPr>
          <w:lang w:val="es-ES"/>
        </w:rPr>
        <w:t>) del Reglamento Común del Acta d</w:t>
      </w:r>
      <w:r w:rsidR="00A60CD5" w:rsidRPr="00A60CD5">
        <w:rPr>
          <w:lang w:val="es-ES"/>
        </w:rPr>
        <w:t>e 1</w:t>
      </w:r>
      <w:r w:rsidR="0076210D" w:rsidRPr="00A60CD5">
        <w:rPr>
          <w:lang w:val="es-ES"/>
        </w:rPr>
        <w:t>999</w:t>
      </w:r>
      <w:r w:rsidR="00F42DFC">
        <w:rPr>
          <w:lang w:val="es-ES"/>
        </w:rPr>
        <w:t xml:space="preserve"> </w:t>
      </w:r>
      <w:r w:rsidR="004034D6" w:rsidRPr="00A60CD5">
        <w:rPr>
          <w:lang w:val="es-ES"/>
        </w:rPr>
        <w:t>y del Acta d</w:t>
      </w:r>
      <w:r w:rsidR="00A60CD5" w:rsidRPr="00A60CD5">
        <w:rPr>
          <w:lang w:val="es-ES"/>
        </w:rPr>
        <w:t>e 1</w:t>
      </w:r>
      <w:r w:rsidR="0076210D" w:rsidRPr="00A60CD5">
        <w:rPr>
          <w:lang w:val="es-ES"/>
        </w:rPr>
        <w:t>960</w:t>
      </w:r>
      <w:r w:rsidR="004034D6" w:rsidRPr="00A60CD5">
        <w:rPr>
          <w:lang w:val="es-ES"/>
        </w:rPr>
        <w:t xml:space="preserve"> del Arreglo de La Haya</w:t>
      </w:r>
      <w:r w:rsidR="0076210D" w:rsidRPr="00A60CD5">
        <w:rPr>
          <w:lang w:val="es-ES"/>
        </w:rPr>
        <w:t xml:space="preserve">, </w:t>
      </w:r>
      <w:r w:rsidR="004034D6" w:rsidRPr="00A60CD5">
        <w:rPr>
          <w:lang w:val="es-ES"/>
        </w:rPr>
        <w:t>el Director General</w:t>
      </w:r>
      <w:r w:rsidR="0076210D" w:rsidRPr="00A60CD5">
        <w:rPr>
          <w:lang w:val="es-ES"/>
        </w:rPr>
        <w:t xml:space="preserve"> </w:t>
      </w:r>
      <w:r w:rsidR="004034D6" w:rsidRPr="00A60CD5">
        <w:rPr>
          <w:lang w:val="es-ES"/>
        </w:rPr>
        <w:t>de la Organización Mundial de la Propiedad Intelectual</w:t>
      </w:r>
      <w:r w:rsidR="0076210D" w:rsidRPr="00A60CD5">
        <w:rPr>
          <w:lang w:val="es-ES"/>
        </w:rPr>
        <w:t xml:space="preserve"> (</w:t>
      </w:r>
      <w:r w:rsidR="004034D6" w:rsidRPr="00A60CD5">
        <w:rPr>
          <w:lang w:val="es-ES"/>
        </w:rPr>
        <w:t>OMPI</w:t>
      </w:r>
      <w:r w:rsidR="0076210D" w:rsidRPr="00A60CD5">
        <w:rPr>
          <w:lang w:val="es-ES"/>
        </w:rPr>
        <w:t>) ha</w:t>
      </w:r>
      <w:r w:rsidR="004034D6" w:rsidRPr="00A60CD5">
        <w:rPr>
          <w:lang w:val="es-ES"/>
        </w:rPr>
        <w:t xml:space="preserve"> fijado</w:t>
      </w:r>
      <w:r>
        <w:rPr>
          <w:lang w:val="es-ES"/>
        </w:rPr>
        <w:t xml:space="preserve"> las nuevas cuantías siguientes, expresadas en francos suizos, </w:t>
      </w:r>
      <w:r w:rsidR="004034D6" w:rsidRPr="00A60CD5">
        <w:rPr>
          <w:lang w:val="es-ES"/>
        </w:rPr>
        <w:t>de la</w:t>
      </w:r>
      <w:r>
        <w:rPr>
          <w:lang w:val="es-ES"/>
        </w:rPr>
        <w:t>s</w:t>
      </w:r>
      <w:r w:rsidR="004034D6" w:rsidRPr="00A60CD5">
        <w:rPr>
          <w:lang w:val="es-ES"/>
        </w:rPr>
        <w:t xml:space="preserve"> tasa</w:t>
      </w:r>
      <w:r>
        <w:rPr>
          <w:lang w:val="es-ES"/>
        </w:rPr>
        <w:t>s</w:t>
      </w:r>
      <w:r w:rsidR="004034D6" w:rsidRPr="00A60CD5">
        <w:rPr>
          <w:lang w:val="es-ES"/>
        </w:rPr>
        <w:t xml:space="preserve"> de</w:t>
      </w:r>
      <w:r w:rsidR="00FC48AC" w:rsidRPr="00A60CD5">
        <w:rPr>
          <w:lang w:val="es-ES"/>
        </w:rPr>
        <w:t xml:space="preserve"> </w:t>
      </w:r>
      <w:r w:rsidR="004034D6" w:rsidRPr="00A60CD5">
        <w:rPr>
          <w:lang w:val="es-ES"/>
        </w:rPr>
        <w:t>designación individual</w:t>
      </w:r>
      <w:r>
        <w:rPr>
          <w:lang w:val="es-ES"/>
        </w:rPr>
        <w:t>es</w:t>
      </w:r>
      <w:r w:rsidR="004034D6" w:rsidRPr="00A60CD5">
        <w:rPr>
          <w:lang w:val="es-ES"/>
        </w:rPr>
        <w:t xml:space="preserve"> pagader</w:t>
      </w:r>
      <w:r>
        <w:rPr>
          <w:lang w:val="es-ES"/>
        </w:rPr>
        <w:t>as</w:t>
      </w:r>
      <w:r w:rsidR="004034D6" w:rsidRPr="00A60CD5">
        <w:rPr>
          <w:lang w:val="es-ES"/>
        </w:rPr>
        <w:t xml:space="preserve"> </w:t>
      </w:r>
      <w:r>
        <w:rPr>
          <w:lang w:val="es-ES"/>
        </w:rPr>
        <w:t>con respecto de toda</w:t>
      </w:r>
      <w:r w:rsidR="0076210D" w:rsidRPr="00A60CD5">
        <w:rPr>
          <w:lang w:val="es-ES"/>
        </w:rPr>
        <w:t xml:space="preserve"> </w:t>
      </w:r>
      <w:r w:rsidR="004034D6" w:rsidRPr="00A60CD5">
        <w:rPr>
          <w:lang w:val="es-ES"/>
        </w:rPr>
        <w:t>solicitud internacional</w:t>
      </w:r>
      <w:r w:rsidR="0076210D" w:rsidRPr="00A60CD5">
        <w:rPr>
          <w:lang w:val="es-ES"/>
        </w:rPr>
        <w:t xml:space="preserve"> </w:t>
      </w:r>
      <w:r w:rsidR="004034D6" w:rsidRPr="00A60CD5">
        <w:rPr>
          <w:lang w:val="es-ES"/>
        </w:rPr>
        <w:t xml:space="preserve">en que </w:t>
      </w:r>
      <w:r w:rsidR="00053963">
        <w:rPr>
          <w:lang w:val="es-ES"/>
        </w:rPr>
        <w:t>sea designad</w:t>
      </w:r>
      <w:r>
        <w:rPr>
          <w:lang w:val="es-ES"/>
        </w:rPr>
        <w:t>a</w:t>
      </w:r>
      <w:r w:rsidR="004034D6" w:rsidRPr="00A60CD5">
        <w:rPr>
          <w:lang w:val="es-ES"/>
        </w:rPr>
        <w:t xml:space="preserve"> </w:t>
      </w:r>
      <w:r w:rsidR="00353EC9">
        <w:rPr>
          <w:lang w:val="es-ES"/>
        </w:rPr>
        <w:t>la Federación de</w:t>
      </w:r>
      <w:r>
        <w:rPr>
          <w:lang w:val="es-ES"/>
        </w:rPr>
        <w:t> </w:t>
      </w:r>
      <w:r w:rsidR="00353EC9">
        <w:rPr>
          <w:lang w:val="es-ES"/>
        </w:rPr>
        <w:t>Rusia</w:t>
      </w:r>
      <w:r w:rsidR="0076210D" w:rsidRPr="00A60CD5">
        <w:rPr>
          <w:lang w:val="es-ES"/>
        </w:rPr>
        <w:t xml:space="preserve">, </w:t>
      </w:r>
      <w:r>
        <w:rPr>
          <w:lang w:val="es-ES"/>
        </w:rPr>
        <w:t>así como de toda renovación de</w:t>
      </w:r>
      <w:r w:rsidR="004034D6" w:rsidRPr="00A60CD5">
        <w:rPr>
          <w:lang w:val="es-ES"/>
        </w:rPr>
        <w:t xml:space="preserve"> registro internacional</w:t>
      </w:r>
      <w:r w:rsidR="0076210D" w:rsidRPr="00A60CD5">
        <w:rPr>
          <w:lang w:val="es-ES"/>
        </w:rPr>
        <w:t xml:space="preserve"> </w:t>
      </w:r>
      <w:r w:rsidR="004034D6" w:rsidRPr="00A60CD5">
        <w:rPr>
          <w:lang w:val="es-ES"/>
        </w:rPr>
        <w:t xml:space="preserve">en </w:t>
      </w:r>
      <w:r w:rsidR="00B12998">
        <w:rPr>
          <w:lang w:val="es-ES"/>
        </w:rPr>
        <w:t xml:space="preserve">que se designe </w:t>
      </w:r>
      <w:r w:rsidR="00353EC9">
        <w:rPr>
          <w:lang w:val="es-ES"/>
        </w:rPr>
        <w:t>la Federación de Rusia</w:t>
      </w:r>
      <w:r w:rsidR="00FC48AC" w:rsidRPr="00A60CD5">
        <w:rPr>
          <w:spacing w:val="-3"/>
          <w:lang w:val="es-ES"/>
        </w:rPr>
        <w:t>.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3969"/>
        <w:gridCol w:w="2126"/>
      </w:tblGrid>
      <w:tr w:rsidR="0076210D" w:rsidRPr="00A60CD5" w:rsidTr="00FD2844">
        <w:trPr>
          <w:cantSplit/>
          <w:trHeight w:val="736"/>
        </w:trPr>
        <w:tc>
          <w:tcPr>
            <w:tcW w:w="6946" w:type="dxa"/>
            <w:gridSpan w:val="2"/>
            <w:vAlign w:val="center"/>
          </w:tcPr>
          <w:p w:rsidR="0076210D" w:rsidRPr="00A60CD5" w:rsidRDefault="00FF0811" w:rsidP="00E95597">
            <w:pPr>
              <w:jc w:val="center"/>
              <w:rPr>
                <w:b/>
                <w:lang w:val="es-ES"/>
              </w:rPr>
            </w:pPr>
            <w:r w:rsidRPr="00A60CD5">
              <w:rPr>
                <w:b/>
                <w:lang w:val="es-ES"/>
              </w:rPr>
              <w:t>Tasa</w:t>
            </w:r>
            <w:r w:rsidR="004034D6" w:rsidRPr="00A60CD5">
              <w:rPr>
                <w:b/>
                <w:lang w:val="es-ES"/>
              </w:rPr>
              <w:t xml:space="preserve"> de designación individual</w:t>
            </w:r>
          </w:p>
        </w:tc>
        <w:tc>
          <w:tcPr>
            <w:tcW w:w="2126" w:type="dxa"/>
            <w:vAlign w:val="center"/>
          </w:tcPr>
          <w:p w:rsidR="00FF0811" w:rsidRPr="00A60CD5" w:rsidRDefault="00776DE7" w:rsidP="004034D6">
            <w:pPr>
              <w:jc w:val="center"/>
              <w:rPr>
                <w:b/>
                <w:lang w:val="es-ES"/>
              </w:rPr>
            </w:pPr>
            <w:r w:rsidRPr="00A60CD5">
              <w:rPr>
                <w:b/>
                <w:lang w:val="es-ES"/>
              </w:rPr>
              <w:t>Importe</w:t>
            </w:r>
          </w:p>
          <w:p w:rsidR="0076210D" w:rsidRPr="00A60CD5" w:rsidRDefault="004034D6" w:rsidP="004034D6">
            <w:pPr>
              <w:jc w:val="center"/>
              <w:rPr>
                <w:b/>
                <w:lang w:val="es-ES"/>
              </w:rPr>
            </w:pPr>
            <w:r w:rsidRPr="00A60CD5">
              <w:rPr>
                <w:i/>
                <w:lang w:val="es-ES"/>
              </w:rPr>
              <w:t>(en francos suizos)</w:t>
            </w:r>
          </w:p>
        </w:tc>
      </w:tr>
      <w:tr w:rsidR="0076210D" w:rsidRPr="00F702DA" w:rsidTr="00040936">
        <w:trPr>
          <w:trHeight w:val="512"/>
        </w:trPr>
        <w:tc>
          <w:tcPr>
            <w:tcW w:w="2977" w:type="dxa"/>
            <w:vAlign w:val="center"/>
          </w:tcPr>
          <w:p w:rsidR="0076210D" w:rsidRPr="00F702DA" w:rsidRDefault="00FF0811" w:rsidP="00053963">
            <w:pPr>
              <w:rPr>
                <w:lang w:val="es-ES"/>
              </w:rPr>
            </w:pPr>
            <w:r w:rsidRPr="00F702DA">
              <w:rPr>
                <w:lang w:val="es-ES"/>
              </w:rPr>
              <w:t>S</w:t>
            </w:r>
            <w:r w:rsidR="004034D6" w:rsidRPr="00F702DA">
              <w:rPr>
                <w:lang w:val="es-ES"/>
              </w:rPr>
              <w:t>olicitud internacional</w:t>
            </w:r>
          </w:p>
        </w:tc>
        <w:tc>
          <w:tcPr>
            <w:tcW w:w="3969" w:type="dxa"/>
          </w:tcPr>
          <w:p w:rsidR="004034D6" w:rsidRDefault="00FD2844" w:rsidP="00351ECF">
            <w:pPr>
              <w:tabs>
                <w:tab w:val="left" w:pos="317"/>
              </w:tabs>
              <w:spacing w:before="120"/>
              <w:rPr>
                <w:lang w:val="es-ES"/>
              </w:rPr>
            </w:pPr>
            <w:r w:rsidRPr="00F702DA">
              <w:rPr>
                <w:lang w:val="es-ES"/>
              </w:rPr>
              <w:t>–</w:t>
            </w:r>
            <w:r w:rsidRPr="00F702DA">
              <w:rPr>
                <w:lang w:val="es-ES"/>
              </w:rPr>
              <w:tab/>
            </w:r>
            <w:r w:rsidR="00FF0811" w:rsidRPr="00F702DA">
              <w:rPr>
                <w:lang w:val="es-ES"/>
              </w:rPr>
              <w:t xml:space="preserve">por </w:t>
            </w:r>
            <w:r w:rsidR="00F702DA">
              <w:rPr>
                <w:lang w:val="es-ES"/>
              </w:rPr>
              <w:t>el primer</w:t>
            </w:r>
            <w:r w:rsidR="00FF0811" w:rsidRPr="00F702DA">
              <w:rPr>
                <w:lang w:val="es-ES"/>
              </w:rPr>
              <w:t xml:space="preserve"> dibujo o modelo</w:t>
            </w:r>
          </w:p>
          <w:p w:rsidR="0076210D" w:rsidRPr="00F702DA" w:rsidRDefault="00F702DA" w:rsidP="00A00F41">
            <w:pPr>
              <w:tabs>
                <w:tab w:val="left" w:pos="317"/>
              </w:tabs>
              <w:spacing w:before="120" w:after="120"/>
              <w:ind w:left="317" w:hanging="317"/>
              <w:rPr>
                <w:lang w:val="es-ES"/>
              </w:rPr>
            </w:pPr>
            <w:r>
              <w:rPr>
                <w:lang w:val="es-ES"/>
              </w:rPr>
              <w:t>–</w:t>
            </w:r>
            <w:r>
              <w:rPr>
                <w:lang w:val="es-ES"/>
              </w:rPr>
              <w:tab/>
              <w:t>por cada dibujo o modelo adicional</w:t>
            </w:r>
            <w:r w:rsidR="00351ECF">
              <w:rPr>
                <w:rStyle w:val="FootnoteReference"/>
                <w:lang w:val="es-ES"/>
              </w:rPr>
              <w:footnoteReference w:id="2"/>
            </w:r>
          </w:p>
        </w:tc>
        <w:tc>
          <w:tcPr>
            <w:tcW w:w="2126" w:type="dxa"/>
          </w:tcPr>
          <w:p w:rsidR="0076210D" w:rsidRDefault="00C322FB" w:rsidP="00351ECF">
            <w:pPr>
              <w:tabs>
                <w:tab w:val="right" w:pos="1167"/>
              </w:tabs>
              <w:spacing w:before="120"/>
              <w:rPr>
                <w:lang w:val="es-ES"/>
              </w:rPr>
            </w:pPr>
            <w:r w:rsidRPr="00F702DA">
              <w:rPr>
                <w:lang w:val="es-ES"/>
              </w:rPr>
              <w:tab/>
            </w:r>
            <w:r w:rsidR="00091D2A">
              <w:rPr>
                <w:lang w:val="es-ES"/>
              </w:rPr>
              <w:t>179</w:t>
            </w:r>
          </w:p>
          <w:p w:rsidR="00F702DA" w:rsidRPr="00F702DA" w:rsidRDefault="00F702DA" w:rsidP="00091D2A">
            <w:pPr>
              <w:tabs>
                <w:tab w:val="right" w:pos="1167"/>
              </w:tabs>
              <w:spacing w:before="120"/>
              <w:rPr>
                <w:lang w:val="es-ES"/>
              </w:rPr>
            </w:pPr>
            <w:r>
              <w:rPr>
                <w:lang w:val="es-ES"/>
              </w:rPr>
              <w:tab/>
            </w:r>
            <w:r w:rsidR="00091D2A">
              <w:rPr>
                <w:lang w:val="es-ES"/>
              </w:rPr>
              <w:t>38</w:t>
            </w:r>
          </w:p>
        </w:tc>
      </w:tr>
      <w:tr w:rsidR="00F702DA" w:rsidRPr="00F702DA" w:rsidTr="00040936">
        <w:tc>
          <w:tcPr>
            <w:tcW w:w="2977" w:type="dxa"/>
            <w:vMerge w:val="restart"/>
            <w:vAlign w:val="center"/>
          </w:tcPr>
          <w:p w:rsidR="00F702DA" w:rsidRPr="00F702DA" w:rsidRDefault="00F702DA" w:rsidP="00F702DA">
            <w:pPr>
              <w:rPr>
                <w:lang w:val="es-ES"/>
              </w:rPr>
            </w:pPr>
            <w:r>
              <w:rPr>
                <w:lang w:val="es-ES"/>
              </w:rPr>
              <w:t>Renovación</w:t>
            </w:r>
          </w:p>
        </w:tc>
        <w:tc>
          <w:tcPr>
            <w:tcW w:w="3969" w:type="dxa"/>
          </w:tcPr>
          <w:p w:rsidR="00F702DA" w:rsidRPr="00F702DA" w:rsidRDefault="00AC4DCC" w:rsidP="00351ECF">
            <w:pPr>
              <w:tabs>
                <w:tab w:val="left" w:pos="317"/>
              </w:tabs>
              <w:spacing w:before="120" w:after="120"/>
              <w:rPr>
                <w:lang w:val="es-ES"/>
              </w:rPr>
            </w:pPr>
            <w:r>
              <w:rPr>
                <w:lang w:val="es-ES"/>
              </w:rPr>
              <w:t>p</w:t>
            </w:r>
            <w:r w:rsidR="00F702DA" w:rsidRPr="00F702DA">
              <w:rPr>
                <w:lang w:val="es-ES"/>
              </w:rPr>
              <w:t>rimera renovación</w:t>
            </w:r>
          </w:p>
        </w:tc>
        <w:tc>
          <w:tcPr>
            <w:tcW w:w="2126" w:type="dxa"/>
          </w:tcPr>
          <w:p w:rsidR="00F702DA" w:rsidRPr="00F702DA" w:rsidRDefault="00F702DA" w:rsidP="00091D2A">
            <w:pPr>
              <w:tabs>
                <w:tab w:val="right" w:pos="1167"/>
              </w:tabs>
              <w:spacing w:before="120" w:after="120"/>
              <w:rPr>
                <w:lang w:val="es-ES"/>
              </w:rPr>
            </w:pPr>
            <w:r w:rsidRPr="00F702DA">
              <w:rPr>
                <w:lang w:val="es-ES"/>
              </w:rPr>
              <w:tab/>
            </w:r>
            <w:r w:rsidR="00091D2A">
              <w:rPr>
                <w:lang w:val="es-ES"/>
              </w:rPr>
              <w:t>284</w:t>
            </w:r>
          </w:p>
        </w:tc>
      </w:tr>
      <w:tr w:rsidR="00F702DA" w:rsidRPr="00F702DA" w:rsidTr="00040936">
        <w:tc>
          <w:tcPr>
            <w:tcW w:w="2977" w:type="dxa"/>
            <w:vMerge/>
            <w:vAlign w:val="center"/>
          </w:tcPr>
          <w:p w:rsidR="00F702DA" w:rsidRPr="00F702DA" w:rsidRDefault="00F702DA" w:rsidP="00BB3AF9">
            <w:pPr>
              <w:rPr>
                <w:lang w:val="es-ES"/>
              </w:rPr>
            </w:pPr>
          </w:p>
        </w:tc>
        <w:tc>
          <w:tcPr>
            <w:tcW w:w="3969" w:type="dxa"/>
          </w:tcPr>
          <w:p w:rsidR="00F702DA" w:rsidRPr="00F702DA" w:rsidRDefault="00AC4DCC" w:rsidP="00351ECF">
            <w:pPr>
              <w:tabs>
                <w:tab w:val="left" w:pos="317"/>
              </w:tabs>
              <w:spacing w:before="120" w:after="120"/>
              <w:rPr>
                <w:lang w:val="es-ES"/>
              </w:rPr>
            </w:pPr>
            <w:r>
              <w:rPr>
                <w:lang w:val="es-ES"/>
              </w:rPr>
              <w:t>s</w:t>
            </w:r>
            <w:r w:rsidR="00F702DA" w:rsidRPr="00F702DA">
              <w:rPr>
                <w:lang w:val="es-ES"/>
              </w:rPr>
              <w:t>egunda renovación</w:t>
            </w:r>
          </w:p>
        </w:tc>
        <w:tc>
          <w:tcPr>
            <w:tcW w:w="2126" w:type="dxa"/>
          </w:tcPr>
          <w:p w:rsidR="00F702DA" w:rsidRPr="00F702DA" w:rsidRDefault="00F702DA" w:rsidP="00091D2A">
            <w:pPr>
              <w:tabs>
                <w:tab w:val="right" w:pos="1167"/>
              </w:tabs>
              <w:spacing w:before="120" w:after="120"/>
              <w:rPr>
                <w:lang w:val="es-ES"/>
              </w:rPr>
            </w:pPr>
            <w:r w:rsidRPr="00F702DA">
              <w:rPr>
                <w:lang w:val="es-ES"/>
              </w:rPr>
              <w:tab/>
            </w:r>
            <w:r w:rsidR="00091D2A">
              <w:rPr>
                <w:lang w:val="es-ES"/>
              </w:rPr>
              <w:t>697</w:t>
            </w:r>
          </w:p>
        </w:tc>
      </w:tr>
      <w:tr w:rsidR="00F702DA" w:rsidRPr="00F702DA" w:rsidTr="00040936">
        <w:trPr>
          <w:trHeight w:val="350"/>
        </w:trPr>
        <w:tc>
          <w:tcPr>
            <w:tcW w:w="2977" w:type="dxa"/>
            <w:vMerge/>
            <w:vAlign w:val="center"/>
          </w:tcPr>
          <w:p w:rsidR="00F702DA" w:rsidRPr="00F702DA" w:rsidRDefault="00F702DA" w:rsidP="00BB3AF9">
            <w:pPr>
              <w:rPr>
                <w:lang w:val="es-ES"/>
              </w:rPr>
            </w:pPr>
          </w:p>
        </w:tc>
        <w:tc>
          <w:tcPr>
            <w:tcW w:w="3969" w:type="dxa"/>
          </w:tcPr>
          <w:p w:rsidR="00F702DA" w:rsidRPr="00F702DA" w:rsidRDefault="00AC4DCC" w:rsidP="00351ECF">
            <w:pPr>
              <w:tabs>
                <w:tab w:val="left" w:pos="317"/>
              </w:tabs>
              <w:spacing w:before="120" w:after="120"/>
              <w:rPr>
                <w:lang w:val="es-ES"/>
              </w:rPr>
            </w:pPr>
            <w:r>
              <w:rPr>
                <w:lang w:val="es-ES"/>
              </w:rPr>
              <w:t>t</w:t>
            </w:r>
            <w:r w:rsidR="00F702DA" w:rsidRPr="00F702DA">
              <w:rPr>
                <w:lang w:val="es-ES"/>
              </w:rPr>
              <w:t>ercera renovación</w:t>
            </w:r>
          </w:p>
        </w:tc>
        <w:tc>
          <w:tcPr>
            <w:tcW w:w="2126" w:type="dxa"/>
          </w:tcPr>
          <w:p w:rsidR="00F702DA" w:rsidRPr="00F702DA" w:rsidRDefault="00F702DA" w:rsidP="00091D2A">
            <w:pPr>
              <w:tabs>
                <w:tab w:val="right" w:pos="1167"/>
              </w:tabs>
              <w:spacing w:before="120" w:after="120"/>
              <w:rPr>
                <w:lang w:val="es-ES"/>
              </w:rPr>
            </w:pPr>
            <w:r w:rsidRPr="00F702DA">
              <w:rPr>
                <w:lang w:val="es-ES"/>
              </w:rPr>
              <w:tab/>
            </w:r>
            <w:r w:rsidR="00091D2A">
              <w:rPr>
                <w:lang w:val="es-ES"/>
              </w:rPr>
              <w:t>1.036</w:t>
            </w:r>
          </w:p>
        </w:tc>
      </w:tr>
      <w:tr w:rsidR="00F702DA" w:rsidRPr="00A60CD5" w:rsidTr="00040936">
        <w:trPr>
          <w:trHeight w:val="350"/>
        </w:trPr>
        <w:tc>
          <w:tcPr>
            <w:tcW w:w="2977" w:type="dxa"/>
            <w:vMerge/>
            <w:vAlign w:val="center"/>
          </w:tcPr>
          <w:p w:rsidR="00F702DA" w:rsidRPr="00F702DA" w:rsidRDefault="00F702DA" w:rsidP="00BB3AF9">
            <w:pPr>
              <w:rPr>
                <w:lang w:val="es-ES"/>
              </w:rPr>
            </w:pPr>
          </w:p>
        </w:tc>
        <w:tc>
          <w:tcPr>
            <w:tcW w:w="3969" w:type="dxa"/>
          </w:tcPr>
          <w:p w:rsidR="00F702DA" w:rsidRPr="00F702DA" w:rsidRDefault="00AC4DCC" w:rsidP="00351ECF">
            <w:pPr>
              <w:tabs>
                <w:tab w:val="left" w:pos="317"/>
              </w:tabs>
              <w:spacing w:before="120" w:after="120"/>
              <w:rPr>
                <w:lang w:val="es-ES"/>
              </w:rPr>
            </w:pPr>
            <w:r>
              <w:rPr>
                <w:rStyle w:val="hps"/>
                <w:lang w:val="es-ES"/>
              </w:rPr>
              <w:t>c</w:t>
            </w:r>
            <w:r w:rsidR="00F702DA" w:rsidRPr="00F702DA">
              <w:rPr>
                <w:rStyle w:val="hps"/>
                <w:lang w:val="es-ES"/>
              </w:rPr>
              <w:t>uarta</w:t>
            </w:r>
            <w:r w:rsidR="00F702DA" w:rsidRPr="00F702DA">
              <w:rPr>
                <w:rStyle w:val="shorttext"/>
                <w:lang w:val="es-ES"/>
              </w:rPr>
              <w:t xml:space="preserve"> </w:t>
            </w:r>
            <w:r w:rsidR="00F702DA" w:rsidRPr="00F702DA">
              <w:rPr>
                <w:rStyle w:val="hps"/>
                <w:lang w:val="es-ES"/>
              </w:rPr>
              <w:t>renovación</w:t>
            </w:r>
          </w:p>
        </w:tc>
        <w:tc>
          <w:tcPr>
            <w:tcW w:w="2126" w:type="dxa"/>
          </w:tcPr>
          <w:p w:rsidR="00F702DA" w:rsidRPr="00F702DA" w:rsidRDefault="00F702DA" w:rsidP="00091D2A">
            <w:pPr>
              <w:tabs>
                <w:tab w:val="right" w:pos="1167"/>
              </w:tabs>
              <w:spacing w:before="120" w:after="120"/>
              <w:rPr>
                <w:lang w:val="es-ES"/>
              </w:rPr>
            </w:pPr>
            <w:r w:rsidRPr="00F702DA">
              <w:rPr>
                <w:lang w:val="es-ES"/>
              </w:rPr>
              <w:tab/>
            </w:r>
            <w:r w:rsidR="00091D2A">
              <w:rPr>
                <w:lang w:val="es-ES"/>
              </w:rPr>
              <w:t>1.802</w:t>
            </w:r>
          </w:p>
        </w:tc>
      </w:tr>
    </w:tbl>
    <w:p w:rsidR="00CF4E86" w:rsidRPr="00CF4E86" w:rsidRDefault="00CF4E86" w:rsidP="004A3589">
      <w:pPr>
        <w:rPr>
          <w:lang w:val="es-ES"/>
        </w:rPr>
      </w:pPr>
    </w:p>
    <w:p w:rsidR="004034D6" w:rsidRPr="00A60CD5" w:rsidRDefault="00AC4DCC" w:rsidP="004034D6">
      <w:pPr>
        <w:pStyle w:val="ONUME"/>
        <w:tabs>
          <w:tab w:val="clear" w:pos="567"/>
        </w:tabs>
        <w:rPr>
          <w:lang w:val="es-ES"/>
        </w:rPr>
      </w:pPr>
      <w:r>
        <w:rPr>
          <w:color w:val="000000"/>
          <w:lang w:val="es-ES"/>
        </w:rPr>
        <w:t>Esta modificación</w:t>
      </w:r>
      <w:r w:rsidR="00314C1F">
        <w:rPr>
          <w:color w:val="000000"/>
          <w:lang w:val="es-ES"/>
        </w:rPr>
        <w:t xml:space="preserve"> </w:t>
      </w:r>
      <w:r w:rsidR="004034D6" w:rsidRPr="00A60CD5">
        <w:rPr>
          <w:color w:val="000000"/>
          <w:lang w:val="es-ES"/>
        </w:rPr>
        <w:t>entrar</w:t>
      </w:r>
      <w:r w:rsidR="00776DE7" w:rsidRPr="00A60CD5">
        <w:rPr>
          <w:color w:val="000000"/>
          <w:lang w:val="es-ES"/>
        </w:rPr>
        <w:t>á</w:t>
      </w:r>
      <w:r w:rsidR="004034D6" w:rsidRPr="00A60CD5">
        <w:rPr>
          <w:color w:val="000000"/>
          <w:lang w:val="es-ES"/>
        </w:rPr>
        <w:t xml:space="preserve"> en vigor</w:t>
      </w:r>
      <w:r w:rsidR="006D7BD8" w:rsidRPr="00A60CD5">
        <w:rPr>
          <w:color w:val="000000"/>
          <w:lang w:val="es-ES"/>
        </w:rPr>
        <w:t xml:space="preserve"> </w:t>
      </w:r>
      <w:r w:rsidR="00776DE7" w:rsidRPr="00A60CD5">
        <w:rPr>
          <w:color w:val="000000"/>
          <w:lang w:val="es-ES"/>
        </w:rPr>
        <w:t>e</w:t>
      </w:r>
      <w:r w:rsidR="00A60CD5" w:rsidRPr="00A60CD5">
        <w:rPr>
          <w:color w:val="000000"/>
          <w:lang w:val="es-ES"/>
        </w:rPr>
        <w:t>l </w:t>
      </w:r>
      <w:r>
        <w:rPr>
          <w:color w:val="000000"/>
          <w:lang w:val="es-ES"/>
        </w:rPr>
        <w:t>15</w:t>
      </w:r>
      <w:r w:rsidR="00776DE7" w:rsidRPr="00A60CD5">
        <w:rPr>
          <w:color w:val="000000"/>
          <w:lang w:val="es-ES"/>
        </w:rPr>
        <w:t xml:space="preserve"> de </w:t>
      </w:r>
      <w:r>
        <w:rPr>
          <w:color w:val="000000"/>
          <w:lang w:val="es-ES"/>
        </w:rPr>
        <w:t>enero</w:t>
      </w:r>
      <w:r w:rsidR="00776DE7" w:rsidRPr="00A60CD5">
        <w:rPr>
          <w:color w:val="000000"/>
          <w:lang w:val="es-ES"/>
        </w:rPr>
        <w:t xml:space="preserve"> d</w:t>
      </w:r>
      <w:r w:rsidR="00A60CD5" w:rsidRPr="00A60CD5">
        <w:rPr>
          <w:color w:val="000000"/>
          <w:lang w:val="es-ES"/>
        </w:rPr>
        <w:t>e 2</w:t>
      </w:r>
      <w:r w:rsidR="0077451E" w:rsidRPr="00A60CD5">
        <w:rPr>
          <w:color w:val="000000"/>
          <w:lang w:val="es-ES"/>
        </w:rPr>
        <w:t>01</w:t>
      </w:r>
      <w:r>
        <w:rPr>
          <w:color w:val="000000"/>
          <w:lang w:val="es-ES"/>
        </w:rPr>
        <w:t>9</w:t>
      </w:r>
      <w:r w:rsidR="0077451E" w:rsidRPr="00A60CD5">
        <w:rPr>
          <w:color w:val="000000"/>
          <w:lang w:val="es-ES"/>
        </w:rPr>
        <w:t>.</w:t>
      </w:r>
    </w:p>
    <w:p w:rsidR="004034D6" w:rsidRPr="00A60CD5" w:rsidRDefault="004034D6" w:rsidP="004936FC">
      <w:pPr>
        <w:rPr>
          <w:lang w:val="es-ES"/>
        </w:rPr>
      </w:pPr>
    </w:p>
    <w:p w:rsidR="004A3589" w:rsidRPr="004C6BC7" w:rsidRDefault="00FD2CF5" w:rsidP="004A3589">
      <w:pPr>
        <w:pStyle w:val="Endofdocument-Annex"/>
        <w:rPr>
          <w:lang w:val="es-ES"/>
        </w:rPr>
      </w:pPr>
      <w:r>
        <w:rPr>
          <w:lang w:val="es-ES"/>
        </w:rPr>
        <w:t>13</w:t>
      </w:r>
      <w:r w:rsidR="004A3589" w:rsidRPr="004C6BC7">
        <w:rPr>
          <w:lang w:val="es-ES"/>
        </w:rPr>
        <w:t xml:space="preserve"> de </w:t>
      </w:r>
      <w:r w:rsidR="00AC4DCC">
        <w:rPr>
          <w:lang w:val="es-ES"/>
        </w:rPr>
        <w:t>diciembre</w:t>
      </w:r>
      <w:r w:rsidR="004A3589">
        <w:rPr>
          <w:lang w:val="es-ES"/>
        </w:rPr>
        <w:t xml:space="preserve"> </w:t>
      </w:r>
      <w:r w:rsidR="004A3589" w:rsidRPr="004C6BC7">
        <w:rPr>
          <w:lang w:val="es-ES"/>
        </w:rPr>
        <w:t>de 201</w:t>
      </w:r>
      <w:r w:rsidR="00353EC9">
        <w:rPr>
          <w:lang w:val="es-ES"/>
        </w:rPr>
        <w:t>8</w:t>
      </w:r>
    </w:p>
    <w:p w:rsidR="004936FC" w:rsidRPr="00DD5BE7" w:rsidRDefault="004936FC" w:rsidP="004936FC">
      <w:pPr>
        <w:pStyle w:val="Endofdocument-Annex"/>
        <w:rPr>
          <w:lang w:val="es-ES"/>
        </w:rPr>
      </w:pPr>
    </w:p>
    <w:sectPr w:rsidR="004936FC" w:rsidRPr="00DD5BE7" w:rsidSect="00605827">
      <w:headerReference w:type="default" r:id="rId9"/>
      <w:footnotePr>
        <w:numFmt w:val="chicago"/>
      </w:footnotePr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25D7" w:rsidRDefault="003A25D7">
      <w:r>
        <w:separator/>
      </w:r>
    </w:p>
  </w:endnote>
  <w:endnote w:type="continuationSeparator" w:id="0">
    <w:p w:rsidR="003A25D7" w:rsidRDefault="003A25D7" w:rsidP="003B38C1">
      <w:r>
        <w:separator/>
      </w:r>
    </w:p>
    <w:p w:rsidR="003A25D7" w:rsidRPr="003B38C1" w:rsidRDefault="003A25D7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3A25D7" w:rsidRPr="003B38C1" w:rsidRDefault="003A25D7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25D7" w:rsidRDefault="003A25D7">
      <w:r>
        <w:separator/>
      </w:r>
    </w:p>
  </w:footnote>
  <w:footnote w:type="continuationSeparator" w:id="0">
    <w:p w:rsidR="003A25D7" w:rsidRDefault="003A25D7" w:rsidP="008B60B2">
      <w:r>
        <w:separator/>
      </w:r>
    </w:p>
    <w:p w:rsidR="003A25D7" w:rsidRPr="00ED77FB" w:rsidRDefault="003A25D7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3A25D7" w:rsidRPr="00ED77FB" w:rsidRDefault="003A25D7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351ECF" w:rsidRPr="00A00F41" w:rsidRDefault="00351ECF" w:rsidP="00AC4DCC">
      <w:pPr>
        <w:pStyle w:val="FootnoteText"/>
        <w:ind w:left="567" w:hanging="567"/>
        <w:rPr>
          <w:lang w:val="es-ES_tradnl"/>
        </w:rPr>
      </w:pPr>
      <w:r>
        <w:rPr>
          <w:rStyle w:val="FootnoteReference"/>
        </w:rPr>
        <w:footnoteRef/>
      </w:r>
      <w:r w:rsidRPr="00091D2A">
        <w:rPr>
          <w:lang w:val="es-ES_tradnl"/>
        </w:rPr>
        <w:tab/>
      </w:r>
      <w:r w:rsidR="00A00F41" w:rsidRPr="00A00F41">
        <w:rPr>
          <w:lang w:val="es-ES_tradnl"/>
        </w:rPr>
        <w:t xml:space="preserve">La Federación de Rusia </w:t>
      </w:r>
      <w:r w:rsidR="00A00F41">
        <w:rPr>
          <w:lang w:val="es-ES_tradnl"/>
        </w:rPr>
        <w:t>ha realizado una declaración en virtud del Artículo 13.1) del Acta de 1999 del Arreglo de La Haya relativo al Registro Internacional de Dibujos y Modelos Industriales, en la que, de conformidad con su legislación, los dibujos o modelos industriales que sean objeto de una misma solicitud internacional deberán satisfacer el requisito de unidad de un único concepto creativo.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513E" w:rsidRDefault="002A513E" w:rsidP="00477D6B">
    <w:pPr>
      <w:jc w:val="right"/>
    </w:pPr>
    <w:bookmarkStart w:id="3" w:name="Code2"/>
    <w:bookmarkEnd w:id="3"/>
  </w:p>
  <w:p w:rsidR="002A513E" w:rsidRDefault="00C11BE0" w:rsidP="004034D6">
    <w:pPr>
      <w:jc w:val="right"/>
    </w:pPr>
    <w:r w:rsidRPr="004034D6">
      <w:rPr>
        <w:lang w:val="es-ES_tradnl"/>
      </w:rPr>
      <w:t xml:space="preserve">página </w:t>
    </w:r>
    <w:r w:rsidR="002A513E">
      <w:fldChar w:fldCharType="begin"/>
    </w:r>
    <w:r w:rsidR="002A513E">
      <w:instrText xml:space="preserve"> PAGE  \* MERGEFORMAT </w:instrText>
    </w:r>
    <w:r w:rsidR="002A513E">
      <w:fldChar w:fldCharType="separate"/>
    </w:r>
    <w:r w:rsidR="00E111C8">
      <w:rPr>
        <w:noProof/>
      </w:rPr>
      <w:t>1</w:t>
    </w:r>
    <w:r w:rsidR="002A513E">
      <w:fldChar w:fldCharType="end"/>
    </w:r>
  </w:p>
  <w:p w:rsidR="002A513E" w:rsidRDefault="002A513E" w:rsidP="00477D6B">
    <w:pPr>
      <w:jc w:val="right"/>
    </w:pPr>
  </w:p>
  <w:p w:rsidR="00C322FB" w:rsidRDefault="00C322FB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3BFA1B20"/>
    <w:multiLevelType w:val="hybridMultilevel"/>
    <w:tmpl w:val="FF108FEA"/>
    <w:lvl w:ilvl="0" w:tplc="4A923D46">
      <w:numFmt w:val="bullet"/>
      <w:lvlText w:val="-"/>
      <w:lvlJc w:val="left"/>
      <w:pPr>
        <w:ind w:left="1494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53F0C9A"/>
    <w:multiLevelType w:val="multilevel"/>
    <w:tmpl w:val="673261DC"/>
    <w:lvl w:ilvl="0">
      <w:start w:val="30"/>
      <w:numFmt w:val="bullet"/>
      <w:lvlText w:val="–"/>
      <w:lvlJc w:val="left"/>
      <w:pPr>
        <w:tabs>
          <w:tab w:val="num" w:pos="1137"/>
        </w:tabs>
        <w:ind w:left="1137" w:hanging="570"/>
      </w:pPr>
      <w:rPr>
        <w:rFonts w:ascii="Arial" w:eastAsia="SimSun" w:hAnsi="Arial" w:cs="Arial" w:hint="default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67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8369"/>
  </w:hdrShapeDefaults>
  <w:footnotePr>
    <w:numFmt w:val="chicago"/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spa"/>
    <w:docVar w:name="TermBases" w:val="WIPONew"/>
    <w:docVar w:name="TermBaseURL" w:val="empty"/>
    <w:docVar w:name="TextBases" w:val="Administrative\Meetings|Administrative\Other|Administrative\Publications|Budget and Finance\Meetings|Budget and Finance\Other|Budget and Finance\Publications|Copyright\Meetings|Copyright\Other|Copyright\Publications|IP in General\Academy|IP in General\Arbitration and Mediation|IP in General\Meetings|IP in General\Other|IP in General\Press Room|IP in General\Publications|Patents\Meetings|Patents\Other|Patents\Publications|Trademarks\Meetings|Trademarks\Other|Trademarks\Publications|Treaties\Model Laws|Treaties\Other Laws and Agreements|Treaties\WIPO-administered|UPOV\Meetings|UPOV\Other|UPOV\Publications|UPOV\Technical Guidelines|WorkspaceETS\Test|WorkspaceSTS\Draft\BudgetFinance\Budget_2012_13|WorkspaceSTS\Draft\BudgetFinance\PPR_2010_11|WorkspaceSTS\Draft\AmparoBou|WorkspaceSTS\Draft\C|WorkspaceSTS\Draft\CDIP|WorkspaceSTS\Draft\IP Advantages|WorkspaceSTS\Draft\Job 34167|WorkspaceSTS\Draft\Madrid Yearly Review 2013|WorkspaceSTS\Draft\Nilo|WorkspaceSTS\Draft\Países|WorkspaceSTS\Draft\QA|WorkspaceSTS\Draft\ReportAssemblies2012|WorkspaceSTS\Draft\sct 31|WorkspaceSTS\Draft\Staff_RR|WorkspaceSTS\EN-ES\Administrative\Meetings|WorkspaceSTS\EN-ES\Administrative\Other|WorkspaceSTS\EN-ES\Administrative\Publications|WorkspaceSTS\EN-ES\Budget and Finance\Meetings|WorkspaceSTS\EN-ES\Budget and Finance\Other|WorkspaceSTS\EN-ES\Budget and Finance\Publications|WorkspaceSTS\EN-ES\Copyright\Meetings|WorkspaceSTS\EN-ES\Copyright\Other|WorkspaceSTS\EN-ES\Copyright\Publications|WorkspaceSTS\EN-ES\Glossaries\EN-ES|WorkspaceSTS\EN-ES\IP in General\Academy|WorkspaceSTS\EN-ES\IP in General\Arbitration and Mediation|WorkspaceSTS\EN-ES\IP in General\Meetings|WorkspaceSTS\EN-ES\IP in General\Other|WorkspaceSTS\EN-ES\IP in General\Press Room|WorkspaceSTS\EN-ES\IP in General\Publications|WorkspaceSTS\EN-ES\Patents\Meetings|WorkspaceSTS\EN-ES\Patents\Other|WorkspaceSTS\EN-ES\Patents\Publications|WorkspaceSTS\EN-ES\Trademarks\Meetings|WorkspaceSTS\EN-ES\Trademarks\Other|WorkspaceSTS\EN-ES\Trademarks\Publications|WorkspaceSTS\EN-ES\Treaties\Model Laws|WorkspaceSTS\EN-ES\Treaties\Other Laws and Agreements|WorkspaceSTS\EN-ES\Treaties\WIPO-administered|WorkspaceSTS\EN-ES\UPOV\Meetings|WorkspaceSTS\EN-ES\UPOV\Other|WorkspaceSTS\EN-ES\UPOV\Publications|WorkspaceSTS\EN-ES\UPOV\Technical Guidelines"/>
    <w:docVar w:name="TextBaseURL" w:val="empty"/>
    <w:docVar w:name="UILng" w:val="en"/>
  </w:docVars>
  <w:rsids>
    <w:rsidRoot w:val="00CC5016"/>
    <w:rsid w:val="00005CFF"/>
    <w:rsid w:val="000123A6"/>
    <w:rsid w:val="00012C9D"/>
    <w:rsid w:val="0002095F"/>
    <w:rsid w:val="000234A7"/>
    <w:rsid w:val="00040936"/>
    <w:rsid w:val="00043313"/>
    <w:rsid w:val="00043CAA"/>
    <w:rsid w:val="0004743F"/>
    <w:rsid w:val="00050D24"/>
    <w:rsid w:val="00053963"/>
    <w:rsid w:val="000728FF"/>
    <w:rsid w:val="00075432"/>
    <w:rsid w:val="00091D2A"/>
    <w:rsid w:val="000968ED"/>
    <w:rsid w:val="000A1850"/>
    <w:rsid w:val="000A4488"/>
    <w:rsid w:val="000A525D"/>
    <w:rsid w:val="000C215B"/>
    <w:rsid w:val="000D3921"/>
    <w:rsid w:val="000E275E"/>
    <w:rsid w:val="000F5E56"/>
    <w:rsid w:val="001272E3"/>
    <w:rsid w:val="00127B8D"/>
    <w:rsid w:val="00131BD8"/>
    <w:rsid w:val="00133F53"/>
    <w:rsid w:val="001362EE"/>
    <w:rsid w:val="0014531F"/>
    <w:rsid w:val="0015037D"/>
    <w:rsid w:val="00165217"/>
    <w:rsid w:val="00166299"/>
    <w:rsid w:val="00166D8E"/>
    <w:rsid w:val="001832A6"/>
    <w:rsid w:val="00185E31"/>
    <w:rsid w:val="00186DE1"/>
    <w:rsid w:val="001B6243"/>
    <w:rsid w:val="001C2D7E"/>
    <w:rsid w:val="001D45CE"/>
    <w:rsid w:val="001D4F09"/>
    <w:rsid w:val="001E3850"/>
    <w:rsid w:val="001F1B95"/>
    <w:rsid w:val="001F717F"/>
    <w:rsid w:val="0020551F"/>
    <w:rsid w:val="0022493E"/>
    <w:rsid w:val="00227190"/>
    <w:rsid w:val="002356BD"/>
    <w:rsid w:val="00251890"/>
    <w:rsid w:val="0025278E"/>
    <w:rsid w:val="002634C4"/>
    <w:rsid w:val="00266AED"/>
    <w:rsid w:val="00276735"/>
    <w:rsid w:val="002819FA"/>
    <w:rsid w:val="002928D3"/>
    <w:rsid w:val="00296FEC"/>
    <w:rsid w:val="002A2E4F"/>
    <w:rsid w:val="002A513E"/>
    <w:rsid w:val="002A665D"/>
    <w:rsid w:val="002B0492"/>
    <w:rsid w:val="002C1554"/>
    <w:rsid w:val="002C38D8"/>
    <w:rsid w:val="002F1FE6"/>
    <w:rsid w:val="002F4AA0"/>
    <w:rsid w:val="002F4E68"/>
    <w:rsid w:val="00306C85"/>
    <w:rsid w:val="00312F7F"/>
    <w:rsid w:val="00314C1F"/>
    <w:rsid w:val="00317670"/>
    <w:rsid w:val="00321F2B"/>
    <w:rsid w:val="00335EC1"/>
    <w:rsid w:val="00347330"/>
    <w:rsid w:val="00351ECF"/>
    <w:rsid w:val="00353EC9"/>
    <w:rsid w:val="00357985"/>
    <w:rsid w:val="00361450"/>
    <w:rsid w:val="00364455"/>
    <w:rsid w:val="003673CF"/>
    <w:rsid w:val="00383EC2"/>
    <w:rsid w:val="003845C1"/>
    <w:rsid w:val="003A25D7"/>
    <w:rsid w:val="003A6F89"/>
    <w:rsid w:val="003B38C1"/>
    <w:rsid w:val="003C4A85"/>
    <w:rsid w:val="003E0D9F"/>
    <w:rsid w:val="003E2652"/>
    <w:rsid w:val="004034D6"/>
    <w:rsid w:val="004052E1"/>
    <w:rsid w:val="00411FB2"/>
    <w:rsid w:val="00423E3E"/>
    <w:rsid w:val="00427AF4"/>
    <w:rsid w:val="00453C86"/>
    <w:rsid w:val="0045757F"/>
    <w:rsid w:val="004630B4"/>
    <w:rsid w:val="004647DA"/>
    <w:rsid w:val="0047006A"/>
    <w:rsid w:val="00474062"/>
    <w:rsid w:val="00477D6B"/>
    <w:rsid w:val="00487B3B"/>
    <w:rsid w:val="004936FC"/>
    <w:rsid w:val="004947C5"/>
    <w:rsid w:val="004A3589"/>
    <w:rsid w:val="004B0093"/>
    <w:rsid w:val="004B336C"/>
    <w:rsid w:val="004D0C90"/>
    <w:rsid w:val="004F5A30"/>
    <w:rsid w:val="004F6E98"/>
    <w:rsid w:val="005019FF"/>
    <w:rsid w:val="00507AA0"/>
    <w:rsid w:val="005243B1"/>
    <w:rsid w:val="0053057A"/>
    <w:rsid w:val="00541063"/>
    <w:rsid w:val="00545E21"/>
    <w:rsid w:val="00546473"/>
    <w:rsid w:val="00546A94"/>
    <w:rsid w:val="00560A29"/>
    <w:rsid w:val="005868B8"/>
    <w:rsid w:val="005A78E1"/>
    <w:rsid w:val="005C0E24"/>
    <w:rsid w:val="005C6649"/>
    <w:rsid w:val="005E0314"/>
    <w:rsid w:val="005E6F4A"/>
    <w:rsid w:val="005F2F3B"/>
    <w:rsid w:val="005F4AAF"/>
    <w:rsid w:val="005F79CC"/>
    <w:rsid w:val="00605827"/>
    <w:rsid w:val="006223DB"/>
    <w:rsid w:val="00644AA2"/>
    <w:rsid w:val="00646050"/>
    <w:rsid w:val="00647B0C"/>
    <w:rsid w:val="00654AE9"/>
    <w:rsid w:val="006659A7"/>
    <w:rsid w:val="00666862"/>
    <w:rsid w:val="006705FF"/>
    <w:rsid w:val="006713CA"/>
    <w:rsid w:val="00674ABA"/>
    <w:rsid w:val="00676C5C"/>
    <w:rsid w:val="0067755E"/>
    <w:rsid w:val="006D7BD8"/>
    <w:rsid w:val="006E3324"/>
    <w:rsid w:val="006F29F6"/>
    <w:rsid w:val="00761909"/>
    <w:rsid w:val="0076210D"/>
    <w:rsid w:val="00767C4D"/>
    <w:rsid w:val="00773CE3"/>
    <w:rsid w:val="0077451E"/>
    <w:rsid w:val="00775EBD"/>
    <w:rsid w:val="00776DE7"/>
    <w:rsid w:val="00790A94"/>
    <w:rsid w:val="007B7F73"/>
    <w:rsid w:val="007C3E9B"/>
    <w:rsid w:val="007D0AF8"/>
    <w:rsid w:val="007D1613"/>
    <w:rsid w:val="007D250A"/>
    <w:rsid w:val="007D290D"/>
    <w:rsid w:val="007F4D09"/>
    <w:rsid w:val="00804EC4"/>
    <w:rsid w:val="0081172A"/>
    <w:rsid w:val="00824E57"/>
    <w:rsid w:val="00854071"/>
    <w:rsid w:val="00862599"/>
    <w:rsid w:val="00876A3C"/>
    <w:rsid w:val="00885618"/>
    <w:rsid w:val="00891306"/>
    <w:rsid w:val="008948BE"/>
    <w:rsid w:val="00895C02"/>
    <w:rsid w:val="008977D0"/>
    <w:rsid w:val="008A6724"/>
    <w:rsid w:val="008A6ACB"/>
    <w:rsid w:val="008B2CC1"/>
    <w:rsid w:val="008B60B2"/>
    <w:rsid w:val="008C2D2F"/>
    <w:rsid w:val="008C2FE6"/>
    <w:rsid w:val="008C67A6"/>
    <w:rsid w:val="008E0663"/>
    <w:rsid w:val="008F1F70"/>
    <w:rsid w:val="0090731E"/>
    <w:rsid w:val="009134B8"/>
    <w:rsid w:val="00916EE2"/>
    <w:rsid w:val="00922789"/>
    <w:rsid w:val="0093216E"/>
    <w:rsid w:val="0093661D"/>
    <w:rsid w:val="009378BE"/>
    <w:rsid w:val="00940793"/>
    <w:rsid w:val="00964994"/>
    <w:rsid w:val="00966A22"/>
    <w:rsid w:val="0096722F"/>
    <w:rsid w:val="00980843"/>
    <w:rsid w:val="00991FC3"/>
    <w:rsid w:val="00997AAD"/>
    <w:rsid w:val="009A591F"/>
    <w:rsid w:val="009C0C04"/>
    <w:rsid w:val="009E2791"/>
    <w:rsid w:val="009E3F6F"/>
    <w:rsid w:val="009E5F9F"/>
    <w:rsid w:val="009F2A14"/>
    <w:rsid w:val="009F499F"/>
    <w:rsid w:val="00A00F41"/>
    <w:rsid w:val="00A1504E"/>
    <w:rsid w:val="00A21684"/>
    <w:rsid w:val="00A25430"/>
    <w:rsid w:val="00A26A24"/>
    <w:rsid w:val="00A353ED"/>
    <w:rsid w:val="00A42DAF"/>
    <w:rsid w:val="00A45BD8"/>
    <w:rsid w:val="00A468E2"/>
    <w:rsid w:val="00A60CD5"/>
    <w:rsid w:val="00A869B7"/>
    <w:rsid w:val="00A961AC"/>
    <w:rsid w:val="00AA1CCD"/>
    <w:rsid w:val="00AA1EEF"/>
    <w:rsid w:val="00AB4D25"/>
    <w:rsid w:val="00AC205C"/>
    <w:rsid w:val="00AC4DCC"/>
    <w:rsid w:val="00AC793E"/>
    <w:rsid w:val="00AD38EE"/>
    <w:rsid w:val="00AF0A6B"/>
    <w:rsid w:val="00AF5108"/>
    <w:rsid w:val="00B05A69"/>
    <w:rsid w:val="00B12998"/>
    <w:rsid w:val="00B13CDA"/>
    <w:rsid w:val="00B21387"/>
    <w:rsid w:val="00B2247B"/>
    <w:rsid w:val="00B46D7E"/>
    <w:rsid w:val="00B54D7D"/>
    <w:rsid w:val="00B70372"/>
    <w:rsid w:val="00B83157"/>
    <w:rsid w:val="00B9734B"/>
    <w:rsid w:val="00B97A85"/>
    <w:rsid w:val="00BA59F8"/>
    <w:rsid w:val="00BA63F6"/>
    <w:rsid w:val="00BA6A27"/>
    <w:rsid w:val="00BA6DE5"/>
    <w:rsid w:val="00BB30F3"/>
    <w:rsid w:val="00BB3AF9"/>
    <w:rsid w:val="00BB78C7"/>
    <w:rsid w:val="00BE55D6"/>
    <w:rsid w:val="00BE5857"/>
    <w:rsid w:val="00BF01CE"/>
    <w:rsid w:val="00C10FFF"/>
    <w:rsid w:val="00C11BE0"/>
    <w:rsid w:val="00C11BFE"/>
    <w:rsid w:val="00C25E01"/>
    <w:rsid w:val="00C322FB"/>
    <w:rsid w:val="00C45642"/>
    <w:rsid w:val="00C47421"/>
    <w:rsid w:val="00C556FE"/>
    <w:rsid w:val="00C71922"/>
    <w:rsid w:val="00C80362"/>
    <w:rsid w:val="00C977DB"/>
    <w:rsid w:val="00CA1EB0"/>
    <w:rsid w:val="00CA6BE0"/>
    <w:rsid w:val="00CB132F"/>
    <w:rsid w:val="00CB2ADB"/>
    <w:rsid w:val="00CC5016"/>
    <w:rsid w:val="00CE0A51"/>
    <w:rsid w:val="00CE0F4D"/>
    <w:rsid w:val="00CE6390"/>
    <w:rsid w:val="00CF4536"/>
    <w:rsid w:val="00CF4E86"/>
    <w:rsid w:val="00D218D8"/>
    <w:rsid w:val="00D22BD4"/>
    <w:rsid w:val="00D30CC7"/>
    <w:rsid w:val="00D31C2F"/>
    <w:rsid w:val="00D36664"/>
    <w:rsid w:val="00D40A98"/>
    <w:rsid w:val="00D424EC"/>
    <w:rsid w:val="00D45252"/>
    <w:rsid w:val="00D46ED3"/>
    <w:rsid w:val="00D5477E"/>
    <w:rsid w:val="00D57F87"/>
    <w:rsid w:val="00D57F90"/>
    <w:rsid w:val="00D6276D"/>
    <w:rsid w:val="00D70F71"/>
    <w:rsid w:val="00D71B4D"/>
    <w:rsid w:val="00D76F38"/>
    <w:rsid w:val="00D847BE"/>
    <w:rsid w:val="00D90EE5"/>
    <w:rsid w:val="00D93D55"/>
    <w:rsid w:val="00DB42CB"/>
    <w:rsid w:val="00DC11D8"/>
    <w:rsid w:val="00DC3E50"/>
    <w:rsid w:val="00DD254E"/>
    <w:rsid w:val="00DD5BE7"/>
    <w:rsid w:val="00DD6947"/>
    <w:rsid w:val="00E1115B"/>
    <w:rsid w:val="00E111C8"/>
    <w:rsid w:val="00E24971"/>
    <w:rsid w:val="00E312ED"/>
    <w:rsid w:val="00E335FE"/>
    <w:rsid w:val="00E42B9A"/>
    <w:rsid w:val="00E532DC"/>
    <w:rsid w:val="00E66C2C"/>
    <w:rsid w:val="00E868D1"/>
    <w:rsid w:val="00E940A4"/>
    <w:rsid w:val="00E95597"/>
    <w:rsid w:val="00EA0E1C"/>
    <w:rsid w:val="00EA40D8"/>
    <w:rsid w:val="00EC23FC"/>
    <w:rsid w:val="00EC4E49"/>
    <w:rsid w:val="00ED38E9"/>
    <w:rsid w:val="00ED4C4F"/>
    <w:rsid w:val="00ED77FB"/>
    <w:rsid w:val="00EE45FA"/>
    <w:rsid w:val="00EE4720"/>
    <w:rsid w:val="00EE5748"/>
    <w:rsid w:val="00EF0146"/>
    <w:rsid w:val="00F0720F"/>
    <w:rsid w:val="00F201C4"/>
    <w:rsid w:val="00F2624B"/>
    <w:rsid w:val="00F42DFC"/>
    <w:rsid w:val="00F57415"/>
    <w:rsid w:val="00F66152"/>
    <w:rsid w:val="00F702DA"/>
    <w:rsid w:val="00F7721F"/>
    <w:rsid w:val="00FA156A"/>
    <w:rsid w:val="00FC3D36"/>
    <w:rsid w:val="00FC48AC"/>
    <w:rsid w:val="00FC4C8A"/>
    <w:rsid w:val="00FD2844"/>
    <w:rsid w:val="00FD2CF5"/>
    <w:rsid w:val="00FF0811"/>
    <w:rsid w:val="00FF6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69"/>
    <o:shapelayout v:ext="edit">
      <o:idmap v:ext="edit" data="1"/>
    </o:shapelayout>
  </w:shapeDefaults>
  <w:decimalSymbol w:val="."/>
  <w:listSeparator w:val=","/>
  <w14:docId w14:val="23BFDABE"/>
  <w15:docId w15:val="{D199EAA6-494B-48B1-BD9C-E06F2D1DA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character" w:customStyle="1" w:styleId="shorttext">
    <w:name w:val="short_text"/>
    <w:basedOn w:val="DefaultParagraphFont"/>
    <w:rsid w:val="00E95597"/>
  </w:style>
  <w:style w:type="character" w:customStyle="1" w:styleId="hps">
    <w:name w:val="hps"/>
    <w:basedOn w:val="DefaultParagraphFont"/>
    <w:rsid w:val="00E95597"/>
  </w:style>
  <w:style w:type="character" w:styleId="FootnoteReference">
    <w:name w:val="footnote reference"/>
    <w:basedOn w:val="DefaultParagraphFont"/>
    <w:rsid w:val="00351EC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246C52-43A6-4F92-8518-750906F59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Tasa de designación individual:  República de Corea</vt:lpstr>
    </vt:vector>
  </TitlesOfParts>
  <Company>WIPO</Company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Tasa de designación individual:  República de Corea</dc:title>
  <dc:creator>DEPALMA</dc:creator>
  <dc:description>KP
11/06/2014</dc:description>
  <cp:lastModifiedBy>MAILLARD Amber</cp:lastModifiedBy>
  <cp:revision>27</cp:revision>
  <cp:lastPrinted>2018-12-13T15:23:00Z</cp:lastPrinted>
  <dcterms:created xsi:type="dcterms:W3CDTF">2015-03-19T15:42:00Z</dcterms:created>
  <dcterms:modified xsi:type="dcterms:W3CDTF">2018-12-13T15:23:00Z</dcterms:modified>
</cp:coreProperties>
</file>