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34F40" w:rsidRPr="001751A4" w:rsidTr="00A95CC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34F40" w:rsidRPr="001751A4" w:rsidRDefault="00F34F40" w:rsidP="00A95CCC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F40" w:rsidRPr="001751A4" w:rsidRDefault="00F34F40" w:rsidP="00A95CCC">
            <w:pPr>
              <w:rPr>
                <w:lang w:val="es-ES"/>
              </w:rPr>
            </w:pPr>
            <w:r w:rsidRPr="001751A4">
              <w:rPr>
                <w:noProof/>
                <w:lang w:eastAsia="en-US"/>
              </w:rPr>
              <w:drawing>
                <wp:inline distT="0" distB="0" distL="0" distR="0" wp14:anchorId="3C2BAB70" wp14:editId="725CB370">
                  <wp:extent cx="182880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4F40" w:rsidRPr="001751A4" w:rsidRDefault="00F34F40" w:rsidP="00A95CCC">
            <w:pPr>
              <w:jc w:val="right"/>
              <w:rPr>
                <w:lang w:val="es-ES"/>
              </w:rPr>
            </w:pPr>
          </w:p>
        </w:tc>
      </w:tr>
    </w:tbl>
    <w:p w:rsidR="00E425B0" w:rsidRPr="009629B1" w:rsidRDefault="00E425B0" w:rsidP="00E425B0">
      <w:pPr>
        <w:jc w:val="both"/>
        <w:rPr>
          <w:lang w:val="fr-FR"/>
        </w:rPr>
      </w:pPr>
      <w:bookmarkStart w:id="0" w:name="Original"/>
      <w:bookmarkEnd w:id="0"/>
    </w:p>
    <w:p w:rsidR="00E425B0" w:rsidRPr="009629B1" w:rsidRDefault="00E425B0" w:rsidP="00E425B0">
      <w:pPr>
        <w:jc w:val="right"/>
        <w:rPr>
          <w:lang w:val="fr-FR"/>
        </w:rPr>
      </w:pPr>
      <w:r w:rsidRPr="009629B1">
        <w:rPr>
          <w:rFonts w:ascii="Arial Black" w:hAnsi="Arial Black"/>
          <w:sz w:val="15"/>
          <w:szCs w:val="15"/>
          <w:lang w:val="fr-FR"/>
        </w:rPr>
        <w:t>AVIS</w:t>
      </w:r>
      <w:r>
        <w:rPr>
          <w:rFonts w:ascii="Arial Black" w:hAnsi="Arial Black"/>
          <w:sz w:val="15"/>
          <w:szCs w:val="15"/>
          <w:lang w:val="fr-FR"/>
        </w:rPr>
        <w:t>O</w:t>
      </w:r>
      <w:r w:rsidRPr="009629B1">
        <w:rPr>
          <w:rFonts w:ascii="Arial Black" w:hAnsi="Arial Black"/>
          <w:sz w:val="15"/>
          <w:szCs w:val="15"/>
          <w:lang w:val="fr-FR"/>
        </w:rPr>
        <w:t xml:space="preserve"> N</w:t>
      </w:r>
      <w:r>
        <w:rPr>
          <w:rFonts w:ascii="Arial Black" w:hAnsi="Arial Black"/>
          <w:sz w:val="15"/>
          <w:szCs w:val="15"/>
          <w:lang w:val="fr-FR"/>
        </w:rPr>
        <w:t>.</w:t>
      </w:r>
      <w:r w:rsidR="00017FA3"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Pr="009629B1">
        <w:rPr>
          <w:rFonts w:ascii="Arial Black" w:hAnsi="Arial Black"/>
          <w:sz w:val="15"/>
          <w:szCs w:val="15"/>
          <w:lang w:val="fr-FR"/>
        </w:rPr>
        <w:t> </w:t>
      </w:r>
      <w:r w:rsidR="001E05F3">
        <w:rPr>
          <w:rFonts w:ascii="Arial Black" w:hAnsi="Arial Black"/>
          <w:sz w:val="15"/>
          <w:szCs w:val="15"/>
          <w:lang w:val="fr-FR"/>
        </w:rPr>
        <w:t>2</w:t>
      </w:r>
      <w:r w:rsidRPr="009629B1">
        <w:rPr>
          <w:rFonts w:ascii="Arial Black" w:hAnsi="Arial Black"/>
          <w:sz w:val="15"/>
          <w:szCs w:val="15"/>
          <w:lang w:val="fr-FR"/>
        </w:rPr>
        <w:t>/201</w:t>
      </w:r>
      <w:r w:rsidR="001C45FE">
        <w:rPr>
          <w:rFonts w:ascii="Arial Black" w:hAnsi="Arial Black"/>
          <w:sz w:val="15"/>
          <w:szCs w:val="15"/>
          <w:lang w:val="fr-FR"/>
        </w:rPr>
        <w:t>7</w:t>
      </w: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lang w:val="fr-FR"/>
        </w:rPr>
      </w:pPr>
    </w:p>
    <w:p w:rsidR="00F34F40" w:rsidRDefault="00F34F40" w:rsidP="00F34F40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1751A4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:rsidR="00E425B0" w:rsidRDefault="00E425B0" w:rsidP="00E425B0">
      <w:pPr>
        <w:jc w:val="both"/>
        <w:rPr>
          <w:lang w:val="fr-FR"/>
        </w:rPr>
      </w:pPr>
    </w:p>
    <w:p w:rsidR="0062556A" w:rsidRPr="009629B1" w:rsidRDefault="0062556A" w:rsidP="00E425B0">
      <w:pPr>
        <w:jc w:val="both"/>
        <w:rPr>
          <w:lang w:val="fr-FR"/>
        </w:rPr>
      </w:pPr>
    </w:p>
    <w:p w:rsidR="00E425B0" w:rsidRPr="009629B1" w:rsidRDefault="00E425B0" w:rsidP="00E425B0">
      <w:pPr>
        <w:jc w:val="both"/>
        <w:rPr>
          <w:szCs w:val="22"/>
          <w:lang w:val="fr-FR"/>
        </w:rPr>
      </w:pPr>
    </w:p>
    <w:p w:rsidR="00F34F40" w:rsidRPr="00A61A0C" w:rsidRDefault="001E05F3" w:rsidP="00F34F40">
      <w:pPr>
        <w:rPr>
          <w:szCs w:val="22"/>
          <w:lang w:val="es-ES"/>
        </w:rPr>
      </w:pPr>
      <w:r>
        <w:rPr>
          <w:b/>
          <w:sz w:val="24"/>
          <w:szCs w:val="24"/>
          <w:lang w:val="es-ES"/>
        </w:rPr>
        <w:t>Declaración efectuada en virtud del Artículo 17.3)c) del Acta de 1999</w:t>
      </w:r>
      <w:r w:rsidR="00D90917">
        <w:rPr>
          <w:b/>
          <w:sz w:val="24"/>
          <w:szCs w:val="24"/>
          <w:lang w:val="es-ES"/>
        </w:rPr>
        <w:t xml:space="preserve"> y la Regla 36.2) del Reglamento Común</w:t>
      </w:r>
      <w:proofErr w:type="gramStart"/>
      <w:r>
        <w:rPr>
          <w:b/>
          <w:sz w:val="24"/>
          <w:szCs w:val="24"/>
          <w:lang w:val="es-ES"/>
        </w:rPr>
        <w:t>:  Albania</w:t>
      </w:r>
      <w:proofErr w:type="gramEnd"/>
    </w:p>
    <w:p w:rsidR="00E425B0" w:rsidRDefault="00E425B0" w:rsidP="00804DB7">
      <w:pPr>
        <w:rPr>
          <w:lang w:val="es-ES"/>
        </w:rPr>
      </w:pPr>
    </w:p>
    <w:p w:rsidR="00F34F40" w:rsidRPr="001E05F3" w:rsidRDefault="001E05F3" w:rsidP="001E05F3">
      <w:pPr>
        <w:pStyle w:val="ONUME"/>
        <w:numPr>
          <w:ilvl w:val="0"/>
          <w:numId w:val="0"/>
        </w:numPr>
        <w:rPr>
          <w:szCs w:val="22"/>
          <w:lang w:val="es-ES_tradnl"/>
        </w:rPr>
      </w:pPr>
      <w:r w:rsidRPr="001E05F3">
        <w:rPr>
          <w:lang w:val="es-ES_tradnl"/>
        </w:rPr>
        <w:t xml:space="preserve">El </w:t>
      </w:r>
      <w:r>
        <w:rPr>
          <w:lang w:val="es-ES_tradnl"/>
        </w:rPr>
        <w:t>11</w:t>
      </w:r>
      <w:r w:rsidRPr="001E05F3">
        <w:rPr>
          <w:lang w:val="es-ES_tradnl"/>
        </w:rPr>
        <w:t xml:space="preserve"> de </w:t>
      </w:r>
      <w:r>
        <w:rPr>
          <w:lang w:val="es-ES_tradnl"/>
        </w:rPr>
        <w:t>octubre</w:t>
      </w:r>
      <w:r w:rsidRPr="001E05F3">
        <w:rPr>
          <w:lang w:val="es-ES_tradnl"/>
        </w:rPr>
        <w:t xml:space="preserve"> de 201</w:t>
      </w:r>
      <w:r>
        <w:rPr>
          <w:lang w:val="es-ES_tradnl"/>
        </w:rPr>
        <w:t>7</w:t>
      </w:r>
      <w:r w:rsidRPr="001E05F3">
        <w:rPr>
          <w:lang w:val="es-ES_tradnl"/>
        </w:rPr>
        <w:t>, el Director General de la Organización Mundial de la Propiedad Intelectual (OMPI) recibió de</w:t>
      </w:r>
      <w:r w:rsidR="00167CAA">
        <w:rPr>
          <w:lang w:val="es-ES_tradnl"/>
        </w:rPr>
        <w:t xml:space="preserve"> la</w:t>
      </w:r>
      <w:r w:rsidRPr="001E05F3">
        <w:rPr>
          <w:lang w:val="es-ES_tradnl"/>
        </w:rPr>
        <w:t xml:space="preserve"> </w:t>
      </w:r>
      <w:r w:rsidR="00167CAA" w:rsidRPr="00167CAA">
        <w:rPr>
          <w:lang w:val="es-ES_tradnl"/>
        </w:rPr>
        <w:t>Dirección General de Propiedad Industrial</w:t>
      </w:r>
      <w:r w:rsidRPr="00167CAA">
        <w:rPr>
          <w:lang w:val="es-ES_tradnl"/>
        </w:rPr>
        <w:t xml:space="preserve"> (GDIP)</w:t>
      </w:r>
      <w:r w:rsidRPr="001E05F3">
        <w:rPr>
          <w:lang w:val="es-ES_tradnl"/>
        </w:rPr>
        <w:t xml:space="preserve"> de </w:t>
      </w:r>
      <w:r>
        <w:rPr>
          <w:lang w:val="es-ES_tradnl"/>
        </w:rPr>
        <w:t>Albania</w:t>
      </w:r>
      <w:r w:rsidRPr="001E05F3">
        <w:rPr>
          <w:lang w:val="es-ES_tradnl"/>
        </w:rPr>
        <w:t>, la declaración requerida en virtud del Artículo 17.3)c) del Acta de Ginebra (1999) del Arreglo de La Haya relativo al Registro Int</w:t>
      </w:r>
      <w:r w:rsidR="00D90917">
        <w:rPr>
          <w:lang w:val="es-ES_tradnl"/>
        </w:rPr>
        <w:t>ernacional de Dibujos y Modelos y la Regla 36.2) del Reglamento Común del Acta de 1999 y del Acta de 1960 del Arreglo de La Haya,</w:t>
      </w:r>
      <w:r w:rsidRPr="001E05F3">
        <w:rPr>
          <w:lang w:val="es-ES_tradnl"/>
        </w:rPr>
        <w:t xml:space="preserve"> en la cual se especifica que la duración máxima de la protección prevista por la legislación de </w:t>
      </w:r>
      <w:r>
        <w:rPr>
          <w:lang w:val="es-ES_tradnl"/>
        </w:rPr>
        <w:t>Albania</w:t>
      </w:r>
      <w:r w:rsidRPr="001E05F3">
        <w:rPr>
          <w:lang w:val="es-ES_tradnl"/>
        </w:rPr>
        <w:t xml:space="preserve"> con respecto a los dibujos y modelos industriales es de 25</w:t>
      </w:r>
      <w:r w:rsidR="00C87498">
        <w:rPr>
          <w:lang w:val="es-ES_tradnl"/>
        </w:rPr>
        <w:t> </w:t>
      </w:r>
      <w:r w:rsidRPr="001E05F3">
        <w:rPr>
          <w:lang w:val="es-ES_tradnl"/>
        </w:rPr>
        <w:t>años.</w:t>
      </w:r>
    </w:p>
    <w:p w:rsidR="00F34F40" w:rsidRDefault="00F34F40" w:rsidP="000F505B">
      <w:pPr>
        <w:jc w:val="both"/>
        <w:rPr>
          <w:szCs w:val="22"/>
          <w:lang w:val="es-ES"/>
        </w:rPr>
      </w:pPr>
    </w:p>
    <w:p w:rsidR="00A61A0C" w:rsidRPr="000F505B" w:rsidRDefault="00A61A0C" w:rsidP="000F505B">
      <w:pPr>
        <w:jc w:val="both"/>
        <w:rPr>
          <w:szCs w:val="22"/>
          <w:lang w:val="es-ES"/>
        </w:rPr>
      </w:pPr>
    </w:p>
    <w:p w:rsidR="00F34F40" w:rsidRPr="00A61A0C" w:rsidRDefault="002E0748" w:rsidP="000F505B">
      <w:pPr>
        <w:pStyle w:val="Endofdocument-Annex"/>
        <w:jc w:val="both"/>
        <w:rPr>
          <w:szCs w:val="22"/>
          <w:lang w:val="es-ES"/>
        </w:rPr>
      </w:pPr>
      <w:r>
        <w:rPr>
          <w:szCs w:val="22"/>
          <w:lang w:val="es-ES"/>
        </w:rPr>
        <w:t>10</w:t>
      </w:r>
      <w:r w:rsidR="00A61A0C" w:rsidRPr="00A61A0C">
        <w:rPr>
          <w:szCs w:val="22"/>
          <w:lang w:val="es-ES"/>
        </w:rPr>
        <w:t xml:space="preserve"> </w:t>
      </w:r>
      <w:r w:rsidR="00F34F40" w:rsidRPr="00A61A0C">
        <w:rPr>
          <w:szCs w:val="22"/>
          <w:lang w:val="es-ES"/>
        </w:rPr>
        <w:t xml:space="preserve">de </w:t>
      </w:r>
      <w:r>
        <w:rPr>
          <w:szCs w:val="22"/>
          <w:lang w:val="es-ES"/>
        </w:rPr>
        <w:t>noviembre</w:t>
      </w:r>
      <w:bookmarkStart w:id="1" w:name="_GoBack"/>
      <w:bookmarkEnd w:id="1"/>
      <w:r w:rsidR="00F34F40" w:rsidRPr="00A61A0C">
        <w:rPr>
          <w:szCs w:val="22"/>
          <w:lang w:val="es-ES"/>
        </w:rPr>
        <w:t xml:space="preserve"> de 201</w:t>
      </w:r>
      <w:r w:rsidR="00AA3779">
        <w:rPr>
          <w:szCs w:val="22"/>
          <w:lang w:val="es-ES"/>
        </w:rPr>
        <w:t>7</w:t>
      </w:r>
    </w:p>
    <w:sectPr w:rsidR="00F34F40" w:rsidRPr="00A61A0C" w:rsidSect="00E425B0">
      <w:pgSz w:w="11907" w:h="16840" w:code="9"/>
      <w:pgMar w:top="567" w:right="1417" w:bottom="1417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ED661EF"/>
    <w:multiLevelType w:val="hybridMultilevel"/>
    <w:tmpl w:val="A23204DA"/>
    <w:lvl w:ilvl="0" w:tplc="A154A07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3011332"/>
    <w:multiLevelType w:val="hybridMultilevel"/>
    <w:tmpl w:val="30407202"/>
    <w:lvl w:ilvl="0" w:tplc="8DB862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5D11C28"/>
    <w:multiLevelType w:val="multilevel"/>
    <w:tmpl w:val="D7128F9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40"/>
    <w:rsid w:val="00017FA3"/>
    <w:rsid w:val="00051655"/>
    <w:rsid w:val="00067C03"/>
    <w:rsid w:val="000F505B"/>
    <w:rsid w:val="000F5E56"/>
    <w:rsid w:val="00100CA6"/>
    <w:rsid w:val="00156908"/>
    <w:rsid w:val="0016689F"/>
    <w:rsid w:val="00167CAA"/>
    <w:rsid w:val="001B2A5D"/>
    <w:rsid w:val="001B38D4"/>
    <w:rsid w:val="001C45FE"/>
    <w:rsid w:val="001E05F3"/>
    <w:rsid w:val="00293030"/>
    <w:rsid w:val="002E0748"/>
    <w:rsid w:val="003410BD"/>
    <w:rsid w:val="003B78E2"/>
    <w:rsid w:val="003D4A8F"/>
    <w:rsid w:val="003F6B17"/>
    <w:rsid w:val="00431118"/>
    <w:rsid w:val="004E0EA4"/>
    <w:rsid w:val="00510407"/>
    <w:rsid w:val="00521082"/>
    <w:rsid w:val="005A5F1F"/>
    <w:rsid w:val="005E7D68"/>
    <w:rsid w:val="006058C9"/>
    <w:rsid w:val="0062556A"/>
    <w:rsid w:val="006C109C"/>
    <w:rsid w:val="006E33EE"/>
    <w:rsid w:val="006F5BCB"/>
    <w:rsid w:val="00780C0A"/>
    <w:rsid w:val="007B240C"/>
    <w:rsid w:val="007D4A1D"/>
    <w:rsid w:val="007D53C7"/>
    <w:rsid w:val="007E6003"/>
    <w:rsid w:val="007F40C9"/>
    <w:rsid w:val="00804DB7"/>
    <w:rsid w:val="008164E2"/>
    <w:rsid w:val="008453FA"/>
    <w:rsid w:val="00904AFD"/>
    <w:rsid w:val="009E14B5"/>
    <w:rsid w:val="00A61A0C"/>
    <w:rsid w:val="00A927F2"/>
    <w:rsid w:val="00AA3779"/>
    <w:rsid w:val="00B40B0A"/>
    <w:rsid w:val="00BB623D"/>
    <w:rsid w:val="00C01466"/>
    <w:rsid w:val="00C554EC"/>
    <w:rsid w:val="00C87498"/>
    <w:rsid w:val="00D266D0"/>
    <w:rsid w:val="00D74EC1"/>
    <w:rsid w:val="00D80EBB"/>
    <w:rsid w:val="00D90917"/>
    <w:rsid w:val="00E425B0"/>
    <w:rsid w:val="00E67CB8"/>
    <w:rsid w:val="00E73E7A"/>
    <w:rsid w:val="00E804CC"/>
    <w:rsid w:val="00E91951"/>
    <w:rsid w:val="00EB0D22"/>
    <w:rsid w:val="00ED5C76"/>
    <w:rsid w:val="00F34F40"/>
    <w:rsid w:val="00F84B20"/>
    <w:rsid w:val="00F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F4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F3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F40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F34F40"/>
    <w:pPr>
      <w:ind w:left="5534"/>
    </w:pPr>
  </w:style>
  <w:style w:type="character" w:customStyle="1" w:styleId="Endofdocument-AnnexChar">
    <w:name w:val="[End of document - Annex] Char"/>
    <w:link w:val="Endofdocument-Annex"/>
    <w:rsid w:val="00F34F40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D266D0"/>
    <w:rPr>
      <w:color w:val="0000FF" w:themeColor="hyperlink"/>
      <w:u w:val="single"/>
    </w:rPr>
  </w:style>
  <w:style w:type="paragraph" w:customStyle="1" w:styleId="Char">
    <w:name w:val="Char 字元 字元"/>
    <w:basedOn w:val="Normal"/>
    <w:rsid w:val="001E05F3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F4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F3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F40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F34F40"/>
    <w:pPr>
      <w:ind w:left="5534"/>
    </w:pPr>
  </w:style>
  <w:style w:type="character" w:customStyle="1" w:styleId="Endofdocument-AnnexChar">
    <w:name w:val="[End of document - Annex] Char"/>
    <w:link w:val="Endofdocument-Annex"/>
    <w:rsid w:val="00F34F40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D266D0"/>
    <w:rPr>
      <w:color w:val="0000FF" w:themeColor="hyperlink"/>
      <w:u w:val="single"/>
    </w:rPr>
  </w:style>
  <w:style w:type="paragraph" w:customStyle="1" w:styleId="Char">
    <w:name w:val="Char 字元 字元"/>
    <w:basedOn w:val="Normal"/>
    <w:rsid w:val="001E05F3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F4C7-EE31-4D15-A600-A92B1A8B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MONDON Julie</dc:creator>
  <cp:lastModifiedBy>MAILLARD Amber</cp:lastModifiedBy>
  <cp:revision>7</cp:revision>
  <cp:lastPrinted>2017-10-18T10:39:00Z</cp:lastPrinted>
  <dcterms:created xsi:type="dcterms:W3CDTF">2017-10-17T09:11:00Z</dcterms:created>
  <dcterms:modified xsi:type="dcterms:W3CDTF">2017-11-10T11:09:00Z</dcterms:modified>
</cp:coreProperties>
</file>