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10"/>
      </w:tblGrid>
      <w:tr w:rsidR="009313E1" w:rsidRPr="009313E1" w:rsidTr="00BC3767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9313E1" w:rsidRDefault="00EC4E49" w:rsidP="00916EE2">
            <w:pPr>
              <w:rPr>
                <w:lang w:val="es-ES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9313E1" w:rsidRDefault="00666B35" w:rsidP="00916EE2">
            <w:pPr>
              <w:rPr>
                <w:lang w:val="es-ES"/>
              </w:rPr>
            </w:pPr>
            <w:r w:rsidRPr="009313E1">
              <w:rPr>
                <w:noProof/>
                <w:lang w:eastAsia="en-US"/>
              </w:rPr>
              <w:drawing>
                <wp:inline distT="0" distB="0" distL="0" distR="0" wp14:anchorId="06CC1F90" wp14:editId="5FE378F4">
                  <wp:extent cx="1857375" cy="1323975"/>
                  <wp:effectExtent l="0" t="0" r="9525" b="9525"/>
                  <wp:docPr id="2" name="Picture 2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9313E1" w:rsidRDefault="00EC4E49" w:rsidP="00916EE2">
            <w:pPr>
              <w:jc w:val="right"/>
              <w:rPr>
                <w:lang w:val="es-ES"/>
              </w:rPr>
            </w:pPr>
          </w:p>
        </w:tc>
      </w:tr>
      <w:tr w:rsidR="009313E1" w:rsidRPr="009313E1" w:rsidTr="00BC3767">
        <w:trPr>
          <w:trHeight w:hRule="exact" w:val="170"/>
        </w:trPr>
        <w:tc>
          <w:tcPr>
            <w:tcW w:w="9360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313E1" w:rsidRDefault="008B2CC1" w:rsidP="00916EE2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bookmarkStart w:id="0" w:name="Original"/>
            <w:bookmarkEnd w:id="0"/>
          </w:p>
        </w:tc>
      </w:tr>
      <w:tr w:rsidR="009313E1" w:rsidRPr="009313E1" w:rsidTr="00BC3767">
        <w:trPr>
          <w:trHeight w:hRule="exact" w:val="198"/>
        </w:trPr>
        <w:tc>
          <w:tcPr>
            <w:tcW w:w="9360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313E1" w:rsidRDefault="00666B35" w:rsidP="00FB6D8D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9313E1">
              <w:rPr>
                <w:rFonts w:ascii="Arial Black" w:hAnsi="Arial Black"/>
                <w:sz w:val="15"/>
                <w:szCs w:val="15"/>
                <w:lang w:val="es-ES"/>
              </w:rPr>
              <w:t>AVISO N</w:t>
            </w:r>
            <w:r w:rsidR="00FB6D8D">
              <w:rPr>
                <w:rFonts w:ascii="Arial Black" w:hAnsi="Arial Black"/>
                <w:sz w:val="15"/>
                <w:szCs w:val="15"/>
                <w:lang w:val="es-ES"/>
              </w:rPr>
              <w:t>.</w:t>
            </w:r>
            <w:r w:rsidRPr="009313E1">
              <w:rPr>
                <w:rFonts w:ascii="Arial Black" w:hAnsi="Arial Black"/>
                <w:sz w:val="15"/>
                <w:szCs w:val="15"/>
                <w:lang w:val="es-ES"/>
              </w:rPr>
              <w:t>º</w:t>
            </w:r>
            <w:r w:rsidR="00CC5016" w:rsidRPr="009313E1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="00742856" w:rsidRPr="009313E1">
              <w:rPr>
                <w:rFonts w:ascii="Arial Black" w:hAnsi="Arial Black"/>
                <w:caps/>
                <w:sz w:val="15"/>
                <w:lang w:val="es-ES"/>
              </w:rPr>
              <w:t>5</w:t>
            </w:r>
            <w:r w:rsidR="009B2582" w:rsidRPr="009313E1">
              <w:rPr>
                <w:rFonts w:ascii="Arial Black" w:hAnsi="Arial Black"/>
                <w:caps/>
                <w:sz w:val="15"/>
                <w:lang w:val="es-ES"/>
              </w:rPr>
              <w:t>/2015</w:t>
            </w:r>
            <w:r w:rsidR="00A42DAF" w:rsidRPr="009313E1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="008B2CC1" w:rsidRPr="009313E1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bookmarkStart w:id="1" w:name="Date"/>
            <w:bookmarkEnd w:id="1"/>
          </w:p>
        </w:tc>
      </w:tr>
    </w:tbl>
    <w:p w:rsidR="008B2CC1" w:rsidRPr="009313E1" w:rsidRDefault="008B2CC1" w:rsidP="008B2CC1">
      <w:pPr>
        <w:rPr>
          <w:lang w:val="es-ES"/>
        </w:rPr>
      </w:pPr>
    </w:p>
    <w:p w:rsidR="008B2CC1" w:rsidRPr="009313E1" w:rsidRDefault="008B2CC1" w:rsidP="008B2CC1">
      <w:pPr>
        <w:rPr>
          <w:lang w:val="es-ES"/>
        </w:rPr>
      </w:pPr>
    </w:p>
    <w:p w:rsidR="008B2CC1" w:rsidRPr="009313E1" w:rsidRDefault="008B2CC1" w:rsidP="008B2CC1">
      <w:pPr>
        <w:rPr>
          <w:lang w:val="es-ES"/>
        </w:rPr>
      </w:pPr>
    </w:p>
    <w:p w:rsidR="00CC5016" w:rsidRPr="009313E1" w:rsidRDefault="00CC5016" w:rsidP="00CC5016">
      <w:pPr>
        <w:rPr>
          <w:lang w:val="es-ES"/>
        </w:rPr>
      </w:pPr>
    </w:p>
    <w:p w:rsidR="00CC5016" w:rsidRPr="009313E1" w:rsidRDefault="00CC5016" w:rsidP="00CC5016">
      <w:pPr>
        <w:rPr>
          <w:lang w:val="es-ES"/>
        </w:rPr>
      </w:pPr>
    </w:p>
    <w:p w:rsidR="00CC5016" w:rsidRPr="009313E1" w:rsidRDefault="00666B35" w:rsidP="00CC5016">
      <w:pPr>
        <w:autoSpaceDE w:val="0"/>
        <w:autoSpaceDN w:val="0"/>
        <w:adjustRightInd w:val="0"/>
        <w:rPr>
          <w:b/>
          <w:bCs/>
          <w:sz w:val="28"/>
          <w:szCs w:val="28"/>
          <w:lang w:val="es-ES"/>
        </w:rPr>
      </w:pPr>
      <w:r w:rsidRPr="009313E1">
        <w:rPr>
          <w:b/>
          <w:sz w:val="28"/>
          <w:szCs w:val="28"/>
          <w:lang w:val="es-ES"/>
        </w:rPr>
        <w:t>Arreglo de La Haya relativo al Registro Internacional de Dibujos y Modelos Industriales</w:t>
      </w:r>
    </w:p>
    <w:p w:rsidR="00CC5016" w:rsidRPr="009313E1" w:rsidRDefault="00CC5016" w:rsidP="00CC5016">
      <w:pPr>
        <w:autoSpaceDE w:val="0"/>
        <w:autoSpaceDN w:val="0"/>
        <w:adjustRightInd w:val="0"/>
        <w:rPr>
          <w:bCs/>
          <w:szCs w:val="22"/>
          <w:lang w:val="es-ES"/>
        </w:rPr>
      </w:pPr>
    </w:p>
    <w:p w:rsidR="00742856" w:rsidRPr="009313E1" w:rsidRDefault="00742856" w:rsidP="00CC5016">
      <w:pPr>
        <w:autoSpaceDE w:val="0"/>
        <w:autoSpaceDN w:val="0"/>
        <w:adjustRightInd w:val="0"/>
        <w:rPr>
          <w:bCs/>
          <w:szCs w:val="22"/>
          <w:lang w:val="es-ES"/>
        </w:rPr>
      </w:pPr>
    </w:p>
    <w:p w:rsidR="00742856" w:rsidRPr="009313E1" w:rsidRDefault="00742856" w:rsidP="00CC5016">
      <w:pPr>
        <w:autoSpaceDE w:val="0"/>
        <w:autoSpaceDN w:val="0"/>
        <w:adjustRightInd w:val="0"/>
        <w:rPr>
          <w:bCs/>
          <w:szCs w:val="22"/>
          <w:lang w:val="es-ES"/>
        </w:rPr>
      </w:pPr>
    </w:p>
    <w:p w:rsidR="001F1B95" w:rsidRPr="009313E1" w:rsidRDefault="00EB5FFE" w:rsidP="00EB5FFE">
      <w:pPr>
        <w:autoSpaceDE w:val="0"/>
        <w:autoSpaceDN w:val="0"/>
        <w:adjustRightInd w:val="0"/>
        <w:rPr>
          <w:b/>
          <w:bCs/>
          <w:sz w:val="24"/>
          <w:szCs w:val="24"/>
          <w:lang w:val="es-ES"/>
        </w:rPr>
      </w:pPr>
      <w:r w:rsidRPr="009313E1">
        <w:rPr>
          <w:b/>
          <w:bCs/>
          <w:sz w:val="24"/>
          <w:szCs w:val="24"/>
          <w:lang w:val="es-ES"/>
        </w:rPr>
        <w:t>Tasa de designación individual</w:t>
      </w:r>
      <w:r w:rsidR="002813A5" w:rsidRPr="009313E1">
        <w:rPr>
          <w:b/>
          <w:bCs/>
          <w:sz w:val="24"/>
          <w:szCs w:val="24"/>
          <w:lang w:val="es-ES"/>
        </w:rPr>
        <w:t xml:space="preserve">:  </w:t>
      </w:r>
      <w:r w:rsidRPr="009313E1">
        <w:rPr>
          <w:b/>
          <w:bCs/>
          <w:sz w:val="24"/>
          <w:szCs w:val="24"/>
          <w:lang w:val="es-ES"/>
        </w:rPr>
        <w:t>Estados Unidos de América</w:t>
      </w:r>
    </w:p>
    <w:p w:rsidR="00CC5016" w:rsidRPr="009313E1" w:rsidRDefault="00CC5016" w:rsidP="00CC5016">
      <w:pPr>
        <w:rPr>
          <w:szCs w:val="22"/>
          <w:lang w:val="es-ES"/>
        </w:rPr>
      </w:pPr>
    </w:p>
    <w:p w:rsidR="00824E57" w:rsidRPr="009313E1" w:rsidRDefault="00824E57" w:rsidP="00CC5016">
      <w:pPr>
        <w:rPr>
          <w:szCs w:val="22"/>
          <w:lang w:val="es-ES"/>
        </w:rPr>
      </w:pPr>
    </w:p>
    <w:p w:rsidR="00C322FB" w:rsidRPr="009313E1" w:rsidRDefault="00EB5FFE" w:rsidP="00C10CAF">
      <w:pPr>
        <w:pStyle w:val="ONUMFS"/>
        <w:rPr>
          <w:lang w:val="es-ES"/>
        </w:rPr>
      </w:pPr>
      <w:r w:rsidRPr="009313E1">
        <w:rPr>
          <w:lang w:val="es-ES"/>
        </w:rPr>
        <w:t xml:space="preserve">El Gobierno de los Estados Unidos de América ha formulado la declaración </w:t>
      </w:r>
      <w:r w:rsidR="00B22128">
        <w:rPr>
          <w:lang w:val="es-ES"/>
        </w:rPr>
        <w:t>a la que se refiere</w:t>
      </w:r>
      <w:r w:rsidRPr="009313E1">
        <w:rPr>
          <w:lang w:val="es-ES"/>
        </w:rPr>
        <w:t xml:space="preserve"> el Artículo</w:t>
      </w:r>
      <w:r w:rsidR="000C3A18">
        <w:rPr>
          <w:lang w:val="es-ES"/>
        </w:rPr>
        <w:t> </w:t>
      </w:r>
      <w:r w:rsidRPr="009313E1">
        <w:rPr>
          <w:lang w:val="es-ES"/>
        </w:rPr>
        <w:t>7.2) de</w:t>
      </w:r>
      <w:r w:rsidR="00C51630" w:rsidRPr="009313E1">
        <w:rPr>
          <w:lang w:val="es-ES"/>
        </w:rPr>
        <w:t>l</w:t>
      </w:r>
      <w:r w:rsidR="000C3A18">
        <w:rPr>
          <w:lang w:val="es-ES"/>
        </w:rPr>
        <w:t xml:space="preserve"> Acta de 1999 del</w:t>
      </w:r>
      <w:r w:rsidRPr="009313E1">
        <w:rPr>
          <w:lang w:val="es-ES"/>
        </w:rPr>
        <w:t xml:space="preserve"> Arreglo de La</w:t>
      </w:r>
      <w:r w:rsidR="000C3A18">
        <w:rPr>
          <w:lang w:val="es-ES"/>
        </w:rPr>
        <w:t> </w:t>
      </w:r>
      <w:r w:rsidRPr="009313E1">
        <w:rPr>
          <w:lang w:val="es-ES"/>
        </w:rPr>
        <w:t xml:space="preserve">Haya relativo al Registro Internacional de Dibujos y Modelos Industriales </w:t>
      </w:r>
      <w:r w:rsidR="00B22128">
        <w:rPr>
          <w:lang w:val="es-ES"/>
        </w:rPr>
        <w:t xml:space="preserve">en virtud de </w:t>
      </w:r>
      <w:r w:rsidR="00673654" w:rsidRPr="009313E1">
        <w:rPr>
          <w:lang w:val="es-ES"/>
        </w:rPr>
        <w:t xml:space="preserve">la cual, </w:t>
      </w:r>
      <w:r w:rsidR="00B00089" w:rsidRPr="009313E1">
        <w:rPr>
          <w:lang w:val="es-ES"/>
        </w:rPr>
        <w:t xml:space="preserve">en relación con </w:t>
      </w:r>
      <w:r w:rsidR="00B22128">
        <w:rPr>
          <w:lang w:val="es-ES"/>
        </w:rPr>
        <w:t>toda</w:t>
      </w:r>
      <w:r w:rsidR="00B22128" w:rsidRPr="009313E1">
        <w:rPr>
          <w:lang w:val="es-ES"/>
        </w:rPr>
        <w:t xml:space="preserve"> </w:t>
      </w:r>
      <w:r w:rsidR="00B00089" w:rsidRPr="009313E1">
        <w:rPr>
          <w:lang w:val="es-ES"/>
        </w:rPr>
        <w:t xml:space="preserve">solicitud internacional en la </w:t>
      </w:r>
      <w:r w:rsidR="00B22128">
        <w:rPr>
          <w:lang w:val="es-ES"/>
        </w:rPr>
        <w:t xml:space="preserve">que los </w:t>
      </w:r>
      <w:r w:rsidR="00B22128" w:rsidRPr="009313E1">
        <w:rPr>
          <w:lang w:val="es-ES"/>
        </w:rPr>
        <w:t xml:space="preserve">Estados Unidos de América </w:t>
      </w:r>
      <w:r w:rsidR="00AC1A22" w:rsidRPr="009313E1">
        <w:rPr>
          <w:lang w:val="es-ES"/>
        </w:rPr>
        <w:t>haya</w:t>
      </w:r>
      <w:r w:rsidR="00BB5528" w:rsidRPr="009313E1">
        <w:rPr>
          <w:lang w:val="es-ES"/>
        </w:rPr>
        <w:t>n</w:t>
      </w:r>
      <w:r w:rsidR="00AC1A22" w:rsidRPr="009313E1">
        <w:rPr>
          <w:lang w:val="es-ES"/>
        </w:rPr>
        <w:t xml:space="preserve"> sido designado</w:t>
      </w:r>
      <w:r w:rsidR="000C3A18">
        <w:rPr>
          <w:lang w:val="es-ES"/>
        </w:rPr>
        <w:t>s</w:t>
      </w:r>
      <w:r w:rsidR="00BC56DF" w:rsidRPr="009313E1">
        <w:rPr>
          <w:lang w:val="es-ES"/>
        </w:rPr>
        <w:t>,</w:t>
      </w:r>
      <w:r w:rsidR="00B00089" w:rsidRPr="009313E1">
        <w:rPr>
          <w:lang w:val="es-ES"/>
        </w:rPr>
        <w:t xml:space="preserve"> se sustituirá la tasa de designación prescrita por una tasa de designación individual.</w:t>
      </w:r>
    </w:p>
    <w:p w:rsidR="00A75FDF" w:rsidRPr="009313E1" w:rsidRDefault="003139DF" w:rsidP="00AE4F3E">
      <w:pPr>
        <w:pStyle w:val="ONUMFS"/>
        <w:rPr>
          <w:lang w:val="es-ES"/>
        </w:rPr>
      </w:pPr>
      <w:r w:rsidRPr="009313E1">
        <w:rPr>
          <w:lang w:val="es-ES"/>
        </w:rPr>
        <w:t>En la</w:t>
      </w:r>
      <w:r w:rsidR="00673654" w:rsidRPr="009313E1">
        <w:rPr>
          <w:lang w:val="es-ES"/>
        </w:rPr>
        <w:t xml:space="preserve"> declaración</w:t>
      </w:r>
      <w:r w:rsidRPr="009313E1">
        <w:rPr>
          <w:lang w:val="es-ES"/>
        </w:rPr>
        <w:t xml:space="preserve"> se especifica</w:t>
      </w:r>
      <w:r w:rsidR="00673654" w:rsidRPr="009313E1">
        <w:rPr>
          <w:lang w:val="es-ES"/>
        </w:rPr>
        <w:t>, de conformidad con la R</w:t>
      </w:r>
      <w:r w:rsidR="00DB0C73" w:rsidRPr="009313E1">
        <w:rPr>
          <w:lang w:val="es-ES"/>
        </w:rPr>
        <w:t>egla 12.3) del Reglamento Común del Acta de</w:t>
      </w:r>
      <w:r w:rsidR="000C3A18">
        <w:rPr>
          <w:lang w:val="es-ES"/>
        </w:rPr>
        <w:t> </w:t>
      </w:r>
      <w:r w:rsidR="00DB0C73" w:rsidRPr="009313E1">
        <w:rPr>
          <w:lang w:val="es-ES"/>
        </w:rPr>
        <w:t>1999 y el Acta de</w:t>
      </w:r>
      <w:r w:rsidR="000C3A18">
        <w:rPr>
          <w:lang w:val="es-ES"/>
        </w:rPr>
        <w:t> </w:t>
      </w:r>
      <w:r w:rsidR="00DB0C73" w:rsidRPr="009313E1">
        <w:rPr>
          <w:lang w:val="es-ES"/>
        </w:rPr>
        <w:t>1960 del Arreglo de La</w:t>
      </w:r>
      <w:r w:rsidR="000C3A18">
        <w:rPr>
          <w:lang w:val="es-ES"/>
        </w:rPr>
        <w:t> </w:t>
      </w:r>
      <w:r w:rsidR="00DB0C73" w:rsidRPr="009313E1">
        <w:rPr>
          <w:lang w:val="es-ES"/>
        </w:rPr>
        <w:t>Haya, que la tasa de designación individual</w:t>
      </w:r>
      <w:r w:rsidR="00B00E9D" w:rsidRPr="009313E1">
        <w:rPr>
          <w:lang w:val="es-ES"/>
        </w:rPr>
        <w:t xml:space="preserve"> comprenderá </w:t>
      </w:r>
      <w:r w:rsidR="00B00E9D" w:rsidRPr="009313E1">
        <w:rPr>
          <w:i/>
          <w:iCs/>
          <w:lang w:val="es-ES"/>
        </w:rPr>
        <w:t>dos partes</w:t>
      </w:r>
      <w:r w:rsidR="00B00E9D" w:rsidRPr="009313E1">
        <w:rPr>
          <w:lang w:val="es-ES"/>
        </w:rPr>
        <w:t>.</w:t>
      </w:r>
    </w:p>
    <w:p w:rsidR="00A75FDF" w:rsidRPr="009313E1" w:rsidRDefault="00E47E81" w:rsidP="00714D38">
      <w:pPr>
        <w:pStyle w:val="ONUMFS"/>
        <w:rPr>
          <w:lang w:val="es-ES"/>
        </w:rPr>
      </w:pPr>
      <w:r w:rsidRPr="009313E1">
        <w:rPr>
          <w:lang w:val="es-ES"/>
        </w:rPr>
        <w:t>En la</w:t>
      </w:r>
      <w:r w:rsidR="00B00E9D" w:rsidRPr="009313E1">
        <w:rPr>
          <w:lang w:val="es-ES"/>
        </w:rPr>
        <w:t xml:space="preserve"> declaración también </w:t>
      </w:r>
      <w:r w:rsidRPr="009313E1">
        <w:rPr>
          <w:lang w:val="es-ES"/>
        </w:rPr>
        <w:t xml:space="preserve">se especifica que se concederán </w:t>
      </w:r>
      <w:r w:rsidR="00DF66E8" w:rsidRPr="009313E1">
        <w:rPr>
          <w:lang w:val="es-ES"/>
        </w:rPr>
        <w:t>descuentos</w:t>
      </w:r>
      <w:r w:rsidR="00441728" w:rsidRPr="009313E1">
        <w:rPr>
          <w:lang w:val="es-ES"/>
        </w:rPr>
        <w:t xml:space="preserve"> </w:t>
      </w:r>
      <w:r w:rsidRPr="009313E1">
        <w:rPr>
          <w:lang w:val="es-ES"/>
        </w:rPr>
        <w:t>a</w:t>
      </w:r>
      <w:r w:rsidR="00877EC6" w:rsidRPr="009313E1">
        <w:rPr>
          <w:lang w:val="es-ES"/>
        </w:rPr>
        <w:t xml:space="preserve"> los solicitan</w:t>
      </w:r>
      <w:r w:rsidR="000C55D3" w:rsidRPr="009313E1">
        <w:rPr>
          <w:lang w:val="es-ES"/>
        </w:rPr>
        <w:t xml:space="preserve">tes </w:t>
      </w:r>
      <w:r w:rsidR="002866A6" w:rsidRPr="009313E1">
        <w:rPr>
          <w:lang w:val="es-ES"/>
        </w:rPr>
        <w:t xml:space="preserve">que tengan </w:t>
      </w:r>
      <w:r w:rsidR="00B22128">
        <w:rPr>
          <w:lang w:val="es-ES"/>
        </w:rPr>
        <w:t xml:space="preserve">la </w:t>
      </w:r>
      <w:r w:rsidR="00BB5528" w:rsidRPr="009313E1">
        <w:rPr>
          <w:lang w:val="es-ES"/>
        </w:rPr>
        <w:t>condición</w:t>
      </w:r>
      <w:r w:rsidR="000C55D3" w:rsidRPr="009313E1">
        <w:rPr>
          <w:lang w:val="es-ES"/>
        </w:rPr>
        <w:t xml:space="preserve"> de</w:t>
      </w:r>
      <w:r w:rsidR="000B02F2" w:rsidRPr="009313E1">
        <w:rPr>
          <w:lang w:val="es-ES"/>
        </w:rPr>
        <w:t>:</w:t>
      </w:r>
    </w:p>
    <w:p w:rsidR="00A75FDF" w:rsidRPr="009313E1" w:rsidRDefault="00A75FDF" w:rsidP="007D2D96">
      <w:pPr>
        <w:pStyle w:val="ONUMFS"/>
        <w:numPr>
          <w:ilvl w:val="1"/>
          <w:numId w:val="6"/>
        </w:numPr>
        <w:tabs>
          <w:tab w:val="clear" w:pos="1134"/>
          <w:tab w:val="num" w:pos="-1560"/>
        </w:tabs>
        <w:ind w:left="0" w:firstLine="567"/>
        <w:rPr>
          <w:lang w:val="es-ES"/>
        </w:rPr>
      </w:pPr>
      <w:r w:rsidRPr="009313E1">
        <w:rPr>
          <w:lang w:val="es-ES"/>
        </w:rPr>
        <w:t>“</w:t>
      </w:r>
      <w:hyperlink r:id="rId9" w:anchor="d0e30961" w:history="1">
        <w:r w:rsidR="00E47E81" w:rsidRPr="00D425B7">
          <w:rPr>
            <w:rStyle w:val="Hyperlink"/>
            <w:u w:val="none"/>
            <w:lang w:val="es-ES"/>
          </w:rPr>
          <w:t>pequeña entidad</w:t>
        </w:r>
      </w:hyperlink>
      <w:r w:rsidR="00E47E81" w:rsidRPr="009313E1">
        <w:rPr>
          <w:lang w:val="es-ES"/>
        </w:rPr>
        <w:t>”</w:t>
      </w:r>
      <w:r w:rsidR="00877EC6" w:rsidRPr="009313E1">
        <w:rPr>
          <w:lang w:val="es-ES"/>
        </w:rPr>
        <w:t xml:space="preserve"> de conformidad con el </w:t>
      </w:r>
      <w:r w:rsidR="00B22128">
        <w:rPr>
          <w:lang w:val="es-ES"/>
        </w:rPr>
        <w:t>A</w:t>
      </w:r>
      <w:r w:rsidR="00B22128" w:rsidRPr="009313E1">
        <w:rPr>
          <w:lang w:val="es-ES"/>
        </w:rPr>
        <w:t>rtículo</w:t>
      </w:r>
      <w:r w:rsidR="000C3A18">
        <w:rPr>
          <w:lang w:val="es-ES"/>
        </w:rPr>
        <w:t> </w:t>
      </w:r>
      <w:r w:rsidR="00877EC6" w:rsidRPr="009313E1">
        <w:rPr>
          <w:lang w:val="es-ES"/>
        </w:rPr>
        <w:t>41.h) del Título</w:t>
      </w:r>
      <w:r w:rsidR="000C3A18">
        <w:rPr>
          <w:lang w:val="es-ES"/>
        </w:rPr>
        <w:t> </w:t>
      </w:r>
      <w:r w:rsidR="00877EC6" w:rsidRPr="009313E1">
        <w:rPr>
          <w:lang w:val="es-ES"/>
        </w:rPr>
        <w:t>35 del Código de los Estados Unidos</w:t>
      </w:r>
      <w:r w:rsidR="00024A65" w:rsidRPr="009313E1">
        <w:rPr>
          <w:lang w:val="es-ES"/>
        </w:rPr>
        <w:t xml:space="preserve"> de América</w:t>
      </w:r>
      <w:r w:rsidR="00877EC6" w:rsidRPr="009313E1">
        <w:rPr>
          <w:lang w:val="es-ES"/>
        </w:rPr>
        <w:t xml:space="preserve"> y el </w:t>
      </w:r>
      <w:r w:rsidR="00881575">
        <w:rPr>
          <w:lang w:val="es-ES"/>
        </w:rPr>
        <w:t>A</w:t>
      </w:r>
      <w:r w:rsidR="00881575" w:rsidRPr="009313E1">
        <w:rPr>
          <w:lang w:val="es-ES"/>
        </w:rPr>
        <w:t xml:space="preserve">rtículo </w:t>
      </w:r>
      <w:r w:rsidR="00877EC6" w:rsidRPr="009313E1">
        <w:rPr>
          <w:lang w:val="es-ES"/>
        </w:rPr>
        <w:t>3 de la Ley de la Pequeña Empresa, así como</w:t>
      </w:r>
      <w:r w:rsidR="00B16CE1" w:rsidRPr="009313E1">
        <w:rPr>
          <w:lang w:val="es-ES"/>
        </w:rPr>
        <w:t xml:space="preserve"> con</w:t>
      </w:r>
      <w:r w:rsidR="00877EC6" w:rsidRPr="009313E1">
        <w:rPr>
          <w:lang w:val="es-ES"/>
        </w:rPr>
        <w:t xml:space="preserve"> los reglamentos aplicables de la Oficina de Patentes y Marcas de los Estados Unidos</w:t>
      </w:r>
      <w:r w:rsidR="00024A65" w:rsidRPr="009313E1">
        <w:rPr>
          <w:lang w:val="es-ES"/>
        </w:rPr>
        <w:t xml:space="preserve"> de América</w:t>
      </w:r>
      <w:r w:rsidR="00AD7B5F" w:rsidRPr="009313E1">
        <w:rPr>
          <w:lang w:val="es-ES"/>
        </w:rPr>
        <w:t xml:space="preserve"> (U</w:t>
      </w:r>
      <w:r w:rsidR="00877EC6" w:rsidRPr="009313E1">
        <w:rPr>
          <w:lang w:val="es-ES"/>
        </w:rPr>
        <w:t>S</w:t>
      </w:r>
      <w:r w:rsidR="00AD7B5F" w:rsidRPr="009313E1">
        <w:rPr>
          <w:lang w:val="es-ES"/>
        </w:rPr>
        <w:t>P</w:t>
      </w:r>
      <w:r w:rsidR="00877EC6" w:rsidRPr="009313E1">
        <w:rPr>
          <w:lang w:val="es-ES"/>
        </w:rPr>
        <w:t>TO)</w:t>
      </w:r>
      <w:r w:rsidR="00D115C7" w:rsidRPr="009313E1">
        <w:rPr>
          <w:lang w:val="es-ES"/>
        </w:rPr>
        <w:t>;</w:t>
      </w:r>
    </w:p>
    <w:p w:rsidR="00A75FDF" w:rsidRPr="009313E1" w:rsidRDefault="00A75FDF" w:rsidP="007D2D96">
      <w:pPr>
        <w:pStyle w:val="ONUMFS"/>
        <w:numPr>
          <w:ilvl w:val="1"/>
          <w:numId w:val="6"/>
        </w:numPr>
        <w:ind w:left="0" w:firstLine="567"/>
        <w:rPr>
          <w:lang w:val="es-ES"/>
        </w:rPr>
      </w:pPr>
      <w:r w:rsidRPr="009313E1">
        <w:rPr>
          <w:lang w:val="es-ES"/>
        </w:rPr>
        <w:t>“</w:t>
      </w:r>
      <w:hyperlink r:id="rId10" w:anchor="ch500_d1ff69_210b3_1ca" w:history="1">
        <w:r w:rsidR="00714D38" w:rsidRPr="00D425B7">
          <w:rPr>
            <w:rStyle w:val="Hyperlink"/>
            <w:u w:val="none"/>
            <w:lang w:val="es-ES"/>
          </w:rPr>
          <w:t>micro entidad</w:t>
        </w:r>
      </w:hyperlink>
      <w:r w:rsidRPr="009313E1">
        <w:rPr>
          <w:lang w:val="es-ES"/>
        </w:rPr>
        <w:t xml:space="preserve">” </w:t>
      </w:r>
      <w:r w:rsidR="00714D38" w:rsidRPr="009313E1">
        <w:rPr>
          <w:lang w:val="es-ES"/>
        </w:rPr>
        <w:t xml:space="preserve">de </w:t>
      </w:r>
      <w:r w:rsidR="00E810A6" w:rsidRPr="009313E1">
        <w:rPr>
          <w:lang w:val="es-ES"/>
        </w:rPr>
        <w:t xml:space="preserve">conformidad con el </w:t>
      </w:r>
      <w:r w:rsidR="00881575">
        <w:rPr>
          <w:lang w:val="es-ES"/>
        </w:rPr>
        <w:t>A</w:t>
      </w:r>
      <w:r w:rsidR="00881575" w:rsidRPr="009313E1">
        <w:rPr>
          <w:lang w:val="es-ES"/>
        </w:rPr>
        <w:t>rtículo</w:t>
      </w:r>
      <w:r w:rsidR="000C3A18">
        <w:rPr>
          <w:lang w:val="es-ES"/>
        </w:rPr>
        <w:t> </w:t>
      </w:r>
      <w:r w:rsidR="00E810A6" w:rsidRPr="009313E1">
        <w:rPr>
          <w:lang w:val="es-ES"/>
        </w:rPr>
        <w:t>123 del Título</w:t>
      </w:r>
      <w:r w:rsidR="000C3A18">
        <w:rPr>
          <w:lang w:val="es-ES"/>
        </w:rPr>
        <w:t> </w:t>
      </w:r>
      <w:r w:rsidR="00E810A6" w:rsidRPr="009313E1">
        <w:rPr>
          <w:lang w:val="es-ES"/>
        </w:rPr>
        <w:t>35 del Código de los Estados Unidos</w:t>
      </w:r>
      <w:r w:rsidR="00E47E81" w:rsidRPr="009313E1">
        <w:rPr>
          <w:lang w:val="es-ES"/>
        </w:rPr>
        <w:t xml:space="preserve"> de América</w:t>
      </w:r>
      <w:r w:rsidR="00E810A6" w:rsidRPr="009313E1">
        <w:rPr>
          <w:lang w:val="es-ES"/>
        </w:rPr>
        <w:t xml:space="preserve"> y los reglamentos aplicables de la USPTO.</w:t>
      </w:r>
    </w:p>
    <w:p w:rsidR="00A75FDF" w:rsidRDefault="00B32D96" w:rsidP="00DF66E8">
      <w:pPr>
        <w:pStyle w:val="ONUMFS"/>
        <w:rPr>
          <w:lang w:val="es-ES"/>
        </w:rPr>
      </w:pPr>
      <w:r w:rsidRPr="009313E1">
        <w:rPr>
          <w:lang w:val="es-ES"/>
        </w:rPr>
        <w:t xml:space="preserve">Para obtener mayor orientación </w:t>
      </w:r>
      <w:r w:rsidR="0014374E" w:rsidRPr="009313E1">
        <w:rPr>
          <w:lang w:val="es-ES"/>
        </w:rPr>
        <w:t>sobre</w:t>
      </w:r>
      <w:r w:rsidR="00084992" w:rsidRPr="009313E1">
        <w:rPr>
          <w:lang w:val="es-ES"/>
        </w:rPr>
        <w:t xml:space="preserve"> las condiciones relati</w:t>
      </w:r>
      <w:r w:rsidR="00DF66E8" w:rsidRPr="009313E1">
        <w:rPr>
          <w:lang w:val="es-ES"/>
        </w:rPr>
        <w:t>vas a esto</w:t>
      </w:r>
      <w:r w:rsidR="00084992" w:rsidRPr="009313E1">
        <w:rPr>
          <w:lang w:val="es-ES"/>
        </w:rPr>
        <w:t xml:space="preserve">s </w:t>
      </w:r>
      <w:r w:rsidR="00DF66E8" w:rsidRPr="009313E1">
        <w:rPr>
          <w:lang w:val="es-ES"/>
        </w:rPr>
        <w:t>descuentos</w:t>
      </w:r>
      <w:r w:rsidR="00084992" w:rsidRPr="009313E1">
        <w:rPr>
          <w:lang w:val="es-ES"/>
        </w:rPr>
        <w:t xml:space="preserve">, los usuarios </w:t>
      </w:r>
      <w:r w:rsidR="00342548" w:rsidRPr="009313E1">
        <w:rPr>
          <w:lang w:val="es-ES"/>
        </w:rPr>
        <w:t>deberán</w:t>
      </w:r>
      <w:r w:rsidR="00F455BF" w:rsidRPr="009313E1">
        <w:rPr>
          <w:lang w:val="es-ES"/>
        </w:rPr>
        <w:t xml:space="preserve"> consultar el sitio </w:t>
      </w:r>
      <w:r w:rsidR="001C777C">
        <w:rPr>
          <w:lang w:val="es-ES"/>
        </w:rPr>
        <w:t>W</w:t>
      </w:r>
      <w:r w:rsidR="00F455BF" w:rsidRPr="009313E1">
        <w:rPr>
          <w:lang w:val="es-ES"/>
        </w:rPr>
        <w:t>eb de la USPTO pulsando los enlaces</w:t>
      </w:r>
      <w:r w:rsidR="00F14AF7" w:rsidRPr="009313E1">
        <w:rPr>
          <w:lang w:val="es-ES"/>
        </w:rPr>
        <w:t xml:space="preserve"> de</w:t>
      </w:r>
      <w:r w:rsidR="00F455BF" w:rsidRPr="009313E1">
        <w:rPr>
          <w:lang w:val="es-ES"/>
        </w:rPr>
        <w:t xml:space="preserve"> hipertexto que figuran </w:t>
      </w:r>
      <w:r w:rsidR="00F455BF" w:rsidRPr="001C777C">
        <w:rPr>
          <w:lang w:val="es-ES"/>
        </w:rPr>
        <w:t>supra</w:t>
      </w:r>
      <w:r w:rsidR="00F455BF" w:rsidRPr="009313E1">
        <w:rPr>
          <w:lang w:val="es-ES"/>
        </w:rPr>
        <w:t>.</w:t>
      </w:r>
    </w:p>
    <w:p w:rsidR="00D425B7" w:rsidRDefault="00D425B7">
      <w:pPr>
        <w:rPr>
          <w:lang w:val="es-ES"/>
        </w:rPr>
      </w:pPr>
      <w:r>
        <w:rPr>
          <w:lang w:val="es-ES"/>
        </w:rPr>
        <w:br w:type="page"/>
      </w:r>
    </w:p>
    <w:p w:rsidR="00CE5554" w:rsidRPr="009313E1" w:rsidRDefault="00881575" w:rsidP="00DA25DD">
      <w:pPr>
        <w:pStyle w:val="ONUMFS"/>
        <w:rPr>
          <w:spacing w:val="-3"/>
          <w:lang w:val="es-ES"/>
        </w:rPr>
      </w:pPr>
      <w:r>
        <w:rPr>
          <w:spacing w:val="-3"/>
          <w:lang w:val="es-ES"/>
        </w:rPr>
        <w:lastRenderedPageBreak/>
        <w:t>Conforme a lo dispuesto en</w:t>
      </w:r>
      <w:r w:rsidR="000B51DA" w:rsidRPr="009313E1">
        <w:rPr>
          <w:spacing w:val="-3"/>
          <w:lang w:val="es-ES"/>
        </w:rPr>
        <w:t xml:space="preserve"> la </w:t>
      </w:r>
      <w:r>
        <w:rPr>
          <w:spacing w:val="-3"/>
          <w:lang w:val="es-ES"/>
        </w:rPr>
        <w:t>R</w:t>
      </w:r>
      <w:r w:rsidRPr="009313E1">
        <w:rPr>
          <w:spacing w:val="-3"/>
          <w:lang w:val="es-ES"/>
        </w:rPr>
        <w:t>egla</w:t>
      </w:r>
      <w:r w:rsidR="000C3A18">
        <w:rPr>
          <w:spacing w:val="-3"/>
          <w:lang w:val="es-ES"/>
        </w:rPr>
        <w:t> </w:t>
      </w:r>
      <w:r w:rsidR="000B51DA" w:rsidRPr="009313E1">
        <w:rPr>
          <w:spacing w:val="-3"/>
          <w:lang w:val="es-ES"/>
        </w:rPr>
        <w:t>28.2)b) del Reglamento Común, el Director General de la Organización Mundial de la Propiedad Intelectual (OMPI)</w:t>
      </w:r>
      <w:r w:rsidR="000B51DA" w:rsidRPr="009313E1">
        <w:rPr>
          <w:lang w:val="es-ES"/>
        </w:rPr>
        <w:t xml:space="preserve"> </w:t>
      </w:r>
      <w:r w:rsidR="000B51DA" w:rsidRPr="009313E1">
        <w:rPr>
          <w:spacing w:val="-3"/>
          <w:lang w:val="es-ES"/>
        </w:rPr>
        <w:t>ha fijado, tras consulta con la USPTO</w:t>
      </w:r>
      <w:r w:rsidR="00370CC6" w:rsidRPr="009313E1">
        <w:rPr>
          <w:spacing w:val="-3"/>
          <w:lang w:val="es-ES"/>
        </w:rPr>
        <w:t>,</w:t>
      </w:r>
      <w:r w:rsidR="000B51DA" w:rsidRPr="009313E1">
        <w:rPr>
          <w:spacing w:val="-3"/>
          <w:lang w:val="es-ES"/>
        </w:rPr>
        <w:t xml:space="preserve"> </w:t>
      </w:r>
      <w:r w:rsidR="00012077">
        <w:rPr>
          <w:spacing w:val="-3"/>
          <w:lang w:val="es-ES"/>
        </w:rPr>
        <w:t>el importe</w:t>
      </w:r>
      <w:r w:rsidR="00DA25DD" w:rsidRPr="009313E1">
        <w:rPr>
          <w:spacing w:val="-3"/>
          <w:lang w:val="es-ES"/>
        </w:rPr>
        <w:t xml:space="preserve"> </w:t>
      </w:r>
      <w:r w:rsidR="000B51DA" w:rsidRPr="009313E1">
        <w:rPr>
          <w:spacing w:val="-3"/>
          <w:lang w:val="es-ES"/>
        </w:rPr>
        <w:t>de la tasa de</w:t>
      </w:r>
      <w:r w:rsidR="00DA25DD" w:rsidRPr="009313E1">
        <w:rPr>
          <w:spacing w:val="-3"/>
          <w:lang w:val="es-ES"/>
        </w:rPr>
        <w:t xml:space="preserve"> designación individual pagadera</w:t>
      </w:r>
      <w:r w:rsidR="000B51DA" w:rsidRPr="009313E1">
        <w:rPr>
          <w:spacing w:val="-3"/>
          <w:lang w:val="es-ES"/>
        </w:rPr>
        <w:t xml:space="preserve"> en relación con una solicitud internacional en la que se haya designado a los Estados Unidos de América</w:t>
      </w:r>
      <w:r w:rsidR="00370CC6" w:rsidRPr="009313E1">
        <w:rPr>
          <w:spacing w:val="-3"/>
          <w:lang w:val="es-ES"/>
        </w:rPr>
        <w:t>:</w:t>
      </w:r>
      <w:r w:rsidR="000B51DA" w:rsidRPr="009313E1">
        <w:rPr>
          <w:spacing w:val="-3"/>
          <w:lang w:val="es-ES"/>
        </w:rPr>
        <w:t xml:space="preserve">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4394"/>
        <w:gridCol w:w="1984"/>
      </w:tblGrid>
      <w:tr w:rsidR="009313E1" w:rsidRPr="009313E1" w:rsidTr="008A48EA">
        <w:trPr>
          <w:cantSplit/>
          <w:trHeight w:val="736"/>
        </w:trPr>
        <w:tc>
          <w:tcPr>
            <w:tcW w:w="7088" w:type="dxa"/>
            <w:gridSpan w:val="2"/>
            <w:vAlign w:val="center"/>
          </w:tcPr>
          <w:p w:rsidR="0076210D" w:rsidRPr="009313E1" w:rsidRDefault="009A3DBA" w:rsidP="009A3DBA">
            <w:pPr>
              <w:keepNext/>
              <w:jc w:val="center"/>
              <w:rPr>
                <w:b/>
                <w:lang w:val="es-ES"/>
              </w:rPr>
            </w:pPr>
            <w:r>
              <w:rPr>
                <w:spacing w:val="-3"/>
                <w:lang w:val="es-ES"/>
              </w:rPr>
              <w:br w:type="page"/>
            </w:r>
            <w:r w:rsidR="00CE5554" w:rsidRPr="009313E1">
              <w:rPr>
                <w:spacing w:val="-3"/>
                <w:lang w:val="es-ES"/>
              </w:rPr>
              <w:br w:type="page"/>
            </w:r>
            <w:r w:rsidR="00CE5554" w:rsidRPr="009313E1">
              <w:rPr>
                <w:lang w:val="es-ES"/>
              </w:rPr>
              <w:br w:type="page"/>
            </w:r>
            <w:r w:rsidR="006334D5" w:rsidRPr="009313E1">
              <w:rPr>
                <w:b/>
                <w:lang w:val="es-ES"/>
              </w:rPr>
              <w:t>Elementos</w:t>
            </w:r>
            <w:r w:rsidR="00507AA0" w:rsidRPr="009313E1">
              <w:rPr>
                <w:b/>
                <w:lang w:val="es-ES"/>
              </w:rPr>
              <w:t xml:space="preserve">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76210D" w:rsidRPr="009313E1" w:rsidRDefault="00DF66E8" w:rsidP="009A3DBA">
            <w:pPr>
              <w:keepNext/>
              <w:jc w:val="center"/>
              <w:rPr>
                <w:b/>
                <w:lang w:val="es-ES"/>
              </w:rPr>
            </w:pPr>
            <w:r w:rsidRPr="009313E1">
              <w:rPr>
                <w:b/>
                <w:lang w:val="es-ES"/>
              </w:rPr>
              <w:t>Cuantía</w:t>
            </w:r>
            <w:r w:rsidR="0076210D" w:rsidRPr="009313E1">
              <w:rPr>
                <w:b/>
                <w:i/>
                <w:lang w:val="es-ES"/>
              </w:rPr>
              <w:br/>
            </w:r>
            <w:r w:rsidR="006334D5" w:rsidRPr="009313E1">
              <w:rPr>
                <w:i/>
                <w:lang w:val="es-ES"/>
              </w:rPr>
              <w:t>(en</w:t>
            </w:r>
            <w:r w:rsidR="0076210D" w:rsidRPr="009313E1">
              <w:rPr>
                <w:i/>
                <w:lang w:val="es-ES"/>
              </w:rPr>
              <w:t xml:space="preserve"> </w:t>
            </w:r>
            <w:r w:rsidR="006334D5" w:rsidRPr="009313E1">
              <w:rPr>
                <w:i/>
                <w:lang w:val="es-ES"/>
              </w:rPr>
              <w:t>francos suizos</w:t>
            </w:r>
            <w:r w:rsidR="0076210D" w:rsidRPr="009313E1">
              <w:rPr>
                <w:i/>
                <w:lang w:val="es-ES"/>
              </w:rPr>
              <w:t>)</w:t>
            </w:r>
          </w:p>
        </w:tc>
      </w:tr>
      <w:tr w:rsidR="009313E1" w:rsidRPr="009313E1" w:rsidTr="008A48EA">
        <w:trPr>
          <w:trHeight w:val="512"/>
        </w:trPr>
        <w:tc>
          <w:tcPr>
            <w:tcW w:w="2694" w:type="dxa"/>
            <w:vMerge w:val="restart"/>
            <w:vAlign w:val="center"/>
          </w:tcPr>
          <w:p w:rsidR="00CE5554" w:rsidRPr="009313E1" w:rsidRDefault="006334D5" w:rsidP="00B03714">
            <w:pPr>
              <w:jc w:val="center"/>
              <w:rPr>
                <w:lang w:val="es-ES"/>
              </w:rPr>
            </w:pPr>
            <w:r w:rsidRPr="009313E1">
              <w:rPr>
                <w:lang w:val="es-ES"/>
              </w:rPr>
              <w:t xml:space="preserve">Solicitud </w:t>
            </w:r>
            <w:r w:rsidR="00B03714" w:rsidRPr="009313E1">
              <w:rPr>
                <w:lang w:val="es-ES"/>
              </w:rPr>
              <w:t>i</w:t>
            </w:r>
            <w:r w:rsidRPr="009313E1">
              <w:rPr>
                <w:lang w:val="es-ES"/>
              </w:rPr>
              <w:t>nternacional</w:t>
            </w:r>
          </w:p>
        </w:tc>
        <w:tc>
          <w:tcPr>
            <w:tcW w:w="4394" w:type="dxa"/>
            <w:tcBorders>
              <w:bottom w:val="nil"/>
            </w:tcBorders>
          </w:tcPr>
          <w:p w:rsidR="00CE5554" w:rsidRPr="009313E1" w:rsidRDefault="00877EC6" w:rsidP="00943D7F">
            <w:pPr>
              <w:spacing w:before="120"/>
              <w:rPr>
                <w:lang w:val="es-ES"/>
              </w:rPr>
            </w:pPr>
            <w:r w:rsidRPr="009313E1">
              <w:rPr>
                <w:u w:val="single"/>
                <w:lang w:val="es-ES"/>
              </w:rPr>
              <w:t>Primera</w:t>
            </w:r>
            <w:r w:rsidR="00CE5554" w:rsidRPr="009313E1">
              <w:rPr>
                <w:u w:val="single"/>
                <w:lang w:val="es-ES"/>
              </w:rPr>
              <w:t xml:space="preserve"> part</w:t>
            </w:r>
            <w:r w:rsidRPr="009313E1">
              <w:rPr>
                <w:u w:val="single"/>
                <w:lang w:val="es-ES"/>
              </w:rPr>
              <w:t>e</w:t>
            </w:r>
            <w:r w:rsidR="00CE5554" w:rsidRPr="009313E1">
              <w:rPr>
                <w:lang w:val="es-ES"/>
              </w:rPr>
              <w:t>:</w:t>
            </w:r>
          </w:p>
          <w:p w:rsidR="00CE5554" w:rsidRPr="009313E1" w:rsidRDefault="00CE5554" w:rsidP="00AC793E">
            <w:pPr>
              <w:rPr>
                <w:lang w:val="es-ES"/>
              </w:rPr>
            </w:pPr>
          </w:p>
          <w:p w:rsidR="00CE5554" w:rsidRPr="009313E1" w:rsidRDefault="00CE5554" w:rsidP="00DF66E8">
            <w:pPr>
              <w:tabs>
                <w:tab w:val="left" w:pos="317"/>
              </w:tabs>
              <w:rPr>
                <w:lang w:val="es-ES"/>
              </w:rPr>
            </w:pPr>
            <w:r w:rsidRPr="009313E1">
              <w:rPr>
                <w:lang w:val="es-ES"/>
              </w:rPr>
              <w:t>–</w:t>
            </w:r>
            <w:r w:rsidRPr="009313E1">
              <w:rPr>
                <w:lang w:val="es-ES"/>
              </w:rPr>
              <w:tab/>
            </w:r>
            <w:r w:rsidR="00DF66E8" w:rsidRPr="009313E1">
              <w:rPr>
                <w:lang w:val="es-ES"/>
              </w:rPr>
              <w:t>Cuantía</w:t>
            </w:r>
            <w:r w:rsidR="001C041B" w:rsidRPr="009313E1">
              <w:rPr>
                <w:lang w:val="es-ES"/>
              </w:rPr>
              <w:t xml:space="preserve"> </w:t>
            </w:r>
            <w:r w:rsidR="00B16CE1" w:rsidRPr="009313E1">
              <w:rPr>
                <w:lang w:val="es-ES"/>
              </w:rPr>
              <w:t>estándar</w:t>
            </w:r>
          </w:p>
        </w:tc>
        <w:tc>
          <w:tcPr>
            <w:tcW w:w="1984" w:type="dxa"/>
            <w:tcBorders>
              <w:bottom w:val="nil"/>
            </w:tcBorders>
          </w:tcPr>
          <w:p w:rsidR="00CE5554" w:rsidRPr="009313E1" w:rsidRDefault="00CE5554" w:rsidP="00943D7F">
            <w:pPr>
              <w:tabs>
                <w:tab w:val="right" w:pos="1167"/>
              </w:tabs>
              <w:spacing w:before="120"/>
              <w:rPr>
                <w:lang w:val="es-ES"/>
              </w:rPr>
            </w:pPr>
          </w:p>
          <w:p w:rsidR="00CE5554" w:rsidRPr="009313E1" w:rsidRDefault="00CE5554" w:rsidP="00AC793E">
            <w:pPr>
              <w:tabs>
                <w:tab w:val="right" w:pos="1167"/>
              </w:tabs>
              <w:rPr>
                <w:lang w:val="es-ES"/>
              </w:rPr>
            </w:pPr>
          </w:p>
          <w:p w:rsidR="00CE5554" w:rsidRPr="009313E1" w:rsidRDefault="00CE5554" w:rsidP="00271D13">
            <w:pPr>
              <w:tabs>
                <w:tab w:val="right" w:pos="1167"/>
              </w:tabs>
              <w:rPr>
                <w:lang w:val="es-ES"/>
              </w:rPr>
            </w:pPr>
            <w:r w:rsidRPr="009313E1">
              <w:rPr>
                <w:lang w:val="es-ES"/>
              </w:rPr>
              <w:tab/>
            </w:r>
            <w:r w:rsidR="00271D13">
              <w:rPr>
                <w:lang w:val="es-ES"/>
              </w:rPr>
              <w:t>733</w:t>
            </w:r>
          </w:p>
        </w:tc>
      </w:tr>
      <w:tr w:rsidR="009313E1" w:rsidRPr="009313E1" w:rsidTr="008A48EA">
        <w:tc>
          <w:tcPr>
            <w:tcW w:w="2694" w:type="dxa"/>
            <w:vMerge/>
            <w:vAlign w:val="center"/>
          </w:tcPr>
          <w:p w:rsidR="00CE5554" w:rsidRPr="009313E1" w:rsidRDefault="00CE5554" w:rsidP="00EE7CE5">
            <w:pPr>
              <w:rPr>
                <w:lang w:val="es-ES"/>
              </w:rPr>
            </w:pPr>
          </w:p>
        </w:tc>
        <w:tc>
          <w:tcPr>
            <w:tcW w:w="4394" w:type="dxa"/>
            <w:tcBorders>
              <w:top w:val="nil"/>
              <w:bottom w:val="nil"/>
            </w:tcBorders>
          </w:tcPr>
          <w:p w:rsidR="00CE5554" w:rsidRPr="009313E1" w:rsidRDefault="00CE5554" w:rsidP="00AC793E">
            <w:pPr>
              <w:rPr>
                <w:lang w:val="es-ES"/>
              </w:rPr>
            </w:pPr>
          </w:p>
          <w:p w:rsidR="00CE5554" w:rsidRPr="009313E1" w:rsidRDefault="00CE5554" w:rsidP="000C3A18">
            <w:pPr>
              <w:tabs>
                <w:tab w:val="left" w:pos="317"/>
              </w:tabs>
              <w:ind w:left="317" w:hanging="317"/>
              <w:rPr>
                <w:lang w:val="es-ES"/>
              </w:rPr>
            </w:pPr>
            <w:r w:rsidRPr="009313E1">
              <w:rPr>
                <w:lang w:val="es-ES"/>
              </w:rPr>
              <w:t>–</w:t>
            </w:r>
            <w:r w:rsidRPr="009313E1">
              <w:rPr>
                <w:lang w:val="es-ES"/>
              </w:rPr>
              <w:tab/>
            </w:r>
            <w:r w:rsidR="00DA25DD" w:rsidRPr="009313E1">
              <w:rPr>
                <w:lang w:val="es-ES"/>
              </w:rPr>
              <w:t>Cuantía</w:t>
            </w:r>
            <w:r w:rsidR="00DF66E8" w:rsidRPr="009313E1">
              <w:rPr>
                <w:lang w:val="es-ES"/>
              </w:rPr>
              <w:t xml:space="preserve"> para un solicitante </w:t>
            </w:r>
            <w:r w:rsidR="002866A6" w:rsidRPr="009313E1">
              <w:rPr>
                <w:lang w:val="es-ES"/>
              </w:rPr>
              <w:t xml:space="preserve">que tenga </w:t>
            </w:r>
            <w:r w:rsidR="005269AA" w:rsidRPr="009313E1">
              <w:rPr>
                <w:lang w:val="es-ES"/>
              </w:rPr>
              <w:t xml:space="preserve">la condición </w:t>
            </w:r>
            <w:r w:rsidR="002B7988" w:rsidRPr="009313E1">
              <w:rPr>
                <w:lang w:val="es-ES"/>
              </w:rPr>
              <w:t>de</w:t>
            </w:r>
            <w:r w:rsidR="003A7AFC" w:rsidRPr="009313E1">
              <w:rPr>
                <w:lang w:val="es-ES"/>
              </w:rPr>
              <w:t xml:space="preserve"> “pequeña entidad”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E5554" w:rsidRPr="009313E1" w:rsidRDefault="00CE5554" w:rsidP="00AC793E">
            <w:pPr>
              <w:tabs>
                <w:tab w:val="right" w:pos="1167"/>
              </w:tabs>
              <w:rPr>
                <w:lang w:val="es-ES"/>
              </w:rPr>
            </w:pPr>
          </w:p>
          <w:p w:rsidR="00CE5554" w:rsidRPr="009313E1" w:rsidRDefault="00CE5554" w:rsidP="00271D13">
            <w:pPr>
              <w:tabs>
                <w:tab w:val="right" w:pos="1167"/>
              </w:tabs>
              <w:ind w:left="175"/>
              <w:rPr>
                <w:lang w:val="es-ES"/>
              </w:rPr>
            </w:pPr>
            <w:r w:rsidRPr="009313E1">
              <w:rPr>
                <w:lang w:val="es-ES"/>
              </w:rPr>
              <w:tab/>
            </w:r>
            <w:r w:rsidR="00271D13">
              <w:rPr>
                <w:lang w:val="es-ES"/>
              </w:rPr>
              <w:t>367</w:t>
            </w:r>
          </w:p>
        </w:tc>
      </w:tr>
      <w:tr w:rsidR="009313E1" w:rsidRPr="009313E1" w:rsidTr="008A48EA">
        <w:tc>
          <w:tcPr>
            <w:tcW w:w="2694" w:type="dxa"/>
            <w:vMerge/>
            <w:vAlign w:val="center"/>
          </w:tcPr>
          <w:p w:rsidR="00CE5554" w:rsidRPr="009313E1" w:rsidRDefault="00CE5554" w:rsidP="00EE7CE5">
            <w:pPr>
              <w:rPr>
                <w:lang w:val="es-ES"/>
              </w:rPr>
            </w:pPr>
          </w:p>
        </w:tc>
        <w:tc>
          <w:tcPr>
            <w:tcW w:w="4394" w:type="dxa"/>
            <w:tcBorders>
              <w:top w:val="nil"/>
              <w:bottom w:val="single" w:sz="4" w:space="0" w:color="auto"/>
            </w:tcBorders>
          </w:tcPr>
          <w:p w:rsidR="00CE5554" w:rsidRPr="009313E1" w:rsidRDefault="00CE5554" w:rsidP="00AC793E">
            <w:pPr>
              <w:rPr>
                <w:lang w:val="es-ES"/>
              </w:rPr>
            </w:pPr>
          </w:p>
          <w:p w:rsidR="00CE5554" w:rsidRPr="009313E1" w:rsidRDefault="00CE5554" w:rsidP="000C3A18">
            <w:pPr>
              <w:tabs>
                <w:tab w:val="left" w:pos="317"/>
              </w:tabs>
              <w:spacing w:after="120"/>
              <w:ind w:left="318" w:hanging="318"/>
              <w:rPr>
                <w:lang w:val="es-ES"/>
              </w:rPr>
            </w:pPr>
            <w:r w:rsidRPr="009313E1">
              <w:rPr>
                <w:lang w:val="es-ES"/>
              </w:rPr>
              <w:t>–</w:t>
            </w:r>
            <w:r w:rsidRPr="009313E1">
              <w:rPr>
                <w:lang w:val="es-ES"/>
              </w:rPr>
              <w:tab/>
            </w:r>
            <w:r w:rsidR="00DA25DD" w:rsidRPr="009313E1">
              <w:rPr>
                <w:lang w:val="es-ES"/>
              </w:rPr>
              <w:t xml:space="preserve">Cuantía para un solicitante </w:t>
            </w:r>
            <w:r w:rsidR="002866A6" w:rsidRPr="009313E1">
              <w:rPr>
                <w:lang w:val="es-ES"/>
              </w:rPr>
              <w:t xml:space="preserve">que tenga </w:t>
            </w:r>
            <w:r w:rsidR="005269AA" w:rsidRPr="009313E1">
              <w:rPr>
                <w:lang w:val="es-ES"/>
              </w:rPr>
              <w:t>la condición</w:t>
            </w:r>
            <w:r w:rsidR="00E23BEB" w:rsidRPr="009313E1">
              <w:rPr>
                <w:lang w:val="es-ES"/>
              </w:rPr>
              <w:t xml:space="preserve"> de</w:t>
            </w:r>
            <w:r w:rsidR="001C041B" w:rsidRPr="009313E1">
              <w:rPr>
                <w:lang w:val="es-ES"/>
              </w:rPr>
              <w:t xml:space="preserve"> “micro entidad”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CE5554" w:rsidRPr="009313E1" w:rsidRDefault="00CE5554" w:rsidP="00AC793E">
            <w:pPr>
              <w:tabs>
                <w:tab w:val="right" w:pos="1167"/>
              </w:tabs>
              <w:rPr>
                <w:lang w:val="es-ES"/>
              </w:rPr>
            </w:pPr>
          </w:p>
          <w:p w:rsidR="00CE5554" w:rsidRPr="009313E1" w:rsidRDefault="00CE5554" w:rsidP="00271D13">
            <w:pPr>
              <w:tabs>
                <w:tab w:val="right" w:pos="1167"/>
              </w:tabs>
              <w:rPr>
                <w:lang w:val="es-ES"/>
              </w:rPr>
            </w:pPr>
            <w:r w:rsidRPr="009313E1">
              <w:rPr>
                <w:lang w:val="es-ES"/>
              </w:rPr>
              <w:tab/>
            </w:r>
            <w:r w:rsidR="00271D13">
              <w:rPr>
                <w:lang w:val="es-ES"/>
              </w:rPr>
              <w:t>183</w:t>
            </w:r>
          </w:p>
        </w:tc>
      </w:tr>
      <w:tr w:rsidR="009313E1" w:rsidRPr="009313E1" w:rsidTr="008A48EA">
        <w:trPr>
          <w:trHeight w:val="350"/>
        </w:trPr>
        <w:tc>
          <w:tcPr>
            <w:tcW w:w="2694" w:type="dxa"/>
            <w:vMerge/>
            <w:vAlign w:val="center"/>
          </w:tcPr>
          <w:p w:rsidR="00CE5554" w:rsidRPr="009313E1" w:rsidRDefault="00CE5554" w:rsidP="00EE7CE5">
            <w:pPr>
              <w:rPr>
                <w:lang w:val="es-ES"/>
              </w:rPr>
            </w:pPr>
          </w:p>
        </w:tc>
        <w:tc>
          <w:tcPr>
            <w:tcW w:w="4394" w:type="dxa"/>
            <w:tcBorders>
              <w:bottom w:val="nil"/>
            </w:tcBorders>
          </w:tcPr>
          <w:p w:rsidR="00CE5554" w:rsidRPr="009313E1" w:rsidRDefault="00877EC6" w:rsidP="00943D7F">
            <w:pPr>
              <w:spacing w:before="120"/>
              <w:rPr>
                <w:lang w:val="es-ES"/>
              </w:rPr>
            </w:pPr>
            <w:r w:rsidRPr="009313E1">
              <w:rPr>
                <w:u w:val="single"/>
                <w:lang w:val="es-ES"/>
              </w:rPr>
              <w:t>Segunda</w:t>
            </w:r>
            <w:r w:rsidR="00CE5554" w:rsidRPr="009313E1">
              <w:rPr>
                <w:u w:val="single"/>
                <w:lang w:val="es-ES"/>
              </w:rPr>
              <w:t xml:space="preserve"> part</w:t>
            </w:r>
            <w:r w:rsidRPr="009313E1">
              <w:rPr>
                <w:u w:val="single"/>
                <w:lang w:val="es-ES"/>
              </w:rPr>
              <w:t>e</w:t>
            </w:r>
            <w:r w:rsidR="00CE5554" w:rsidRPr="009313E1">
              <w:rPr>
                <w:lang w:val="es-ES"/>
              </w:rPr>
              <w:t>:</w:t>
            </w:r>
          </w:p>
          <w:p w:rsidR="00CE5554" w:rsidRPr="009313E1" w:rsidRDefault="00CE5554" w:rsidP="00AC793E">
            <w:pPr>
              <w:rPr>
                <w:lang w:val="es-ES"/>
              </w:rPr>
            </w:pPr>
          </w:p>
          <w:p w:rsidR="00CE5554" w:rsidRPr="009313E1" w:rsidRDefault="00CE5554" w:rsidP="00CE5554">
            <w:pPr>
              <w:tabs>
                <w:tab w:val="left" w:pos="317"/>
              </w:tabs>
              <w:rPr>
                <w:lang w:val="es-ES"/>
              </w:rPr>
            </w:pPr>
            <w:r w:rsidRPr="009313E1">
              <w:rPr>
                <w:lang w:val="es-ES"/>
              </w:rPr>
              <w:t>–</w:t>
            </w:r>
            <w:r w:rsidRPr="009313E1">
              <w:rPr>
                <w:lang w:val="es-ES"/>
              </w:rPr>
              <w:tab/>
            </w:r>
            <w:r w:rsidR="00114C50" w:rsidRPr="009313E1">
              <w:rPr>
                <w:lang w:val="es-ES"/>
              </w:rPr>
              <w:t>Cuantía</w:t>
            </w:r>
            <w:r w:rsidR="00DF66E8" w:rsidRPr="009313E1">
              <w:rPr>
                <w:lang w:val="es-ES"/>
              </w:rPr>
              <w:t xml:space="preserve"> </w:t>
            </w:r>
            <w:r w:rsidR="00B16CE1" w:rsidRPr="009313E1">
              <w:rPr>
                <w:lang w:val="es-ES"/>
              </w:rPr>
              <w:t>estándar</w:t>
            </w:r>
          </w:p>
        </w:tc>
        <w:tc>
          <w:tcPr>
            <w:tcW w:w="1984" w:type="dxa"/>
            <w:tcBorders>
              <w:bottom w:val="nil"/>
            </w:tcBorders>
          </w:tcPr>
          <w:p w:rsidR="00CE5554" w:rsidRPr="009313E1" w:rsidRDefault="00CE5554" w:rsidP="00943D7F">
            <w:pPr>
              <w:tabs>
                <w:tab w:val="right" w:pos="1167"/>
              </w:tabs>
              <w:spacing w:before="120"/>
              <w:rPr>
                <w:lang w:val="es-ES"/>
              </w:rPr>
            </w:pPr>
          </w:p>
          <w:p w:rsidR="00231FB3" w:rsidRPr="009313E1" w:rsidRDefault="00231FB3" w:rsidP="00AC793E">
            <w:pPr>
              <w:tabs>
                <w:tab w:val="right" w:pos="1167"/>
              </w:tabs>
              <w:rPr>
                <w:lang w:val="es-ES"/>
              </w:rPr>
            </w:pPr>
          </w:p>
          <w:p w:rsidR="00CE5554" w:rsidRPr="009313E1" w:rsidRDefault="00CE5554" w:rsidP="00271D13">
            <w:pPr>
              <w:tabs>
                <w:tab w:val="right" w:pos="1167"/>
              </w:tabs>
              <w:rPr>
                <w:lang w:val="es-ES"/>
              </w:rPr>
            </w:pPr>
            <w:r w:rsidRPr="009313E1">
              <w:rPr>
                <w:lang w:val="es-ES"/>
              </w:rPr>
              <w:tab/>
            </w:r>
            <w:r w:rsidR="00271D13">
              <w:rPr>
                <w:lang w:val="es-ES"/>
              </w:rPr>
              <w:t>540</w:t>
            </w:r>
          </w:p>
        </w:tc>
      </w:tr>
      <w:tr w:rsidR="009313E1" w:rsidRPr="009313E1" w:rsidTr="008A48EA">
        <w:trPr>
          <w:trHeight w:val="350"/>
        </w:trPr>
        <w:tc>
          <w:tcPr>
            <w:tcW w:w="2694" w:type="dxa"/>
            <w:vMerge/>
            <w:vAlign w:val="center"/>
          </w:tcPr>
          <w:p w:rsidR="00CE5554" w:rsidRPr="009313E1" w:rsidRDefault="00CE5554" w:rsidP="002B6C6E">
            <w:pPr>
              <w:rPr>
                <w:lang w:val="es-ES"/>
              </w:rPr>
            </w:pPr>
          </w:p>
        </w:tc>
        <w:tc>
          <w:tcPr>
            <w:tcW w:w="4394" w:type="dxa"/>
            <w:tcBorders>
              <w:top w:val="nil"/>
              <w:bottom w:val="nil"/>
            </w:tcBorders>
          </w:tcPr>
          <w:p w:rsidR="00CE5554" w:rsidRPr="009313E1" w:rsidRDefault="00CE5554" w:rsidP="000407F4">
            <w:pPr>
              <w:rPr>
                <w:lang w:val="es-ES"/>
              </w:rPr>
            </w:pPr>
          </w:p>
          <w:p w:rsidR="00CE5554" w:rsidRPr="009313E1" w:rsidRDefault="00CE5554" w:rsidP="000C3A18">
            <w:pPr>
              <w:tabs>
                <w:tab w:val="left" w:pos="317"/>
              </w:tabs>
              <w:ind w:left="317" w:hanging="317"/>
              <w:rPr>
                <w:lang w:val="es-ES"/>
              </w:rPr>
            </w:pPr>
            <w:r w:rsidRPr="009313E1">
              <w:rPr>
                <w:lang w:val="es-ES"/>
              </w:rPr>
              <w:t>–</w:t>
            </w:r>
            <w:r w:rsidRPr="009313E1">
              <w:rPr>
                <w:lang w:val="es-ES"/>
              </w:rPr>
              <w:tab/>
            </w:r>
            <w:r w:rsidR="00DA25DD" w:rsidRPr="009313E1">
              <w:rPr>
                <w:lang w:val="es-ES"/>
              </w:rPr>
              <w:t xml:space="preserve">Cuantía para un solicitante </w:t>
            </w:r>
            <w:r w:rsidR="002866A6" w:rsidRPr="009313E1">
              <w:rPr>
                <w:lang w:val="es-ES"/>
              </w:rPr>
              <w:t xml:space="preserve">que tenga </w:t>
            </w:r>
            <w:r w:rsidR="005269AA" w:rsidRPr="009313E1">
              <w:rPr>
                <w:lang w:val="es-ES"/>
              </w:rPr>
              <w:t xml:space="preserve">al condición </w:t>
            </w:r>
            <w:r w:rsidR="002866A6" w:rsidRPr="009313E1">
              <w:rPr>
                <w:lang w:val="es-ES"/>
              </w:rPr>
              <w:t xml:space="preserve">de </w:t>
            </w:r>
            <w:r w:rsidR="001C041B" w:rsidRPr="009313E1">
              <w:rPr>
                <w:lang w:val="es-ES"/>
              </w:rPr>
              <w:t>“pequeña entidad”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E5554" w:rsidRPr="009313E1" w:rsidRDefault="00CE5554" w:rsidP="000407F4">
            <w:pPr>
              <w:tabs>
                <w:tab w:val="right" w:pos="1167"/>
              </w:tabs>
              <w:rPr>
                <w:lang w:val="es-ES"/>
              </w:rPr>
            </w:pPr>
          </w:p>
          <w:p w:rsidR="00CE5554" w:rsidRPr="009313E1" w:rsidRDefault="00CE5554" w:rsidP="00271D13">
            <w:pPr>
              <w:tabs>
                <w:tab w:val="right" w:pos="1167"/>
              </w:tabs>
              <w:rPr>
                <w:lang w:val="es-ES"/>
              </w:rPr>
            </w:pPr>
            <w:r w:rsidRPr="009313E1">
              <w:rPr>
                <w:lang w:val="es-ES"/>
              </w:rPr>
              <w:tab/>
            </w:r>
            <w:r w:rsidR="00271D13">
              <w:rPr>
                <w:lang w:val="es-ES"/>
              </w:rPr>
              <w:t>270</w:t>
            </w:r>
          </w:p>
        </w:tc>
      </w:tr>
      <w:tr w:rsidR="009313E1" w:rsidRPr="009313E1" w:rsidTr="008A48EA">
        <w:trPr>
          <w:trHeight w:val="350"/>
        </w:trPr>
        <w:tc>
          <w:tcPr>
            <w:tcW w:w="2694" w:type="dxa"/>
            <w:vMerge/>
            <w:vAlign w:val="center"/>
          </w:tcPr>
          <w:p w:rsidR="00CE5554" w:rsidRPr="009313E1" w:rsidRDefault="00CE5554" w:rsidP="002B6C6E">
            <w:pPr>
              <w:rPr>
                <w:lang w:val="es-ES"/>
              </w:rPr>
            </w:pPr>
          </w:p>
        </w:tc>
        <w:tc>
          <w:tcPr>
            <w:tcW w:w="4394" w:type="dxa"/>
            <w:tcBorders>
              <w:top w:val="nil"/>
            </w:tcBorders>
          </w:tcPr>
          <w:p w:rsidR="00CE5554" w:rsidRPr="009313E1" w:rsidRDefault="00CE5554" w:rsidP="000407F4">
            <w:pPr>
              <w:rPr>
                <w:lang w:val="es-ES"/>
              </w:rPr>
            </w:pPr>
          </w:p>
          <w:p w:rsidR="00CE5554" w:rsidRPr="009313E1" w:rsidRDefault="00CE5554" w:rsidP="000C3A18">
            <w:pPr>
              <w:tabs>
                <w:tab w:val="left" w:pos="324"/>
              </w:tabs>
              <w:spacing w:after="120"/>
              <w:ind w:left="318" w:hanging="318"/>
              <w:rPr>
                <w:lang w:val="es-ES"/>
              </w:rPr>
            </w:pPr>
            <w:r w:rsidRPr="009313E1">
              <w:rPr>
                <w:lang w:val="es-ES"/>
              </w:rPr>
              <w:t>–</w:t>
            </w:r>
            <w:r w:rsidRPr="009313E1">
              <w:rPr>
                <w:lang w:val="es-ES"/>
              </w:rPr>
              <w:tab/>
            </w:r>
            <w:r w:rsidR="00DA25DD" w:rsidRPr="009313E1">
              <w:rPr>
                <w:lang w:val="es-ES"/>
              </w:rPr>
              <w:t>Cuantía para un solicitante</w:t>
            </w:r>
            <w:r w:rsidR="00B16CE1" w:rsidRPr="009313E1">
              <w:rPr>
                <w:lang w:val="es-ES"/>
              </w:rPr>
              <w:t xml:space="preserve"> </w:t>
            </w:r>
            <w:r w:rsidR="002866A6" w:rsidRPr="009313E1">
              <w:rPr>
                <w:lang w:val="es-ES"/>
              </w:rPr>
              <w:t xml:space="preserve">que tenga </w:t>
            </w:r>
            <w:r w:rsidR="005269AA" w:rsidRPr="009313E1">
              <w:rPr>
                <w:lang w:val="es-ES"/>
              </w:rPr>
              <w:t xml:space="preserve">la condición </w:t>
            </w:r>
            <w:r w:rsidR="00B16CE1" w:rsidRPr="009313E1">
              <w:rPr>
                <w:lang w:val="es-ES"/>
              </w:rPr>
              <w:t>de “micro entidad</w:t>
            </w:r>
            <w:r w:rsidR="008A48EA" w:rsidRPr="009313E1">
              <w:rPr>
                <w:lang w:val="es-ES"/>
              </w:rPr>
              <w:t>”</w:t>
            </w:r>
          </w:p>
        </w:tc>
        <w:tc>
          <w:tcPr>
            <w:tcW w:w="1984" w:type="dxa"/>
            <w:tcBorders>
              <w:top w:val="nil"/>
            </w:tcBorders>
          </w:tcPr>
          <w:p w:rsidR="00CE5554" w:rsidRPr="009313E1" w:rsidRDefault="00CE5554" w:rsidP="000407F4">
            <w:pPr>
              <w:tabs>
                <w:tab w:val="right" w:pos="1167"/>
              </w:tabs>
              <w:rPr>
                <w:lang w:val="es-ES"/>
              </w:rPr>
            </w:pPr>
          </w:p>
          <w:p w:rsidR="00CE5554" w:rsidRPr="009313E1" w:rsidRDefault="00CE5554" w:rsidP="00271D13">
            <w:pPr>
              <w:tabs>
                <w:tab w:val="right" w:pos="1167"/>
              </w:tabs>
              <w:spacing w:after="120"/>
              <w:rPr>
                <w:lang w:val="es-ES"/>
              </w:rPr>
            </w:pPr>
            <w:r w:rsidRPr="009313E1">
              <w:rPr>
                <w:lang w:val="es-ES"/>
              </w:rPr>
              <w:tab/>
            </w:r>
            <w:r w:rsidR="00271D13">
              <w:rPr>
                <w:lang w:val="es-ES"/>
              </w:rPr>
              <w:t>135</w:t>
            </w:r>
          </w:p>
        </w:tc>
      </w:tr>
    </w:tbl>
    <w:p w:rsidR="00B43FDF" w:rsidRPr="009313E1" w:rsidRDefault="00B43FDF" w:rsidP="00B43FDF">
      <w:pPr>
        <w:rPr>
          <w:lang w:val="es-ES"/>
        </w:rPr>
      </w:pPr>
    </w:p>
    <w:p w:rsidR="00012C9D" w:rsidRPr="009313E1" w:rsidRDefault="000D14F0" w:rsidP="004D76C1">
      <w:pPr>
        <w:pStyle w:val="ONUMFS"/>
        <w:rPr>
          <w:lang w:val="es-ES"/>
        </w:rPr>
      </w:pPr>
      <w:r w:rsidRPr="009313E1">
        <w:rPr>
          <w:lang w:val="es-ES"/>
        </w:rPr>
        <w:t xml:space="preserve">La primera parte de esta tasa de designación individual </w:t>
      </w:r>
      <w:r w:rsidR="004D76C1" w:rsidRPr="009313E1">
        <w:rPr>
          <w:lang w:val="es-ES"/>
        </w:rPr>
        <w:t>se debe pagar</w:t>
      </w:r>
      <w:r w:rsidRPr="009313E1">
        <w:rPr>
          <w:lang w:val="es-ES"/>
        </w:rPr>
        <w:t xml:space="preserve"> </w:t>
      </w:r>
      <w:r w:rsidR="00BF0A82" w:rsidRPr="009313E1">
        <w:rPr>
          <w:i/>
          <w:lang w:val="es-ES"/>
        </w:rPr>
        <w:t>en e</w:t>
      </w:r>
      <w:r w:rsidRPr="009313E1">
        <w:rPr>
          <w:i/>
          <w:lang w:val="es-ES"/>
        </w:rPr>
        <w:t>l momento de presentar la solicitud internacional</w:t>
      </w:r>
      <w:r w:rsidRPr="009313E1">
        <w:rPr>
          <w:lang w:val="es-ES"/>
        </w:rPr>
        <w:t>.</w:t>
      </w:r>
      <w:r w:rsidR="000C3A18">
        <w:rPr>
          <w:lang w:val="es-ES"/>
        </w:rPr>
        <w:t xml:space="preserve"> </w:t>
      </w:r>
      <w:r w:rsidR="00E01A5D" w:rsidRPr="009313E1">
        <w:rPr>
          <w:lang w:val="es-ES"/>
        </w:rPr>
        <w:t xml:space="preserve"> La segunda parte deberá abonarse</w:t>
      </w:r>
      <w:r w:rsidRPr="009313E1">
        <w:rPr>
          <w:lang w:val="es-ES"/>
        </w:rPr>
        <w:t xml:space="preserve"> </w:t>
      </w:r>
      <w:r w:rsidR="00012077" w:rsidRPr="009313E1">
        <w:rPr>
          <w:lang w:val="es-ES"/>
        </w:rPr>
        <w:t>s</w:t>
      </w:r>
      <w:r w:rsidR="00012077">
        <w:rPr>
          <w:lang w:val="es-ES"/>
        </w:rPr>
        <w:t>ól</w:t>
      </w:r>
      <w:r w:rsidR="00012077" w:rsidRPr="009313E1">
        <w:rPr>
          <w:lang w:val="es-ES"/>
        </w:rPr>
        <w:t xml:space="preserve">o </w:t>
      </w:r>
      <w:r w:rsidRPr="009313E1">
        <w:rPr>
          <w:lang w:val="es-ES"/>
        </w:rPr>
        <w:t>si la USPTO considera que el dibujo</w:t>
      </w:r>
      <w:r w:rsidR="00E01A5D" w:rsidRPr="009313E1">
        <w:rPr>
          <w:lang w:val="es-ES"/>
        </w:rPr>
        <w:t xml:space="preserve"> o modelo</w:t>
      </w:r>
      <w:r w:rsidRPr="009313E1">
        <w:rPr>
          <w:lang w:val="es-ES"/>
        </w:rPr>
        <w:t xml:space="preserve"> objeto del registro internacional cumple los requisitos para ser protegido, esto es,</w:t>
      </w:r>
      <w:r w:rsidR="004D406A" w:rsidRPr="009313E1">
        <w:rPr>
          <w:lang w:val="es-ES"/>
        </w:rPr>
        <w:t xml:space="preserve"> si el dibujo</w:t>
      </w:r>
      <w:r w:rsidR="00E01A5D" w:rsidRPr="009313E1">
        <w:rPr>
          <w:lang w:val="es-ES"/>
        </w:rPr>
        <w:t xml:space="preserve"> o modelo</w:t>
      </w:r>
      <w:r w:rsidR="004D406A" w:rsidRPr="009313E1">
        <w:rPr>
          <w:lang w:val="es-ES"/>
        </w:rPr>
        <w:t xml:space="preserve"> es </w:t>
      </w:r>
      <w:r w:rsidR="004D406A" w:rsidRPr="009313E1">
        <w:rPr>
          <w:i/>
          <w:iCs/>
          <w:lang w:val="es-ES"/>
        </w:rPr>
        <w:t>aceptado</w:t>
      </w:r>
      <w:r w:rsidR="004D406A" w:rsidRPr="009313E1">
        <w:rPr>
          <w:lang w:val="es-ES"/>
        </w:rPr>
        <w:t xml:space="preserve">.  Por lo tanto, el pago de la segunda parte, si procede, se exigirá </w:t>
      </w:r>
      <w:r w:rsidR="004D406A" w:rsidRPr="009313E1">
        <w:rPr>
          <w:i/>
          <w:lang w:val="es-ES"/>
        </w:rPr>
        <w:t>posteriormente</w:t>
      </w:r>
      <w:r w:rsidR="004D406A" w:rsidRPr="009313E1">
        <w:rPr>
          <w:lang w:val="es-ES"/>
        </w:rPr>
        <w:t>.</w:t>
      </w:r>
    </w:p>
    <w:p w:rsidR="0082210A" w:rsidRPr="009313E1" w:rsidRDefault="004D406A" w:rsidP="008F6953">
      <w:pPr>
        <w:pStyle w:val="ONUMFS"/>
        <w:rPr>
          <w:lang w:val="es-ES"/>
        </w:rPr>
      </w:pPr>
      <w:r w:rsidRPr="009313E1">
        <w:rPr>
          <w:lang w:val="es-ES"/>
        </w:rPr>
        <w:t>L</w:t>
      </w:r>
      <w:r w:rsidR="00891617" w:rsidRPr="009313E1">
        <w:rPr>
          <w:lang w:val="es-ES"/>
        </w:rPr>
        <w:t xml:space="preserve">a USPTO indicará </w:t>
      </w:r>
      <w:r w:rsidR="008B03BA" w:rsidRPr="009313E1">
        <w:rPr>
          <w:lang w:val="es-ES"/>
        </w:rPr>
        <w:t>la fecha de pago</w:t>
      </w:r>
      <w:r w:rsidR="0047762F" w:rsidRPr="009313E1">
        <w:rPr>
          <w:lang w:val="es-ES"/>
        </w:rPr>
        <w:t xml:space="preserve"> de</w:t>
      </w:r>
      <w:r w:rsidR="008B03BA" w:rsidRPr="009313E1">
        <w:rPr>
          <w:lang w:val="es-ES"/>
        </w:rPr>
        <w:t xml:space="preserve"> la segunda parte de la tasa de</w:t>
      </w:r>
      <w:r w:rsidR="00B474A9" w:rsidRPr="009313E1">
        <w:rPr>
          <w:lang w:val="es-ES"/>
        </w:rPr>
        <w:t xml:space="preserve"> la</w:t>
      </w:r>
      <w:r w:rsidR="008B03BA" w:rsidRPr="009313E1">
        <w:rPr>
          <w:lang w:val="es-ES"/>
        </w:rPr>
        <w:t xml:space="preserve"> designación individual </w:t>
      </w:r>
      <w:r w:rsidR="00A3112D" w:rsidRPr="009313E1">
        <w:rPr>
          <w:lang w:val="es-ES"/>
        </w:rPr>
        <w:t>mediante un</w:t>
      </w:r>
      <w:r w:rsidR="005A7FCD">
        <w:rPr>
          <w:lang w:val="es-ES"/>
        </w:rPr>
        <w:t>a</w:t>
      </w:r>
      <w:r w:rsidR="00A3112D" w:rsidRPr="009313E1">
        <w:rPr>
          <w:lang w:val="es-ES"/>
        </w:rPr>
        <w:t xml:space="preserve"> </w:t>
      </w:r>
      <w:r w:rsidR="005A7FCD">
        <w:rPr>
          <w:lang w:val="es-ES"/>
        </w:rPr>
        <w:t>invitación a pagar</w:t>
      </w:r>
      <w:r w:rsidR="00891617" w:rsidRPr="009313E1">
        <w:rPr>
          <w:lang w:val="es-ES"/>
        </w:rPr>
        <w:t>, a saber, un</w:t>
      </w:r>
      <w:r w:rsidR="00A3112D" w:rsidRPr="009313E1">
        <w:rPr>
          <w:lang w:val="es-ES"/>
        </w:rPr>
        <w:t>a</w:t>
      </w:r>
      <w:r w:rsidR="00891617" w:rsidRPr="009313E1">
        <w:rPr>
          <w:lang w:val="es-ES"/>
        </w:rPr>
        <w:t xml:space="preserve"> </w:t>
      </w:r>
      <w:r w:rsidR="005A7FCD">
        <w:rPr>
          <w:i/>
          <w:lang w:val="es-ES"/>
        </w:rPr>
        <w:t>N</w:t>
      </w:r>
      <w:r w:rsidR="005A7FCD" w:rsidRPr="009313E1">
        <w:rPr>
          <w:i/>
          <w:lang w:val="es-ES"/>
        </w:rPr>
        <w:t xml:space="preserve">otificación </w:t>
      </w:r>
      <w:r w:rsidR="00A3112D" w:rsidRPr="009313E1">
        <w:rPr>
          <w:i/>
          <w:lang w:val="es-ES"/>
        </w:rPr>
        <w:t xml:space="preserve">de </w:t>
      </w:r>
      <w:r w:rsidR="005A7FCD">
        <w:rPr>
          <w:i/>
          <w:lang w:val="es-ES"/>
        </w:rPr>
        <w:t>Aceptación</w:t>
      </w:r>
      <w:r w:rsidR="009A3DBA">
        <w:rPr>
          <w:lang w:val="es-ES"/>
        </w:rPr>
        <w:t xml:space="preserve"> (</w:t>
      </w:r>
      <w:proofErr w:type="spellStart"/>
      <w:r w:rsidR="009A3DBA">
        <w:rPr>
          <w:i/>
          <w:lang w:val="es-ES"/>
        </w:rPr>
        <w:t>Notice</w:t>
      </w:r>
      <w:proofErr w:type="spellEnd"/>
      <w:r w:rsidR="009A3DBA">
        <w:rPr>
          <w:i/>
          <w:lang w:val="es-ES"/>
        </w:rPr>
        <w:t xml:space="preserve"> of </w:t>
      </w:r>
      <w:proofErr w:type="spellStart"/>
      <w:r w:rsidR="009A3DBA">
        <w:rPr>
          <w:i/>
          <w:lang w:val="es-ES"/>
        </w:rPr>
        <w:t>Allowance</w:t>
      </w:r>
      <w:proofErr w:type="spellEnd"/>
      <w:r w:rsidR="009A3DBA">
        <w:rPr>
          <w:lang w:val="es-ES"/>
        </w:rPr>
        <w:t>)</w:t>
      </w:r>
      <w:r w:rsidR="00891617" w:rsidRPr="009313E1">
        <w:rPr>
          <w:lang w:val="es-ES"/>
        </w:rPr>
        <w:t>,</w:t>
      </w:r>
      <w:r w:rsidR="00A3112D" w:rsidRPr="009313E1">
        <w:rPr>
          <w:lang w:val="es-ES"/>
        </w:rPr>
        <w:t xml:space="preserve"> que será remitid</w:t>
      </w:r>
      <w:r w:rsidR="008F6953" w:rsidRPr="009313E1">
        <w:rPr>
          <w:lang w:val="es-ES"/>
        </w:rPr>
        <w:t>a</w:t>
      </w:r>
      <w:r w:rsidR="008B03BA" w:rsidRPr="009313E1">
        <w:rPr>
          <w:lang w:val="es-ES"/>
        </w:rPr>
        <w:t xml:space="preserve"> al titular </w:t>
      </w:r>
      <w:r w:rsidR="0047762F" w:rsidRPr="009313E1">
        <w:rPr>
          <w:lang w:val="es-ES"/>
        </w:rPr>
        <w:t>y a la Oficina Internacional con resp</w:t>
      </w:r>
      <w:r w:rsidR="00E01A5D" w:rsidRPr="009313E1">
        <w:rPr>
          <w:lang w:val="es-ES"/>
        </w:rPr>
        <w:t>ecto a</w:t>
      </w:r>
      <w:r w:rsidR="003E0C25" w:rsidRPr="009313E1">
        <w:rPr>
          <w:lang w:val="es-ES"/>
        </w:rPr>
        <w:t xml:space="preserve"> cada</w:t>
      </w:r>
      <w:r w:rsidR="00E01A5D" w:rsidRPr="009313E1">
        <w:rPr>
          <w:lang w:val="es-ES"/>
        </w:rPr>
        <w:t xml:space="preserve"> registro internacional</w:t>
      </w:r>
      <w:r w:rsidR="00AC1A22" w:rsidRPr="009313E1">
        <w:rPr>
          <w:lang w:val="es-ES"/>
        </w:rPr>
        <w:t xml:space="preserve"> en cuestión</w:t>
      </w:r>
      <w:r w:rsidR="00E01A5D" w:rsidRPr="009313E1">
        <w:rPr>
          <w:lang w:val="es-ES"/>
        </w:rPr>
        <w:t>.</w:t>
      </w:r>
    </w:p>
    <w:p w:rsidR="0082210A" w:rsidRPr="009313E1" w:rsidRDefault="006A4588" w:rsidP="002B26C5">
      <w:pPr>
        <w:pStyle w:val="ONUMFS"/>
        <w:rPr>
          <w:lang w:val="es-ES"/>
        </w:rPr>
      </w:pPr>
      <w:r w:rsidRPr="009313E1">
        <w:rPr>
          <w:lang w:val="es-ES"/>
        </w:rPr>
        <w:t>Una vez</w:t>
      </w:r>
      <w:r w:rsidR="00E303E5" w:rsidRPr="009313E1">
        <w:rPr>
          <w:lang w:val="es-ES"/>
        </w:rPr>
        <w:t xml:space="preserve"> </w:t>
      </w:r>
      <w:r w:rsidRPr="009313E1">
        <w:rPr>
          <w:lang w:val="es-ES"/>
        </w:rPr>
        <w:t>recibid</w:t>
      </w:r>
      <w:r w:rsidR="00A3112D" w:rsidRPr="009313E1">
        <w:rPr>
          <w:lang w:val="es-ES"/>
        </w:rPr>
        <w:t>o el requerimiento de pago</w:t>
      </w:r>
      <w:r w:rsidR="00E303E5" w:rsidRPr="009313E1">
        <w:rPr>
          <w:lang w:val="es-ES"/>
        </w:rPr>
        <w:t>, e</w:t>
      </w:r>
      <w:r w:rsidR="003E0C25" w:rsidRPr="009313E1">
        <w:rPr>
          <w:lang w:val="es-ES"/>
        </w:rPr>
        <w:t>l titular podrá pagar la cuantía indicada</w:t>
      </w:r>
      <w:r w:rsidR="00E303E5" w:rsidRPr="009313E1">
        <w:rPr>
          <w:lang w:val="es-ES"/>
        </w:rPr>
        <w:t xml:space="preserve"> en </w:t>
      </w:r>
      <w:r w:rsidR="00B474A9" w:rsidRPr="009313E1">
        <w:rPr>
          <w:lang w:val="es-ES"/>
        </w:rPr>
        <w:t>la</w:t>
      </w:r>
      <w:r w:rsidR="00E303E5" w:rsidRPr="009313E1">
        <w:rPr>
          <w:lang w:val="es-ES"/>
        </w:rPr>
        <w:t xml:space="preserve"> </w:t>
      </w:r>
      <w:r w:rsidR="005A7FCD">
        <w:rPr>
          <w:i/>
          <w:lang w:val="es-ES"/>
        </w:rPr>
        <w:t>N</w:t>
      </w:r>
      <w:r w:rsidR="005A7FCD" w:rsidRPr="009313E1">
        <w:rPr>
          <w:i/>
          <w:lang w:val="es-ES"/>
        </w:rPr>
        <w:t xml:space="preserve">otificación </w:t>
      </w:r>
      <w:r w:rsidR="00B474A9" w:rsidRPr="009313E1">
        <w:rPr>
          <w:i/>
          <w:lang w:val="es-ES"/>
        </w:rPr>
        <w:t xml:space="preserve">de </w:t>
      </w:r>
      <w:r w:rsidR="00641B61">
        <w:rPr>
          <w:i/>
          <w:lang w:val="es-ES"/>
        </w:rPr>
        <w:t>Aceptación</w:t>
      </w:r>
      <w:r w:rsidR="00641B61">
        <w:rPr>
          <w:rFonts w:ascii="PMingLiU-ExtB" w:eastAsia="PMingLiU-ExtB" w:hAnsi="PMingLiU-ExtB" w:cs="PMingLiU-ExtB"/>
          <w:i/>
          <w:lang w:val="es-ES"/>
        </w:rPr>
        <w:t xml:space="preserve"> </w:t>
      </w:r>
      <w:r w:rsidR="00E303E5" w:rsidRPr="009313E1">
        <w:rPr>
          <w:lang w:val="es-ES"/>
        </w:rPr>
        <w:t>directamente</w:t>
      </w:r>
      <w:r w:rsidR="00211EBB" w:rsidRPr="009313E1">
        <w:rPr>
          <w:lang w:val="es-ES"/>
        </w:rPr>
        <w:t xml:space="preserve"> a</w:t>
      </w:r>
      <w:r w:rsidR="00E303E5" w:rsidRPr="009313E1">
        <w:rPr>
          <w:lang w:val="es-ES"/>
        </w:rPr>
        <w:t xml:space="preserve"> la USPTO, en dólares de los Estados Unidos de</w:t>
      </w:r>
      <w:r w:rsidR="000C3A18">
        <w:rPr>
          <w:lang w:val="es-ES"/>
        </w:rPr>
        <w:t> </w:t>
      </w:r>
      <w:r w:rsidR="00E303E5" w:rsidRPr="009313E1">
        <w:rPr>
          <w:lang w:val="es-ES"/>
        </w:rPr>
        <w:t>América</w:t>
      </w:r>
      <w:r w:rsidR="00F546E5" w:rsidRPr="009313E1">
        <w:rPr>
          <w:lang w:val="es-ES"/>
        </w:rPr>
        <w:t>, o por medio</w:t>
      </w:r>
      <w:r w:rsidR="00CE1127" w:rsidRPr="009313E1">
        <w:rPr>
          <w:lang w:val="es-ES"/>
        </w:rPr>
        <w:t xml:space="preserve"> de</w:t>
      </w:r>
      <w:r w:rsidR="00E303E5" w:rsidRPr="009313E1">
        <w:rPr>
          <w:lang w:val="es-ES"/>
        </w:rPr>
        <w:t xml:space="preserve"> la Oficina Internacional,</w:t>
      </w:r>
      <w:r w:rsidR="00211EBB" w:rsidRPr="009313E1">
        <w:rPr>
          <w:lang w:val="es-ES"/>
        </w:rPr>
        <w:t xml:space="preserve"> en</w:t>
      </w:r>
      <w:r w:rsidR="00A3112D" w:rsidRPr="009313E1">
        <w:rPr>
          <w:lang w:val="es-ES"/>
        </w:rPr>
        <w:t xml:space="preserve"> francos suizos, la cuantía</w:t>
      </w:r>
      <w:r w:rsidR="005E314A" w:rsidRPr="009313E1">
        <w:rPr>
          <w:lang w:val="es-ES"/>
        </w:rPr>
        <w:t xml:space="preserve"> que figura en el presente</w:t>
      </w:r>
      <w:r w:rsidRPr="009313E1">
        <w:rPr>
          <w:lang w:val="es-ES"/>
        </w:rPr>
        <w:t xml:space="preserve"> aviso correspondiente a la situación económica</w:t>
      </w:r>
      <w:r w:rsidR="00CE1127" w:rsidRPr="009313E1">
        <w:rPr>
          <w:lang w:val="es-ES"/>
        </w:rPr>
        <w:t xml:space="preserve"> indicada</w:t>
      </w:r>
      <w:r w:rsidR="00E01A5D" w:rsidRPr="009313E1">
        <w:rPr>
          <w:lang w:val="es-ES"/>
        </w:rPr>
        <w:t xml:space="preserve"> en </w:t>
      </w:r>
      <w:r w:rsidR="00641B61">
        <w:rPr>
          <w:lang w:val="es-ES"/>
        </w:rPr>
        <w:t>la invitación a pagar.</w:t>
      </w:r>
    </w:p>
    <w:p w:rsidR="0082210A" w:rsidRDefault="005E314A" w:rsidP="00750AA3">
      <w:pPr>
        <w:pStyle w:val="ONUMFS"/>
        <w:rPr>
          <w:lang w:val="es-ES"/>
        </w:rPr>
      </w:pPr>
      <w:r w:rsidRPr="009313E1">
        <w:rPr>
          <w:lang w:val="es-ES"/>
        </w:rPr>
        <w:t>Si la segunda parte de la</w:t>
      </w:r>
      <w:r w:rsidR="00E01A5D" w:rsidRPr="009313E1">
        <w:rPr>
          <w:lang w:val="es-ES"/>
        </w:rPr>
        <w:t xml:space="preserve"> tasa de</w:t>
      </w:r>
      <w:r w:rsidR="00A3112D" w:rsidRPr="009313E1">
        <w:rPr>
          <w:lang w:val="es-ES"/>
        </w:rPr>
        <w:t xml:space="preserve"> la</w:t>
      </w:r>
      <w:r w:rsidRPr="009313E1">
        <w:rPr>
          <w:lang w:val="es-ES"/>
        </w:rPr>
        <w:t xml:space="preserve"> designación individual no es abonada en su totalidad en el plazo</w:t>
      </w:r>
      <w:r w:rsidR="00012639" w:rsidRPr="009313E1">
        <w:rPr>
          <w:lang w:val="es-ES"/>
        </w:rPr>
        <w:t xml:space="preserve"> </w:t>
      </w:r>
      <w:r w:rsidR="00750AA3" w:rsidRPr="009313E1">
        <w:rPr>
          <w:lang w:val="es-ES"/>
        </w:rPr>
        <w:t>previsto</w:t>
      </w:r>
      <w:r w:rsidR="00382150" w:rsidRPr="009313E1">
        <w:rPr>
          <w:lang w:val="es-ES"/>
        </w:rPr>
        <w:t xml:space="preserve"> en la</w:t>
      </w:r>
      <w:r w:rsidR="00067B0D" w:rsidRPr="009313E1">
        <w:rPr>
          <w:lang w:val="es-ES"/>
        </w:rPr>
        <w:t xml:space="preserve"> </w:t>
      </w:r>
      <w:r w:rsidR="00641B61">
        <w:rPr>
          <w:i/>
          <w:lang w:val="es-ES"/>
        </w:rPr>
        <w:t>N</w:t>
      </w:r>
      <w:r w:rsidR="00641B61" w:rsidRPr="009313E1">
        <w:rPr>
          <w:i/>
          <w:lang w:val="es-ES"/>
        </w:rPr>
        <w:t xml:space="preserve">otificación de </w:t>
      </w:r>
      <w:r w:rsidR="00641B61">
        <w:rPr>
          <w:i/>
          <w:lang w:val="es-ES"/>
        </w:rPr>
        <w:t>Aceptación</w:t>
      </w:r>
      <w:r w:rsidR="00641B61">
        <w:rPr>
          <w:rFonts w:ascii="PMingLiU-ExtB" w:eastAsia="PMingLiU-ExtB" w:hAnsi="PMingLiU-ExtB" w:cs="PMingLiU-ExtB"/>
          <w:i/>
          <w:lang w:val="es-ES"/>
        </w:rPr>
        <w:t xml:space="preserve"> </w:t>
      </w:r>
      <w:r w:rsidR="00067B0D" w:rsidRPr="009313E1">
        <w:rPr>
          <w:lang w:val="es-ES"/>
        </w:rPr>
        <w:t>a la Oficina Internacional o a la USPTO, el registro in</w:t>
      </w:r>
      <w:r w:rsidR="00382150" w:rsidRPr="009313E1">
        <w:rPr>
          <w:lang w:val="es-ES"/>
        </w:rPr>
        <w:t>ternacional podría ser anulado</w:t>
      </w:r>
      <w:r w:rsidR="00067B0D" w:rsidRPr="009313E1">
        <w:rPr>
          <w:lang w:val="es-ES"/>
        </w:rPr>
        <w:t xml:space="preserve"> con respe</w:t>
      </w:r>
      <w:r w:rsidR="002D73B0" w:rsidRPr="009313E1">
        <w:rPr>
          <w:lang w:val="es-ES"/>
        </w:rPr>
        <w:t>c</w:t>
      </w:r>
      <w:r w:rsidR="00067B0D" w:rsidRPr="009313E1">
        <w:rPr>
          <w:lang w:val="es-ES"/>
        </w:rPr>
        <w:t>to a los Estados Unidos de Amé</w:t>
      </w:r>
      <w:r w:rsidR="00012639" w:rsidRPr="009313E1">
        <w:rPr>
          <w:lang w:val="es-ES"/>
        </w:rPr>
        <w:t>rica, de conformidad con</w:t>
      </w:r>
      <w:r w:rsidR="00067B0D" w:rsidRPr="009313E1">
        <w:rPr>
          <w:lang w:val="es-ES"/>
        </w:rPr>
        <w:t xml:space="preserve"> la Regla</w:t>
      </w:r>
      <w:r w:rsidR="000C3A18">
        <w:rPr>
          <w:lang w:val="es-ES"/>
        </w:rPr>
        <w:t> </w:t>
      </w:r>
      <w:r w:rsidR="00067B0D" w:rsidRPr="009313E1">
        <w:rPr>
          <w:lang w:val="es-ES"/>
        </w:rPr>
        <w:t>12.3)d) del Reglamento Común.</w:t>
      </w:r>
    </w:p>
    <w:p w:rsidR="00D425B7" w:rsidRDefault="00D425B7">
      <w:pPr>
        <w:rPr>
          <w:lang w:val="es-ES"/>
        </w:rPr>
      </w:pPr>
      <w:r>
        <w:rPr>
          <w:lang w:val="es-ES"/>
        </w:rPr>
        <w:br w:type="page"/>
      </w:r>
    </w:p>
    <w:p w:rsidR="0082210A" w:rsidRPr="009313E1" w:rsidRDefault="00067B0D" w:rsidP="000D70F5">
      <w:pPr>
        <w:pStyle w:val="ONUMFS"/>
        <w:rPr>
          <w:lang w:val="es-ES"/>
        </w:rPr>
      </w:pPr>
      <w:r w:rsidRPr="009313E1">
        <w:rPr>
          <w:lang w:val="es-ES"/>
        </w:rPr>
        <w:lastRenderedPageBreak/>
        <w:t>En cuanto a la</w:t>
      </w:r>
      <w:r w:rsidR="00F672E2" w:rsidRPr="009313E1">
        <w:rPr>
          <w:lang w:val="es-ES"/>
        </w:rPr>
        <w:t xml:space="preserve"> solicitud de</w:t>
      </w:r>
      <w:r w:rsidRPr="009313E1">
        <w:rPr>
          <w:lang w:val="es-ES"/>
        </w:rPr>
        <w:t xml:space="preserve"> </w:t>
      </w:r>
      <w:r w:rsidRPr="009313E1">
        <w:rPr>
          <w:i/>
          <w:iCs/>
          <w:lang w:val="es-ES"/>
        </w:rPr>
        <w:t>renovación</w:t>
      </w:r>
      <w:r w:rsidRPr="009313E1">
        <w:rPr>
          <w:lang w:val="es-ES"/>
        </w:rPr>
        <w:t xml:space="preserve"> de un registro internacional</w:t>
      </w:r>
      <w:r w:rsidR="00D46549" w:rsidRPr="009313E1">
        <w:rPr>
          <w:lang w:val="es-ES"/>
        </w:rPr>
        <w:t xml:space="preserve"> para</w:t>
      </w:r>
      <w:r w:rsidR="00F672E2" w:rsidRPr="009313E1">
        <w:rPr>
          <w:lang w:val="es-ES"/>
        </w:rPr>
        <w:t xml:space="preserve"> los Estados</w:t>
      </w:r>
      <w:r w:rsidR="000C3A18">
        <w:rPr>
          <w:lang w:val="es-ES"/>
        </w:rPr>
        <w:t> </w:t>
      </w:r>
      <w:r w:rsidR="00F672E2" w:rsidRPr="009313E1">
        <w:rPr>
          <w:lang w:val="es-ES"/>
        </w:rPr>
        <w:t>Unidos de América, no se aplicará ninguna tasa de designación individual</w:t>
      </w:r>
      <w:r w:rsidR="00C35E17" w:rsidRPr="009313E1">
        <w:rPr>
          <w:lang w:val="es-ES"/>
        </w:rPr>
        <w:t xml:space="preserve"> porque</w:t>
      </w:r>
      <w:r w:rsidR="001530FA" w:rsidRPr="009313E1">
        <w:rPr>
          <w:lang w:val="es-ES"/>
        </w:rPr>
        <w:t xml:space="preserve">, como cabe </w:t>
      </w:r>
      <w:r w:rsidR="00F672E2" w:rsidRPr="009313E1">
        <w:rPr>
          <w:lang w:val="es-ES"/>
        </w:rPr>
        <w:t>recordar,</w:t>
      </w:r>
      <w:r w:rsidR="003461E9" w:rsidRPr="009313E1">
        <w:rPr>
          <w:lang w:val="es-ES"/>
        </w:rPr>
        <w:t xml:space="preserve"> de</w:t>
      </w:r>
      <w:r w:rsidR="00D46549" w:rsidRPr="009313E1">
        <w:rPr>
          <w:lang w:val="es-ES"/>
        </w:rPr>
        <w:t xml:space="preserve"> conformidad con la legislación </w:t>
      </w:r>
      <w:r w:rsidR="003461E9" w:rsidRPr="009313E1">
        <w:rPr>
          <w:lang w:val="es-ES"/>
        </w:rPr>
        <w:t>de los Estados Unidos de Améri</w:t>
      </w:r>
      <w:r w:rsidR="00C640D8" w:rsidRPr="009313E1">
        <w:rPr>
          <w:lang w:val="es-ES"/>
        </w:rPr>
        <w:t>ca, la protección para los dibujos y modelos</w:t>
      </w:r>
      <w:r w:rsidR="003461E9" w:rsidRPr="009313E1">
        <w:rPr>
          <w:lang w:val="es-ES"/>
        </w:rPr>
        <w:t xml:space="preserve"> industriales</w:t>
      </w:r>
      <w:r w:rsidR="00526392" w:rsidRPr="009313E1">
        <w:rPr>
          <w:lang w:val="es-ES"/>
        </w:rPr>
        <w:t xml:space="preserve"> es válida durante un único período de 15</w:t>
      </w:r>
      <w:r w:rsidR="000C3A18">
        <w:rPr>
          <w:lang w:val="es-ES"/>
        </w:rPr>
        <w:t> </w:t>
      </w:r>
      <w:r w:rsidR="00526392" w:rsidRPr="009313E1">
        <w:rPr>
          <w:lang w:val="es-ES"/>
        </w:rPr>
        <w:t>años a partir de la</w:t>
      </w:r>
      <w:r w:rsidR="00D46549" w:rsidRPr="009313E1">
        <w:rPr>
          <w:lang w:val="es-ES"/>
        </w:rPr>
        <w:t xml:space="preserve"> fecha de</w:t>
      </w:r>
      <w:r w:rsidR="00526392" w:rsidRPr="009313E1">
        <w:rPr>
          <w:lang w:val="es-ES"/>
        </w:rPr>
        <w:t xml:space="preserve"> concesión de la patente</w:t>
      </w:r>
      <w:r w:rsidR="00C60282" w:rsidRPr="009313E1">
        <w:rPr>
          <w:lang w:val="es-ES"/>
        </w:rPr>
        <w:t xml:space="preserve"> de dibujo o modelo</w:t>
      </w:r>
      <w:r w:rsidR="008D056E" w:rsidRPr="009313E1">
        <w:rPr>
          <w:lang w:val="es-ES"/>
        </w:rPr>
        <w:t>.</w:t>
      </w:r>
    </w:p>
    <w:p w:rsidR="0082210A" w:rsidRPr="009313E1" w:rsidRDefault="00526392" w:rsidP="0034143C">
      <w:pPr>
        <w:pStyle w:val="ONUMFS"/>
        <w:rPr>
          <w:lang w:val="es-ES"/>
        </w:rPr>
      </w:pPr>
      <w:r w:rsidRPr="009313E1">
        <w:rPr>
          <w:lang w:val="es-ES"/>
        </w:rPr>
        <w:t xml:space="preserve">La declaración </w:t>
      </w:r>
      <w:r w:rsidR="00F41650" w:rsidRPr="009313E1">
        <w:rPr>
          <w:lang w:val="es-ES"/>
        </w:rPr>
        <w:t>relativa</w:t>
      </w:r>
      <w:r w:rsidRPr="009313E1">
        <w:rPr>
          <w:lang w:val="es-ES"/>
        </w:rPr>
        <w:t xml:space="preserve"> a la tasa de designación individual formulada por los Estados</w:t>
      </w:r>
      <w:r w:rsidR="000C3A18">
        <w:rPr>
          <w:lang w:val="es-ES"/>
        </w:rPr>
        <w:t> </w:t>
      </w:r>
      <w:r w:rsidRPr="009313E1">
        <w:rPr>
          <w:lang w:val="es-ES"/>
        </w:rPr>
        <w:t>Unidos de Am</w:t>
      </w:r>
      <w:r w:rsidR="00F41650" w:rsidRPr="009313E1">
        <w:rPr>
          <w:lang w:val="es-ES"/>
        </w:rPr>
        <w:t>érica en</w:t>
      </w:r>
      <w:r w:rsidRPr="009313E1">
        <w:rPr>
          <w:lang w:val="es-ES"/>
        </w:rPr>
        <w:t xml:space="preserve">trará en vigor el 13 </w:t>
      </w:r>
      <w:r w:rsidR="00F41650" w:rsidRPr="009313E1">
        <w:rPr>
          <w:lang w:val="es-ES"/>
        </w:rPr>
        <w:t xml:space="preserve">de </w:t>
      </w:r>
      <w:r w:rsidR="000B2834" w:rsidRPr="009313E1">
        <w:rPr>
          <w:lang w:val="es-ES"/>
        </w:rPr>
        <w:t>mayo de 2015.</w:t>
      </w:r>
    </w:p>
    <w:p w:rsidR="00012C9D" w:rsidRPr="009313E1" w:rsidRDefault="00012C9D" w:rsidP="004936FC">
      <w:pPr>
        <w:rPr>
          <w:lang w:val="es-ES"/>
        </w:rPr>
      </w:pPr>
    </w:p>
    <w:p w:rsidR="004936FC" w:rsidRPr="009313E1" w:rsidRDefault="004718CD" w:rsidP="004936FC">
      <w:pPr>
        <w:pStyle w:val="Endofdocument-Annex"/>
        <w:rPr>
          <w:lang w:val="es-ES"/>
        </w:rPr>
      </w:pPr>
      <w:bookmarkStart w:id="2" w:name="_GoBack"/>
      <w:bookmarkEnd w:id="2"/>
      <w:r>
        <w:rPr>
          <w:lang w:val="es-ES"/>
        </w:rPr>
        <w:t>12</w:t>
      </w:r>
      <w:r w:rsidR="00666B35" w:rsidRPr="009313E1">
        <w:rPr>
          <w:lang w:val="es-ES"/>
        </w:rPr>
        <w:t xml:space="preserve"> de </w:t>
      </w:r>
      <w:r w:rsidR="00FB6D8D">
        <w:rPr>
          <w:lang w:val="es-ES"/>
        </w:rPr>
        <w:t>mayo</w:t>
      </w:r>
      <w:r w:rsidR="00666B35" w:rsidRPr="009313E1">
        <w:rPr>
          <w:lang w:val="es-ES"/>
        </w:rPr>
        <w:t xml:space="preserve"> de </w:t>
      </w:r>
      <w:r w:rsidR="007F45DD" w:rsidRPr="009313E1">
        <w:rPr>
          <w:lang w:val="es-ES"/>
        </w:rPr>
        <w:t>2015</w:t>
      </w:r>
    </w:p>
    <w:sectPr w:rsidR="004936FC" w:rsidRPr="009313E1" w:rsidSect="00605827">
      <w:headerReference w:type="default" r:id="rId11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8AB" w:rsidRDefault="009C68AB">
      <w:r>
        <w:separator/>
      </w:r>
    </w:p>
  </w:endnote>
  <w:endnote w:type="continuationSeparator" w:id="0">
    <w:p w:rsidR="009C68AB" w:rsidRDefault="009C68AB" w:rsidP="003B38C1">
      <w:r>
        <w:separator/>
      </w:r>
    </w:p>
    <w:p w:rsidR="009C68AB" w:rsidRPr="003B38C1" w:rsidRDefault="009C68A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9C68AB" w:rsidRPr="003B38C1" w:rsidRDefault="009C68A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8AB" w:rsidRDefault="009C68AB">
      <w:r>
        <w:separator/>
      </w:r>
    </w:p>
  </w:footnote>
  <w:footnote w:type="continuationSeparator" w:id="0">
    <w:p w:rsidR="009C68AB" w:rsidRDefault="009C68AB" w:rsidP="008B60B2">
      <w:r>
        <w:separator/>
      </w:r>
    </w:p>
    <w:p w:rsidR="009C68AB" w:rsidRPr="00ED77FB" w:rsidRDefault="009C68A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9C68AB" w:rsidRPr="00ED77FB" w:rsidRDefault="009C68A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13E" w:rsidRDefault="00666B35" w:rsidP="00477D6B">
    <w:pPr>
      <w:jc w:val="right"/>
    </w:pPr>
    <w:r>
      <w:t>página</w:t>
    </w:r>
    <w:r w:rsidR="002A513E">
      <w:t xml:space="preserve"> </w:t>
    </w:r>
    <w:r w:rsidR="002A513E">
      <w:fldChar w:fldCharType="begin"/>
    </w:r>
    <w:r w:rsidR="002A513E">
      <w:instrText xml:space="preserve"> PAGE  \* MERGEFORMAT </w:instrText>
    </w:r>
    <w:r w:rsidR="002A513E">
      <w:fldChar w:fldCharType="separate"/>
    </w:r>
    <w:r w:rsidR="00F241C9">
      <w:rPr>
        <w:noProof/>
      </w:rPr>
      <w:t>3</w:t>
    </w:r>
    <w:r w:rsidR="002A513E">
      <w:fldChar w:fldCharType="end"/>
    </w:r>
  </w:p>
  <w:p w:rsidR="00C322FB" w:rsidRDefault="00C322FB" w:rsidP="00477D6B">
    <w:pPr>
      <w:jc w:val="right"/>
    </w:pPr>
  </w:p>
  <w:p w:rsidR="00D425B7" w:rsidRDefault="00D425B7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F0D8288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righ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EEE0B966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  <w:lang w:val="es-ES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3BFA1B20"/>
    <w:multiLevelType w:val="hybridMultilevel"/>
    <w:tmpl w:val="FF108FEA"/>
    <w:lvl w:ilvl="0" w:tplc="4A923D46">
      <w:numFmt w:val="bullet"/>
      <w:lvlText w:val="-"/>
      <w:lvlJc w:val="left"/>
      <w:pPr>
        <w:ind w:left="1494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3F0C9A"/>
    <w:multiLevelType w:val="multilevel"/>
    <w:tmpl w:val="673261DC"/>
    <w:lvl w:ilvl="0">
      <w:start w:val="30"/>
      <w:numFmt w:val="bullet"/>
      <w:lvlText w:val="–"/>
      <w:lvlJc w:val="left"/>
      <w:pPr>
        <w:tabs>
          <w:tab w:val="num" w:pos="1137"/>
        </w:tabs>
        <w:ind w:left="1137" w:hanging="570"/>
      </w:pPr>
      <w:rPr>
        <w:rFonts w:ascii="Arial" w:eastAsia="SimSun" w:hAnsi="Arial" w:cs="Arial"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098F"/>
    <w:rsid w:val="00005CFF"/>
    <w:rsid w:val="00012077"/>
    <w:rsid w:val="000123A6"/>
    <w:rsid w:val="00012639"/>
    <w:rsid w:val="00012C9D"/>
    <w:rsid w:val="0002095F"/>
    <w:rsid w:val="00024A65"/>
    <w:rsid w:val="0003148C"/>
    <w:rsid w:val="000407F4"/>
    <w:rsid w:val="00043313"/>
    <w:rsid w:val="00043CAA"/>
    <w:rsid w:val="00044958"/>
    <w:rsid w:val="00050D24"/>
    <w:rsid w:val="0006559F"/>
    <w:rsid w:val="00067B0D"/>
    <w:rsid w:val="000728FF"/>
    <w:rsid w:val="00075432"/>
    <w:rsid w:val="00084992"/>
    <w:rsid w:val="000968ED"/>
    <w:rsid w:val="000A0505"/>
    <w:rsid w:val="000A4488"/>
    <w:rsid w:val="000A525D"/>
    <w:rsid w:val="000B02F2"/>
    <w:rsid w:val="000B2834"/>
    <w:rsid w:val="000B4320"/>
    <w:rsid w:val="000B51DA"/>
    <w:rsid w:val="000C3A18"/>
    <w:rsid w:val="000C55D3"/>
    <w:rsid w:val="000D14F0"/>
    <w:rsid w:val="000D3921"/>
    <w:rsid w:val="000D70F5"/>
    <w:rsid w:val="000F5E56"/>
    <w:rsid w:val="00114C50"/>
    <w:rsid w:val="00122387"/>
    <w:rsid w:val="0012304E"/>
    <w:rsid w:val="001272E3"/>
    <w:rsid w:val="00131BD8"/>
    <w:rsid w:val="00133F53"/>
    <w:rsid w:val="001362EE"/>
    <w:rsid w:val="001371C1"/>
    <w:rsid w:val="0014374E"/>
    <w:rsid w:val="0014531F"/>
    <w:rsid w:val="0015037D"/>
    <w:rsid w:val="001530FA"/>
    <w:rsid w:val="001536EB"/>
    <w:rsid w:val="00165217"/>
    <w:rsid w:val="00166299"/>
    <w:rsid w:val="00166D8E"/>
    <w:rsid w:val="001832A6"/>
    <w:rsid w:val="00184E22"/>
    <w:rsid w:val="00185E31"/>
    <w:rsid w:val="00186DE1"/>
    <w:rsid w:val="001C041B"/>
    <w:rsid w:val="001C2D7E"/>
    <w:rsid w:val="001C69F7"/>
    <w:rsid w:val="001C777C"/>
    <w:rsid w:val="001D4F09"/>
    <w:rsid w:val="001E3850"/>
    <w:rsid w:val="001F1B95"/>
    <w:rsid w:val="001F717F"/>
    <w:rsid w:val="0020341D"/>
    <w:rsid w:val="0020551F"/>
    <w:rsid w:val="00211EBB"/>
    <w:rsid w:val="0022493E"/>
    <w:rsid w:val="00231FB3"/>
    <w:rsid w:val="002356BD"/>
    <w:rsid w:val="00251890"/>
    <w:rsid w:val="0025278E"/>
    <w:rsid w:val="002634C4"/>
    <w:rsid w:val="00267F6C"/>
    <w:rsid w:val="00270516"/>
    <w:rsid w:val="00271D13"/>
    <w:rsid w:val="0027661B"/>
    <w:rsid w:val="002813A5"/>
    <w:rsid w:val="002866A6"/>
    <w:rsid w:val="002928D3"/>
    <w:rsid w:val="002A2E4F"/>
    <w:rsid w:val="002A513E"/>
    <w:rsid w:val="002B0492"/>
    <w:rsid w:val="002B26C5"/>
    <w:rsid w:val="002B6C6E"/>
    <w:rsid w:val="002B7988"/>
    <w:rsid w:val="002C1554"/>
    <w:rsid w:val="002C38D8"/>
    <w:rsid w:val="002D33B0"/>
    <w:rsid w:val="002D73B0"/>
    <w:rsid w:val="002E18A9"/>
    <w:rsid w:val="002F1FE6"/>
    <w:rsid w:val="002F4E68"/>
    <w:rsid w:val="00304163"/>
    <w:rsid w:val="00312F7F"/>
    <w:rsid w:val="003139DF"/>
    <w:rsid w:val="00317670"/>
    <w:rsid w:val="00321F2B"/>
    <w:rsid w:val="00335EC1"/>
    <w:rsid w:val="0034143C"/>
    <w:rsid w:val="00342548"/>
    <w:rsid w:val="003461E9"/>
    <w:rsid w:val="00347330"/>
    <w:rsid w:val="00357985"/>
    <w:rsid w:val="00361450"/>
    <w:rsid w:val="003673CF"/>
    <w:rsid w:val="00370CC6"/>
    <w:rsid w:val="00375EB6"/>
    <w:rsid w:val="00382150"/>
    <w:rsid w:val="00383EC2"/>
    <w:rsid w:val="003845C1"/>
    <w:rsid w:val="003A25D7"/>
    <w:rsid w:val="003A274E"/>
    <w:rsid w:val="003A6F89"/>
    <w:rsid w:val="003A7AFC"/>
    <w:rsid w:val="003B38C1"/>
    <w:rsid w:val="003C6433"/>
    <w:rsid w:val="003E0C25"/>
    <w:rsid w:val="003E0D9F"/>
    <w:rsid w:val="003E2652"/>
    <w:rsid w:val="004052E1"/>
    <w:rsid w:val="00411FB2"/>
    <w:rsid w:val="004129EB"/>
    <w:rsid w:val="004160A7"/>
    <w:rsid w:val="00423386"/>
    <w:rsid w:val="00423E3E"/>
    <w:rsid w:val="00427AF4"/>
    <w:rsid w:val="00441728"/>
    <w:rsid w:val="00451667"/>
    <w:rsid w:val="0045757F"/>
    <w:rsid w:val="004630B4"/>
    <w:rsid w:val="004647DA"/>
    <w:rsid w:val="0047006A"/>
    <w:rsid w:val="004718CD"/>
    <w:rsid w:val="00474062"/>
    <w:rsid w:val="0047762F"/>
    <w:rsid w:val="00477D6B"/>
    <w:rsid w:val="00487B3B"/>
    <w:rsid w:val="004901EB"/>
    <w:rsid w:val="004936FC"/>
    <w:rsid w:val="004947C5"/>
    <w:rsid w:val="004A2C1D"/>
    <w:rsid w:val="004B0093"/>
    <w:rsid w:val="004B336C"/>
    <w:rsid w:val="004B43E4"/>
    <w:rsid w:val="004D406A"/>
    <w:rsid w:val="004D6AF4"/>
    <w:rsid w:val="004D76C1"/>
    <w:rsid w:val="004F5A30"/>
    <w:rsid w:val="005019FF"/>
    <w:rsid w:val="00507723"/>
    <w:rsid w:val="00507AA0"/>
    <w:rsid w:val="005140A8"/>
    <w:rsid w:val="005243B1"/>
    <w:rsid w:val="00526392"/>
    <w:rsid w:val="005269AA"/>
    <w:rsid w:val="0053057A"/>
    <w:rsid w:val="00545E21"/>
    <w:rsid w:val="00546473"/>
    <w:rsid w:val="00546A94"/>
    <w:rsid w:val="00560A29"/>
    <w:rsid w:val="0056200E"/>
    <w:rsid w:val="005868B8"/>
    <w:rsid w:val="005A78E1"/>
    <w:rsid w:val="005A7FCD"/>
    <w:rsid w:val="005C082A"/>
    <w:rsid w:val="005C6649"/>
    <w:rsid w:val="005E314A"/>
    <w:rsid w:val="005F2F3B"/>
    <w:rsid w:val="005F4AAF"/>
    <w:rsid w:val="006008FC"/>
    <w:rsid w:val="006017A8"/>
    <w:rsid w:val="00605827"/>
    <w:rsid w:val="006223DB"/>
    <w:rsid w:val="006334D5"/>
    <w:rsid w:val="00641B61"/>
    <w:rsid w:val="00644AA2"/>
    <w:rsid w:val="00646050"/>
    <w:rsid w:val="00647B0C"/>
    <w:rsid w:val="00654AE9"/>
    <w:rsid w:val="006659A7"/>
    <w:rsid w:val="00666862"/>
    <w:rsid w:val="00666B35"/>
    <w:rsid w:val="006705FF"/>
    <w:rsid w:val="006713CA"/>
    <w:rsid w:val="00673654"/>
    <w:rsid w:val="00674ABA"/>
    <w:rsid w:val="00676C5C"/>
    <w:rsid w:val="0067755E"/>
    <w:rsid w:val="006955FA"/>
    <w:rsid w:val="006A4588"/>
    <w:rsid w:val="006C250B"/>
    <w:rsid w:val="006D7BD8"/>
    <w:rsid w:val="006E3324"/>
    <w:rsid w:val="006F29F6"/>
    <w:rsid w:val="00714D38"/>
    <w:rsid w:val="00742856"/>
    <w:rsid w:val="00750AA3"/>
    <w:rsid w:val="00761B8F"/>
    <w:rsid w:val="0076210D"/>
    <w:rsid w:val="007633FD"/>
    <w:rsid w:val="00767C4D"/>
    <w:rsid w:val="00773CE3"/>
    <w:rsid w:val="0077451E"/>
    <w:rsid w:val="00775EBD"/>
    <w:rsid w:val="00790A94"/>
    <w:rsid w:val="007B7F73"/>
    <w:rsid w:val="007C3E9B"/>
    <w:rsid w:val="007D0AF8"/>
    <w:rsid w:val="007D1613"/>
    <w:rsid w:val="007D250A"/>
    <w:rsid w:val="007D290D"/>
    <w:rsid w:val="007D2D96"/>
    <w:rsid w:val="007F338A"/>
    <w:rsid w:val="007F45DD"/>
    <w:rsid w:val="007F4D09"/>
    <w:rsid w:val="00804EC4"/>
    <w:rsid w:val="00815E06"/>
    <w:rsid w:val="0082210A"/>
    <w:rsid w:val="00824E57"/>
    <w:rsid w:val="008354AB"/>
    <w:rsid w:val="00854071"/>
    <w:rsid w:val="00862599"/>
    <w:rsid w:val="00876A3C"/>
    <w:rsid w:val="00877EC6"/>
    <w:rsid w:val="00881575"/>
    <w:rsid w:val="0088405C"/>
    <w:rsid w:val="00885618"/>
    <w:rsid w:val="00891617"/>
    <w:rsid w:val="008948BE"/>
    <w:rsid w:val="00895C02"/>
    <w:rsid w:val="008977D0"/>
    <w:rsid w:val="008A27CF"/>
    <w:rsid w:val="008A48EA"/>
    <w:rsid w:val="008A6724"/>
    <w:rsid w:val="008A6ACB"/>
    <w:rsid w:val="008B03BA"/>
    <w:rsid w:val="008B2CC1"/>
    <w:rsid w:val="008B60B2"/>
    <w:rsid w:val="008C24C1"/>
    <w:rsid w:val="008C2D2F"/>
    <w:rsid w:val="008C2FE6"/>
    <w:rsid w:val="008C67A6"/>
    <w:rsid w:val="008D056E"/>
    <w:rsid w:val="008F1F70"/>
    <w:rsid w:val="008F6953"/>
    <w:rsid w:val="0090731E"/>
    <w:rsid w:val="009134B8"/>
    <w:rsid w:val="00916EE2"/>
    <w:rsid w:val="00922789"/>
    <w:rsid w:val="0092607A"/>
    <w:rsid w:val="00927911"/>
    <w:rsid w:val="009313E1"/>
    <w:rsid w:val="0093216E"/>
    <w:rsid w:val="009378BE"/>
    <w:rsid w:val="00940793"/>
    <w:rsid w:val="00943D7F"/>
    <w:rsid w:val="009621CA"/>
    <w:rsid w:val="00964994"/>
    <w:rsid w:val="00966A22"/>
    <w:rsid w:val="0096722F"/>
    <w:rsid w:val="00976672"/>
    <w:rsid w:val="00980843"/>
    <w:rsid w:val="00991FC3"/>
    <w:rsid w:val="00997AAD"/>
    <w:rsid w:val="009A3DBA"/>
    <w:rsid w:val="009A591F"/>
    <w:rsid w:val="009A5A31"/>
    <w:rsid w:val="009B2582"/>
    <w:rsid w:val="009C0C04"/>
    <w:rsid w:val="009C64D8"/>
    <w:rsid w:val="009C68AB"/>
    <w:rsid w:val="009D337E"/>
    <w:rsid w:val="009E2791"/>
    <w:rsid w:val="009E3F6F"/>
    <w:rsid w:val="009E5F9F"/>
    <w:rsid w:val="009F2A14"/>
    <w:rsid w:val="009F499F"/>
    <w:rsid w:val="009F6841"/>
    <w:rsid w:val="00A12156"/>
    <w:rsid w:val="00A1504E"/>
    <w:rsid w:val="00A21684"/>
    <w:rsid w:val="00A25430"/>
    <w:rsid w:val="00A26A24"/>
    <w:rsid w:val="00A2714C"/>
    <w:rsid w:val="00A309BB"/>
    <w:rsid w:val="00A3112D"/>
    <w:rsid w:val="00A353ED"/>
    <w:rsid w:val="00A42DAF"/>
    <w:rsid w:val="00A45BD8"/>
    <w:rsid w:val="00A468E2"/>
    <w:rsid w:val="00A50C3A"/>
    <w:rsid w:val="00A6014F"/>
    <w:rsid w:val="00A75FDF"/>
    <w:rsid w:val="00A869B7"/>
    <w:rsid w:val="00A961AC"/>
    <w:rsid w:val="00AA1EEF"/>
    <w:rsid w:val="00AB3722"/>
    <w:rsid w:val="00AC1A22"/>
    <w:rsid w:val="00AC205C"/>
    <w:rsid w:val="00AC793E"/>
    <w:rsid w:val="00AD38EE"/>
    <w:rsid w:val="00AD7B5F"/>
    <w:rsid w:val="00AE4F3E"/>
    <w:rsid w:val="00AF0A6B"/>
    <w:rsid w:val="00AF5108"/>
    <w:rsid w:val="00AF5F69"/>
    <w:rsid w:val="00B00089"/>
    <w:rsid w:val="00B00E9D"/>
    <w:rsid w:val="00B03714"/>
    <w:rsid w:val="00B05A69"/>
    <w:rsid w:val="00B16CE1"/>
    <w:rsid w:val="00B21387"/>
    <w:rsid w:val="00B22128"/>
    <w:rsid w:val="00B2247B"/>
    <w:rsid w:val="00B234D3"/>
    <w:rsid w:val="00B32D96"/>
    <w:rsid w:val="00B43FDF"/>
    <w:rsid w:val="00B46D7E"/>
    <w:rsid w:val="00B474A9"/>
    <w:rsid w:val="00B52F75"/>
    <w:rsid w:val="00B54D7D"/>
    <w:rsid w:val="00B63330"/>
    <w:rsid w:val="00B82072"/>
    <w:rsid w:val="00B83157"/>
    <w:rsid w:val="00B9734B"/>
    <w:rsid w:val="00B97A85"/>
    <w:rsid w:val="00BA59F8"/>
    <w:rsid w:val="00BA63F6"/>
    <w:rsid w:val="00BA6A27"/>
    <w:rsid w:val="00BA6DE5"/>
    <w:rsid w:val="00BB1C50"/>
    <w:rsid w:val="00BB30F3"/>
    <w:rsid w:val="00BB5528"/>
    <w:rsid w:val="00BB78C7"/>
    <w:rsid w:val="00BC3767"/>
    <w:rsid w:val="00BC56DF"/>
    <w:rsid w:val="00BE55D6"/>
    <w:rsid w:val="00BE5857"/>
    <w:rsid w:val="00BE6721"/>
    <w:rsid w:val="00BF01CE"/>
    <w:rsid w:val="00BF0A82"/>
    <w:rsid w:val="00C10CAF"/>
    <w:rsid w:val="00C10FFF"/>
    <w:rsid w:val="00C11BFE"/>
    <w:rsid w:val="00C17EA3"/>
    <w:rsid w:val="00C322FB"/>
    <w:rsid w:val="00C35E17"/>
    <w:rsid w:val="00C45642"/>
    <w:rsid w:val="00C47421"/>
    <w:rsid w:val="00C51630"/>
    <w:rsid w:val="00C556FE"/>
    <w:rsid w:val="00C60282"/>
    <w:rsid w:val="00C640D8"/>
    <w:rsid w:val="00C71922"/>
    <w:rsid w:val="00C74FFE"/>
    <w:rsid w:val="00C80362"/>
    <w:rsid w:val="00C924C3"/>
    <w:rsid w:val="00C977DB"/>
    <w:rsid w:val="00CB132F"/>
    <w:rsid w:val="00CB2CEF"/>
    <w:rsid w:val="00CC5016"/>
    <w:rsid w:val="00CD7002"/>
    <w:rsid w:val="00CE0A51"/>
    <w:rsid w:val="00CE0F4D"/>
    <w:rsid w:val="00CE1127"/>
    <w:rsid w:val="00CE5554"/>
    <w:rsid w:val="00CE6390"/>
    <w:rsid w:val="00CF354F"/>
    <w:rsid w:val="00CF4536"/>
    <w:rsid w:val="00D115C7"/>
    <w:rsid w:val="00D22BD4"/>
    <w:rsid w:val="00D30CC7"/>
    <w:rsid w:val="00D31C2F"/>
    <w:rsid w:val="00D36664"/>
    <w:rsid w:val="00D40A98"/>
    <w:rsid w:val="00D412BD"/>
    <w:rsid w:val="00D424EC"/>
    <w:rsid w:val="00D425B7"/>
    <w:rsid w:val="00D45252"/>
    <w:rsid w:val="00D46549"/>
    <w:rsid w:val="00D4734A"/>
    <w:rsid w:val="00D538CA"/>
    <w:rsid w:val="00D57F87"/>
    <w:rsid w:val="00D57F90"/>
    <w:rsid w:val="00D6276D"/>
    <w:rsid w:val="00D70F71"/>
    <w:rsid w:val="00D71B4D"/>
    <w:rsid w:val="00D76F38"/>
    <w:rsid w:val="00D847BE"/>
    <w:rsid w:val="00D90EE5"/>
    <w:rsid w:val="00D93D55"/>
    <w:rsid w:val="00DA25DD"/>
    <w:rsid w:val="00DB0C73"/>
    <w:rsid w:val="00DB42CB"/>
    <w:rsid w:val="00DC11D8"/>
    <w:rsid w:val="00DC3E50"/>
    <w:rsid w:val="00DD254E"/>
    <w:rsid w:val="00DD6947"/>
    <w:rsid w:val="00DF66E8"/>
    <w:rsid w:val="00E01A5D"/>
    <w:rsid w:val="00E1115B"/>
    <w:rsid w:val="00E16750"/>
    <w:rsid w:val="00E17FFE"/>
    <w:rsid w:val="00E23BEB"/>
    <w:rsid w:val="00E24971"/>
    <w:rsid w:val="00E24AE6"/>
    <w:rsid w:val="00E303E5"/>
    <w:rsid w:val="00E335FE"/>
    <w:rsid w:val="00E348AA"/>
    <w:rsid w:val="00E42B9A"/>
    <w:rsid w:val="00E47E81"/>
    <w:rsid w:val="00E532DC"/>
    <w:rsid w:val="00E5572D"/>
    <w:rsid w:val="00E57514"/>
    <w:rsid w:val="00E66C2C"/>
    <w:rsid w:val="00E810A6"/>
    <w:rsid w:val="00E868D1"/>
    <w:rsid w:val="00E940A4"/>
    <w:rsid w:val="00E9688B"/>
    <w:rsid w:val="00EA407C"/>
    <w:rsid w:val="00EA40D8"/>
    <w:rsid w:val="00EB5FFE"/>
    <w:rsid w:val="00EC23FC"/>
    <w:rsid w:val="00EC4E49"/>
    <w:rsid w:val="00ED38E9"/>
    <w:rsid w:val="00ED4C4F"/>
    <w:rsid w:val="00ED77FB"/>
    <w:rsid w:val="00EE45FA"/>
    <w:rsid w:val="00EE5748"/>
    <w:rsid w:val="00EE7CE5"/>
    <w:rsid w:val="00EF0146"/>
    <w:rsid w:val="00EF7464"/>
    <w:rsid w:val="00F0720F"/>
    <w:rsid w:val="00F13A8B"/>
    <w:rsid w:val="00F14AF7"/>
    <w:rsid w:val="00F201C4"/>
    <w:rsid w:val="00F241C9"/>
    <w:rsid w:val="00F37362"/>
    <w:rsid w:val="00F41650"/>
    <w:rsid w:val="00F455BF"/>
    <w:rsid w:val="00F546E5"/>
    <w:rsid w:val="00F66152"/>
    <w:rsid w:val="00F672E2"/>
    <w:rsid w:val="00F7721F"/>
    <w:rsid w:val="00FA156A"/>
    <w:rsid w:val="00FB6D8D"/>
    <w:rsid w:val="00FC3D36"/>
    <w:rsid w:val="00FC48AC"/>
    <w:rsid w:val="00FC4C8A"/>
    <w:rsid w:val="00FC4FA9"/>
    <w:rsid w:val="00FD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llowedHyperlink">
    <w:name w:val="FollowedHyperlink"/>
    <w:basedOn w:val="DefaultParagraphFont"/>
    <w:rsid w:val="00AB372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llowedHyperlink">
    <w:name w:val="FollowedHyperlink"/>
    <w:basedOn w:val="DefaultParagraphFont"/>
    <w:rsid w:val="00AB372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uspto.gov/web/offices/pac/mpep/s509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spto.gov/web/offices/pac/mpep/s50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728</Words>
  <Characters>3862</Characters>
  <Application>Microsoft Office Word</Application>
  <DocSecurity>0</DocSecurity>
  <Lines>120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Aviso nº 5/2015</vt:lpstr>
    </vt:vector>
  </TitlesOfParts>
  <Company>WIPO</Company>
  <LinksUpToDate>false</LinksUpToDate>
  <CharactersWithSpaces>4549</CharactersWithSpaces>
  <SharedDoc>false</SharedDoc>
  <HLinks>
    <vt:vector size="12" baseType="variant">
      <vt:variant>
        <vt:i4>6881283</vt:i4>
      </vt:variant>
      <vt:variant>
        <vt:i4>3</vt:i4>
      </vt:variant>
      <vt:variant>
        <vt:i4>0</vt:i4>
      </vt:variant>
      <vt:variant>
        <vt:i4>5</vt:i4>
      </vt:variant>
      <vt:variant>
        <vt:lpwstr>http://www.uspto.gov/web/offices/pac/mpep/s509.html</vt:lpwstr>
      </vt:variant>
      <vt:variant>
        <vt:lpwstr>ch500_d1ff69_210b3_1ca</vt:lpwstr>
      </vt:variant>
      <vt:variant>
        <vt:i4>6946918</vt:i4>
      </vt:variant>
      <vt:variant>
        <vt:i4>0</vt:i4>
      </vt:variant>
      <vt:variant>
        <vt:i4>0</vt:i4>
      </vt:variant>
      <vt:variant>
        <vt:i4>5</vt:i4>
      </vt:variant>
      <vt:variant>
        <vt:lpwstr>http://www.uspto.gov/web/offices/pac/mpep/s509.html</vt:lpwstr>
      </vt:variant>
      <vt:variant>
        <vt:lpwstr>d0e30961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Aviso nº 5/2015</dc:title>
  <dc:creator>CEVALLOS DUQUE Nilo</dc:creator>
  <dc:description>JM - 16.4.2015</dc:description>
  <cp:lastModifiedBy>FRICOT Karine</cp:lastModifiedBy>
  <cp:revision>13</cp:revision>
  <cp:lastPrinted>2015-05-12T11:26:00Z</cp:lastPrinted>
  <dcterms:created xsi:type="dcterms:W3CDTF">2015-05-01T06:47:00Z</dcterms:created>
  <dcterms:modified xsi:type="dcterms:W3CDTF">2015-05-12T11:26:00Z</dcterms:modified>
</cp:coreProperties>
</file>