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Before the:</w:t>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36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WORLD INTELLECTUAL PROPERTY ORGANIZATION </w:t>
      </w:r>
    </w:p>
    <w:p w:rsidR="00000000" w:rsidDel="00000000" w:rsidP="00000000" w:rsidRDefault="00000000" w:rsidRPr="00000000" w14:paraId="00000004">
      <w:pPr>
        <w:ind w:left="36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ARBITRATION AND MEDIATION CENTER</w:t>
      </w:r>
    </w:p>
    <w:p w:rsidR="00000000" w:rsidDel="00000000" w:rsidP="00000000" w:rsidRDefault="00000000" w:rsidRPr="00000000" w14:paraId="00000005">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ind w:left="360" w:firstLine="0"/>
        <w:rPr>
          <w:rFonts w:ascii="Arial" w:cs="Arial" w:eastAsia="Arial" w:hAnsi="Arial"/>
          <w:sz w:val="20"/>
          <w:szCs w:val="20"/>
        </w:rPr>
      </w:pPr>
      <w:r w:rsidDel="00000000" w:rsidR="00000000" w:rsidRPr="00000000">
        <w:rPr>
          <w:rtl w:val="0"/>
        </w:rPr>
      </w:r>
    </w:p>
    <w:tbl>
      <w:tblPr>
        <w:tblStyle w:val="Table1"/>
        <w:tblW w:w="8578.0" w:type="dxa"/>
        <w:jc w:val="left"/>
        <w:tblLayout w:type="fixed"/>
        <w:tblLook w:val="0000"/>
      </w:tblPr>
      <w:tblGrid>
        <w:gridCol w:w="4077"/>
        <w:gridCol w:w="4501"/>
        <w:tblGridChange w:id="0">
          <w:tblGrid>
            <w:gridCol w:w="4077"/>
            <w:gridCol w:w="4501"/>
          </w:tblGrid>
        </w:tblGridChange>
      </w:tblGrid>
      <w:tr>
        <w:trPr>
          <w:cantSplit w:val="0"/>
          <w:tblHeader w:val="0"/>
        </w:trPr>
        <w:tc>
          <w:tcPr>
            <w:tcBorders>
              <w:right w:color="000000" w:space="0" w:sz="4" w:val="dashed"/>
            </w:tcBorders>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[Name and Address of Complainant as stated in Complaint]</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Complainant</w:t>
            </w:r>
            <w:r w:rsidDel="00000000" w:rsidR="00000000" w:rsidRPr="00000000">
              <w:rPr>
                <w:rFonts w:ascii="Arial" w:cs="Arial" w:eastAsia="Arial" w:hAnsi="Arial"/>
                <w:sz w:val="20"/>
                <w:szCs w:val="20"/>
                <w:rtl w:val="0"/>
              </w:rPr>
              <w:t xml:space="preserve">)</w:t>
            </w:r>
          </w:p>
        </w:tc>
        <w:tc>
          <w:tcPr>
            <w:tcBorders>
              <w:left w:color="000000" w:space="0" w:sz="0" w:val="nil"/>
            </w:tcBorders>
          </w:tcPr>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Case No: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[Indicate assigned case number]</w:t>
            </w:r>
            <w:r w:rsidDel="00000000" w:rsidR="00000000" w:rsidRPr="00000000">
              <w:rPr>
                <w:rtl w:val="0"/>
              </w:rPr>
            </w:r>
          </w:p>
          <w:p w:rsidR="00000000" w:rsidDel="00000000" w:rsidP="00000000" w:rsidRDefault="00000000" w:rsidRPr="00000000" w14:paraId="0000000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tc>
      </w:tr>
      <w:tr>
        <w:trPr>
          <w:cantSplit w:val="0"/>
          <w:tblHeader w:val="0"/>
        </w:trPr>
        <w:tc>
          <w:tcPr>
            <w:tcBorders>
              <w:right w:color="000000" w:space="0" w:sz="4" w:val="dashed"/>
            </w:tcBorders>
          </w:tcPr>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Disputed Domain Name[s]:</w:t>
            </w:r>
            <w:r w:rsidDel="00000000" w:rsidR="00000000" w:rsidRPr="00000000">
              <w:rPr>
                <w:rtl w:val="0"/>
              </w:rPr>
            </w:r>
          </w:p>
        </w:tc>
      </w:tr>
      <w:tr>
        <w:trPr>
          <w:cantSplit w:val="0"/>
          <w:tblHeader w:val="0"/>
        </w:trPr>
        <w:tc>
          <w:tcPr>
            <w:tcBorders>
              <w:right w:color="000000" w:space="0" w:sz="4" w:val="dashed"/>
            </w:tcBorders>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[Name and Address of Respondent]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[the disputed domain name owner]</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Respondent</w:t>
            </w:r>
            <w:r w:rsidDel="00000000" w:rsidR="00000000" w:rsidRPr="00000000">
              <w:rPr>
                <w:rFonts w:ascii="Arial" w:cs="Arial" w:eastAsia="Arial" w:hAnsi="Arial"/>
                <w:sz w:val="20"/>
                <w:szCs w:val="20"/>
                <w:rtl w:val="0"/>
              </w:rPr>
              <w:t xml:space="preserve">)</w:t>
            </w:r>
          </w:p>
        </w:tc>
        <w:tc>
          <w:tcPr>
            <w:tcBorders>
              <w:left w:color="000000" w:space="0" w:sz="0" w:val="nil"/>
            </w:tcBorders>
          </w:tcPr>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[&lt;the disputed domain name(s)&gt;]</w:t>
            </w:r>
            <w:r w:rsidDel="00000000" w:rsidR="00000000" w:rsidRPr="00000000">
              <w:rPr>
                <w:rtl w:val="0"/>
              </w:rPr>
            </w:r>
          </w:p>
        </w:tc>
      </w:tr>
    </w:tbl>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pStyle w:val="Heading4"/>
        <w:rPr>
          <w:rFonts w:ascii="Arial" w:cs="Arial" w:eastAsia="Arial" w:hAnsi="Arial"/>
          <w:b w:val="0"/>
          <w:sz w:val="20"/>
          <w:szCs w:val="20"/>
        </w:rPr>
      </w:pPr>
      <w:r w:rsidDel="00000000" w:rsidR="00000000" w:rsidRPr="00000000">
        <w:rPr>
          <w:rFonts w:ascii="Arial" w:cs="Arial" w:eastAsia="Arial" w:hAnsi="Arial"/>
          <w:sz w:val="20"/>
          <w:szCs w:val="20"/>
          <w:rtl w:val="0"/>
        </w:rPr>
        <w:t xml:space="preserve">RESPONSE</w:t>
      </w:r>
      <w:r w:rsidDel="00000000" w:rsidR="00000000" w:rsidRPr="00000000">
        <w:rPr>
          <w:rtl w:val="0"/>
        </w:rPr>
      </w:r>
    </w:p>
    <w:p w:rsidR="00000000" w:rsidDel="00000000" w:rsidP="00000000" w:rsidRDefault="00000000" w:rsidRPr="00000000" w14:paraId="00000022">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(Rules, Paragraph 5)</w:t>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pStyle w:val="Heading5"/>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  Introduction</w:t>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[1.]</w:t>
        <w:tab/>
        <w:t xml:space="preserve">On </w:t>
      </w:r>
      <w:r w:rsidDel="00000000" w:rsidR="00000000" w:rsidRPr="00000000">
        <w:rPr>
          <w:rFonts w:ascii="Arial" w:cs="Arial" w:eastAsia="Arial" w:hAnsi="Arial"/>
          <w:color w:val="ff0000"/>
          <w:sz w:val="20"/>
          <w:szCs w:val="20"/>
          <w:rtl w:val="0"/>
        </w:rPr>
        <w:t xml:space="preserve">[indicate date on which the Notification of Complaint and Commencement of Administrative Proceeding was received]</w:t>
      </w:r>
      <w:r w:rsidDel="00000000" w:rsidR="00000000" w:rsidRPr="00000000">
        <w:rPr>
          <w:rFonts w:ascii="Arial" w:cs="Arial" w:eastAsia="Arial" w:hAnsi="Arial"/>
          <w:sz w:val="20"/>
          <w:szCs w:val="20"/>
          <w:rtl w:val="0"/>
        </w:rPr>
        <w:t xml:space="preserve">, the Respondent received a Notification of Complaint and Commencement of Administrative Proceeding from the WIPO Arbitration and Mediation Center (the </w:t>
      </w:r>
      <w:r w:rsidDel="00000000" w:rsidR="00000000" w:rsidRPr="00000000">
        <w:rPr>
          <w:rFonts w:ascii="Arial" w:cs="Arial" w:eastAsia="Arial" w:hAnsi="Arial"/>
          <w:b w:val="1"/>
          <w:sz w:val="20"/>
          <w:szCs w:val="20"/>
          <w:rtl w:val="0"/>
        </w:rPr>
        <w:t xml:space="preserve">Center</w:t>
      </w:r>
      <w:r w:rsidDel="00000000" w:rsidR="00000000" w:rsidRPr="00000000">
        <w:rPr>
          <w:rFonts w:ascii="Arial" w:cs="Arial" w:eastAsia="Arial" w:hAnsi="Arial"/>
          <w:sz w:val="20"/>
          <w:szCs w:val="20"/>
          <w:rtl w:val="0"/>
        </w:rPr>
        <w:t xml:space="preserve">) by email informing the Respondent that an administrative proceeding had been commenced by the Complainant in accordance with the .ad Dispute Resolution Policy (“</w:t>
      </w:r>
      <w:r w:rsidDel="00000000" w:rsidR="00000000" w:rsidRPr="00000000">
        <w:rPr>
          <w:rFonts w:ascii="Arial" w:cs="Arial" w:eastAsia="Arial" w:hAnsi="Arial"/>
          <w:b w:val="1"/>
          <w:sz w:val="20"/>
          <w:szCs w:val="20"/>
          <w:rtl w:val="0"/>
        </w:rPr>
        <w:t xml:space="preserve">adDRP</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b w:val="1"/>
          <w:sz w:val="20"/>
          <w:szCs w:val="20"/>
          <w:rtl w:val="0"/>
        </w:rPr>
        <w:t xml:space="preserve">Policy</w:t>
      </w:r>
      <w:r w:rsidDel="00000000" w:rsidR="00000000" w:rsidRPr="00000000">
        <w:rPr>
          <w:rFonts w:ascii="Arial" w:cs="Arial" w:eastAsia="Arial" w:hAnsi="Arial"/>
          <w:sz w:val="20"/>
          <w:szCs w:val="20"/>
          <w:rtl w:val="0"/>
        </w:rPr>
        <w:t xml:space="preserve">”), the </w:t>
      </w:r>
      <w:r w:rsidDel="00000000" w:rsidR="00000000" w:rsidRPr="00000000">
        <w:rPr>
          <w:rFonts w:ascii="Arial" w:cs="Arial" w:eastAsia="Arial" w:hAnsi="Arial"/>
          <w:sz w:val="20"/>
          <w:szCs w:val="20"/>
          <w:highlight w:val="white"/>
          <w:rtl w:val="0"/>
        </w:rPr>
        <w:t xml:space="preserve">Rules for ad. Dispute Resolution Policy (the </w:t>
      </w:r>
      <w:r w:rsidDel="00000000" w:rsidR="00000000" w:rsidRPr="00000000">
        <w:rPr>
          <w:rFonts w:ascii="Arial" w:cs="Arial" w:eastAsia="Arial" w:hAnsi="Arial"/>
          <w:b w:val="1"/>
          <w:sz w:val="20"/>
          <w:szCs w:val="20"/>
          <w:highlight w:val="white"/>
          <w:rtl w:val="0"/>
        </w:rPr>
        <w:t xml:space="preserve">adDRP</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Rules</w:t>
      </w:r>
      <w:r w:rsidDel="00000000" w:rsidR="00000000" w:rsidRPr="00000000">
        <w:rPr>
          <w:rFonts w:ascii="Arial" w:cs="Arial" w:eastAsia="Arial" w:hAnsi="Arial"/>
          <w:sz w:val="20"/>
          <w:szCs w:val="20"/>
          <w:highlight w:val="white"/>
          <w:rtl w:val="0"/>
        </w:rPr>
        <w:t xml:space="preserve">), approved by the .ad Registry on March 27, 2024, and in effect as of September 4, 2024, and the Supplemental Rules of WIPO Arbitration and Mediation Center for .ad (the “</w:t>
      </w:r>
      <w:r w:rsidDel="00000000" w:rsidR="00000000" w:rsidRPr="00000000">
        <w:rPr>
          <w:rFonts w:ascii="Arial" w:cs="Arial" w:eastAsia="Arial" w:hAnsi="Arial"/>
          <w:b w:val="1"/>
          <w:sz w:val="20"/>
          <w:szCs w:val="20"/>
          <w:highlight w:val="white"/>
          <w:rtl w:val="0"/>
        </w:rPr>
        <w:t xml:space="preserve">WIPO adDRP</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Supplemental Rules</w:t>
      </w:r>
      <w:r w:rsidDel="00000000" w:rsidR="00000000" w:rsidRPr="00000000">
        <w:rPr>
          <w:rFonts w:ascii="Arial" w:cs="Arial" w:eastAsia="Arial" w:hAnsi="Arial"/>
          <w:sz w:val="20"/>
          <w:szCs w:val="20"/>
          <w:highlight w:val="white"/>
          <w:rtl w:val="0"/>
        </w:rPr>
        <w:t xml:space="preserve">”).  Pursuan</w:t>
      </w:r>
      <w:r w:rsidDel="00000000" w:rsidR="00000000" w:rsidRPr="00000000">
        <w:rPr>
          <w:rFonts w:ascii="Arial" w:cs="Arial" w:eastAsia="Arial" w:hAnsi="Arial"/>
          <w:sz w:val="20"/>
          <w:szCs w:val="20"/>
          <w:rtl w:val="0"/>
        </w:rPr>
        <w:t xml:space="preserve">t to the adDRP Rules, the last day for the submission of a Response by the Respondent is </w:t>
      </w:r>
      <w:r w:rsidDel="00000000" w:rsidR="00000000" w:rsidRPr="00000000">
        <w:rPr>
          <w:rFonts w:ascii="Arial" w:cs="Arial" w:eastAsia="Arial" w:hAnsi="Arial"/>
          <w:color w:val="ff0000"/>
          <w:sz w:val="20"/>
          <w:szCs w:val="20"/>
          <w:rtl w:val="0"/>
        </w:rPr>
        <w:t xml:space="preserve">[insert date]</w:t>
      </w:r>
      <w:r w:rsidDel="00000000" w:rsidR="00000000" w:rsidRPr="00000000">
        <w:rPr>
          <w:rFonts w:ascii="Arial" w:cs="Arial" w:eastAsia="Arial" w:hAnsi="Arial"/>
          <w:sz w:val="20"/>
          <w:szCs w:val="20"/>
          <w:rtl w:val="0"/>
        </w:rPr>
        <w:t xml:space="preserve">.  By submitting this Response, the Respondent agrees to be bound to the WIPO Data Privacy Notice.</w:t>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w:t>
      </w:r>
      <w:r w:rsidDel="00000000" w:rsidR="00000000" w:rsidRPr="00000000">
        <w:rPr>
          <w:rFonts w:ascii="Arial" w:cs="Arial" w:eastAsia="Arial" w:hAnsi="Arial"/>
          <w:b w:val="1"/>
          <w:sz w:val="20"/>
          <w:szCs w:val="20"/>
          <w:u w:val="single"/>
          <w:rtl w:val="0"/>
        </w:rPr>
        <w:t xml:space="preserve">Respondent’s Contact Details</w:t>
      </w:r>
      <w:r w:rsidDel="00000000" w:rsidR="00000000" w:rsidRPr="00000000">
        <w:rPr>
          <w:rtl w:val="0"/>
        </w:rPr>
      </w:r>
    </w:p>
    <w:p w:rsidR="00000000" w:rsidDel="00000000" w:rsidP="00000000" w:rsidRDefault="00000000" w:rsidRPr="00000000" w14:paraId="0000002A">
      <w:pPr>
        <w:keepNext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(adDRP Rules, Paragraphs 5(c)(ii) and (iii))</w:t>
      </w:r>
    </w:p>
    <w:p w:rsidR="00000000" w:rsidDel="00000000" w:rsidP="00000000" w:rsidRDefault="00000000" w:rsidRPr="00000000" w14:paraId="0000002B">
      <w:pPr>
        <w:keepNext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[2.]</w:t>
        <w:tab/>
        <w:t xml:space="preserve">The Respondent in this administrative proceeding is </w:t>
      </w:r>
      <w:r w:rsidDel="00000000" w:rsidR="00000000" w:rsidRPr="00000000">
        <w:rPr>
          <w:rFonts w:ascii="Arial" w:cs="Arial" w:eastAsia="Arial" w:hAnsi="Arial"/>
          <w:color w:val="ff0000"/>
          <w:sz w:val="20"/>
          <w:szCs w:val="20"/>
          <w:rtl w:val="0"/>
        </w:rPr>
        <w:t xml:space="preserve">[provide the full name and, if relevant, corporate or legal status.]</w:t>
      </w:r>
      <w:r w:rsidDel="00000000" w:rsidR="00000000" w:rsidRPr="00000000">
        <w:rPr>
          <w:rFonts w:ascii="Arial" w:cs="Arial" w:eastAsia="Arial" w:hAnsi="Arial"/>
          <w:sz w:val="20"/>
          <w:szCs w:val="20"/>
          <w:rtl w:val="0"/>
        </w:rPr>
        <w:br w:type="textWrapping"/>
        <w:br w:type="textWrapping"/>
        <w:t xml:space="preserve">The Respondent’s contact details are:</w:t>
      </w:r>
    </w:p>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ind w:left="567" w:firstLine="567"/>
        <w:rPr>
          <w:rFonts w:ascii="Arial" w:cs="Arial" w:eastAsia="Arial" w:hAnsi="Arial"/>
          <w:sz w:val="20"/>
          <w:szCs w:val="20"/>
        </w:rPr>
      </w:pPr>
      <w:r w:rsidDel="00000000" w:rsidR="00000000" w:rsidRPr="00000000">
        <w:rPr>
          <w:rFonts w:ascii="Arial" w:cs="Arial" w:eastAsia="Arial" w:hAnsi="Arial"/>
          <w:sz w:val="20"/>
          <w:szCs w:val="20"/>
          <w:rtl w:val="0"/>
        </w:rPr>
        <w:t xml:space="preserve">Name:</w:t>
        <w:tab/>
      </w:r>
      <w:r w:rsidDel="00000000" w:rsidR="00000000" w:rsidRPr="00000000">
        <w:rPr>
          <w:rFonts w:ascii="Arial" w:cs="Arial" w:eastAsia="Arial" w:hAnsi="Arial"/>
          <w:color w:val="ff0000"/>
          <w:sz w:val="20"/>
          <w:szCs w:val="20"/>
          <w:rtl w:val="0"/>
        </w:rPr>
        <w:t xml:space="preserve">[Specify full name]</w:t>
      </w:r>
      <w:r w:rsidDel="00000000" w:rsidR="00000000" w:rsidRPr="00000000">
        <w:rPr>
          <w:rtl w:val="0"/>
        </w:rPr>
      </w:r>
    </w:p>
    <w:p w:rsidR="00000000" w:rsidDel="00000000" w:rsidP="00000000" w:rsidRDefault="00000000" w:rsidRPr="00000000" w14:paraId="0000002F">
      <w:pPr>
        <w:ind w:left="567" w:firstLine="567"/>
        <w:rPr>
          <w:rFonts w:ascii="Arial" w:cs="Arial" w:eastAsia="Arial" w:hAnsi="Arial"/>
          <w:sz w:val="20"/>
          <w:szCs w:val="20"/>
        </w:rPr>
      </w:pPr>
      <w:r w:rsidDel="00000000" w:rsidR="00000000" w:rsidRPr="00000000">
        <w:rPr>
          <w:rFonts w:ascii="Arial" w:cs="Arial" w:eastAsia="Arial" w:hAnsi="Arial"/>
          <w:sz w:val="20"/>
          <w:szCs w:val="20"/>
          <w:rtl w:val="0"/>
        </w:rPr>
        <w:t xml:space="preserve">Address:</w:t>
        <w:tab/>
      </w:r>
      <w:r w:rsidDel="00000000" w:rsidR="00000000" w:rsidRPr="00000000">
        <w:rPr>
          <w:rFonts w:ascii="Arial" w:cs="Arial" w:eastAsia="Arial" w:hAnsi="Arial"/>
          <w:color w:val="ff0000"/>
          <w:sz w:val="20"/>
          <w:szCs w:val="20"/>
          <w:rtl w:val="0"/>
        </w:rPr>
        <w:t xml:space="preserve">[Specify mailing address]</w:t>
      </w:r>
      <w:r w:rsidDel="00000000" w:rsidR="00000000" w:rsidRPr="00000000">
        <w:rPr>
          <w:rtl w:val="0"/>
        </w:rPr>
      </w:r>
    </w:p>
    <w:p w:rsidR="00000000" w:rsidDel="00000000" w:rsidP="00000000" w:rsidRDefault="00000000" w:rsidRPr="00000000" w14:paraId="00000030">
      <w:pPr>
        <w:ind w:left="567" w:firstLine="567"/>
        <w:rPr>
          <w:rFonts w:ascii="Arial" w:cs="Arial" w:eastAsia="Arial" w:hAnsi="Arial"/>
          <w:sz w:val="20"/>
          <w:szCs w:val="20"/>
        </w:rPr>
      </w:pPr>
      <w:r w:rsidDel="00000000" w:rsidR="00000000" w:rsidRPr="00000000">
        <w:rPr>
          <w:rFonts w:ascii="Arial" w:cs="Arial" w:eastAsia="Arial" w:hAnsi="Arial"/>
          <w:sz w:val="20"/>
          <w:szCs w:val="20"/>
          <w:rtl w:val="0"/>
        </w:rPr>
        <w:t xml:space="preserve">Telephone:</w:t>
        <w:tab/>
      </w:r>
      <w:r w:rsidDel="00000000" w:rsidR="00000000" w:rsidRPr="00000000">
        <w:rPr>
          <w:rFonts w:ascii="Arial" w:cs="Arial" w:eastAsia="Arial" w:hAnsi="Arial"/>
          <w:color w:val="ff0000"/>
          <w:sz w:val="20"/>
          <w:szCs w:val="20"/>
          <w:rtl w:val="0"/>
        </w:rPr>
        <w:t xml:space="preserve">[Specify telephone number]</w:t>
      </w:r>
      <w:r w:rsidDel="00000000" w:rsidR="00000000" w:rsidRPr="00000000">
        <w:rPr>
          <w:rtl w:val="0"/>
        </w:rPr>
      </w:r>
    </w:p>
    <w:p w:rsidR="00000000" w:rsidDel="00000000" w:rsidP="00000000" w:rsidRDefault="00000000" w:rsidRPr="00000000" w14:paraId="00000031">
      <w:pPr>
        <w:ind w:left="567" w:firstLine="567"/>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ab/>
      </w:r>
      <w:r w:rsidDel="00000000" w:rsidR="00000000" w:rsidRPr="00000000">
        <w:rPr>
          <w:rFonts w:ascii="Arial" w:cs="Arial" w:eastAsia="Arial" w:hAnsi="Arial"/>
          <w:color w:val="ff0000"/>
          <w:sz w:val="20"/>
          <w:szCs w:val="20"/>
          <w:rtl w:val="0"/>
        </w:rPr>
        <w:t xml:space="preserve">[Specify email address]</w:t>
      </w: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[3.]</w:t>
        <w:tab/>
        <w:t xml:space="preserve">The Respondent’s authorized representative in this administrative proceeding is:</w:t>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ind w:left="567" w:firstLine="2.9999999999999716"/>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[Identify any authorized representative and provide all contact details, including postal address, telephone number, email address.]</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widowControl w:val="0"/>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[4.]</w:t>
        <w:tab/>
        <w:t xml:space="preserve">The Respondent’s preferred method of communications in this administrative proceeding is:</w:t>
      </w:r>
    </w:p>
    <w:p w:rsidR="00000000" w:rsidDel="00000000" w:rsidP="00000000" w:rsidRDefault="00000000" w:rsidRPr="00000000" w14:paraId="0000003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widowControl w:val="0"/>
        <w:ind w:left="1134" w:firstLine="0"/>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Electronic-only material</w:t>
      </w:r>
      <w:r w:rsidDel="00000000" w:rsidR="00000000" w:rsidRPr="00000000">
        <w:rPr>
          <w:rtl w:val="0"/>
        </w:rPr>
      </w:r>
    </w:p>
    <w:p w:rsidR="00000000" w:rsidDel="00000000" w:rsidP="00000000" w:rsidRDefault="00000000" w:rsidRPr="00000000" w14:paraId="0000003B">
      <w:pPr>
        <w:widowControl w:val="0"/>
        <w:ind w:left="11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Method:</w:t>
        <w:tab/>
        <w:t xml:space="preserve">email</w:t>
      </w:r>
    </w:p>
    <w:p w:rsidR="00000000" w:rsidDel="00000000" w:rsidP="00000000" w:rsidRDefault="00000000" w:rsidRPr="00000000" w14:paraId="0000003C">
      <w:pPr>
        <w:widowControl w:val="0"/>
        <w:ind w:left="11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Address:</w:t>
        <w:tab/>
      </w:r>
      <w:r w:rsidDel="00000000" w:rsidR="00000000" w:rsidRPr="00000000">
        <w:rPr>
          <w:rFonts w:ascii="Arial" w:cs="Arial" w:eastAsia="Arial" w:hAnsi="Arial"/>
          <w:color w:val="ff0000"/>
          <w:sz w:val="20"/>
          <w:szCs w:val="20"/>
          <w:rtl w:val="0"/>
        </w:rPr>
        <w:t xml:space="preserve">[email address]</w:t>
      </w:r>
      <w:r w:rsidDel="00000000" w:rsidR="00000000" w:rsidRPr="00000000">
        <w:rPr>
          <w:rtl w:val="0"/>
        </w:rPr>
      </w:r>
    </w:p>
    <w:p w:rsidR="00000000" w:rsidDel="00000000" w:rsidP="00000000" w:rsidRDefault="00000000" w:rsidRPr="00000000" w14:paraId="0000003D">
      <w:pPr>
        <w:widowControl w:val="0"/>
        <w:ind w:left="11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Contact:</w:t>
        <w:tab/>
      </w:r>
      <w:r w:rsidDel="00000000" w:rsidR="00000000" w:rsidRPr="00000000">
        <w:rPr>
          <w:rFonts w:ascii="Arial" w:cs="Arial" w:eastAsia="Arial" w:hAnsi="Arial"/>
          <w:color w:val="ff0000"/>
          <w:sz w:val="20"/>
          <w:szCs w:val="20"/>
          <w:rtl w:val="0"/>
        </w:rPr>
        <w:t xml:space="preserve">[contact person]</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III.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Response to Statements and Allegations Made in Complaint </w:t>
      </w:r>
      <w:r w:rsidDel="00000000" w:rsidR="00000000" w:rsidRPr="00000000">
        <w:rPr>
          <w:rtl w:val="0"/>
        </w:rPr>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(Policy, Paragraphs 4(a), (b), (c), (d); adDRP Rules, Paragraph 5(c)(i))</w:t>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[While the Respondent may provide arguments for each Section below, the Respondent need only rebut the Complainant’s arguments in one of the below Sections for the Complaint to fail.  </w:t>
      </w:r>
    </w:p>
    <w:p w:rsidR="00000000" w:rsidDel="00000000" w:rsidP="00000000" w:rsidRDefault="00000000" w:rsidRPr="00000000" w14:paraId="00000044">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 completing this Section III., do not exceed the 5,000 word limit: WIPO adDRP Supplemental Rules, Paragraph 11(b).  </w:t>
      </w:r>
    </w:p>
    <w:p w:rsidR="00000000" w:rsidDel="00000000" w:rsidP="00000000" w:rsidRDefault="00000000" w:rsidRPr="00000000" w14:paraId="00000046">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Relevant documentation in support of the Response should be submitted as Annexes, with a schedule indexing such documents (see Section X below).  </w:t>
      </w:r>
    </w:p>
    <w:p w:rsidR="00000000" w:rsidDel="00000000" w:rsidP="00000000" w:rsidRDefault="00000000" w:rsidRPr="00000000" w14:paraId="00000048">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[5.]</w:t>
        <w:tab/>
        <w:t xml:space="preserve">The Respondent hereby responds to the statements and allegations in the Complaint and respectfully requests the Administrative Panel to deny the remedies requested by the Complainant.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630" w:right="0" w:hanging="63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Whether the domain name[s] is(are) identical or confusingly similar to a Relevant Identifier in which the Complainant has rights;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63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(Policy, Paragraph 4(a), 4(b))</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[Describe why the Complainant should not be considered as having rights in the Relevant Identifier for purposes of the Policy or why the domain name is not confusingly similar or identical to the Relevant Identifier.]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hanging="567"/>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w:t>
        <w:tab/>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Whether the Respondent has rights or legitimate interests in respect of the domain name[s];</w:t>
      </w:r>
      <w:r w:rsidDel="00000000" w:rsidR="00000000" w:rsidRPr="00000000">
        <w:rPr>
          <w:rtl w:val="0"/>
        </w:rPr>
      </w:r>
    </w:p>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(Policy, Paragraph 4(a), 4(d))</w:t>
        <w:br w:type="textWrapping"/>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930"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[Describe why the Respondent should be considered as having rights or legitimate interests in respect of the domain name(s).  Evidence should be submitted in support of any claims made by the Respondent concerning its alleged rights or legitimate interests in the domain name(s).]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930"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[Depending on your case circumstances, you may wish to address the following (non-exclusive) examples set out at Policy, Paragraph 4(d), demonstrating the Respondent’s rights or legitimate interests in the domain name(s), including: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ind w:left="1134" w:hanging="207.00000000000003"/>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tab/>
        <w:t xml:space="preserve">before any notice to you of the subject matter of the dispute, your use of, or demonstrable preparations to use, the domain name or a name corresponding to the domain name in connection with a bona fide offering of goods or services; or</w:t>
      </w:r>
    </w:p>
    <w:p w:rsidR="00000000" w:rsidDel="00000000" w:rsidP="00000000" w:rsidRDefault="00000000" w:rsidRPr="00000000" w14:paraId="00000058">
      <w:pPr>
        <w:ind w:left="1134" w:hanging="207.00000000000003"/>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59">
      <w:pPr>
        <w:ind w:left="1134" w:hanging="207.00000000000003"/>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ab/>
        <w:t xml:space="preserve">you (as an individual, business, or other organisation) have been commonly known by the domain name, even if you have acquired no trademark rights; or</w:t>
      </w:r>
    </w:p>
    <w:p w:rsidR="00000000" w:rsidDel="00000000" w:rsidP="00000000" w:rsidRDefault="00000000" w:rsidRPr="00000000" w14:paraId="0000005A">
      <w:pPr>
        <w:ind w:left="1134" w:hanging="207.00000000000003"/>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5B">
      <w:pPr>
        <w:ind w:left="1134" w:hanging="207.00000000000003"/>
        <w:rPr>
          <w:rFonts w:ascii="Arial" w:cs="Arial" w:eastAsia="Arial" w:hAnsi="Arial"/>
          <w:i w:val="1"/>
          <w:color w:val="ff0000"/>
          <w:sz w:val="20"/>
          <w:szCs w:val="20"/>
        </w:rPr>
      </w:pPr>
      <w:r w:rsidDel="00000000" w:rsidR="00000000" w:rsidRPr="00000000">
        <w:rPr>
          <w:rFonts w:ascii="Arial" w:cs="Arial" w:eastAsia="Arial" w:hAnsi="Arial"/>
          <w:color w:val="ff0000"/>
          <w:sz w:val="20"/>
          <w:szCs w:val="20"/>
          <w:rtl w:val="0"/>
        </w:rPr>
        <w:tab/>
        <w:t xml:space="preserve">you are making a legitimate non-commercial or fair use of the domain name, without intent for commercial gain to misleadingly divert consumers or to tarnish the Relevant Identifier at issue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hanging="567"/>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w:t>
        <w:tab/>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Whether the domain name[s] [has/have] been registered or [is/are] being used in bad faith.</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(Policy, Paragraph 4(a), 4(c))</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930"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[Describe why the domain name(s) should not be considered as registered </w:t>
      </w:r>
      <w:r w:rsidDel="00000000" w:rsidR="00000000" w:rsidRPr="00000000">
        <w:rPr>
          <w:rFonts w:ascii="Arial" w:cs="Arial" w:eastAsia="Arial" w:hAnsi="Arial"/>
          <w:b w:val="1"/>
          <w:i w:val="0"/>
          <w:smallCaps w:val="0"/>
          <w:strike w:val="0"/>
          <w:color w:val="ff0000"/>
          <w:sz w:val="20"/>
          <w:szCs w:val="20"/>
          <w:u w:val="single"/>
          <w:shd w:fill="auto" w:val="clear"/>
          <w:vertAlign w:val="baseline"/>
          <w:rtl w:val="0"/>
        </w:rPr>
        <w:t xml:space="preserve">or</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used in bad faith.]</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93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930"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[Depending on your case circumstances, you may wish to address the following (non-exclusive) examples set out at Policy, Paragraph 4(c), including: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ind w:left="1134" w:hanging="207.00000000000003"/>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tab/>
        <w:t xml:space="preserve">the domain name(s) (was/were) not registered or acquired primarily for the purpose of selling, renting, or otherwise transferring the domain name registration to another person for valuable consideration in excess of your documented out-of-pocket costs directly related to the domain name(s); or</w:t>
      </w:r>
    </w:p>
    <w:p w:rsidR="00000000" w:rsidDel="00000000" w:rsidP="00000000" w:rsidRDefault="00000000" w:rsidRPr="00000000" w14:paraId="00000065">
      <w:pPr>
        <w:ind w:left="1134" w:hanging="207.00000000000003"/>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66">
      <w:pPr>
        <w:ind w:left="1134" w:hanging="207.00000000000003"/>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tab/>
        <w:t xml:space="preserve">the domain name(s) (was/were) not registered in order to prevent the owner of a Relevant Identifier from reflecting that identifier in a corresponding domain name;</w:t>
      </w:r>
    </w:p>
    <w:p w:rsidR="00000000" w:rsidDel="00000000" w:rsidP="00000000" w:rsidRDefault="00000000" w:rsidRPr="00000000" w14:paraId="00000067">
      <w:pPr>
        <w:ind w:left="1134" w:hanging="207.00000000000003"/>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68">
      <w:pPr>
        <w:ind w:left="1134" w:hanging="207.00000000000003"/>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tab/>
        <w:t xml:space="preserve">the Complainant and the Respondent are not competitors and/or the domain name(s) (was/were) not registered by the Respondent primarily to disrupt the Complainant’s business or activities of another entity or person;</w:t>
      </w:r>
    </w:p>
    <w:p w:rsidR="00000000" w:rsidDel="00000000" w:rsidP="00000000" w:rsidRDefault="00000000" w:rsidRPr="00000000" w14:paraId="00000069">
      <w:pPr>
        <w:ind w:left="1134" w:hanging="207.00000000000003"/>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6A">
      <w:pPr>
        <w:ind w:left="1134" w:hanging="207.00000000000003"/>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tab/>
        <w:t xml:space="preserve">the domain name(s) (was/were) not registered by the Respondent in an intentional attempt to attract for commercial gain, Internet users to the Respondent’s web site or other on-line location, by creating a likelihood of confusion with the Complainant’s Relevant Identifier as to the source, sponsorship, affiliation, or endorsement of the Respondent’s web site or location or of a product or service on the Respondent’s web site or location.]</w:t>
      </w:r>
    </w:p>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IV.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Other Legal Proceedings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(adDRP Rules, Paragraph 5(c)(iv))</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0" w:hanging="567"/>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tab/>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[If any, identify other legal proceedings that have been commenced or terminated in connection with or relating to the domain name(s) that (is/are) the subject of the Complaint.]</w:t>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pStyle w:val="Heading4"/>
        <w:rPr>
          <w:rFonts w:ascii="Arial" w:cs="Arial" w:eastAsia="Arial" w:hAnsi="Arial"/>
          <w:sz w:val="20"/>
          <w:szCs w:val="20"/>
          <w:u w:val="none"/>
        </w:rPr>
      </w:pPr>
      <w:r w:rsidDel="00000000" w:rsidR="00000000" w:rsidRPr="00000000">
        <w:rPr>
          <w:rFonts w:ascii="Arial" w:cs="Arial" w:eastAsia="Arial" w:hAnsi="Arial"/>
          <w:sz w:val="20"/>
          <w:szCs w:val="20"/>
          <w:u w:val="none"/>
          <w:rtl w:val="0"/>
        </w:rPr>
        <w:t xml:space="preserve">V.</w:t>
      </w:r>
      <w:r w:rsidDel="00000000" w:rsidR="00000000" w:rsidRPr="00000000">
        <w:rPr>
          <w:rFonts w:ascii="Arial" w:cs="Arial" w:eastAsia="Arial" w:hAnsi="Arial"/>
          <w:b w:val="0"/>
          <w:sz w:val="20"/>
          <w:szCs w:val="20"/>
          <w:u w:val="none"/>
          <w:rtl w:val="0"/>
        </w:rPr>
        <w:t xml:space="preserve">  </w:t>
      </w:r>
      <w:r w:rsidDel="00000000" w:rsidR="00000000" w:rsidRPr="00000000">
        <w:rPr>
          <w:rFonts w:ascii="Arial" w:cs="Arial" w:eastAsia="Arial" w:hAnsi="Arial"/>
          <w:sz w:val="20"/>
          <w:szCs w:val="20"/>
          <w:rtl w:val="0"/>
        </w:rPr>
        <w:t xml:space="preserve">Communications</w:t>
      </w:r>
      <w:r w:rsidDel="00000000" w:rsidR="00000000" w:rsidRPr="00000000">
        <w:rPr>
          <w:rtl w:val="0"/>
        </w:rPr>
      </w:r>
    </w:p>
    <w:p w:rsidR="00000000" w:rsidDel="00000000" w:rsidP="00000000" w:rsidRDefault="00000000" w:rsidRPr="00000000" w14:paraId="00000074">
      <w:pPr>
        <w:pStyle w:val="Heading4"/>
        <w:rPr>
          <w:rFonts w:ascii="Arial" w:cs="Arial" w:eastAsia="Arial" w:hAnsi="Arial"/>
          <w:b w:val="0"/>
          <w:sz w:val="20"/>
          <w:szCs w:val="20"/>
          <w:u w:val="none"/>
        </w:rPr>
      </w:pPr>
      <w:r w:rsidDel="00000000" w:rsidR="00000000" w:rsidRPr="00000000">
        <w:rPr>
          <w:rFonts w:ascii="Arial" w:cs="Arial" w:eastAsia="Arial" w:hAnsi="Arial"/>
          <w:b w:val="0"/>
          <w:sz w:val="20"/>
          <w:szCs w:val="20"/>
          <w:u w:val="none"/>
          <w:rtl w:val="0"/>
        </w:rPr>
        <w:t xml:space="preserve">(adDRP Rules, paras. 2(b), 5(c)(v);  WIPO adDRP Supplemental Rules, Paragraphs 3, 7, 12(b))</w:t>
      </w:r>
    </w:p>
    <w:p w:rsidR="00000000" w:rsidDel="00000000" w:rsidP="00000000" w:rsidRDefault="00000000" w:rsidRPr="00000000" w14:paraId="00000075">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[7.]</w:t>
        <w:tab/>
        <w:t xml:space="preserve">A copy of this Response has been transmitted to the Complainant on </w:t>
      </w:r>
      <w:r w:rsidDel="00000000" w:rsidR="00000000" w:rsidRPr="00000000">
        <w:rPr>
          <w:rFonts w:ascii="Arial" w:cs="Arial" w:eastAsia="Arial" w:hAnsi="Arial"/>
          <w:color w:val="ff0000"/>
          <w:sz w:val="20"/>
          <w:szCs w:val="20"/>
          <w:rtl w:val="0"/>
        </w:rPr>
        <w:t xml:space="preserve">[date] </w:t>
      </w:r>
      <w:r w:rsidDel="00000000" w:rsidR="00000000" w:rsidRPr="00000000">
        <w:rPr>
          <w:rFonts w:ascii="Arial" w:cs="Arial" w:eastAsia="Arial" w:hAnsi="Arial"/>
          <w:sz w:val="20"/>
          <w:szCs w:val="20"/>
          <w:rtl w:val="0"/>
        </w:rPr>
        <w:t xml:space="preserve">in electronic form.</w:t>
      </w:r>
    </w:p>
    <w:p w:rsidR="00000000" w:rsidDel="00000000" w:rsidP="00000000" w:rsidRDefault="00000000" w:rsidRPr="00000000" w14:paraId="00000077">
      <w:pPr>
        <w:ind w:left="567" w:hanging="56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[8.]</w:t>
        <w:tab/>
        <w:t xml:space="preserve">This Response is submitted to the Center in electronic form, including any annexes, in the appropriate format.</w:t>
      </w:r>
    </w:p>
    <w:p w:rsidR="00000000" w:rsidDel="00000000" w:rsidP="00000000" w:rsidRDefault="00000000" w:rsidRPr="00000000" w14:paraId="000000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pStyle w:val="Heading4"/>
        <w:rPr>
          <w:rFonts w:ascii="Arial" w:cs="Arial" w:eastAsia="Arial" w:hAnsi="Arial"/>
          <w:b w:val="0"/>
          <w:sz w:val="20"/>
          <w:szCs w:val="20"/>
          <w:u w:val="none"/>
        </w:rPr>
      </w:pPr>
      <w:r w:rsidDel="00000000" w:rsidR="00000000" w:rsidRPr="00000000">
        <w:rPr>
          <w:rFonts w:ascii="Arial" w:cs="Arial" w:eastAsia="Arial" w:hAnsi="Arial"/>
          <w:sz w:val="20"/>
          <w:szCs w:val="20"/>
          <w:u w:val="none"/>
          <w:rtl w:val="0"/>
        </w:rPr>
        <w:t xml:space="preserve">VI.  </w:t>
      </w:r>
      <w:r w:rsidDel="00000000" w:rsidR="00000000" w:rsidRPr="00000000">
        <w:rPr>
          <w:rFonts w:ascii="Arial" w:cs="Arial" w:eastAsia="Arial" w:hAnsi="Arial"/>
          <w:sz w:val="20"/>
          <w:szCs w:val="20"/>
          <w:rtl w:val="0"/>
        </w:rPr>
        <w:t xml:space="preserve">Certification</w:t>
      </w:r>
      <w:r w:rsidDel="00000000" w:rsidR="00000000" w:rsidRPr="00000000">
        <w:rPr>
          <w:rtl w:val="0"/>
        </w:rPr>
      </w:r>
    </w:p>
    <w:p w:rsidR="00000000" w:rsidDel="00000000" w:rsidP="00000000" w:rsidRDefault="00000000" w:rsidRPr="00000000" w14:paraId="0000007B">
      <w:pPr>
        <w:pStyle w:val="Heading4"/>
        <w:rPr>
          <w:rFonts w:ascii="Arial" w:cs="Arial" w:eastAsia="Arial" w:hAnsi="Arial"/>
          <w:b w:val="0"/>
          <w:sz w:val="20"/>
          <w:szCs w:val="20"/>
          <w:u w:val="none"/>
        </w:rPr>
      </w:pPr>
      <w:r w:rsidDel="00000000" w:rsidR="00000000" w:rsidRPr="00000000">
        <w:rPr>
          <w:rFonts w:ascii="Arial" w:cs="Arial" w:eastAsia="Arial" w:hAnsi="Arial"/>
          <w:b w:val="0"/>
          <w:sz w:val="20"/>
          <w:szCs w:val="20"/>
          <w:u w:val="none"/>
          <w:rtl w:val="0"/>
        </w:rPr>
        <w:t xml:space="preserve">(adDRP Rules, Paragraph 5(c)(vi), WIPO adDRP Supplemental Rules, Paragraph 14)</w:t>
      </w:r>
    </w:p>
    <w:p w:rsidR="00000000" w:rsidDel="00000000" w:rsidP="00000000" w:rsidRDefault="00000000" w:rsidRPr="00000000" w14:paraId="0000007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[9.]</w:t>
        <w:tab/>
        <w:t xml:space="preserve">The Respondent agrees that its claims and remedies concerning the registration of the domain name, the dispute, or the dispute’s resolution shall be solely against the Complainant and waives all such claims and remedies against (a) the dispute resolution Provider and Panelists, except in the case of deliberate wrongdoing, (b) the Registrar, (c) the .ad Registry, as well as their directors, officers, employees, and agents.</w:t>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ind w:left="567"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[10.]</w:t>
        <w:tab/>
        <w:t xml:space="preserve">The</w:t>
      </w:r>
      <w:r w:rsidDel="00000000" w:rsidR="00000000" w:rsidRPr="00000000">
        <w:rPr>
          <w:rtl w:val="0"/>
        </w:rPr>
        <w:t xml:space="preserve"> </w:t>
      </w:r>
      <w:r w:rsidDel="00000000" w:rsidR="00000000" w:rsidRPr="00000000">
        <w:rPr>
          <w:rFonts w:ascii="Arial" w:cs="Arial" w:eastAsia="Arial" w:hAnsi="Arial"/>
          <w:sz w:val="20"/>
          <w:szCs w:val="20"/>
          <w:rtl w:val="0"/>
        </w:rPr>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 faith and reasonable argument. </w:t>
      </w:r>
    </w:p>
    <w:p w:rsidR="00000000" w:rsidDel="00000000" w:rsidP="00000000" w:rsidRDefault="00000000" w:rsidRPr="00000000" w14:paraId="00000080">
      <w:pPr>
        <w:spacing w:line="36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Respectfully submitted,</w:t>
      </w:r>
    </w:p>
    <w:p w:rsidR="00000000" w:rsidDel="00000000" w:rsidP="00000000" w:rsidRDefault="00000000" w:rsidRPr="00000000" w14:paraId="00000082">
      <w:pPr>
        <w:spacing w:line="36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spacing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w:t>
      </w:r>
    </w:p>
    <w:p w:rsidR="00000000" w:rsidDel="00000000" w:rsidP="00000000" w:rsidRDefault="00000000" w:rsidRPr="00000000" w14:paraId="00000084">
      <w:pPr>
        <w:spacing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[Name/Signature]</w:t>
      </w:r>
    </w:p>
    <w:p w:rsidR="00000000" w:rsidDel="00000000" w:rsidP="00000000" w:rsidRDefault="00000000" w:rsidRPr="00000000" w14:paraId="00000085">
      <w:pPr>
        <w:spacing w:line="36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______________</w:t>
      </w: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4"/>
        <w:rPr>
          <w:rFonts w:ascii="Arial" w:cs="Arial" w:eastAsia="Arial" w:hAnsi="Arial"/>
          <w:sz w:val="20"/>
          <w:szCs w:val="20"/>
        </w:rPr>
      </w:pPr>
      <w:r w:rsidDel="00000000" w:rsidR="00000000" w:rsidRPr="00000000">
        <w:rPr>
          <w:rFonts w:ascii="Arial" w:cs="Arial" w:eastAsia="Arial" w:hAnsi="Arial"/>
          <w:sz w:val="20"/>
          <w:szCs w:val="20"/>
          <w:u w:val="none"/>
          <w:rtl w:val="0"/>
        </w:rPr>
        <w:t xml:space="preserve">VII.  </w:t>
      </w:r>
      <w:r w:rsidDel="00000000" w:rsidR="00000000" w:rsidRPr="00000000">
        <w:rPr>
          <w:rFonts w:ascii="Arial" w:cs="Arial" w:eastAsia="Arial" w:hAnsi="Arial"/>
          <w:sz w:val="20"/>
          <w:szCs w:val="20"/>
          <w:rtl w:val="0"/>
        </w:rPr>
        <w:t xml:space="preserve">List of Annexes</w:t>
      </w:r>
    </w:p>
    <w:p w:rsidR="00000000" w:rsidDel="00000000" w:rsidP="00000000" w:rsidRDefault="00000000" w:rsidRPr="00000000" w14:paraId="000000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[(Rules, Paragraph 5(c), WIPO adDRP Supplemental Rules, Paragraph 12, Annex A)</w:t>
      </w:r>
    </w:p>
    <w:p w:rsidR="00000000" w:rsidDel="00000000" w:rsidP="00000000" w:rsidRDefault="00000000" w:rsidRPr="00000000" w14:paraId="00000089">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[11.] </w:t>
        <w:tab/>
        <w:t xml:space="preserve">The adDRP Rules provide that a Response, including any annexes, shall be submitted electronically.  Under the WIPO adDRP Supplemental Rules, there is a file size limit of 10MB (ten megabytes) for any one attachment, with an overall limit for all submitted materials of no more than 50MB (fifty megabytes).</w:t>
      </w:r>
    </w:p>
    <w:p w:rsidR="00000000" w:rsidDel="00000000" w:rsidP="00000000" w:rsidRDefault="00000000" w:rsidRPr="00000000" w14:paraId="0000008B">
      <w:pPr>
        <w:rPr>
          <w:rFonts w:ascii="Arial" w:cs="Arial" w:eastAsia="Arial" w:hAnsi="Arial"/>
          <w:color w:val="3b3b3b"/>
          <w:sz w:val="20"/>
          <w:szCs w:val="20"/>
        </w:rPr>
      </w:pPr>
      <w:r w:rsidDel="00000000" w:rsidR="00000000" w:rsidRPr="00000000">
        <w:rPr>
          <w:rtl w:val="0"/>
        </w:rPr>
      </w:r>
    </w:p>
    <w:p w:rsidR="00000000" w:rsidDel="00000000" w:rsidP="00000000" w:rsidRDefault="00000000" w:rsidRPr="00000000" w14:paraId="0000008C">
      <w:pPr>
        <w:rPr>
          <w:rFonts w:ascii="Arial" w:cs="Arial" w:eastAsia="Arial" w:hAnsi="Arial"/>
          <w:color w:val="3b3b3b"/>
          <w:sz w:val="20"/>
          <w:szCs w:val="20"/>
        </w:rPr>
      </w:pPr>
      <w:r w:rsidDel="00000000" w:rsidR="00000000" w:rsidRPr="00000000">
        <w:rPr>
          <w:rtl w:val="0"/>
        </w:rPr>
      </w:r>
    </w:p>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709" w:top="992" w:left="1985" w:right="1559" w:header="510" w:footer="2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930" w:hanging="57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ff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0"/>
      <w:szCs w:val="20"/>
    </w:rPr>
  </w:style>
  <w:style w:type="paragraph" w:styleId="Heading2">
    <w:name w:val="heading 2"/>
    <w:basedOn w:val="Normal"/>
    <w:next w:val="Normal"/>
    <w:pPr>
      <w:keepNext w:val="1"/>
      <w:jc w:val="center"/>
    </w:pPr>
    <w:rPr>
      <w:b w:val="1"/>
      <w:sz w:val="22"/>
      <w:szCs w:val="22"/>
    </w:rPr>
  </w:style>
  <w:style w:type="paragraph" w:styleId="Heading3">
    <w:name w:val="heading 3"/>
    <w:basedOn w:val="Normal"/>
    <w:next w:val="Normal"/>
    <w:pPr>
      <w:keepNext w:val="1"/>
      <w:jc w:val="center"/>
    </w:pPr>
    <w:rPr>
      <w:b w:val="1"/>
      <w:color w:val="ff0000"/>
      <w:sz w:val="22"/>
      <w:szCs w:val="22"/>
    </w:rPr>
  </w:style>
  <w:style w:type="paragraph" w:styleId="Heading4">
    <w:name w:val="heading 4"/>
    <w:basedOn w:val="Normal"/>
    <w:next w:val="Normal"/>
    <w:pPr>
      <w:keepNext w:val="1"/>
      <w:jc w:val="center"/>
    </w:pPr>
    <w:rPr>
      <w:b w:val="1"/>
      <w:u w:val="single"/>
    </w:rPr>
  </w:style>
  <w:style w:type="paragraph" w:styleId="Heading5">
    <w:name w:val="heading 5"/>
    <w:basedOn w:val="Normal"/>
    <w:next w:val="Normal"/>
    <w:pPr>
      <w:keepNext w:val="1"/>
      <w:jc w:val="center"/>
    </w:pPr>
    <w:rPr>
      <w:b w:val="1"/>
    </w:rPr>
  </w:style>
  <w:style w:type="paragraph" w:styleId="Heading6">
    <w:name w:val="heading 6"/>
    <w:basedOn w:val="Normal"/>
    <w:next w:val="Normal"/>
    <w:pPr>
      <w:keepNext w:val="1"/>
      <w:ind w:left="360"/>
      <w:jc w:val="center"/>
    </w:pPr>
    <w:rPr>
      <w:b w:val="1"/>
      <w:sz w:val="36"/>
      <w:szCs w:val="3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rPr>
  </w:style>
  <w:style w:type="paragraph" w:styleId="Heading1">
    <w:name w:val="heading 1"/>
    <w:basedOn w:val="Normal"/>
    <w:next w:val="Normal"/>
    <w:qFormat w:val="1"/>
    <w:pPr>
      <w:keepNext w:val="1"/>
      <w:jc w:val="center"/>
      <w:outlineLvl w:val="0"/>
    </w:pPr>
    <w:rPr>
      <w:b w:val="1"/>
      <w:sz w:val="20"/>
    </w:rPr>
  </w:style>
  <w:style w:type="paragraph" w:styleId="Heading2">
    <w:name w:val="heading 2"/>
    <w:basedOn w:val="Normal"/>
    <w:next w:val="Normal"/>
    <w:qFormat w:val="1"/>
    <w:pPr>
      <w:keepNext w:val="1"/>
      <w:jc w:val="center"/>
      <w:outlineLvl w:val="1"/>
    </w:pPr>
    <w:rPr>
      <w:b w:val="1"/>
      <w:sz w:val="22"/>
    </w:rPr>
  </w:style>
  <w:style w:type="paragraph" w:styleId="Heading3">
    <w:name w:val="heading 3"/>
    <w:basedOn w:val="Normal"/>
    <w:next w:val="Normal"/>
    <w:qFormat w:val="1"/>
    <w:pPr>
      <w:keepNext w:val="1"/>
      <w:jc w:val="center"/>
      <w:outlineLvl w:val="2"/>
    </w:pPr>
    <w:rPr>
      <w:b w:val="1"/>
      <w:color w:val="ff0000"/>
      <w:sz w:val="22"/>
    </w:rPr>
  </w:style>
  <w:style w:type="paragraph" w:styleId="Heading4">
    <w:name w:val="heading 4"/>
    <w:basedOn w:val="Normal"/>
    <w:next w:val="Normal"/>
    <w:qFormat w:val="1"/>
    <w:pPr>
      <w:keepNext w:val="1"/>
      <w:jc w:val="center"/>
      <w:outlineLvl w:val="3"/>
    </w:pPr>
    <w:rPr>
      <w:b w:val="1"/>
      <w:u w:val="single"/>
    </w:rPr>
  </w:style>
  <w:style w:type="paragraph" w:styleId="Heading5">
    <w:name w:val="heading 5"/>
    <w:basedOn w:val="Normal"/>
    <w:next w:val="Normal"/>
    <w:qFormat w:val="1"/>
    <w:pPr>
      <w:keepNext w:val="1"/>
      <w:jc w:val="center"/>
      <w:outlineLvl w:val="4"/>
    </w:pPr>
    <w:rPr>
      <w:b w:val="1"/>
      <w:snapToGrid w:val="0"/>
    </w:rPr>
  </w:style>
  <w:style w:type="paragraph" w:styleId="Heading6">
    <w:name w:val="heading 6"/>
    <w:basedOn w:val="Normal"/>
    <w:next w:val="Normal"/>
    <w:qFormat w:val="1"/>
    <w:pPr>
      <w:keepNext w:val="1"/>
      <w:ind w:left="360"/>
      <w:jc w:val="center"/>
      <w:outlineLvl w:val="5"/>
    </w:pPr>
    <w:rPr>
      <w:b w:val="1"/>
      <w:sz w:val="36"/>
    </w:rPr>
  </w:style>
  <w:style w:type="paragraph" w:styleId="Heading7">
    <w:name w:val="heading 7"/>
    <w:basedOn w:val="Normal"/>
    <w:next w:val="Normal"/>
    <w:qFormat w:val="1"/>
    <w:pPr>
      <w:keepNext w:val="1"/>
      <w:ind w:left="360"/>
      <w:jc w:val="center"/>
      <w:outlineLvl w:val="6"/>
    </w:pPr>
    <w:rPr>
      <w:b w:val="1"/>
    </w:rPr>
  </w:style>
  <w:style w:type="paragraph" w:styleId="Heading8">
    <w:name w:val="heading 8"/>
    <w:basedOn w:val="Normal"/>
    <w:next w:val="Normal"/>
    <w:qFormat w:val="1"/>
    <w:pPr>
      <w:keepNext w:val="1"/>
      <w:jc w:val="center"/>
      <w:outlineLvl w:val="7"/>
    </w:pPr>
    <w:rPr>
      <w:b w:val="1"/>
      <w:sz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val="1"/>
    </w:rPr>
  </w:style>
  <w:style w:type="character" w:styleId="PageNumber">
    <w:name w:val="page number"/>
    <w:basedOn w:val="DefaultParagraphFont"/>
  </w:style>
  <w:style w:type="paragraph" w:styleId="BodyTextIndent">
    <w:name w:val="Body Text Indent"/>
    <w:basedOn w:val="Normal"/>
    <w:pPr>
      <w:spacing w:line="360" w:lineRule="auto"/>
      <w:ind w:left="567"/>
    </w:pPr>
    <w:rPr>
      <w:i w:val="1"/>
    </w:rPr>
  </w:style>
  <w:style w:type="character" w:styleId="Hyperlink">
    <w:name w:val="Hyperlink"/>
    <w:rPr>
      <w:color w:val="0000ff"/>
      <w:u w:val="single"/>
    </w:rPr>
  </w:style>
  <w:style w:type="paragraph" w:styleId="NormalWeb">
    <w:name w:val="Normal (Web)"/>
    <w:basedOn w:val="Normal"/>
    <w:pPr>
      <w:spacing w:after="100" w:afterAutospacing="1" w:before="100" w:beforeAutospacing="1"/>
    </w:pPr>
    <w:rPr>
      <w:szCs w:val="24"/>
    </w:rPr>
  </w:style>
  <w:style w:type="paragraph" w:styleId="FootnoteText">
    <w:name w:val="footnote text"/>
    <w:basedOn w:val="Normal"/>
    <w:semiHidden w:val="1"/>
    <w:rPr>
      <w:sz w:val="20"/>
    </w:rPr>
  </w:style>
  <w:style w:type="character" w:styleId="FootnoteReference">
    <w:name w:val="footnote reference"/>
    <w:semiHidden w:val="1"/>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val="1"/>
    </w:rPr>
  </w:style>
  <w:style w:type="paragraph" w:styleId="BodyTextIndent3">
    <w:name w:val="Body Text Indent 3"/>
    <w:basedOn w:val="Normal"/>
    <w:pPr>
      <w:ind w:left="1134" w:hanging="207"/>
    </w:pPr>
    <w:rPr>
      <w:i w:val="1"/>
    </w:rPr>
  </w:style>
  <w:style w:type="paragraph" w:styleId="BalloonText">
    <w:name w:val="Balloon Text"/>
    <w:basedOn w:val="Normal"/>
    <w:semiHidden w:val="1"/>
    <w:rsid w:val="00A56835"/>
    <w:rPr>
      <w:rFonts w:ascii="Tahoma" w:cs="Tahoma" w:hAnsi="Tahoma"/>
      <w:sz w:val="16"/>
      <w:szCs w:val="16"/>
    </w:rPr>
  </w:style>
  <w:style w:type="character" w:styleId="Emphasis">
    <w:name w:val="Emphasis"/>
    <w:qFormat w:val="1"/>
    <w:rsid w:val="00EF7656"/>
    <w:rPr>
      <w:i w:val="1"/>
      <w:iCs w:val="1"/>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styleId="CommentTextChar" w:customStyle="1">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val="1"/>
      <w:bCs w:val="1"/>
    </w:rPr>
  </w:style>
  <w:style w:type="character" w:styleId="CommentSubjectChar" w:customStyle="1">
    <w:name w:val="Comment Subject Char"/>
    <w:link w:val="CommentSubject"/>
    <w:rsid w:val="002047DE"/>
    <w:rPr>
      <w:b w:val="1"/>
      <w:bCs w:val="1"/>
    </w:rPr>
  </w:style>
  <w:style w:type="paragraph" w:styleId="Revision">
    <w:name w:val="Revision"/>
    <w:hidden w:val="1"/>
    <w:uiPriority w:val="99"/>
    <w:semiHidden w:val="1"/>
    <w:rsid w:val="007666F0"/>
    <w:rPr>
      <w:sz w:val="24"/>
    </w:rPr>
  </w:style>
  <w:style w:type="character" w:styleId="UnresolvedMention">
    <w:name w:val="Unresolved Mention"/>
    <w:basedOn w:val="DefaultParagraphFont"/>
    <w:uiPriority w:val="99"/>
    <w:semiHidden w:val="1"/>
    <w:unhideWhenUsed w:val="1"/>
    <w:rsid w:val="00B24DAB"/>
    <w:rPr>
      <w:color w:val="605e5c"/>
      <w:shd w:color="auto" w:fill="e1dfdd" w:val="clear"/>
    </w:rPr>
  </w:style>
  <w:style w:type="character" w:styleId="FollowedHyperlink">
    <w:name w:val="FollowedHyperlink"/>
    <w:basedOn w:val="DefaultParagraphFont"/>
    <w:rsid w:val="00AD0A8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A6do95OojwakznJpaSXc7o7Jg==">CgMxLjA4AHIhMXVXS2tReU1Lc1IyNDBWajZtU3lGRkd4ek1BekhnQi1m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2024-08-09T12:39:00Z</dcterms:created>
</cp:coreProperties>
</file>