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52164">
              <w:rPr>
                <w:rFonts w:ascii="Arial Black" w:hAnsi="Arial Black"/>
                <w:color w:val="000000"/>
                <w:sz w:val="15"/>
                <w:lang w:val="es-ES_tradnl"/>
              </w:rPr>
              <w:t>55</w:t>
            </w:r>
            <w:r w:rsidR="006762A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93138">
        <w:rPr>
          <w:b/>
          <w:sz w:val="24"/>
          <w:szCs w:val="24"/>
          <w:lang w:val="es-ES_tradnl"/>
        </w:rPr>
        <w:t>Islandia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893138">
        <w:rPr>
          <w:lang w:val="es-ES_tradnl" w:eastAsia="ja-JP"/>
        </w:rPr>
        <w:t>Islandia</w:t>
      </w:r>
      <w:r w:rsidRPr="0071201D">
        <w:rPr>
          <w:lang w:val="es-ES_tradnl" w:eastAsia="ja-JP"/>
        </w:rPr>
        <w:t xml:space="preserve"> </w:t>
      </w:r>
      <w:r w:rsidR="00F77FF6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893138">
        <w:rPr>
          <w:lang w:val="es-ES_tradnl" w:eastAsia="ja-JP"/>
        </w:rPr>
        <w:t>Islandia</w:t>
      </w:r>
      <w:r w:rsidR="00AF0D28">
        <w:rPr>
          <w:lang w:val="es-ES_tradnl" w:eastAsia="ja-JP"/>
        </w:rPr>
        <w:t>.</w:t>
      </w:r>
    </w:p>
    <w:p w:rsidR="00AF0D28" w:rsidRDefault="00C81222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352164">
        <w:rPr>
          <w:lang w:val="es-ES_tradnl" w:eastAsia="ja-JP"/>
        </w:rPr>
        <w:t>3</w:t>
      </w:r>
      <w:r w:rsidR="008B5992"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 w:rsidR="008B5992">
        <w:rPr>
          <w:lang w:val="es-ES_tradnl" w:eastAsia="ja-JP"/>
        </w:rPr>
        <w:t> </w:t>
      </w:r>
      <w:r w:rsidR="00352164">
        <w:rPr>
          <w:lang w:val="es-ES_tradnl" w:eastAsia="ja-JP"/>
        </w:rPr>
        <w:t>octu</w:t>
      </w:r>
      <w:r w:rsidR="00AF0D28">
        <w:rPr>
          <w:lang w:val="es-ES_tradnl" w:eastAsia="ja-JP"/>
        </w:rPr>
        <w:t>bre</w:t>
      </w:r>
      <w:r w:rsidR="008B5992"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 w:rsidR="008B5992">
        <w:rPr>
          <w:lang w:val="es-ES_tradnl" w:eastAsia="ja-JP"/>
        </w:rPr>
        <w:t> </w:t>
      </w:r>
      <w:r w:rsidR="00AF0D28">
        <w:rPr>
          <w:lang w:val="es-ES_tradnl" w:eastAsia="ja-JP"/>
        </w:rPr>
        <w:t xml:space="preserve">2020,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893138">
        <w:rPr>
          <w:lang w:val="es-ES_tradnl" w:eastAsia="ja-JP"/>
        </w:rPr>
        <w:t>Islandia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11"/>
        <w:gridCol w:w="1896"/>
        <w:gridCol w:w="1808"/>
      </w:tblGrid>
      <w:tr w:rsidR="00893138" w:rsidRPr="00615097" w:rsidTr="003E11B8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</w:tr>
      <w:tr w:rsidR="00893138" w:rsidRPr="007044F6" w:rsidTr="00390865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893138" w:rsidRDefault="00893138" w:rsidP="00893138">
            <w:pPr>
              <w:jc w:val="center"/>
              <w:rPr>
                <w:lang w:val="es-CU" w:eastAsia="ja-JP"/>
              </w:rPr>
            </w:pPr>
          </w:p>
          <w:p w:rsidR="00893138" w:rsidRDefault="00893138" w:rsidP="00893138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 w:rsidR="008B5992">
              <w:rPr>
                <w:lang w:val="es-CU" w:eastAsia="ja-JP"/>
              </w:rPr>
              <w:t xml:space="preserve"> </w:t>
            </w:r>
            <w:r w:rsidR="00352164">
              <w:rPr>
                <w:lang w:val="es-CU" w:eastAsia="ja-JP"/>
              </w:rPr>
              <w:t>2</w:t>
            </w:r>
            <w:r w:rsidR="008B5992">
              <w:rPr>
                <w:lang w:val="es-CU" w:eastAsia="ja-JP"/>
              </w:rPr>
              <w:t> </w:t>
            </w:r>
            <w:r w:rsidR="00F87EDB">
              <w:rPr>
                <w:lang w:val="es-ES_tradnl" w:eastAsia="ja-JP"/>
              </w:rPr>
              <w:t>de</w:t>
            </w:r>
            <w:r w:rsidR="008B5992">
              <w:rPr>
                <w:lang w:val="es-ES_tradnl" w:eastAsia="ja-JP"/>
              </w:rPr>
              <w:t xml:space="preserve"> </w:t>
            </w:r>
            <w:r w:rsidR="00352164">
              <w:rPr>
                <w:lang w:val="es-ES_tradnl" w:eastAsia="ja-JP"/>
              </w:rPr>
              <w:t>octu</w:t>
            </w:r>
            <w:r w:rsidR="00F87EDB">
              <w:rPr>
                <w:lang w:val="es-ES_tradnl" w:eastAsia="ja-JP"/>
              </w:rPr>
              <w:t xml:space="preserve">bre </w:t>
            </w:r>
            <w:r w:rsidRPr="00E533D5">
              <w:rPr>
                <w:lang w:val="es-CU" w:eastAsia="ja-JP"/>
              </w:rPr>
              <w:t>de 2020</w:t>
            </w:r>
          </w:p>
          <w:p w:rsidR="00893138" w:rsidRPr="00893138" w:rsidRDefault="00893138" w:rsidP="0097310B">
            <w:pPr>
              <w:rPr>
                <w:lang w:val="es-C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93138" w:rsidRDefault="00893138" w:rsidP="0097310B">
            <w:pPr>
              <w:rPr>
                <w:lang w:val="es-ES_tradnl"/>
              </w:rPr>
            </w:pPr>
          </w:p>
          <w:p w:rsidR="00893138" w:rsidRDefault="00352164" w:rsidP="008B5992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a partir del 3 de octu</w:t>
            </w:r>
            <w:r w:rsidR="008B5992">
              <w:rPr>
                <w:b/>
                <w:lang w:val="es-ES_tradnl" w:eastAsia="ja-JP"/>
              </w:rPr>
              <w:t>bre de </w:t>
            </w:r>
            <w:r w:rsidR="00893138" w:rsidRPr="000E3C14">
              <w:rPr>
                <w:b/>
                <w:lang w:val="es-ES_tradnl" w:eastAsia="ja-JP"/>
              </w:rPr>
              <w:t>2020</w:t>
            </w:r>
          </w:p>
          <w:p w:rsidR="00352164" w:rsidRPr="004E34B0" w:rsidRDefault="00352164" w:rsidP="008B5992">
            <w:pPr>
              <w:jc w:val="center"/>
              <w:rPr>
                <w:lang w:val="es-ES_tradnl"/>
              </w:rPr>
            </w:pPr>
          </w:p>
        </w:tc>
      </w:tr>
      <w:tr w:rsidR="00893138" w:rsidRPr="00615097" w:rsidTr="00390865">
        <w:trPr>
          <w:trHeight w:val="25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6D7A67" w:rsidRDefault="006D7A67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rPr>
                <w:b/>
                <w:lang w:val="es-ES_tradnl"/>
              </w:rPr>
            </w:pPr>
          </w:p>
          <w:p w:rsidR="006D7A67" w:rsidRPr="007044F6" w:rsidRDefault="006D7A67" w:rsidP="00582F0D">
            <w:pPr>
              <w:jc w:val="center"/>
              <w:rPr>
                <w:b/>
                <w:lang w:val="es-ES_tradnl"/>
              </w:rPr>
            </w:pPr>
          </w:p>
          <w:p w:rsidR="00893138" w:rsidRPr="007044F6" w:rsidRDefault="00582F0D" w:rsidP="00582F0D">
            <w:pPr>
              <w:jc w:val="center"/>
              <w:rPr>
                <w:b/>
                <w:lang w:val="es-ES_tradnl"/>
              </w:rPr>
            </w:pPr>
            <w:r w:rsidRPr="007044F6">
              <w:rPr>
                <w:b/>
                <w:lang w:val="es-ES_tradnl"/>
              </w:rPr>
              <w:t>227</w:t>
            </w: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893138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rFonts w:eastAsia="MS Mincho"/>
                <w:b/>
                <w:szCs w:val="22"/>
                <w:lang w:val="es-ES_tradnl" w:eastAsia="ja-JP"/>
              </w:rPr>
              <w:t xml:space="preserve"> 49</w:t>
            </w:r>
          </w:p>
        </w:tc>
      </w:tr>
      <w:tr w:rsidR="00893138" w:rsidRPr="007044F6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138" w:rsidRPr="007044F6" w:rsidRDefault="00893138" w:rsidP="0097310B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266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893138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b/>
                <w:lang w:val="es-ES_tradnl"/>
              </w:rPr>
              <w:t>227</w:t>
            </w: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893138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rFonts w:eastAsia="MS Mincho"/>
                <w:b/>
                <w:szCs w:val="22"/>
                <w:lang w:val="es-ES_tradnl" w:eastAsia="ja-JP"/>
              </w:rPr>
              <w:t xml:space="preserve"> 49</w:t>
            </w:r>
          </w:p>
        </w:tc>
      </w:tr>
    </w:tbl>
    <w:p w:rsidR="00390865" w:rsidRDefault="00390865" w:rsidP="0089313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11"/>
        <w:gridCol w:w="1896"/>
        <w:gridCol w:w="1808"/>
      </w:tblGrid>
      <w:tr w:rsidR="00BB07F1" w:rsidRPr="00615097" w:rsidTr="0097310B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</w:tr>
      <w:tr w:rsidR="00BB07F1" w:rsidRPr="007044F6" w:rsidTr="00390865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B07F1" w:rsidRDefault="00BB07F1" w:rsidP="0097310B">
            <w:pPr>
              <w:jc w:val="center"/>
              <w:rPr>
                <w:lang w:val="es-CU" w:eastAsia="ja-JP"/>
              </w:rPr>
            </w:pPr>
          </w:p>
          <w:p w:rsidR="00BB07F1" w:rsidRPr="00893138" w:rsidRDefault="00BB07F1" w:rsidP="005E183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 w:rsidR="008B5992">
              <w:rPr>
                <w:lang w:val="es-CU" w:eastAsia="ja-JP"/>
              </w:rPr>
              <w:t xml:space="preserve"> </w:t>
            </w:r>
            <w:r w:rsidR="004A3EF9">
              <w:rPr>
                <w:lang w:val="es-CU" w:eastAsia="ja-JP"/>
              </w:rPr>
              <w:t>2</w:t>
            </w:r>
            <w:r w:rsidR="008B5992">
              <w:rPr>
                <w:lang w:val="es-CU" w:eastAsia="ja-JP"/>
              </w:rPr>
              <w:t> </w:t>
            </w:r>
            <w:r w:rsidR="004A3EF9">
              <w:rPr>
                <w:lang w:val="es-CU" w:eastAsia="ja-JP"/>
              </w:rPr>
              <w:t>de octu</w:t>
            </w:r>
            <w:r w:rsidR="00C81222">
              <w:rPr>
                <w:lang w:val="es-CU" w:eastAsia="ja-JP"/>
              </w:rPr>
              <w:t>bre</w:t>
            </w:r>
            <w:r w:rsidRPr="00E533D5">
              <w:rPr>
                <w:lang w:val="es-CU" w:eastAsia="ja-JP"/>
              </w:rPr>
              <w:t xml:space="preserve"> de</w:t>
            </w:r>
            <w:r w:rsidR="008B5992">
              <w:rPr>
                <w:lang w:val="es-CU" w:eastAsia="ja-JP"/>
              </w:rPr>
              <w:t> </w:t>
            </w:r>
            <w:r w:rsidRPr="00E533D5">
              <w:rPr>
                <w:lang w:val="es-CU" w:eastAsia="ja-JP"/>
              </w:rPr>
              <w:t>2020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B07F1" w:rsidRDefault="00BB07F1" w:rsidP="00390865">
            <w:pPr>
              <w:jc w:val="center"/>
              <w:rPr>
                <w:lang w:val="es-ES_tradnl"/>
              </w:rPr>
            </w:pPr>
          </w:p>
          <w:p w:rsidR="00352164" w:rsidRDefault="005E1832" w:rsidP="005E1832">
            <w:pPr>
              <w:jc w:val="center"/>
              <w:rPr>
                <w:b/>
                <w:lang w:val="es-ES_tradnl" w:eastAsia="ja-JP"/>
              </w:rPr>
            </w:pPr>
            <w:r w:rsidRPr="005E1832">
              <w:rPr>
                <w:b/>
                <w:lang w:val="es-ES_tradnl" w:eastAsia="ja-JP"/>
              </w:rPr>
              <w:t>a partir del 3 de octubre de 2020</w:t>
            </w:r>
          </w:p>
          <w:p w:rsidR="005E1832" w:rsidRPr="005E1832" w:rsidRDefault="005E1832" w:rsidP="005E1832">
            <w:pPr>
              <w:jc w:val="center"/>
              <w:rPr>
                <w:b/>
                <w:lang w:val="es-ES_tradnl" w:eastAsia="ja-JP"/>
              </w:rPr>
            </w:pPr>
          </w:p>
        </w:tc>
      </w:tr>
      <w:tr w:rsidR="00BB07F1" w:rsidRPr="00615097" w:rsidTr="00390865">
        <w:trPr>
          <w:trHeight w:val="20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  <w:bookmarkStart w:id="1" w:name="_GoBack" w:colFirst="3" w:colLast="3"/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BB07F1" w:rsidRPr="007044F6" w:rsidRDefault="00BB07F1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b/>
                <w:lang w:val="es-ES_tradnl"/>
              </w:rPr>
              <w:t>227</w:t>
            </w:r>
          </w:p>
        </w:tc>
      </w:tr>
      <w:tr w:rsidR="00BB07F1" w:rsidRPr="00615097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Default="00BB07F1" w:rsidP="0097310B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BB07F1" w:rsidRPr="007044F6" w:rsidRDefault="00BB07F1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rFonts w:eastAsia="MS Mincho"/>
                <w:b/>
                <w:szCs w:val="22"/>
                <w:lang w:val="es-ES_tradnl" w:eastAsia="ja-JP"/>
              </w:rPr>
              <w:t xml:space="preserve"> 49</w:t>
            </w:r>
          </w:p>
        </w:tc>
      </w:tr>
      <w:tr w:rsidR="00BB07F1" w:rsidRPr="007044F6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Default="00BB07F1" w:rsidP="0097310B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</w:tc>
      </w:tr>
      <w:tr w:rsidR="00BB07F1" w:rsidRPr="00615097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Pr="00417D19" w:rsidRDefault="00BB07F1" w:rsidP="0097310B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266</w:t>
            </w:r>
          </w:p>
          <w:p w:rsidR="00BB07F1" w:rsidRDefault="00BB07F1" w:rsidP="006D7A67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57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BB07F1" w:rsidRPr="007044F6" w:rsidRDefault="00BB07F1" w:rsidP="0097310B">
            <w:pPr>
              <w:jc w:val="center"/>
              <w:rPr>
                <w:b/>
                <w:lang w:val="es-ES_tradnl"/>
              </w:rPr>
            </w:pPr>
            <w:r w:rsidRPr="007044F6">
              <w:rPr>
                <w:b/>
                <w:lang w:val="es-ES_tradnl"/>
              </w:rPr>
              <w:t>227</w:t>
            </w:r>
          </w:p>
          <w:p w:rsidR="00BB07F1" w:rsidRPr="007044F6" w:rsidRDefault="00BB07F1" w:rsidP="006D7A67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BB07F1" w:rsidRPr="007044F6" w:rsidRDefault="00BB07F1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 w:rsidRPr="007044F6">
              <w:rPr>
                <w:rFonts w:eastAsia="MS Mincho"/>
                <w:b/>
                <w:szCs w:val="22"/>
                <w:lang w:val="es-ES_tradnl" w:eastAsia="ja-JP"/>
              </w:rPr>
              <w:t xml:space="preserve"> 49</w:t>
            </w:r>
          </w:p>
        </w:tc>
      </w:tr>
    </w:tbl>
    <w:bookmarkEnd w:id="1"/>
    <w:p w:rsidR="0027396E" w:rsidRPr="0027396E" w:rsidRDefault="00AF0D28" w:rsidP="00390865">
      <w:pPr>
        <w:pStyle w:val="ONUMFS"/>
        <w:spacing w:before="220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893138">
        <w:rPr>
          <w:snapToGrid w:val="0"/>
          <w:lang w:val="es-ES_tradnl"/>
        </w:rPr>
        <w:t>Islandia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E51251">
        <w:rPr>
          <w:lang w:val="es-ES_tradnl" w:eastAsia="ja-JP"/>
        </w:rPr>
        <w:t>3 de octubre </w:t>
      </w:r>
      <w:r w:rsidR="009419FB">
        <w:rPr>
          <w:lang w:val="es-ES_tradnl" w:eastAsia="ja-JP"/>
        </w:rPr>
        <w:t>de</w:t>
      </w:r>
      <w:r w:rsidR="008B5992">
        <w:rPr>
          <w:lang w:val="es-ES_tradnl" w:eastAsia="ja-JP"/>
        </w:rPr>
        <w:t> </w:t>
      </w:r>
      <w:r w:rsidR="009419FB">
        <w:rPr>
          <w:lang w:val="es-ES_tradnl" w:eastAsia="ja-JP"/>
        </w:rPr>
        <w:t xml:space="preserve">2020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E51251">
        <w:rPr>
          <w:lang w:val="es-ES_tradnl" w:eastAsia="ja-JP"/>
        </w:rPr>
        <w:t>3 de octubre </w:t>
      </w:r>
      <w:r w:rsidR="008B5992">
        <w:rPr>
          <w:lang w:val="es-ES_tradnl" w:eastAsia="ja-JP"/>
        </w:rPr>
        <w:t>de </w:t>
      </w:r>
      <w:r w:rsidR="009419FB">
        <w:rPr>
          <w:lang w:val="es-ES_tradnl" w:eastAsia="ja-JP"/>
        </w:rPr>
        <w:t xml:space="preserve">2020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E51251">
        <w:rPr>
          <w:lang w:val="es-ES_tradnl" w:eastAsia="ja-JP"/>
        </w:rPr>
        <w:t>3 de octubre </w:t>
      </w:r>
      <w:r w:rsidR="008B5992">
        <w:rPr>
          <w:lang w:val="es-ES_tradnl" w:eastAsia="ja-JP"/>
        </w:rPr>
        <w:t>de </w:t>
      </w:r>
      <w:r w:rsidR="009419FB">
        <w:rPr>
          <w:lang w:val="es-ES_tradnl" w:eastAsia="ja-JP"/>
        </w:rPr>
        <w:t>2020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352164" w:rsidP="00390865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3</w:t>
      </w:r>
      <w:r w:rsidR="00A27D7A" w:rsidRPr="0088751E">
        <w:rPr>
          <w:lang w:val="es-ES_tradnl"/>
        </w:rPr>
        <w:t xml:space="preserve"> de </w:t>
      </w:r>
      <w:r w:rsidR="00FD346C">
        <w:rPr>
          <w:lang w:val="es-ES_tradnl"/>
        </w:rPr>
        <w:t>septiembre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5B" w:rsidRDefault="0004035B">
      <w:r>
        <w:separator/>
      </w:r>
    </w:p>
  </w:endnote>
  <w:endnote w:type="continuationSeparator" w:id="0">
    <w:p w:rsidR="0004035B" w:rsidRDefault="0004035B" w:rsidP="003B38C1">
      <w:r>
        <w:separator/>
      </w:r>
    </w:p>
    <w:p w:rsidR="0004035B" w:rsidRPr="003B38C1" w:rsidRDefault="000403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035B" w:rsidRPr="003B38C1" w:rsidRDefault="000403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5B" w:rsidRDefault="0004035B">
      <w:r>
        <w:separator/>
      </w:r>
    </w:p>
  </w:footnote>
  <w:footnote w:type="continuationSeparator" w:id="0">
    <w:p w:rsidR="0004035B" w:rsidRDefault="0004035B" w:rsidP="008B60B2">
      <w:r>
        <w:separator/>
      </w:r>
    </w:p>
    <w:p w:rsidR="0004035B" w:rsidRPr="00ED77FB" w:rsidRDefault="000403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035B" w:rsidRPr="00ED77FB" w:rsidRDefault="000403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044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D346C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4FF"/>
    <w:rsid w:val="000968ED"/>
    <w:rsid w:val="000970CB"/>
    <w:rsid w:val="000A1674"/>
    <w:rsid w:val="000A525D"/>
    <w:rsid w:val="000B2D58"/>
    <w:rsid w:val="000B44A1"/>
    <w:rsid w:val="000C1884"/>
    <w:rsid w:val="000C71B3"/>
    <w:rsid w:val="000D3921"/>
    <w:rsid w:val="000E1DDC"/>
    <w:rsid w:val="000E3C14"/>
    <w:rsid w:val="000E73ED"/>
    <w:rsid w:val="000F11B2"/>
    <w:rsid w:val="000F313C"/>
    <w:rsid w:val="000F5E56"/>
    <w:rsid w:val="000F7A69"/>
    <w:rsid w:val="001043D6"/>
    <w:rsid w:val="00110FB1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2AFA"/>
    <w:rsid w:val="001C2D7E"/>
    <w:rsid w:val="001C6635"/>
    <w:rsid w:val="001E1F47"/>
    <w:rsid w:val="001E3850"/>
    <w:rsid w:val="001F1B95"/>
    <w:rsid w:val="001F717F"/>
    <w:rsid w:val="00202410"/>
    <w:rsid w:val="00205035"/>
    <w:rsid w:val="0020551F"/>
    <w:rsid w:val="00213E14"/>
    <w:rsid w:val="00216DA5"/>
    <w:rsid w:val="0022087F"/>
    <w:rsid w:val="002231FE"/>
    <w:rsid w:val="0022493E"/>
    <w:rsid w:val="002453E8"/>
    <w:rsid w:val="00250BCC"/>
    <w:rsid w:val="00251890"/>
    <w:rsid w:val="0025278E"/>
    <w:rsid w:val="00254F87"/>
    <w:rsid w:val="002634C4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3B91"/>
    <w:rsid w:val="002E5166"/>
    <w:rsid w:val="002E6718"/>
    <w:rsid w:val="002F1FE6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73CF"/>
    <w:rsid w:val="00380429"/>
    <w:rsid w:val="003845C1"/>
    <w:rsid w:val="00390865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2515"/>
    <w:rsid w:val="00515B2E"/>
    <w:rsid w:val="005243B1"/>
    <w:rsid w:val="0053057A"/>
    <w:rsid w:val="005372DA"/>
    <w:rsid w:val="0054582A"/>
    <w:rsid w:val="00546473"/>
    <w:rsid w:val="00546A94"/>
    <w:rsid w:val="0054762F"/>
    <w:rsid w:val="00560A29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6649"/>
    <w:rsid w:val="005C7965"/>
    <w:rsid w:val="005D09DA"/>
    <w:rsid w:val="005E1832"/>
    <w:rsid w:val="005E2346"/>
    <w:rsid w:val="005E5CFA"/>
    <w:rsid w:val="005F2F3B"/>
    <w:rsid w:val="00600876"/>
    <w:rsid w:val="00601B0F"/>
    <w:rsid w:val="00605827"/>
    <w:rsid w:val="00610854"/>
    <w:rsid w:val="00644AA2"/>
    <w:rsid w:val="00645225"/>
    <w:rsid w:val="00646050"/>
    <w:rsid w:val="00647B0C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1292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5FA4"/>
    <w:rsid w:val="00790A94"/>
    <w:rsid w:val="00797D67"/>
    <w:rsid w:val="007B7F73"/>
    <w:rsid w:val="007C31F8"/>
    <w:rsid w:val="007C3E9B"/>
    <w:rsid w:val="007D1613"/>
    <w:rsid w:val="007D250A"/>
    <w:rsid w:val="007D2CF6"/>
    <w:rsid w:val="007D61F2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50844"/>
    <w:rsid w:val="00851F65"/>
    <w:rsid w:val="00852029"/>
    <w:rsid w:val="00853FA8"/>
    <w:rsid w:val="00854071"/>
    <w:rsid w:val="00872890"/>
    <w:rsid w:val="00874184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F1F70"/>
    <w:rsid w:val="008F21E0"/>
    <w:rsid w:val="008F5105"/>
    <w:rsid w:val="00901B6B"/>
    <w:rsid w:val="009032E0"/>
    <w:rsid w:val="0090731E"/>
    <w:rsid w:val="009162E2"/>
    <w:rsid w:val="00916EE2"/>
    <w:rsid w:val="00922789"/>
    <w:rsid w:val="009378BE"/>
    <w:rsid w:val="00940793"/>
    <w:rsid w:val="009419FB"/>
    <w:rsid w:val="0095770F"/>
    <w:rsid w:val="00965EC2"/>
    <w:rsid w:val="00966A22"/>
    <w:rsid w:val="0096722F"/>
    <w:rsid w:val="00975DC9"/>
    <w:rsid w:val="00980843"/>
    <w:rsid w:val="009820CB"/>
    <w:rsid w:val="009832F1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E7B70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6562"/>
    <w:rsid w:val="00A80BEC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C4B"/>
    <w:rsid w:val="00B4261F"/>
    <w:rsid w:val="00B45BDB"/>
    <w:rsid w:val="00B46D7E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07F1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3038"/>
    <w:rsid w:val="00BF4D90"/>
    <w:rsid w:val="00BF65ED"/>
    <w:rsid w:val="00C023DA"/>
    <w:rsid w:val="00C11BFE"/>
    <w:rsid w:val="00C14E91"/>
    <w:rsid w:val="00C2775F"/>
    <w:rsid w:val="00C32F61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20D"/>
    <w:rsid w:val="00DB6E1F"/>
    <w:rsid w:val="00DC18FE"/>
    <w:rsid w:val="00DC22D9"/>
    <w:rsid w:val="00DC3E50"/>
    <w:rsid w:val="00DC7971"/>
    <w:rsid w:val="00DD092B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335FE"/>
    <w:rsid w:val="00E40713"/>
    <w:rsid w:val="00E42B9A"/>
    <w:rsid w:val="00E438C5"/>
    <w:rsid w:val="00E51251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94"/>
    <w:rsid w:val="00F559BC"/>
    <w:rsid w:val="00F57EB4"/>
    <w:rsid w:val="00F66152"/>
    <w:rsid w:val="00F74474"/>
    <w:rsid w:val="00F7721F"/>
    <w:rsid w:val="00F77FF6"/>
    <w:rsid w:val="00F87EDB"/>
    <w:rsid w:val="00FA58D7"/>
    <w:rsid w:val="00FC3D36"/>
    <w:rsid w:val="00FC4C8A"/>
    <w:rsid w:val="00FC7B76"/>
    <w:rsid w:val="00FD346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1749</Characters>
  <Application>Microsoft Office Word</Application>
  <DocSecurity>0</DocSecurity>
  <Lines>174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12</cp:revision>
  <cp:lastPrinted>2020-09-01T13:20:00Z</cp:lastPrinted>
  <dcterms:created xsi:type="dcterms:W3CDTF">2020-09-01T13:20:00Z</dcterms:created>
  <dcterms:modified xsi:type="dcterms:W3CDTF">2020-09-03T15:28:00Z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