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  <w:gridCol w:w="429"/>
      </w:tblGrid>
      <w:tr w:rsidR="00EC4E49" w:rsidRPr="008B2CC1" w:rsidTr="00C55D42">
        <w:tc>
          <w:tcPr>
            <w:tcW w:w="4513" w:type="dxa"/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Mar>
              <w:left w:w="0" w:type="dxa"/>
              <w:right w:w="0" w:type="dxa"/>
            </w:tcMar>
          </w:tcPr>
          <w:p w:rsidR="00EC4E49" w:rsidRPr="008B2CC1" w:rsidRDefault="00C55D42" w:rsidP="00916EE2">
            <w:r>
              <w:rPr>
                <w:noProof/>
                <w:lang w:eastAsia="en-US"/>
              </w:rPr>
              <w:drawing>
                <wp:inline distT="0" distB="0" distL="0" distR="0" wp14:anchorId="5D6B6888" wp14:editId="7C961B4C">
                  <wp:extent cx="1390015" cy="1411605"/>
                  <wp:effectExtent l="0" t="0" r="635" b="0"/>
                  <wp:docPr id="1" name="Picture 1" descr="N:\ORGARBT\SHARED\Marketing\01 Marketing Initiatives\Logos\WIPO Center Logo (Color) H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Marketing\01 Marketing Initiatives\Logos\WIPO Center Logo (Color) H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</w:tbl>
    <w:p w:rsidR="0072653E" w:rsidRPr="003D0823" w:rsidRDefault="0072653E" w:rsidP="003D0823">
      <w:pPr>
        <w:spacing w:before="100" w:beforeAutospacing="1" w:after="100" w:afterAutospacing="1"/>
        <w:jc w:val="center"/>
        <w:outlineLvl w:val="0"/>
        <w:rPr>
          <w:rFonts w:asciiTheme="majorEastAsia" w:eastAsiaTheme="majorEastAsia" w:hAnsiTheme="majorEastAsia"/>
          <w:b/>
          <w:color w:val="990033"/>
          <w:sz w:val="32"/>
          <w:szCs w:val="22"/>
        </w:rPr>
      </w:pPr>
      <w:r w:rsidRPr="003D0823">
        <w:rPr>
          <w:rFonts w:asciiTheme="majorEastAsia" w:eastAsiaTheme="majorEastAsia" w:hAnsiTheme="majorEastAsia"/>
          <w:b/>
          <w:color w:val="990033"/>
          <w:sz w:val="32"/>
          <w:szCs w:val="22"/>
        </w:rPr>
        <w:t>WIP</w:t>
      </w:r>
      <w:r w:rsidRPr="003D0823">
        <w:rPr>
          <w:rFonts w:asciiTheme="majorEastAsia" w:eastAsiaTheme="majorEastAsia" w:hAnsiTheme="majorEastAsia" w:hint="eastAsia"/>
          <w:b/>
          <w:color w:val="990033"/>
          <w:sz w:val="32"/>
          <w:szCs w:val="22"/>
        </w:rPr>
        <w:t>O知识产权和技术纠纷调解</w:t>
      </w:r>
      <w:r w:rsidR="00BC4D4B">
        <w:rPr>
          <w:rFonts w:asciiTheme="majorEastAsia" w:eastAsiaTheme="majorEastAsia" w:hAnsiTheme="majorEastAsia" w:hint="eastAsia"/>
          <w:b/>
          <w:color w:val="990033"/>
          <w:sz w:val="32"/>
          <w:szCs w:val="22"/>
        </w:rPr>
        <w:t>Pledge</w:t>
      </w:r>
    </w:p>
    <w:p w:rsidR="0072653E" w:rsidRPr="0072653E" w:rsidRDefault="0072653E" w:rsidP="00C55D42">
      <w:pPr>
        <w:jc w:val="both"/>
        <w:rPr>
          <w:rFonts w:eastAsiaTheme="minorEastAsia"/>
          <w:szCs w:val="22"/>
        </w:rPr>
      </w:pPr>
    </w:p>
    <w:p w:rsidR="00C55D42" w:rsidRPr="00C55D42" w:rsidRDefault="0072653E" w:rsidP="00C55D42">
      <w:pPr>
        <w:jc w:val="both"/>
        <w:rPr>
          <w:rFonts w:eastAsia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世界知识产权组织（WIPO）通过其仲裁</w:t>
      </w:r>
      <w:r w:rsidR="00D22CAA">
        <w:rPr>
          <w:rFonts w:asciiTheme="minorEastAsia" w:eastAsiaTheme="minorEastAsia" w:hAnsiTheme="minorEastAsia" w:hint="eastAsia"/>
          <w:szCs w:val="22"/>
        </w:rPr>
        <w:t>与</w:t>
      </w:r>
      <w:r>
        <w:rPr>
          <w:rFonts w:asciiTheme="minorEastAsia" w:eastAsiaTheme="minorEastAsia" w:hAnsiTheme="minorEastAsia" w:hint="eastAsia"/>
          <w:szCs w:val="22"/>
        </w:rPr>
        <w:t>调解中心致力于提高公众对于</w:t>
      </w:r>
      <w:r w:rsidR="00414C18">
        <w:rPr>
          <w:rFonts w:asciiTheme="minorEastAsia" w:eastAsiaTheme="minorEastAsia" w:hAnsiTheme="minorEastAsia" w:hint="eastAsia"/>
          <w:szCs w:val="22"/>
        </w:rPr>
        <w:t>采用</w:t>
      </w:r>
      <w:r>
        <w:rPr>
          <w:rFonts w:asciiTheme="minorEastAsia" w:eastAsiaTheme="minorEastAsia" w:hAnsiTheme="minorEastAsia" w:hint="eastAsia"/>
          <w:szCs w:val="22"/>
        </w:rPr>
        <w:t>替代性争议解决机制（ADR）解决知识产权和技术纠纷的认识。</w:t>
      </w:r>
    </w:p>
    <w:p w:rsidR="003D0823" w:rsidRDefault="003D0823" w:rsidP="00C55D42">
      <w:pPr>
        <w:jc w:val="both"/>
        <w:rPr>
          <w:rFonts w:eastAsiaTheme="minorEastAsia"/>
          <w:szCs w:val="22"/>
        </w:rPr>
      </w:pPr>
    </w:p>
    <w:p w:rsidR="00C55D42" w:rsidRPr="00414C18" w:rsidRDefault="005476F5" w:rsidP="00C55D42">
      <w:pPr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WIPO知识产权和技术纠纷调解</w:t>
      </w:r>
      <w:r w:rsidR="00BC4D4B">
        <w:rPr>
          <w:rFonts w:asciiTheme="minorEastAsia" w:eastAsiaTheme="minorEastAsia" w:hAnsiTheme="minorEastAsia" w:hint="eastAsia"/>
          <w:szCs w:val="22"/>
        </w:rPr>
        <w:t>Pledge</w:t>
      </w:r>
      <w:r>
        <w:rPr>
          <w:rFonts w:asciiTheme="minorEastAsia" w:eastAsiaTheme="minorEastAsia" w:hAnsiTheme="minorEastAsia" w:hint="eastAsia"/>
          <w:szCs w:val="22"/>
        </w:rPr>
        <w:t>对</w:t>
      </w:r>
      <w:r w:rsidR="0068374B">
        <w:rPr>
          <w:rFonts w:asciiTheme="minorEastAsia" w:eastAsiaTheme="minorEastAsia" w:hAnsiTheme="minorEastAsia" w:hint="eastAsia"/>
          <w:szCs w:val="22"/>
        </w:rPr>
        <w:t>签署人</w:t>
      </w:r>
      <w:r>
        <w:rPr>
          <w:rFonts w:asciiTheme="minorEastAsia" w:eastAsiaTheme="minorEastAsia" w:hAnsiTheme="minorEastAsia" w:hint="eastAsia"/>
          <w:szCs w:val="22"/>
        </w:rPr>
        <w:t>并不具有法律约束力，其旨在鼓励对调解机制的使用，以降低</w:t>
      </w:r>
      <w:r w:rsidR="0068374B">
        <w:rPr>
          <w:rFonts w:asciiTheme="minorEastAsia" w:eastAsiaTheme="minorEastAsia" w:hAnsiTheme="minorEastAsia" w:hint="eastAsia"/>
          <w:szCs w:val="22"/>
        </w:rPr>
        <w:t>纠纷</w:t>
      </w:r>
      <w:r>
        <w:rPr>
          <w:rFonts w:asciiTheme="minorEastAsia" w:eastAsiaTheme="minorEastAsia" w:hAnsiTheme="minorEastAsia" w:hint="eastAsia"/>
          <w:szCs w:val="22"/>
        </w:rPr>
        <w:t>对于创新和创造过程所产生的不利影响。</w:t>
      </w:r>
    </w:p>
    <w:p w:rsidR="003D0823" w:rsidRDefault="003D0823" w:rsidP="00C55D42">
      <w:pPr>
        <w:jc w:val="both"/>
        <w:rPr>
          <w:rFonts w:eastAsiaTheme="minorEastAsia"/>
          <w:szCs w:val="22"/>
        </w:rPr>
      </w:pPr>
    </w:p>
    <w:p w:rsidR="00C55D42" w:rsidRPr="00C55D42" w:rsidRDefault="005476F5" w:rsidP="00C55D42">
      <w:pPr>
        <w:jc w:val="both"/>
        <w:rPr>
          <w:rFonts w:eastAsia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作为本</w:t>
      </w:r>
      <w:r w:rsidR="00BC4D4B">
        <w:rPr>
          <w:rFonts w:asciiTheme="minorEastAsia" w:eastAsiaTheme="minorEastAsia" w:hAnsiTheme="minorEastAsia" w:hint="eastAsia"/>
          <w:szCs w:val="22"/>
        </w:rPr>
        <w:t>Pledge</w:t>
      </w:r>
      <w:r>
        <w:rPr>
          <w:rFonts w:asciiTheme="minorEastAsia" w:eastAsiaTheme="minorEastAsia" w:hAnsiTheme="minorEastAsia" w:hint="eastAsia"/>
          <w:szCs w:val="22"/>
        </w:rPr>
        <w:t>的签署人，我们认可调解相比于诉讼，可以以更合作化的，省时</w:t>
      </w:r>
      <w:r w:rsidR="00C14E86">
        <w:rPr>
          <w:rFonts w:asciiTheme="minorEastAsia" w:eastAsiaTheme="minorEastAsia" w:hAnsiTheme="minorEastAsia" w:hint="eastAsia"/>
          <w:szCs w:val="22"/>
        </w:rPr>
        <w:t>且</w:t>
      </w:r>
      <w:r w:rsidR="00414C18">
        <w:rPr>
          <w:rFonts w:asciiTheme="minorEastAsia" w:eastAsiaTheme="minorEastAsia" w:hAnsiTheme="minorEastAsia" w:hint="eastAsia"/>
          <w:szCs w:val="22"/>
        </w:rPr>
        <w:t>经济</w:t>
      </w:r>
      <w:r>
        <w:rPr>
          <w:rFonts w:asciiTheme="minorEastAsia" w:eastAsiaTheme="minorEastAsia" w:hAnsiTheme="minorEastAsia" w:hint="eastAsia"/>
          <w:szCs w:val="22"/>
        </w:rPr>
        <w:t>的方式解决涉及知识产权和技术的商事纠纷。</w:t>
      </w:r>
    </w:p>
    <w:p w:rsidR="003D0823" w:rsidRDefault="003D0823" w:rsidP="00C55D42">
      <w:pPr>
        <w:jc w:val="both"/>
        <w:rPr>
          <w:rFonts w:eastAsiaTheme="minorEastAsia"/>
          <w:szCs w:val="22"/>
        </w:rPr>
      </w:pPr>
    </w:p>
    <w:p w:rsidR="00C55D42" w:rsidRDefault="005476F5" w:rsidP="00C55D42">
      <w:pPr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基于此，我们认为</w:t>
      </w:r>
      <w:r w:rsidR="00AA4DB5">
        <w:rPr>
          <w:rFonts w:asciiTheme="minorEastAsia" w:eastAsiaTheme="minorEastAsia" w:hAnsiTheme="minorEastAsia" w:hint="eastAsia"/>
          <w:szCs w:val="22"/>
        </w:rPr>
        <w:t>下列</w:t>
      </w:r>
      <w:r w:rsidR="0068374B">
        <w:rPr>
          <w:rFonts w:asciiTheme="minorEastAsia" w:eastAsiaTheme="minorEastAsia" w:hAnsiTheme="minorEastAsia" w:hint="eastAsia"/>
          <w:szCs w:val="22"/>
        </w:rPr>
        <w:t>表述</w:t>
      </w:r>
      <w:r w:rsidR="00AA4DB5">
        <w:rPr>
          <w:rFonts w:asciiTheme="minorEastAsia" w:eastAsiaTheme="minorEastAsia" w:hAnsiTheme="minorEastAsia" w:hint="eastAsia"/>
          <w:szCs w:val="22"/>
        </w:rPr>
        <w:t>是适宜的</w:t>
      </w:r>
      <w:r>
        <w:rPr>
          <w:rFonts w:asciiTheme="minorEastAsia" w:eastAsiaTheme="minorEastAsia" w:hAnsiTheme="minorEastAsia" w:hint="eastAsia"/>
          <w:szCs w:val="22"/>
        </w:rPr>
        <w:t>:</w:t>
      </w:r>
    </w:p>
    <w:p w:rsidR="005476F5" w:rsidRPr="00C55D42" w:rsidRDefault="005476F5" w:rsidP="00C55D42">
      <w:pPr>
        <w:jc w:val="both"/>
        <w:rPr>
          <w:rFonts w:eastAsia="Times New Roman"/>
          <w:szCs w:val="22"/>
        </w:rPr>
      </w:pPr>
    </w:p>
    <w:p w:rsidR="00C55D42" w:rsidRPr="007045B5" w:rsidRDefault="005476F5" w:rsidP="005476F5">
      <w:pPr>
        <w:pStyle w:val="ListParagraph"/>
        <w:numPr>
          <w:ilvl w:val="0"/>
          <w:numId w:val="8"/>
        </w:numPr>
        <w:jc w:val="both"/>
        <w:rPr>
          <w:rFonts w:eastAsia="Times New Roman"/>
          <w:b/>
          <w:i/>
          <w:szCs w:val="22"/>
        </w:rPr>
      </w:pPr>
      <w:r w:rsidRPr="007045B5">
        <w:rPr>
          <w:rFonts w:asciiTheme="minorEastAsia" w:eastAsiaTheme="minorEastAsia" w:hAnsiTheme="minorEastAsia" w:hint="eastAsia"/>
          <w:b/>
          <w:i/>
          <w:szCs w:val="22"/>
        </w:rPr>
        <w:t>公司，大学及研发中心</w:t>
      </w:r>
    </w:p>
    <w:p w:rsidR="003D0823" w:rsidRPr="005476F5" w:rsidRDefault="003D0823" w:rsidP="003D0823">
      <w:pPr>
        <w:pStyle w:val="ListParagraph"/>
        <w:ind w:left="360"/>
        <w:jc w:val="both"/>
        <w:rPr>
          <w:rFonts w:eastAsia="Times New Roman"/>
          <w:szCs w:val="22"/>
        </w:rPr>
      </w:pPr>
    </w:p>
    <w:p w:rsidR="00AA4DB5" w:rsidRPr="003D0823" w:rsidRDefault="005476F5" w:rsidP="003D0823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</w:rPr>
      </w:pPr>
      <w:r>
        <w:rPr>
          <w:rFonts w:eastAsiaTheme="minorEastAsia" w:hint="eastAsia"/>
          <w:szCs w:val="22"/>
        </w:rPr>
        <w:t>我们</w:t>
      </w:r>
      <w:r w:rsidR="00255A90">
        <w:rPr>
          <w:rFonts w:eastAsiaTheme="minorEastAsia" w:hint="eastAsia"/>
          <w:szCs w:val="22"/>
        </w:rPr>
        <w:t>已</w:t>
      </w:r>
      <w:r>
        <w:rPr>
          <w:rFonts w:eastAsiaTheme="minorEastAsia" w:hint="eastAsia"/>
          <w:szCs w:val="22"/>
        </w:rPr>
        <w:t>准备</w:t>
      </w:r>
      <w:r w:rsidR="00AA4DB5">
        <w:rPr>
          <w:rFonts w:eastAsiaTheme="minorEastAsia" w:hint="eastAsia"/>
          <w:szCs w:val="22"/>
        </w:rPr>
        <w:t>好</w:t>
      </w:r>
      <w:r w:rsidR="00255A90" w:rsidRPr="00C14E86">
        <w:rPr>
          <w:rFonts w:eastAsiaTheme="minorEastAsia" w:hint="eastAsia"/>
          <w:szCs w:val="22"/>
        </w:rPr>
        <w:t>探索</w:t>
      </w:r>
      <w:r>
        <w:rPr>
          <w:rFonts w:eastAsiaTheme="minorEastAsia" w:hint="eastAsia"/>
          <w:szCs w:val="22"/>
        </w:rPr>
        <w:t>在我们</w:t>
      </w:r>
      <w:r w:rsidR="00AA4DB5" w:rsidRPr="00C14E86">
        <w:rPr>
          <w:rFonts w:eastAsiaTheme="minorEastAsia" w:hint="eastAsia"/>
          <w:szCs w:val="22"/>
        </w:rPr>
        <w:t>作为</w:t>
      </w:r>
      <w:r w:rsidR="00637296" w:rsidRPr="00C14E86">
        <w:rPr>
          <w:rFonts w:eastAsiaTheme="minorEastAsia" w:hint="eastAsia"/>
          <w:szCs w:val="22"/>
        </w:rPr>
        <w:t>当事人订立</w:t>
      </w:r>
      <w:r>
        <w:rPr>
          <w:rFonts w:eastAsiaTheme="minorEastAsia" w:hint="eastAsia"/>
          <w:szCs w:val="22"/>
        </w:rPr>
        <w:t>的合同和协议中加入调解条款</w:t>
      </w:r>
      <w:r w:rsidR="00AA4DB5">
        <w:rPr>
          <w:rFonts w:eastAsiaTheme="minorEastAsia" w:hint="eastAsia"/>
          <w:szCs w:val="22"/>
        </w:rPr>
        <w:t>。</w:t>
      </w:r>
    </w:p>
    <w:p w:rsidR="003D0823" w:rsidRPr="003D0823" w:rsidRDefault="003D0823" w:rsidP="003D0823">
      <w:pPr>
        <w:ind w:left="720"/>
        <w:contextualSpacing/>
        <w:jc w:val="both"/>
        <w:rPr>
          <w:rFonts w:eastAsia="Times New Roman"/>
          <w:szCs w:val="22"/>
        </w:rPr>
      </w:pPr>
    </w:p>
    <w:p w:rsidR="00AA4DB5" w:rsidRPr="00C55D42" w:rsidRDefault="00AA4DB5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在缺少调解条款的情况下，我们</w:t>
      </w:r>
      <w:r w:rsidR="00255A90">
        <w:rPr>
          <w:rFonts w:asciiTheme="minorEastAsia" w:eastAsiaTheme="minorEastAsia" w:hAnsiTheme="minorEastAsia" w:hint="eastAsia"/>
          <w:szCs w:val="22"/>
        </w:rPr>
        <w:t>已</w:t>
      </w:r>
      <w:r>
        <w:rPr>
          <w:rFonts w:asciiTheme="minorEastAsia" w:eastAsiaTheme="minorEastAsia" w:hAnsiTheme="minorEastAsia" w:hint="eastAsia"/>
          <w:szCs w:val="22"/>
        </w:rPr>
        <w:t>准备好</w:t>
      </w:r>
      <w:r w:rsidR="00255A90">
        <w:rPr>
          <w:rFonts w:asciiTheme="minorEastAsia" w:eastAsiaTheme="minorEastAsia" w:hAnsiTheme="minorEastAsia" w:hint="eastAsia"/>
          <w:szCs w:val="22"/>
        </w:rPr>
        <w:t>探索</w:t>
      </w:r>
      <w:r w:rsidR="00EA48D9" w:rsidRPr="00C14E86">
        <w:rPr>
          <w:rFonts w:asciiTheme="minorEastAsia" w:eastAsiaTheme="minorEastAsia" w:hAnsiTheme="minorEastAsia" w:hint="eastAsia"/>
          <w:szCs w:val="22"/>
        </w:rPr>
        <w:t>通过</w:t>
      </w:r>
      <w:r>
        <w:rPr>
          <w:rFonts w:asciiTheme="minorEastAsia" w:eastAsiaTheme="minorEastAsia" w:hAnsiTheme="minorEastAsia" w:hint="eastAsia"/>
          <w:szCs w:val="22"/>
        </w:rPr>
        <w:t>调解解决已经发生的纠纷。</w:t>
      </w:r>
    </w:p>
    <w:p w:rsidR="00C55D42" w:rsidRPr="00C55D42" w:rsidRDefault="00C55D42" w:rsidP="00C55D42">
      <w:pPr>
        <w:ind w:left="720"/>
        <w:contextualSpacing/>
        <w:rPr>
          <w:rFonts w:eastAsia="Times New Roman"/>
          <w:szCs w:val="22"/>
        </w:rPr>
      </w:pPr>
    </w:p>
    <w:p w:rsidR="00AA4DB5" w:rsidRPr="007045B5" w:rsidRDefault="00AA4DB5" w:rsidP="00C55D42">
      <w:pPr>
        <w:numPr>
          <w:ilvl w:val="0"/>
          <w:numId w:val="8"/>
        </w:numPr>
        <w:contextualSpacing/>
        <w:jc w:val="both"/>
        <w:rPr>
          <w:rFonts w:asciiTheme="minorEastAsia" w:eastAsiaTheme="minorEastAsia" w:hAnsiTheme="minorEastAsia"/>
          <w:b/>
          <w:i/>
          <w:szCs w:val="22"/>
        </w:rPr>
      </w:pPr>
      <w:r w:rsidRPr="007045B5">
        <w:rPr>
          <w:rFonts w:asciiTheme="minorEastAsia" w:eastAsiaTheme="minorEastAsia" w:hAnsiTheme="minorEastAsia" w:hint="eastAsia"/>
          <w:b/>
          <w:i/>
          <w:szCs w:val="22"/>
        </w:rPr>
        <w:t>律所</w:t>
      </w:r>
    </w:p>
    <w:p w:rsidR="00C55D42" w:rsidRPr="00C55D42" w:rsidRDefault="00C55D42" w:rsidP="00C55D42">
      <w:pPr>
        <w:jc w:val="both"/>
        <w:rPr>
          <w:rFonts w:eastAsia="Times New Roman"/>
          <w:szCs w:val="22"/>
          <w:lang w:eastAsia="en-US"/>
        </w:rPr>
      </w:pPr>
    </w:p>
    <w:p w:rsidR="00AA4DB5" w:rsidRPr="00AA4DB5" w:rsidRDefault="00BB71BC" w:rsidP="00C55D42">
      <w:pPr>
        <w:ind w:firstLine="360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为了让客户可以在具备充分了解和认知的情况下进行选择</w:t>
      </w:r>
      <w:r w:rsidR="00AA4DB5">
        <w:rPr>
          <w:rFonts w:eastAsiaTheme="minorEastAsia" w:hint="eastAsia"/>
          <w:szCs w:val="22"/>
        </w:rPr>
        <w:t>：</w:t>
      </w:r>
    </w:p>
    <w:p w:rsidR="00C55D42" w:rsidRPr="00C55D42" w:rsidRDefault="00C55D42" w:rsidP="00C55D42">
      <w:pPr>
        <w:jc w:val="both"/>
        <w:rPr>
          <w:rFonts w:eastAsia="Times New Roman"/>
          <w:szCs w:val="22"/>
        </w:rPr>
      </w:pPr>
    </w:p>
    <w:p w:rsidR="00AA4DB5" w:rsidRPr="00C55D42" w:rsidRDefault="00AA4DB5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我们</w:t>
      </w:r>
      <w:r w:rsidR="00255A90">
        <w:rPr>
          <w:rFonts w:asciiTheme="minorEastAsia" w:eastAsiaTheme="minorEastAsia" w:hAnsiTheme="minorEastAsia" w:hint="eastAsia"/>
          <w:szCs w:val="22"/>
        </w:rPr>
        <w:t>已</w:t>
      </w:r>
      <w:r>
        <w:rPr>
          <w:rFonts w:asciiTheme="minorEastAsia" w:eastAsiaTheme="minorEastAsia" w:hAnsiTheme="minorEastAsia" w:hint="eastAsia"/>
          <w:szCs w:val="22"/>
        </w:rPr>
        <w:t>准备好与客户</w:t>
      </w:r>
      <w:r w:rsidR="00255A90">
        <w:rPr>
          <w:rFonts w:asciiTheme="minorEastAsia" w:eastAsiaTheme="minorEastAsia" w:hAnsiTheme="minorEastAsia" w:hint="eastAsia"/>
          <w:szCs w:val="22"/>
        </w:rPr>
        <w:t>一起探索</w:t>
      </w:r>
      <w:r w:rsidR="00255A90">
        <w:rPr>
          <w:rFonts w:eastAsiaTheme="minorEastAsia" w:hint="eastAsia"/>
          <w:szCs w:val="22"/>
        </w:rPr>
        <w:t>在客户</w:t>
      </w:r>
      <w:r w:rsidR="00C14E86" w:rsidRPr="00C14E86">
        <w:rPr>
          <w:rFonts w:eastAsiaTheme="minorEastAsia" w:hint="eastAsia"/>
          <w:szCs w:val="22"/>
        </w:rPr>
        <w:t>作为当事人订立</w:t>
      </w:r>
      <w:r w:rsidR="00C14E86">
        <w:rPr>
          <w:rFonts w:eastAsiaTheme="minorEastAsia" w:hint="eastAsia"/>
          <w:szCs w:val="22"/>
        </w:rPr>
        <w:t>的</w:t>
      </w:r>
      <w:r w:rsidR="00255A90">
        <w:rPr>
          <w:rFonts w:eastAsiaTheme="minorEastAsia" w:hint="eastAsia"/>
          <w:szCs w:val="22"/>
        </w:rPr>
        <w:t>合同和协议中加入调解条款。</w:t>
      </w:r>
    </w:p>
    <w:p w:rsidR="00255A90" w:rsidRDefault="00255A90" w:rsidP="00255A90">
      <w:pPr>
        <w:pStyle w:val="ListParagraph"/>
        <w:rPr>
          <w:rFonts w:eastAsia="Times New Roman"/>
          <w:szCs w:val="22"/>
        </w:rPr>
      </w:pPr>
    </w:p>
    <w:p w:rsidR="00255A90" w:rsidRPr="00C55D42" w:rsidRDefault="00255A90" w:rsidP="00C55D42">
      <w:pPr>
        <w:numPr>
          <w:ilvl w:val="0"/>
          <w:numId w:val="7"/>
        </w:numPr>
        <w:contextualSpacing/>
        <w:jc w:val="both"/>
        <w:rPr>
          <w:rFonts w:eastAsia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在缺少调解条款的情况下，我们已准备好与客户一起探</w:t>
      </w:r>
      <w:r w:rsidRPr="00C14E86">
        <w:rPr>
          <w:rFonts w:asciiTheme="minorEastAsia" w:eastAsiaTheme="minorEastAsia" w:hAnsiTheme="minorEastAsia" w:hint="eastAsia"/>
          <w:szCs w:val="22"/>
        </w:rPr>
        <w:t>索</w:t>
      </w:r>
      <w:r w:rsidR="00C14E86" w:rsidRPr="00C14E86">
        <w:rPr>
          <w:rFonts w:asciiTheme="minorEastAsia" w:eastAsiaTheme="minorEastAsia" w:hAnsiTheme="minorEastAsia" w:hint="eastAsia"/>
          <w:szCs w:val="22"/>
        </w:rPr>
        <w:t>通过</w:t>
      </w:r>
      <w:r w:rsidRPr="00C14E86">
        <w:rPr>
          <w:rFonts w:asciiTheme="minorEastAsia" w:eastAsiaTheme="minorEastAsia" w:hAnsiTheme="minorEastAsia" w:hint="eastAsia"/>
          <w:szCs w:val="22"/>
        </w:rPr>
        <w:t>调</w:t>
      </w:r>
      <w:r>
        <w:rPr>
          <w:rFonts w:asciiTheme="minorEastAsia" w:eastAsiaTheme="minorEastAsia" w:hAnsiTheme="minorEastAsia" w:hint="eastAsia"/>
          <w:szCs w:val="22"/>
        </w:rPr>
        <w:t>解解决已经发生的纠纷</w:t>
      </w:r>
    </w:p>
    <w:p w:rsidR="00C55D42" w:rsidRPr="00C55D42" w:rsidRDefault="00C55D42" w:rsidP="00C55D42">
      <w:pPr>
        <w:jc w:val="both"/>
        <w:rPr>
          <w:rFonts w:eastAsia="Times New Roman"/>
          <w:szCs w:val="22"/>
        </w:rPr>
      </w:pPr>
    </w:p>
    <w:p w:rsidR="00C55D42" w:rsidRDefault="00255A90" w:rsidP="00C55D42">
      <w:pPr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我们清楚知悉本</w:t>
      </w:r>
      <w:r w:rsidR="00BC4D4B">
        <w:rPr>
          <w:rFonts w:asciiTheme="minorEastAsia" w:eastAsiaTheme="minorEastAsia" w:hAnsiTheme="minorEastAsia" w:hint="eastAsia"/>
          <w:szCs w:val="22"/>
        </w:rPr>
        <w:t>Pledge</w:t>
      </w:r>
      <w:r>
        <w:rPr>
          <w:rFonts w:asciiTheme="minorEastAsia" w:eastAsiaTheme="minorEastAsia" w:hAnsiTheme="minorEastAsia" w:hint="eastAsia"/>
          <w:szCs w:val="22"/>
        </w:rPr>
        <w:t>不会产生任何的法律权利或义务，也不会对采取</w:t>
      </w:r>
      <w:r w:rsidRPr="00C14E86">
        <w:rPr>
          <w:rFonts w:asciiTheme="minorEastAsia" w:eastAsiaTheme="minorEastAsia" w:hAnsiTheme="minorEastAsia" w:hint="eastAsia"/>
          <w:szCs w:val="22"/>
        </w:rPr>
        <w:t>任何其他</w:t>
      </w:r>
      <w:r>
        <w:rPr>
          <w:rFonts w:asciiTheme="minorEastAsia" w:eastAsiaTheme="minorEastAsia" w:hAnsiTheme="minorEastAsia" w:hint="eastAsia"/>
          <w:szCs w:val="22"/>
        </w:rPr>
        <w:t>争议解决机制（包括诉讼）以解决纠纷进行限制。</w:t>
      </w:r>
    </w:p>
    <w:p w:rsidR="00255A90" w:rsidRPr="00255A90" w:rsidRDefault="00255A90" w:rsidP="00C55D42">
      <w:pPr>
        <w:jc w:val="both"/>
        <w:rPr>
          <w:rFonts w:eastAsiaTheme="minorEastAsia"/>
          <w:szCs w:val="22"/>
        </w:rPr>
      </w:pPr>
    </w:p>
    <w:p w:rsidR="00255A90" w:rsidRPr="00C14E86" w:rsidRDefault="00255A90" w:rsidP="00C55D42">
      <w:pPr>
        <w:jc w:val="both"/>
        <w:rPr>
          <w:rFonts w:asciiTheme="minorEastAsia" w:eastAsiaTheme="minorEastAsia" w:hAnsiTheme="minorEastAsia"/>
          <w:szCs w:val="22"/>
        </w:rPr>
      </w:pPr>
      <w:r w:rsidRPr="00C14E86">
        <w:rPr>
          <w:rFonts w:asciiTheme="minorEastAsia" w:eastAsiaTheme="minorEastAsia" w:hAnsiTheme="minorEastAsia" w:hint="eastAsia"/>
          <w:szCs w:val="22"/>
        </w:rPr>
        <w:t>我们同意在WIPO的网站上被列为签署人</w:t>
      </w:r>
    </w:p>
    <w:p w:rsidR="00C55D42" w:rsidRPr="00C55D42" w:rsidRDefault="00C55D42" w:rsidP="00C55D42">
      <w:pPr>
        <w:rPr>
          <w:rFonts w:eastAsia="Times New Roman"/>
          <w:szCs w:val="22"/>
        </w:rPr>
      </w:pPr>
    </w:p>
    <w:p w:rsidR="00255A90" w:rsidRPr="00255A90" w:rsidRDefault="00255A90" w:rsidP="00C55D42">
      <w:pPr>
        <w:spacing w:line="360" w:lineRule="auto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签名：</w:t>
      </w:r>
      <w:r w:rsidRPr="00C55D42">
        <w:rPr>
          <w:rFonts w:eastAsia="Times New Roman"/>
          <w:szCs w:val="22"/>
        </w:rPr>
        <w:t>_________________________________________________________________</w:t>
      </w:r>
      <w:r w:rsidR="003D0823" w:rsidRPr="00C55D42">
        <w:rPr>
          <w:rFonts w:eastAsia="Times New Roman"/>
          <w:szCs w:val="22"/>
        </w:rPr>
        <w:t>____</w:t>
      </w:r>
    </w:p>
    <w:p w:rsidR="00C55D42" w:rsidRPr="00C82A5C" w:rsidRDefault="00255A90" w:rsidP="00C55D42">
      <w:pPr>
        <w:spacing w:line="360" w:lineRule="auto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姓名</w:t>
      </w:r>
      <w:r>
        <w:rPr>
          <w:rFonts w:eastAsiaTheme="minorEastAsia" w:hint="eastAsia"/>
          <w:szCs w:val="22"/>
        </w:rPr>
        <w:t>/</w:t>
      </w:r>
      <w:r>
        <w:rPr>
          <w:rFonts w:eastAsiaTheme="minorEastAsia" w:hint="eastAsia"/>
          <w:szCs w:val="22"/>
        </w:rPr>
        <w:t>职称：</w:t>
      </w:r>
      <w:r w:rsidR="003D0823" w:rsidRPr="00C55D42">
        <w:rPr>
          <w:rFonts w:eastAsia="Times New Roman"/>
          <w:szCs w:val="22"/>
        </w:rPr>
        <w:t>_________________________________________________________________</w:t>
      </w:r>
    </w:p>
    <w:p w:rsidR="00255A90" w:rsidRPr="00255A90" w:rsidRDefault="00255A90" w:rsidP="00C55D42">
      <w:pPr>
        <w:spacing w:line="360" w:lineRule="auto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机构：</w:t>
      </w:r>
      <w:r w:rsidR="003D0823" w:rsidRPr="00C55D42">
        <w:rPr>
          <w:rFonts w:eastAsia="Times New Roman"/>
          <w:szCs w:val="22"/>
        </w:rPr>
        <w:t>_____________________________________________________________________</w:t>
      </w:r>
    </w:p>
    <w:p w:rsidR="00255A90" w:rsidRPr="00255A90" w:rsidRDefault="00255A90" w:rsidP="00C55D42">
      <w:pPr>
        <w:spacing w:line="360" w:lineRule="auto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城市</w:t>
      </w:r>
      <w:r>
        <w:rPr>
          <w:rFonts w:eastAsiaTheme="minorEastAsia" w:hint="eastAsia"/>
          <w:szCs w:val="22"/>
        </w:rPr>
        <w:t>/</w:t>
      </w:r>
      <w:r>
        <w:rPr>
          <w:rFonts w:eastAsiaTheme="minorEastAsia" w:hint="eastAsia"/>
          <w:szCs w:val="22"/>
        </w:rPr>
        <w:t>国家：</w:t>
      </w:r>
      <w:r w:rsidR="003D0823" w:rsidRPr="00C55D42">
        <w:rPr>
          <w:rFonts w:eastAsia="Times New Roman"/>
          <w:szCs w:val="22"/>
        </w:rPr>
        <w:t>_________________________________________________________________</w:t>
      </w:r>
    </w:p>
    <w:p w:rsidR="00255A90" w:rsidRPr="00255A90" w:rsidRDefault="00255A90" w:rsidP="00C55D42">
      <w:pPr>
        <w:spacing w:line="360" w:lineRule="auto"/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日期：</w:t>
      </w:r>
      <w:r w:rsidR="003D0823" w:rsidRPr="00C55D42">
        <w:rPr>
          <w:rFonts w:eastAsia="Times New Roman"/>
          <w:szCs w:val="22"/>
        </w:rPr>
        <w:t>_____________________________________________________________________</w:t>
      </w:r>
    </w:p>
    <w:p w:rsidR="00C82A5C" w:rsidRDefault="00C82A5C" w:rsidP="00C55D42">
      <w:pPr>
        <w:jc w:val="both"/>
        <w:rPr>
          <w:rFonts w:eastAsiaTheme="minorEastAsia"/>
          <w:szCs w:val="22"/>
        </w:rPr>
      </w:pPr>
    </w:p>
    <w:p w:rsidR="00255A90" w:rsidRPr="00255A90" w:rsidRDefault="00255A90" w:rsidP="00C55D42">
      <w:pPr>
        <w:jc w:val="both"/>
        <w:rPr>
          <w:rFonts w:eastAsiaTheme="minorEastAsia"/>
          <w:szCs w:val="22"/>
        </w:rPr>
      </w:pPr>
      <w:r>
        <w:rPr>
          <w:rFonts w:eastAsiaTheme="minorEastAsia" w:hint="eastAsia"/>
          <w:i/>
          <w:szCs w:val="22"/>
        </w:rPr>
        <w:t>请将填好的</w:t>
      </w:r>
      <w:r w:rsidR="00BC4D4B">
        <w:rPr>
          <w:rFonts w:eastAsiaTheme="minorEastAsia" w:hint="eastAsia"/>
          <w:i/>
          <w:szCs w:val="22"/>
        </w:rPr>
        <w:t>Pledge</w:t>
      </w:r>
      <w:r>
        <w:rPr>
          <w:rFonts w:eastAsiaTheme="minorEastAsia" w:hint="eastAsia"/>
          <w:i/>
          <w:szCs w:val="22"/>
        </w:rPr>
        <w:t>邮件发送至</w:t>
      </w:r>
      <w:hyperlink r:id="rId8" w:history="1">
        <w:r w:rsidRPr="00C55D42">
          <w:rPr>
            <w:rFonts w:eastAsia="Times New Roman"/>
            <w:i/>
            <w:szCs w:val="22"/>
            <w:u w:val="single"/>
            <w:lang w:eastAsia="en-US"/>
          </w:rPr>
          <w:t>arbiter.mail@wipo.int</w:t>
        </w:r>
      </w:hyperlink>
      <w:r w:rsidRPr="00C55D42">
        <w:rPr>
          <w:rFonts w:eastAsia="Times New Roman"/>
          <w:i/>
          <w:szCs w:val="22"/>
          <w:lang w:eastAsia="en-US"/>
        </w:rPr>
        <w:t>.</w:t>
      </w:r>
    </w:p>
    <w:p w:rsidR="00C55D42" w:rsidRPr="00C55D42" w:rsidRDefault="00C55D42" w:rsidP="00C55D42">
      <w:pPr>
        <w:rPr>
          <w:szCs w:val="22"/>
        </w:rPr>
      </w:pPr>
    </w:p>
    <w:sectPr w:rsidR="00C55D42" w:rsidRPr="00C55D42" w:rsidSect="00C55D42">
      <w:headerReference w:type="default" r:id="rId9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F7" w:rsidRDefault="00321AF7">
      <w:r>
        <w:separator/>
      </w:r>
    </w:p>
  </w:endnote>
  <w:endnote w:type="continuationSeparator" w:id="0">
    <w:p w:rsidR="00321AF7" w:rsidRDefault="00321AF7" w:rsidP="003B38C1">
      <w:r>
        <w:separator/>
      </w:r>
    </w:p>
    <w:p w:rsidR="00321AF7" w:rsidRPr="003B38C1" w:rsidRDefault="00321A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1AF7" w:rsidRPr="003B38C1" w:rsidRDefault="00321A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F7" w:rsidRDefault="00321AF7">
      <w:r>
        <w:separator/>
      </w:r>
    </w:p>
  </w:footnote>
  <w:footnote w:type="continuationSeparator" w:id="0">
    <w:p w:rsidR="00321AF7" w:rsidRDefault="00321AF7" w:rsidP="008B60B2">
      <w:r>
        <w:separator/>
      </w:r>
    </w:p>
    <w:p w:rsidR="00321AF7" w:rsidRPr="00ED77FB" w:rsidRDefault="00321A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1AF7" w:rsidRPr="00ED77FB" w:rsidRDefault="00321A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  <w:bookmarkStart w:id="1" w:name="Code2"/>
    <w:bookmarkEnd w:id="1"/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82A5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806B3E"/>
    <w:multiLevelType w:val="hybridMultilevel"/>
    <w:tmpl w:val="BC4E9088"/>
    <w:lvl w:ilvl="0" w:tplc="F1E0BA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4976589"/>
    <w:multiLevelType w:val="hybridMultilevel"/>
    <w:tmpl w:val="52A61856"/>
    <w:lvl w:ilvl="0" w:tplc="F1E0BA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2"/>
    <w:rsid w:val="00043CAA"/>
    <w:rsid w:val="00075432"/>
    <w:rsid w:val="000968ED"/>
    <w:rsid w:val="000F5E56"/>
    <w:rsid w:val="00105BDF"/>
    <w:rsid w:val="001362EE"/>
    <w:rsid w:val="001647D5"/>
    <w:rsid w:val="001832A6"/>
    <w:rsid w:val="0021217E"/>
    <w:rsid w:val="00245F82"/>
    <w:rsid w:val="00255A90"/>
    <w:rsid w:val="002634C4"/>
    <w:rsid w:val="002928D3"/>
    <w:rsid w:val="002A4C27"/>
    <w:rsid w:val="002F1FE6"/>
    <w:rsid w:val="002F4E68"/>
    <w:rsid w:val="00312F7F"/>
    <w:rsid w:val="00321AF7"/>
    <w:rsid w:val="00361450"/>
    <w:rsid w:val="003673CF"/>
    <w:rsid w:val="003845C1"/>
    <w:rsid w:val="00391AF0"/>
    <w:rsid w:val="003A6F89"/>
    <w:rsid w:val="003B38C1"/>
    <w:rsid w:val="003C1642"/>
    <w:rsid w:val="003D0823"/>
    <w:rsid w:val="003F5405"/>
    <w:rsid w:val="00414C18"/>
    <w:rsid w:val="00423E3E"/>
    <w:rsid w:val="00427AF4"/>
    <w:rsid w:val="00453067"/>
    <w:rsid w:val="004647DA"/>
    <w:rsid w:val="00474062"/>
    <w:rsid w:val="00477D6B"/>
    <w:rsid w:val="004A2076"/>
    <w:rsid w:val="005019FF"/>
    <w:rsid w:val="0053057A"/>
    <w:rsid w:val="005476F5"/>
    <w:rsid w:val="00560A29"/>
    <w:rsid w:val="0056156C"/>
    <w:rsid w:val="005C6649"/>
    <w:rsid w:val="0060552B"/>
    <w:rsid w:val="00605827"/>
    <w:rsid w:val="0062324A"/>
    <w:rsid w:val="00637296"/>
    <w:rsid w:val="00646050"/>
    <w:rsid w:val="0066238B"/>
    <w:rsid w:val="006713CA"/>
    <w:rsid w:val="00676C5C"/>
    <w:rsid w:val="0068374B"/>
    <w:rsid w:val="007045B5"/>
    <w:rsid w:val="0072653E"/>
    <w:rsid w:val="007D1613"/>
    <w:rsid w:val="007E4C0E"/>
    <w:rsid w:val="008A134B"/>
    <w:rsid w:val="008B2CC1"/>
    <w:rsid w:val="008B60B2"/>
    <w:rsid w:val="00900D39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A4DB5"/>
    <w:rsid w:val="00AC205C"/>
    <w:rsid w:val="00AF0A6B"/>
    <w:rsid w:val="00B05A69"/>
    <w:rsid w:val="00B63F39"/>
    <w:rsid w:val="00B9734B"/>
    <w:rsid w:val="00BA30E2"/>
    <w:rsid w:val="00BB71BC"/>
    <w:rsid w:val="00BC4D4B"/>
    <w:rsid w:val="00C11BFE"/>
    <w:rsid w:val="00C13814"/>
    <w:rsid w:val="00C14E86"/>
    <w:rsid w:val="00C5068F"/>
    <w:rsid w:val="00C55D42"/>
    <w:rsid w:val="00C82A5C"/>
    <w:rsid w:val="00C86D74"/>
    <w:rsid w:val="00CD04F1"/>
    <w:rsid w:val="00CF03A1"/>
    <w:rsid w:val="00D22CAA"/>
    <w:rsid w:val="00D45252"/>
    <w:rsid w:val="00D71B4D"/>
    <w:rsid w:val="00D8216A"/>
    <w:rsid w:val="00D93D55"/>
    <w:rsid w:val="00E15015"/>
    <w:rsid w:val="00E335FE"/>
    <w:rsid w:val="00EA48D9"/>
    <w:rsid w:val="00EA7D6E"/>
    <w:rsid w:val="00EB0A8A"/>
    <w:rsid w:val="00EC4E49"/>
    <w:rsid w:val="00ED77FB"/>
    <w:rsid w:val="00EE45FA"/>
    <w:rsid w:val="00F50790"/>
    <w:rsid w:val="00F66152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D4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54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2019-03-18T13:24:00Z</dcterms:created>
  <dcterms:modified xsi:type="dcterms:W3CDTF">2019-03-18T13:24:00Z</dcterms:modified>
</cp:coreProperties>
</file>