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073" w:rsidRDefault="000F2073">
      <w:pPr>
        <w:spacing w:line="360" w:lineRule="auto"/>
        <w:jc w:val="center"/>
        <w:rPr>
          <w:b/>
          <w:i/>
        </w:rPr>
      </w:pPr>
      <w:bookmarkStart w:id="0" w:name="_GoBack"/>
      <w:bookmarkEnd w:id="0"/>
      <w:r>
        <w:rPr>
          <w:b/>
          <w:i/>
        </w:rPr>
        <w:t xml:space="preserve"> Before the:</w:t>
      </w:r>
    </w:p>
    <w:p w:rsidR="000F2073" w:rsidRDefault="000F2073">
      <w:pPr>
        <w:jc w:val="center"/>
        <w:rPr>
          <w:b/>
        </w:rPr>
      </w:pPr>
    </w:p>
    <w:p w:rsidR="000F2073" w:rsidRDefault="000F2073">
      <w:pPr>
        <w:ind w:left="360"/>
        <w:jc w:val="center"/>
        <w:rPr>
          <w:b/>
        </w:rPr>
      </w:pPr>
      <w:r>
        <w:rPr>
          <w:b/>
        </w:rPr>
        <w:t xml:space="preserve">WORLD INTELLECTUAL PROPERTY ORGANIZATION </w:t>
      </w:r>
    </w:p>
    <w:p w:rsidR="000F2073" w:rsidRDefault="000F2073">
      <w:pPr>
        <w:ind w:left="360"/>
        <w:jc w:val="center"/>
        <w:rPr>
          <w:b/>
        </w:rPr>
      </w:pPr>
      <w:r>
        <w:rPr>
          <w:b/>
        </w:rPr>
        <w:t xml:space="preserve">ARBITRATION AND </w:t>
      </w:r>
      <w:smartTag w:uri="urn:schemas-microsoft-com:office:smarttags" w:element="place">
        <w:smartTag w:uri="urn:schemas-microsoft-com:office:smarttags" w:element="PlaceName">
          <w:r>
            <w:rPr>
              <w:b/>
            </w:rPr>
            <w:t>MEDIATION</w:t>
          </w:r>
        </w:smartTag>
        <w:r>
          <w:rPr>
            <w:b/>
          </w:rPr>
          <w:t xml:space="preserve"> </w:t>
        </w:r>
        <w:smartTag w:uri="urn:schemas-microsoft-com:office:smarttags" w:element="PlaceType">
          <w:r>
            <w:rPr>
              <w:b/>
            </w:rPr>
            <w:t>CENTER</w:t>
          </w:r>
        </w:smartTag>
      </w:smartTag>
    </w:p>
    <w:p w:rsidR="000F2073" w:rsidRDefault="000F2073">
      <w:pPr>
        <w:ind w:left="360"/>
      </w:pPr>
    </w:p>
    <w:p w:rsidR="000F2073" w:rsidRDefault="000F2073">
      <w:pPr>
        <w:ind w:left="360"/>
      </w:pPr>
    </w:p>
    <w:p w:rsidR="000F2073" w:rsidRDefault="000F2073">
      <w:pPr>
        <w:ind w:left="360"/>
      </w:pPr>
    </w:p>
    <w:tbl>
      <w:tblPr>
        <w:tblW w:w="0" w:type="auto"/>
        <w:tblLayout w:type="fixed"/>
        <w:tblLook w:val="0000" w:firstRow="0" w:lastRow="0" w:firstColumn="0" w:lastColumn="0" w:noHBand="0" w:noVBand="0"/>
      </w:tblPr>
      <w:tblGrid>
        <w:gridCol w:w="4077"/>
        <w:gridCol w:w="4501"/>
      </w:tblGrid>
      <w:tr w:rsidR="000F2073">
        <w:tblPrEx>
          <w:tblCellMar>
            <w:top w:w="0" w:type="dxa"/>
            <w:bottom w:w="0" w:type="dxa"/>
          </w:tblCellMar>
        </w:tblPrEx>
        <w:tc>
          <w:tcPr>
            <w:tcW w:w="4077" w:type="dxa"/>
            <w:tcBorders>
              <w:right w:val="dashed" w:sz="4" w:space="0" w:color="auto"/>
            </w:tcBorders>
          </w:tcPr>
          <w:p w:rsidR="000F2073" w:rsidRDefault="000F2073">
            <w:pPr>
              <w:pStyle w:val="BodyText2"/>
            </w:pPr>
            <w:r>
              <w:t>[NAME AND ADDRESS OF COMPLAINANT AS STATED IN COMPLAINT]</w:t>
            </w:r>
          </w:p>
          <w:p w:rsidR="000F2073" w:rsidRDefault="000F2073"/>
          <w:p w:rsidR="000F2073" w:rsidRDefault="000F2073">
            <w:r>
              <w:t>(</w:t>
            </w:r>
            <w:r>
              <w:rPr>
                <w:b/>
              </w:rPr>
              <w:t>Complainant</w:t>
            </w:r>
            <w:r>
              <w:t>)</w:t>
            </w:r>
          </w:p>
        </w:tc>
        <w:tc>
          <w:tcPr>
            <w:tcW w:w="4501" w:type="dxa"/>
            <w:tcBorders>
              <w:left w:val="nil"/>
            </w:tcBorders>
          </w:tcPr>
          <w:p w:rsidR="000F2073" w:rsidRDefault="000F2073">
            <w:pPr>
              <w:rPr>
                <w:b/>
              </w:rPr>
            </w:pPr>
            <w:r>
              <w:rPr>
                <w:b/>
              </w:rPr>
              <w:t>Case No:</w:t>
            </w:r>
            <w:r>
              <w:t xml:space="preserve">  </w:t>
            </w:r>
            <w:r>
              <w:rPr>
                <w:i/>
              </w:rPr>
              <w:t>[Indicate assigned case number]</w:t>
            </w:r>
          </w:p>
          <w:p w:rsidR="000F2073" w:rsidRDefault="000F2073">
            <w:pPr>
              <w:rPr>
                <w:b/>
              </w:rPr>
            </w:pPr>
          </w:p>
          <w:p w:rsidR="000F2073" w:rsidRDefault="000F2073">
            <w:pPr>
              <w:rPr>
                <w:b/>
              </w:rPr>
            </w:pPr>
          </w:p>
          <w:p w:rsidR="000F2073" w:rsidRDefault="000F2073"/>
        </w:tc>
      </w:tr>
      <w:tr w:rsidR="000F2073">
        <w:tblPrEx>
          <w:tblCellMar>
            <w:top w:w="0" w:type="dxa"/>
            <w:bottom w:w="0" w:type="dxa"/>
          </w:tblCellMar>
        </w:tblPrEx>
        <w:tc>
          <w:tcPr>
            <w:tcW w:w="4077" w:type="dxa"/>
            <w:tcBorders>
              <w:right w:val="dashed" w:sz="4" w:space="0" w:color="auto"/>
            </w:tcBorders>
          </w:tcPr>
          <w:p w:rsidR="000F2073" w:rsidRDefault="000F2073"/>
          <w:p w:rsidR="000F2073" w:rsidRDefault="000F2073">
            <w:r>
              <w:t>-v-</w:t>
            </w:r>
          </w:p>
          <w:p w:rsidR="000F2073" w:rsidRDefault="000F2073"/>
        </w:tc>
        <w:tc>
          <w:tcPr>
            <w:tcW w:w="4501" w:type="dxa"/>
            <w:tcBorders>
              <w:left w:val="nil"/>
            </w:tcBorders>
          </w:tcPr>
          <w:p w:rsidR="000F2073" w:rsidRDefault="000F2073"/>
          <w:p w:rsidR="000F2073" w:rsidRDefault="000F2073">
            <w:r>
              <w:rPr>
                <w:b/>
              </w:rPr>
              <w:t>Disputed Domain Name</w:t>
            </w:r>
            <w:r>
              <w:rPr>
                <w:b/>
                <w:i/>
              </w:rPr>
              <w:t>[s]</w:t>
            </w:r>
            <w:r>
              <w:rPr>
                <w:b/>
              </w:rPr>
              <w:t>:</w:t>
            </w:r>
          </w:p>
        </w:tc>
      </w:tr>
      <w:tr w:rsidR="000F2073">
        <w:tblPrEx>
          <w:tblCellMar>
            <w:top w:w="0" w:type="dxa"/>
            <w:bottom w:w="0" w:type="dxa"/>
          </w:tblCellMar>
        </w:tblPrEx>
        <w:tc>
          <w:tcPr>
            <w:tcW w:w="4077" w:type="dxa"/>
            <w:tcBorders>
              <w:right w:val="dashed" w:sz="4" w:space="0" w:color="auto"/>
            </w:tcBorders>
          </w:tcPr>
          <w:p w:rsidR="000F2073" w:rsidRDefault="000F2073">
            <w:pPr>
              <w:pStyle w:val="BodyText2"/>
            </w:pPr>
            <w:r>
              <w:t>[NAME AND ADD</w:t>
            </w:r>
            <w:r w:rsidR="004A1B18">
              <w:t>RESS OF RESPONDE</w:t>
            </w:r>
            <w:r>
              <w:t>NT]</w:t>
            </w:r>
          </w:p>
          <w:p w:rsidR="000F2073" w:rsidRDefault="000F2073"/>
          <w:p w:rsidR="000F2073" w:rsidRDefault="000F2073">
            <w:r>
              <w:t>(</w:t>
            </w:r>
            <w:r>
              <w:rPr>
                <w:b/>
              </w:rPr>
              <w:t>Respondent</w:t>
            </w:r>
            <w:r>
              <w:t>)</w:t>
            </w:r>
          </w:p>
        </w:tc>
        <w:tc>
          <w:tcPr>
            <w:tcW w:w="4501" w:type="dxa"/>
            <w:tcBorders>
              <w:left w:val="nil"/>
            </w:tcBorders>
          </w:tcPr>
          <w:p w:rsidR="000F2073" w:rsidRDefault="000F2073"/>
          <w:p w:rsidR="000F2073" w:rsidRDefault="000F2073"/>
          <w:p w:rsidR="000F2073" w:rsidRDefault="000F2073"/>
          <w:p w:rsidR="000F2073" w:rsidRDefault="000F2073">
            <w:r>
              <w:rPr>
                <w:i/>
              </w:rPr>
              <w:t xml:space="preserve">[&lt;the </w:t>
            </w:r>
            <w:r w:rsidR="00A56835">
              <w:rPr>
                <w:i/>
              </w:rPr>
              <w:t xml:space="preserve">disputed </w:t>
            </w:r>
            <w:r>
              <w:rPr>
                <w:i/>
              </w:rPr>
              <w:t>domain name(s)&gt;]</w:t>
            </w:r>
          </w:p>
        </w:tc>
      </w:tr>
    </w:tbl>
    <w:p w:rsidR="000F2073" w:rsidRDefault="000F2073">
      <w:r>
        <w:t>________________________________</w:t>
      </w:r>
    </w:p>
    <w:p w:rsidR="000F2073" w:rsidRDefault="000F2073">
      <w:pPr>
        <w:pStyle w:val="Header"/>
        <w:tabs>
          <w:tab w:val="clear" w:pos="4536"/>
          <w:tab w:val="clear" w:pos="9072"/>
        </w:tabs>
      </w:pPr>
    </w:p>
    <w:p w:rsidR="000F2073" w:rsidRDefault="000F2073">
      <w:pPr>
        <w:jc w:val="center"/>
      </w:pPr>
    </w:p>
    <w:p w:rsidR="000F2073" w:rsidRDefault="000F2073">
      <w:pPr>
        <w:jc w:val="center"/>
      </w:pPr>
    </w:p>
    <w:p w:rsidR="000F2073" w:rsidRDefault="000F2073">
      <w:pPr>
        <w:pStyle w:val="Heading4"/>
        <w:rPr>
          <w:b w:val="0"/>
        </w:rPr>
      </w:pPr>
      <w:r>
        <w:t>RESPONSE</w:t>
      </w:r>
    </w:p>
    <w:p w:rsidR="000F2073" w:rsidRDefault="000F2073">
      <w:pPr>
        <w:spacing w:line="360" w:lineRule="auto"/>
        <w:jc w:val="center"/>
      </w:pPr>
      <w:r>
        <w:t>(</w:t>
      </w:r>
      <w:r w:rsidR="00C718DB">
        <w:t>Rules</w:t>
      </w:r>
      <w:r>
        <w:t xml:space="preserve">, </w:t>
      </w:r>
      <w:r w:rsidR="0008418F">
        <w:t>Paragraph</w:t>
      </w:r>
      <w:r>
        <w:t xml:space="preserve"> 5)</w:t>
      </w:r>
    </w:p>
    <w:p w:rsidR="000F2073" w:rsidRDefault="000F2073">
      <w:pPr>
        <w:spacing w:line="360" w:lineRule="auto"/>
      </w:pPr>
    </w:p>
    <w:p w:rsidR="000F2073" w:rsidRDefault="000F2073">
      <w:pPr>
        <w:pStyle w:val="Heading5"/>
        <w:spacing w:line="360" w:lineRule="auto"/>
        <w:rPr>
          <w:snapToGrid/>
          <w:u w:val="single"/>
        </w:rPr>
      </w:pPr>
      <w:r>
        <w:rPr>
          <w:snapToGrid/>
          <w:u w:val="single"/>
        </w:rPr>
        <w:t>I.  Introduction</w:t>
      </w:r>
    </w:p>
    <w:p w:rsidR="000F2073" w:rsidRDefault="000F2073">
      <w:pPr>
        <w:spacing w:line="360" w:lineRule="auto"/>
      </w:pPr>
    </w:p>
    <w:p w:rsidR="000F2073" w:rsidRDefault="000F2073">
      <w:pPr>
        <w:spacing w:line="360" w:lineRule="auto"/>
        <w:ind w:left="567" w:hanging="567"/>
      </w:pPr>
      <w:r>
        <w:t>[1.]</w:t>
      </w:r>
      <w:r>
        <w:tab/>
        <w:t xml:space="preserve">On </w:t>
      </w:r>
      <w:r>
        <w:rPr>
          <w:i/>
        </w:rPr>
        <w:t>[indicate date on which the Notification of Complaint and Commencement of Administrative Proceeding was received]</w:t>
      </w:r>
      <w:r>
        <w:t xml:space="preserve">, the Respondent received a Notification of Complaint and Commencement of Administrative Proceeding from the WIPO Arbitration and Mediation Center (the </w:t>
      </w:r>
      <w:r>
        <w:rPr>
          <w:b/>
        </w:rPr>
        <w:t>Center</w:t>
      </w:r>
      <w:r>
        <w:t xml:space="preserve">) by </w:t>
      </w:r>
      <w:r w:rsidR="0008418F">
        <w:t>email</w:t>
      </w:r>
      <w:r w:rsidR="003D72B1">
        <w:t xml:space="preserve"> </w:t>
      </w:r>
      <w:r>
        <w:rPr>
          <w:i/>
        </w:rPr>
        <w:t>[</w:t>
      </w:r>
      <w:r w:rsidR="003D72B1">
        <w:rPr>
          <w:i/>
        </w:rPr>
        <w:t>and/or the Written Notice by courier/facsimile on (date)</w:t>
      </w:r>
      <w:r>
        <w:rPr>
          <w:i/>
        </w:rPr>
        <w:t>]</w:t>
      </w:r>
      <w:r>
        <w:t xml:space="preserve"> informing the Respondent that an administrative proceeding had been commenced by the Complainant in accordance with the </w:t>
      </w:r>
      <w:r w:rsidR="00A44417" w:rsidRPr="00A254C4">
        <w:t>.AC Domain Name Dispute Resolution Policy</w:t>
      </w:r>
      <w:r w:rsidR="00A44417" w:rsidRPr="00A254C4" w:rsidDel="00A254C4">
        <w:t xml:space="preserve"> </w:t>
      </w:r>
      <w:r w:rsidR="00A44417" w:rsidRPr="00421C56">
        <w:t xml:space="preserve">(the </w:t>
      </w:r>
      <w:r w:rsidR="00C718DB">
        <w:rPr>
          <w:b/>
        </w:rPr>
        <w:t>Policy</w:t>
      </w:r>
      <w:r w:rsidR="00A44417" w:rsidRPr="00421C56">
        <w:t xml:space="preserve">) </w:t>
      </w:r>
      <w:r w:rsidR="00A44417">
        <w:t>a</w:t>
      </w:r>
      <w:r w:rsidR="00A44417" w:rsidRPr="001E1B0E">
        <w:t>dopted by the Int</w:t>
      </w:r>
      <w:r w:rsidR="00A44417">
        <w:t>ernet Computer Bureau Limited (</w:t>
      </w:r>
      <w:r w:rsidR="00A44417" w:rsidRPr="006B1FE0">
        <w:rPr>
          <w:b/>
        </w:rPr>
        <w:t>NIC.AC</w:t>
      </w:r>
      <w:r w:rsidR="00A44417" w:rsidRPr="001E1B0E">
        <w:t>) on June 1, 2020</w:t>
      </w:r>
      <w:r w:rsidR="00A44417" w:rsidRPr="00421C56">
        <w:t xml:space="preserve">, the </w:t>
      </w:r>
      <w:r w:rsidR="00A44417" w:rsidRPr="001E1B0E">
        <w:t xml:space="preserve">Rules for .AC Domain Name Dispute Resolution Policy (the </w:t>
      </w:r>
      <w:r w:rsidR="00C718DB">
        <w:rPr>
          <w:b/>
        </w:rPr>
        <w:t>Rules</w:t>
      </w:r>
      <w:r w:rsidR="00A44417" w:rsidRPr="001E1B0E">
        <w:t>)</w:t>
      </w:r>
      <w:r w:rsidR="00A44417" w:rsidRPr="00421C56">
        <w:t xml:space="preserve"> </w:t>
      </w:r>
      <w:r w:rsidR="00A44417">
        <w:t>adopted by NIC.AC</w:t>
      </w:r>
      <w:r w:rsidR="00A44417" w:rsidRPr="00421C56">
        <w:t xml:space="preserve"> on </w:t>
      </w:r>
      <w:r w:rsidR="00A44417">
        <w:t>June 1, 2020</w:t>
      </w:r>
      <w:r w:rsidR="00A44417" w:rsidRPr="00421C56">
        <w:t xml:space="preserve">, and the WIPO </w:t>
      </w:r>
      <w:r w:rsidR="00C718DB">
        <w:t>Supplemental Rules</w:t>
      </w:r>
      <w:r w:rsidR="00A44417" w:rsidRPr="00421C56">
        <w:t xml:space="preserve"> for </w:t>
      </w:r>
      <w:r w:rsidR="00A44417" w:rsidRPr="00A254C4">
        <w:t>.AC Domain Name Dispute Resolution Policy</w:t>
      </w:r>
      <w:r w:rsidR="00A44417" w:rsidRPr="00421C56">
        <w:t xml:space="preserve"> (the </w:t>
      </w:r>
      <w:r w:rsidR="00C718DB">
        <w:rPr>
          <w:b/>
        </w:rPr>
        <w:t>WIPO Supplemental Rules</w:t>
      </w:r>
      <w:r w:rsidR="00A44417" w:rsidRPr="00421C56">
        <w:t>)</w:t>
      </w:r>
      <w:r w:rsidR="00A44417">
        <w:t xml:space="preserve"> in effect as of June 1, 2020</w:t>
      </w:r>
      <w:r>
        <w:t xml:space="preserve">.  The Center set </w:t>
      </w:r>
      <w:r>
        <w:rPr>
          <w:i/>
        </w:rPr>
        <w:t>[insert date]</w:t>
      </w:r>
      <w:r>
        <w:t xml:space="preserve"> as the last day for the submission of a Response by the Respondent.</w:t>
      </w:r>
    </w:p>
    <w:p w:rsidR="000F2073" w:rsidRDefault="000F2073"/>
    <w:p w:rsidR="000F2073" w:rsidRDefault="000F2073"/>
    <w:p w:rsidR="000F2073" w:rsidRDefault="000F2073">
      <w:pPr>
        <w:keepNext/>
        <w:jc w:val="center"/>
        <w:rPr>
          <w:b/>
        </w:rPr>
      </w:pPr>
      <w:r>
        <w:rPr>
          <w:b/>
        </w:rPr>
        <w:lastRenderedPageBreak/>
        <w:t xml:space="preserve">II.  </w:t>
      </w:r>
      <w:r>
        <w:rPr>
          <w:b/>
          <w:u w:val="single"/>
        </w:rPr>
        <w:t>Respondent’s Contact Details</w:t>
      </w:r>
    </w:p>
    <w:p w:rsidR="000F2073" w:rsidRDefault="000F2073">
      <w:pPr>
        <w:keepNext/>
        <w:jc w:val="center"/>
      </w:pPr>
      <w:r>
        <w:t xml:space="preserve">    (</w:t>
      </w:r>
      <w:r w:rsidR="00C718DB">
        <w:t>Rules</w:t>
      </w:r>
      <w:r>
        <w:t xml:space="preserve">, </w:t>
      </w:r>
      <w:r w:rsidR="0008418F">
        <w:t>Paragraphs</w:t>
      </w:r>
      <w:r>
        <w:t xml:space="preserve"> 5(</w:t>
      </w:r>
      <w:r w:rsidR="002047DE">
        <w:t>c</w:t>
      </w:r>
      <w:r>
        <w:t>)(ii) and (iii))</w:t>
      </w:r>
    </w:p>
    <w:p w:rsidR="000F2073" w:rsidRDefault="000F2073">
      <w:pPr>
        <w:keepNext/>
        <w:spacing w:line="360" w:lineRule="auto"/>
      </w:pPr>
    </w:p>
    <w:p w:rsidR="000F2073" w:rsidRDefault="000F2073">
      <w:pPr>
        <w:spacing w:line="360" w:lineRule="auto"/>
      </w:pPr>
      <w:r>
        <w:t>[2.]</w:t>
      </w:r>
      <w:r>
        <w:tab/>
        <w:t>The Respondent’s contact details are:</w:t>
      </w:r>
    </w:p>
    <w:p w:rsidR="000F2073" w:rsidRDefault="000F2073">
      <w:pPr>
        <w:spacing w:line="360" w:lineRule="auto"/>
      </w:pPr>
    </w:p>
    <w:p w:rsidR="000F2073" w:rsidRDefault="000F2073">
      <w:pPr>
        <w:spacing w:line="360" w:lineRule="auto"/>
        <w:ind w:left="567" w:firstLine="567"/>
        <w:rPr>
          <w:i/>
        </w:rPr>
      </w:pPr>
      <w:r>
        <w:t>Name:</w:t>
      </w:r>
      <w:r>
        <w:tab/>
      </w:r>
      <w:r>
        <w:rPr>
          <w:i/>
        </w:rPr>
        <w:t>[Specify full name]</w:t>
      </w:r>
    </w:p>
    <w:p w:rsidR="000F2073" w:rsidRDefault="000F2073">
      <w:pPr>
        <w:spacing w:line="360" w:lineRule="auto"/>
        <w:ind w:left="567" w:firstLine="567"/>
        <w:rPr>
          <w:i/>
        </w:rPr>
      </w:pPr>
      <w:r>
        <w:t>Address:</w:t>
      </w:r>
      <w:r>
        <w:tab/>
      </w:r>
      <w:r>
        <w:rPr>
          <w:i/>
        </w:rPr>
        <w:t>[Specify mailing address]</w:t>
      </w:r>
    </w:p>
    <w:p w:rsidR="000F2073" w:rsidRDefault="000F2073">
      <w:pPr>
        <w:spacing w:line="360" w:lineRule="auto"/>
        <w:ind w:left="567" w:firstLine="567"/>
        <w:rPr>
          <w:i/>
        </w:rPr>
      </w:pPr>
      <w:r>
        <w:t>Telephone:</w:t>
      </w:r>
      <w:r>
        <w:tab/>
      </w:r>
      <w:r>
        <w:rPr>
          <w:i/>
        </w:rPr>
        <w:t>[Specify telephone number]</w:t>
      </w:r>
    </w:p>
    <w:p w:rsidR="000F2073" w:rsidRDefault="000F2073" w:rsidP="00D64230">
      <w:pPr>
        <w:tabs>
          <w:tab w:val="left" w:pos="1134"/>
        </w:tabs>
        <w:spacing w:line="360" w:lineRule="auto"/>
        <w:ind w:left="567" w:firstLine="567"/>
        <w:rPr>
          <w:i/>
        </w:rPr>
      </w:pPr>
      <w:r>
        <w:t>Fax:</w:t>
      </w:r>
      <w:r>
        <w:tab/>
      </w:r>
      <w:r>
        <w:tab/>
      </w:r>
      <w:r>
        <w:rPr>
          <w:i/>
        </w:rPr>
        <w:t>[Specify fax number]</w:t>
      </w:r>
    </w:p>
    <w:p w:rsidR="000F2073" w:rsidRDefault="0008418F">
      <w:pPr>
        <w:spacing w:line="360" w:lineRule="auto"/>
        <w:ind w:left="567" w:firstLine="567"/>
      </w:pPr>
      <w:r>
        <w:t>Email</w:t>
      </w:r>
      <w:r w:rsidR="000F2073">
        <w:t>:</w:t>
      </w:r>
      <w:r w:rsidR="000F2073">
        <w:tab/>
      </w:r>
      <w:r w:rsidR="000F2073">
        <w:rPr>
          <w:i/>
        </w:rPr>
        <w:t xml:space="preserve">[Specify </w:t>
      </w:r>
      <w:r>
        <w:rPr>
          <w:i/>
        </w:rPr>
        <w:t>email</w:t>
      </w:r>
      <w:r w:rsidR="000F2073">
        <w:rPr>
          <w:i/>
        </w:rPr>
        <w:t xml:space="preserve"> address]</w:t>
      </w:r>
    </w:p>
    <w:p w:rsidR="000F2073" w:rsidRDefault="000F2073">
      <w:pPr>
        <w:spacing w:line="360" w:lineRule="auto"/>
      </w:pPr>
    </w:p>
    <w:p w:rsidR="000F2073" w:rsidRDefault="000F2073">
      <w:pPr>
        <w:spacing w:line="360" w:lineRule="auto"/>
        <w:ind w:left="567" w:firstLine="3"/>
        <w:rPr>
          <w:i/>
        </w:rPr>
      </w:pPr>
      <w:r>
        <w:rPr>
          <w:i/>
        </w:rPr>
        <w:t>[If there is more than one Respondent, provide the above information for each.]</w:t>
      </w:r>
    </w:p>
    <w:p w:rsidR="000F2073" w:rsidRDefault="000F2073">
      <w:pPr>
        <w:spacing w:line="360" w:lineRule="auto"/>
      </w:pPr>
    </w:p>
    <w:p w:rsidR="000F2073" w:rsidRDefault="000F2073">
      <w:pPr>
        <w:spacing w:line="360" w:lineRule="auto"/>
        <w:ind w:left="567" w:hanging="567"/>
      </w:pPr>
      <w:r>
        <w:t>[3.]</w:t>
      </w:r>
      <w:r>
        <w:tab/>
        <w:t>The Respondent’s authorized representative in this administrative proceeding is:</w:t>
      </w:r>
    </w:p>
    <w:p w:rsidR="000F2073" w:rsidRDefault="000F2073">
      <w:pPr>
        <w:spacing w:line="360" w:lineRule="auto"/>
      </w:pPr>
    </w:p>
    <w:p w:rsidR="000F2073" w:rsidRDefault="000F2073">
      <w:pPr>
        <w:spacing w:line="360" w:lineRule="auto"/>
        <w:ind w:left="567" w:firstLine="3"/>
        <w:rPr>
          <w:i/>
        </w:rPr>
      </w:pPr>
      <w:r>
        <w:rPr>
          <w:i/>
        </w:rPr>
        <w:t xml:space="preserve">[If relevant, identify authorized representative and provide all contact details, including postal address, telephone number, fax number, </w:t>
      </w:r>
      <w:r w:rsidR="0008418F">
        <w:rPr>
          <w:i/>
        </w:rPr>
        <w:t>email</w:t>
      </w:r>
      <w:r>
        <w:rPr>
          <w:i/>
        </w:rPr>
        <w:t xml:space="preserve"> address; </w:t>
      </w:r>
      <w:r w:rsidR="005E65DD">
        <w:rPr>
          <w:i/>
        </w:rPr>
        <w:t xml:space="preserve"> </w:t>
      </w:r>
      <w:r>
        <w:rPr>
          <w:i/>
        </w:rPr>
        <w:t>if there is more than one authorized representative, provide contact details for each.]</w:t>
      </w:r>
    </w:p>
    <w:p w:rsidR="000F2073" w:rsidRDefault="000F2073">
      <w:pPr>
        <w:spacing w:line="360" w:lineRule="auto"/>
      </w:pPr>
    </w:p>
    <w:p w:rsidR="000F2073" w:rsidRDefault="000F2073">
      <w:pPr>
        <w:widowControl w:val="0"/>
        <w:spacing w:line="360" w:lineRule="auto"/>
        <w:ind w:left="567" w:hanging="567"/>
      </w:pPr>
      <w:r>
        <w:t>[4.]</w:t>
      </w:r>
      <w:r>
        <w:tab/>
        <w:t>The Respondent’s preferred method of communications directed to the Respondent in this administrative proceeding is:</w:t>
      </w:r>
    </w:p>
    <w:p w:rsidR="000F2073" w:rsidRDefault="000F2073">
      <w:pPr>
        <w:widowControl w:val="0"/>
        <w:spacing w:line="360" w:lineRule="auto"/>
      </w:pPr>
    </w:p>
    <w:p w:rsidR="000F2073" w:rsidRDefault="000F2073" w:rsidP="00D64230">
      <w:pPr>
        <w:widowControl w:val="0"/>
        <w:spacing w:line="360" w:lineRule="auto"/>
        <w:ind w:left="1134"/>
      </w:pPr>
      <w:r>
        <w:rPr>
          <w:u w:val="single"/>
        </w:rPr>
        <w:t>Electronic-only material</w:t>
      </w:r>
    </w:p>
    <w:p w:rsidR="000F2073" w:rsidRDefault="000F2073" w:rsidP="00D64230">
      <w:pPr>
        <w:widowControl w:val="0"/>
        <w:spacing w:line="360" w:lineRule="auto"/>
        <w:ind w:left="1134"/>
      </w:pPr>
      <w:r>
        <w:t>Method:</w:t>
      </w:r>
      <w:r>
        <w:tab/>
      </w:r>
      <w:r w:rsidR="0008418F">
        <w:t>email</w:t>
      </w:r>
    </w:p>
    <w:p w:rsidR="000F2073" w:rsidRDefault="000F2073" w:rsidP="00D64230">
      <w:pPr>
        <w:widowControl w:val="0"/>
        <w:spacing w:line="360" w:lineRule="auto"/>
        <w:ind w:left="1134"/>
        <w:rPr>
          <w:i/>
        </w:rPr>
      </w:pPr>
      <w:r>
        <w:t>Address:</w:t>
      </w:r>
      <w:r>
        <w:tab/>
      </w:r>
      <w:r>
        <w:rPr>
          <w:i/>
        </w:rPr>
        <w:t xml:space="preserve">[Specify one </w:t>
      </w:r>
      <w:r w:rsidR="0008418F">
        <w:rPr>
          <w:i/>
        </w:rPr>
        <w:t>email</w:t>
      </w:r>
      <w:r>
        <w:rPr>
          <w:i/>
        </w:rPr>
        <w:t xml:space="preserve"> address]</w:t>
      </w:r>
    </w:p>
    <w:p w:rsidR="000F2073" w:rsidRDefault="000F2073" w:rsidP="00D64230">
      <w:pPr>
        <w:widowControl w:val="0"/>
        <w:spacing w:line="360" w:lineRule="auto"/>
        <w:ind w:left="1134"/>
      </w:pPr>
      <w:r>
        <w:t>Contact:</w:t>
      </w:r>
      <w:r>
        <w:tab/>
      </w:r>
      <w:r>
        <w:rPr>
          <w:i/>
        </w:rPr>
        <w:t>[Identify name of one contact person]</w:t>
      </w:r>
    </w:p>
    <w:p w:rsidR="000F2073" w:rsidRDefault="000F2073">
      <w:pPr>
        <w:pStyle w:val="Header"/>
        <w:tabs>
          <w:tab w:val="clear" w:pos="4536"/>
          <w:tab w:val="clear" w:pos="9072"/>
        </w:tabs>
        <w:spacing w:line="360" w:lineRule="auto"/>
      </w:pPr>
    </w:p>
    <w:p w:rsidR="000F2073" w:rsidRDefault="000F2073" w:rsidP="00D64230">
      <w:pPr>
        <w:spacing w:line="360" w:lineRule="auto"/>
        <w:ind w:left="1134"/>
      </w:pPr>
      <w:r>
        <w:rPr>
          <w:u w:val="single"/>
        </w:rPr>
        <w:t>Material including hardcopy</w:t>
      </w:r>
      <w:r w:rsidR="00A56835">
        <w:rPr>
          <w:u w:val="single"/>
        </w:rPr>
        <w:t xml:space="preserve"> (where applicable)</w:t>
      </w:r>
    </w:p>
    <w:p w:rsidR="000F2073" w:rsidRDefault="000F2073" w:rsidP="00D64230">
      <w:pPr>
        <w:spacing w:line="360" w:lineRule="auto"/>
        <w:ind w:left="1134"/>
      </w:pPr>
      <w:r>
        <w:t>Method:</w:t>
      </w:r>
      <w:r>
        <w:tab/>
      </w:r>
      <w:r>
        <w:rPr>
          <w:i/>
        </w:rPr>
        <w:t>[Specify one:  fax, post/courier]</w:t>
      </w:r>
    </w:p>
    <w:p w:rsidR="000F2073" w:rsidRDefault="000F2073" w:rsidP="00D64230">
      <w:pPr>
        <w:spacing w:line="360" w:lineRule="auto"/>
        <w:ind w:left="1134"/>
      </w:pPr>
      <w:r>
        <w:t>Address:</w:t>
      </w:r>
      <w:r>
        <w:tab/>
      </w:r>
      <w:r>
        <w:rPr>
          <w:i/>
        </w:rPr>
        <w:t>[Specify one address, if applicable]</w:t>
      </w:r>
    </w:p>
    <w:p w:rsidR="000F2073" w:rsidRDefault="000F2073" w:rsidP="00D64230">
      <w:pPr>
        <w:spacing w:line="360" w:lineRule="auto"/>
        <w:ind w:left="1134"/>
      </w:pPr>
      <w:r>
        <w:t>Fax:</w:t>
      </w:r>
      <w:r>
        <w:tab/>
      </w:r>
      <w:r>
        <w:tab/>
      </w:r>
      <w:r>
        <w:rPr>
          <w:i/>
        </w:rPr>
        <w:t>[Specify one fax number]</w:t>
      </w:r>
    </w:p>
    <w:p w:rsidR="000F2073" w:rsidRDefault="000F2073" w:rsidP="00D64230">
      <w:pPr>
        <w:spacing w:line="360" w:lineRule="auto"/>
        <w:ind w:left="1134"/>
        <w:rPr>
          <w:i/>
        </w:rPr>
      </w:pPr>
      <w:r>
        <w:t>Contact:</w:t>
      </w:r>
      <w:r>
        <w:tab/>
      </w:r>
      <w:r>
        <w:rPr>
          <w:i/>
        </w:rPr>
        <w:t>[Identify name of one contact person]</w:t>
      </w:r>
    </w:p>
    <w:p w:rsidR="006B6C24" w:rsidRDefault="006B6C24">
      <w:pPr>
        <w:spacing w:line="360" w:lineRule="auto"/>
        <w:rPr>
          <w:i/>
        </w:rPr>
      </w:pPr>
    </w:p>
    <w:p w:rsidR="006B6C24" w:rsidRDefault="006B6C24">
      <w:pPr>
        <w:spacing w:line="360" w:lineRule="auto"/>
        <w:rPr>
          <w:i/>
        </w:rPr>
      </w:pPr>
    </w:p>
    <w:p w:rsidR="000F2073" w:rsidRDefault="000F2073"/>
    <w:p w:rsidR="000F2073" w:rsidRDefault="000F2073"/>
    <w:p w:rsidR="000F2073" w:rsidRDefault="000F2073">
      <w:pPr>
        <w:pStyle w:val="Header"/>
        <w:keepNext/>
        <w:keepLines/>
        <w:tabs>
          <w:tab w:val="clear" w:pos="4536"/>
          <w:tab w:val="clear" w:pos="9072"/>
        </w:tabs>
        <w:jc w:val="center"/>
      </w:pPr>
      <w:r>
        <w:rPr>
          <w:b/>
        </w:rPr>
        <w:t>III.</w:t>
      </w:r>
      <w:r w:rsidR="00E35F6D">
        <w:rPr>
          <w:b/>
        </w:rPr>
        <w:t xml:space="preserve">  </w:t>
      </w:r>
      <w:r>
        <w:rPr>
          <w:b/>
          <w:u w:val="single"/>
        </w:rPr>
        <w:t xml:space="preserve">Response to Statements and Allegations Made in Complaint </w:t>
      </w:r>
    </w:p>
    <w:p w:rsidR="000F2073" w:rsidRDefault="000F2073">
      <w:pPr>
        <w:pStyle w:val="Header"/>
        <w:keepNext/>
        <w:keepLines/>
        <w:tabs>
          <w:tab w:val="clear" w:pos="4536"/>
          <w:tab w:val="clear" w:pos="9072"/>
        </w:tabs>
        <w:jc w:val="center"/>
      </w:pPr>
      <w:r>
        <w:t>(</w:t>
      </w:r>
      <w:r w:rsidR="00C718DB">
        <w:t>Policy</w:t>
      </w:r>
      <w:r>
        <w:t xml:space="preserve">, </w:t>
      </w:r>
      <w:r w:rsidR="00D66846">
        <w:t>P</w:t>
      </w:r>
      <w:r>
        <w:t>ara</w:t>
      </w:r>
      <w:r w:rsidR="00D66846">
        <w:t>graphs</w:t>
      </w:r>
      <w:r>
        <w:t xml:space="preserve"> 4(a), (b), (c); </w:t>
      </w:r>
      <w:r w:rsidR="005E65DD">
        <w:t xml:space="preserve"> </w:t>
      </w:r>
      <w:r w:rsidR="00C718DB">
        <w:t>Rules</w:t>
      </w:r>
      <w:r>
        <w:t xml:space="preserve">, </w:t>
      </w:r>
      <w:r w:rsidR="0008418F">
        <w:t>Paragraph</w:t>
      </w:r>
      <w:r>
        <w:t xml:space="preserve"> 5</w:t>
      </w:r>
      <w:r w:rsidR="002047DE">
        <w:t>(c)(i)</w:t>
      </w:r>
      <w:r>
        <w:t>)</w:t>
      </w:r>
    </w:p>
    <w:p w:rsidR="000F2073" w:rsidRDefault="000F2073">
      <w:pPr>
        <w:pStyle w:val="Header"/>
        <w:keepNext/>
        <w:keepLines/>
        <w:tabs>
          <w:tab w:val="clear" w:pos="4536"/>
          <w:tab w:val="clear" w:pos="9072"/>
        </w:tabs>
        <w:jc w:val="center"/>
      </w:pPr>
    </w:p>
    <w:p w:rsidR="00DD2D26" w:rsidRDefault="000F2073" w:rsidP="0085490D">
      <w:pPr>
        <w:pStyle w:val="Header"/>
        <w:keepLines/>
        <w:spacing w:line="360" w:lineRule="auto"/>
        <w:ind w:left="567"/>
        <w:rPr>
          <w:i/>
        </w:rPr>
      </w:pPr>
      <w:r>
        <w:rPr>
          <w:i/>
        </w:rPr>
        <w:t>[In completing this Section III., do not exceed the 5000 word limit</w:t>
      </w:r>
      <w:r w:rsidR="003D72B1">
        <w:rPr>
          <w:i/>
        </w:rPr>
        <w:t xml:space="preserve">:  </w:t>
      </w:r>
      <w:r w:rsidR="00C718DB">
        <w:rPr>
          <w:i/>
        </w:rPr>
        <w:t>WIPO Supplemental Rules</w:t>
      </w:r>
      <w:r>
        <w:rPr>
          <w:i/>
        </w:rPr>
        <w:t xml:space="preserve">, </w:t>
      </w:r>
      <w:r w:rsidR="0008418F">
        <w:rPr>
          <w:i/>
        </w:rPr>
        <w:t>Paragraph</w:t>
      </w:r>
      <w:r>
        <w:rPr>
          <w:i/>
        </w:rPr>
        <w:t xml:space="preserve"> 1</w:t>
      </w:r>
      <w:r w:rsidR="006A4C86">
        <w:rPr>
          <w:i/>
        </w:rPr>
        <w:t>1</w:t>
      </w:r>
      <w:r>
        <w:rPr>
          <w:i/>
        </w:rPr>
        <w:t xml:space="preserve">(b).  Relevant documentation in support of the Response should be submitted as Annexes, with a schedule indexing such documents.  </w:t>
      </w:r>
      <w:r w:rsidR="00DD2D26">
        <w:rPr>
          <w:i/>
        </w:rPr>
        <w:t>Copies of case precedents or commentaries</w:t>
      </w:r>
      <w:r w:rsidR="000E66AB">
        <w:rPr>
          <w:i/>
        </w:rPr>
        <w:t xml:space="preserve">, </w:t>
      </w:r>
      <w:r w:rsidR="00DD2D26">
        <w:rPr>
          <w:i/>
        </w:rPr>
        <w:t>that are referred to for support should be referred to with complete citations (where appropriate, reference may be made by inserting the relevant URL]</w:t>
      </w:r>
    </w:p>
    <w:p w:rsidR="000F2073" w:rsidRDefault="000F2073" w:rsidP="00D64230">
      <w:pPr>
        <w:spacing w:line="360" w:lineRule="auto"/>
      </w:pPr>
    </w:p>
    <w:p w:rsidR="000F2073" w:rsidRDefault="000F2073" w:rsidP="00D64230">
      <w:pPr>
        <w:spacing w:line="360" w:lineRule="auto"/>
        <w:rPr>
          <w:i/>
        </w:rPr>
      </w:pPr>
      <w:r>
        <w:t>[5.]</w:t>
      </w:r>
      <w:r>
        <w:tab/>
        <w:t>The Respondent hereby responds to the statements and allegations in the Complaint and respectfully requests the Administrative Panel to deny the remedies requested by the Complainant.</w:t>
      </w:r>
    </w:p>
    <w:p w:rsidR="000F2073" w:rsidRDefault="000F2073">
      <w:pPr>
        <w:pStyle w:val="Header"/>
        <w:tabs>
          <w:tab w:val="clear" w:pos="4536"/>
          <w:tab w:val="clear" w:pos="9072"/>
        </w:tabs>
        <w:spacing w:line="360" w:lineRule="auto"/>
      </w:pPr>
    </w:p>
    <w:p w:rsidR="000F2073" w:rsidRDefault="000F2073">
      <w:pPr>
        <w:pStyle w:val="Header"/>
        <w:tabs>
          <w:tab w:val="clear" w:pos="4536"/>
          <w:tab w:val="clear" w:pos="9072"/>
        </w:tabs>
        <w:spacing w:line="360" w:lineRule="auto"/>
        <w:ind w:left="567"/>
        <w:rPr>
          <w:i/>
        </w:rPr>
      </w:pPr>
      <w:r>
        <w:rPr>
          <w:i/>
        </w:rPr>
        <w:t xml:space="preserve">[The </w:t>
      </w:r>
      <w:r w:rsidR="00C718DB">
        <w:rPr>
          <w:i/>
        </w:rPr>
        <w:t>Rules</w:t>
      </w:r>
      <w:r>
        <w:rPr>
          <w:i/>
        </w:rPr>
        <w:t xml:space="preserve">, </w:t>
      </w:r>
      <w:r w:rsidR="0008418F">
        <w:rPr>
          <w:i/>
        </w:rPr>
        <w:t>Paragraph</w:t>
      </w:r>
      <w:r>
        <w:rPr>
          <w:i/>
        </w:rPr>
        <w:t xml:space="preserve"> 5(</w:t>
      </w:r>
      <w:r w:rsidR="002047DE">
        <w:rPr>
          <w:i/>
        </w:rPr>
        <w:t>c</w:t>
      </w:r>
      <w:r>
        <w:rPr>
          <w:i/>
        </w:rPr>
        <w:t xml:space="preserve">)(i) instruct the Respondent in its Response to “Respond specifically to the statements and allegations contained in the complaint and include any and all bases for the Respondent to retain registration and use of the disputed domain name…”.  For a complainant to succeed, it must establish that each of the three conditions under the </w:t>
      </w:r>
      <w:r w:rsidR="00C718DB">
        <w:rPr>
          <w:i/>
        </w:rPr>
        <w:t>Policy</w:t>
      </w:r>
      <w:r>
        <w:rPr>
          <w:i/>
        </w:rPr>
        <w:t xml:space="preserve">, </w:t>
      </w:r>
      <w:r w:rsidR="00D66846">
        <w:rPr>
          <w:i/>
        </w:rPr>
        <w:t>P</w:t>
      </w:r>
      <w:r>
        <w:rPr>
          <w:i/>
        </w:rPr>
        <w:t>ara</w:t>
      </w:r>
      <w:r w:rsidR="00D66846">
        <w:rPr>
          <w:i/>
        </w:rPr>
        <w:t>graph</w:t>
      </w:r>
      <w:r>
        <w:rPr>
          <w:i/>
        </w:rPr>
        <w:t xml:space="preserve"> 4(a)(i), (ii), (iii) are satisfied. </w:t>
      </w:r>
      <w:r w:rsidR="005E65DD">
        <w:rPr>
          <w:i/>
        </w:rPr>
        <w:t xml:space="preserve"> </w:t>
      </w:r>
      <w:r>
        <w:rPr>
          <w:i/>
        </w:rPr>
        <w:t xml:space="preserve">With reference to that </w:t>
      </w:r>
      <w:r w:rsidR="0008418F">
        <w:rPr>
          <w:i/>
        </w:rPr>
        <w:t>Paragraph</w:t>
      </w:r>
      <w:r>
        <w:rPr>
          <w:i/>
        </w:rPr>
        <w:t xml:space="preserve"> 4(a), in this section the Respondent may wish to discuss some or all of the following, to the extent relevant and supported by evidence:]</w:t>
      </w:r>
    </w:p>
    <w:p w:rsidR="000F2073" w:rsidRDefault="000F2073">
      <w:pPr>
        <w:pStyle w:val="Header"/>
        <w:tabs>
          <w:tab w:val="clear" w:pos="4536"/>
          <w:tab w:val="clear" w:pos="9072"/>
          <w:tab w:val="num" w:pos="930"/>
        </w:tabs>
        <w:spacing w:line="360" w:lineRule="auto"/>
        <w:rPr>
          <w:i/>
        </w:rPr>
      </w:pPr>
    </w:p>
    <w:p w:rsidR="000F2073" w:rsidRDefault="000F2073">
      <w:pPr>
        <w:pStyle w:val="Header"/>
        <w:tabs>
          <w:tab w:val="clear" w:pos="4536"/>
          <w:tab w:val="clear" w:pos="9072"/>
        </w:tabs>
        <w:spacing w:line="360" w:lineRule="auto"/>
        <w:ind w:left="567" w:hanging="567"/>
        <w:rPr>
          <w:b/>
          <w:i/>
        </w:rPr>
      </w:pPr>
      <w:r>
        <w:rPr>
          <w:b/>
        </w:rPr>
        <w:t>A.</w:t>
      </w:r>
      <w:r>
        <w:rPr>
          <w:b/>
        </w:rPr>
        <w:tab/>
      </w:r>
      <w:r>
        <w:rPr>
          <w:b/>
          <w:u w:val="single"/>
        </w:rPr>
        <w:t>Whether the domain name</w:t>
      </w:r>
      <w:r>
        <w:rPr>
          <w:b/>
          <w:i/>
          <w:u w:val="single"/>
        </w:rPr>
        <w:t>[s] [is/are]</w:t>
      </w:r>
      <w:r>
        <w:rPr>
          <w:b/>
          <w:u w:val="single"/>
        </w:rPr>
        <w:t xml:space="preserve"> identical or confusingly similar to a trademark or service mark in which the Complainant has rights;</w:t>
      </w:r>
    </w:p>
    <w:p w:rsidR="000F2073" w:rsidRDefault="000F2073">
      <w:pPr>
        <w:pStyle w:val="Header"/>
        <w:tabs>
          <w:tab w:val="clear" w:pos="4536"/>
          <w:tab w:val="clear" w:pos="9072"/>
        </w:tabs>
        <w:spacing w:line="360" w:lineRule="auto"/>
        <w:ind w:left="567"/>
      </w:pPr>
      <w:r>
        <w:t>(</w:t>
      </w:r>
      <w:r w:rsidR="00C718DB">
        <w:t>Policy</w:t>
      </w:r>
      <w:r>
        <w:t xml:space="preserve">, </w:t>
      </w:r>
      <w:r w:rsidR="0008418F">
        <w:t>Paragraph</w:t>
      </w:r>
      <w:r>
        <w:t xml:space="preserve"> 4(a)(i))</w:t>
      </w:r>
    </w:p>
    <w:p w:rsidR="000F2073" w:rsidRDefault="000F2073">
      <w:pPr>
        <w:pStyle w:val="Header"/>
        <w:tabs>
          <w:tab w:val="clear" w:pos="4536"/>
          <w:tab w:val="clear" w:pos="9072"/>
        </w:tabs>
        <w:spacing w:line="360" w:lineRule="auto"/>
        <w:ind w:left="567"/>
      </w:pPr>
    </w:p>
    <w:p w:rsidR="000F2073" w:rsidRDefault="000F2073">
      <w:pPr>
        <w:pStyle w:val="Header"/>
        <w:tabs>
          <w:tab w:val="clear" w:pos="4536"/>
          <w:tab w:val="clear" w:pos="9072"/>
          <w:tab w:val="num" w:pos="567"/>
        </w:tabs>
        <w:spacing w:line="360" w:lineRule="auto"/>
        <w:rPr>
          <w:i/>
        </w:rPr>
      </w:pPr>
      <w:r>
        <w:rPr>
          <w:i/>
        </w:rPr>
        <w:tab/>
        <w:t>[In this connection, consideration may, for example, be given to the following:]</w:t>
      </w:r>
    </w:p>
    <w:p w:rsidR="000F2073" w:rsidRDefault="000F2073">
      <w:pPr>
        <w:pStyle w:val="Header"/>
        <w:tabs>
          <w:tab w:val="clear" w:pos="4536"/>
          <w:tab w:val="clear" w:pos="9072"/>
          <w:tab w:val="num" w:pos="930"/>
        </w:tabs>
        <w:spacing w:line="360" w:lineRule="auto"/>
        <w:rPr>
          <w:i/>
        </w:rPr>
      </w:pPr>
    </w:p>
    <w:p w:rsidR="000F2073" w:rsidRDefault="000F2073">
      <w:pPr>
        <w:pStyle w:val="Header"/>
        <w:numPr>
          <w:ilvl w:val="0"/>
          <w:numId w:val="3"/>
        </w:numPr>
        <w:tabs>
          <w:tab w:val="clear" w:pos="720"/>
          <w:tab w:val="clear" w:pos="4536"/>
          <w:tab w:val="clear" w:pos="9072"/>
          <w:tab w:val="num" w:pos="930"/>
        </w:tabs>
        <w:spacing w:line="360" w:lineRule="auto"/>
        <w:ind w:left="930"/>
        <w:rPr>
          <w:i/>
        </w:rPr>
      </w:pPr>
      <w:r>
        <w:rPr>
          <w:i/>
        </w:rPr>
        <w:t>[Any challenges to the trade or service mark rights asserted by the Complainant.]</w:t>
      </w:r>
    </w:p>
    <w:p w:rsidR="000F2073" w:rsidRDefault="000F2073">
      <w:pPr>
        <w:pStyle w:val="Header"/>
        <w:tabs>
          <w:tab w:val="clear" w:pos="4536"/>
          <w:tab w:val="clear" w:pos="9072"/>
        </w:tabs>
        <w:spacing w:line="360" w:lineRule="auto"/>
        <w:rPr>
          <w:i/>
        </w:rPr>
      </w:pPr>
    </w:p>
    <w:p w:rsidR="000F2073" w:rsidRDefault="000F2073">
      <w:pPr>
        <w:pStyle w:val="Header"/>
        <w:numPr>
          <w:ilvl w:val="0"/>
          <w:numId w:val="3"/>
        </w:numPr>
        <w:tabs>
          <w:tab w:val="clear" w:pos="720"/>
          <w:tab w:val="clear" w:pos="4536"/>
          <w:tab w:val="clear" w:pos="9072"/>
          <w:tab w:val="num" w:pos="930"/>
        </w:tabs>
        <w:spacing w:line="360" w:lineRule="auto"/>
        <w:ind w:left="930"/>
        <w:rPr>
          <w:i/>
        </w:rPr>
      </w:pPr>
      <w:r>
        <w:rPr>
          <w:i/>
        </w:rPr>
        <w:t>[A refutation of the arguments made by the Complainant concerning the manner in which the domain name(s) (is/are) allegedly identical or confusingly similar to a trademark or service mark in which the Complainant claims it has rights.]</w:t>
      </w:r>
    </w:p>
    <w:p w:rsidR="005E65DD" w:rsidRDefault="005E65DD" w:rsidP="002A4DEA">
      <w:pPr>
        <w:pStyle w:val="ListParagraph"/>
        <w:rPr>
          <w:i/>
        </w:rPr>
      </w:pPr>
    </w:p>
    <w:p w:rsidR="005E65DD" w:rsidRDefault="005E65DD" w:rsidP="002A4DEA">
      <w:pPr>
        <w:pStyle w:val="Header"/>
        <w:tabs>
          <w:tab w:val="clear" w:pos="4536"/>
          <w:tab w:val="clear" w:pos="9072"/>
        </w:tabs>
        <w:spacing w:line="360" w:lineRule="auto"/>
        <w:ind w:left="930"/>
        <w:rPr>
          <w:i/>
        </w:rPr>
      </w:pPr>
    </w:p>
    <w:p w:rsidR="000F2073" w:rsidRDefault="000F2073">
      <w:pPr>
        <w:pStyle w:val="Header"/>
        <w:keepNext/>
        <w:tabs>
          <w:tab w:val="clear" w:pos="4536"/>
          <w:tab w:val="clear" w:pos="9072"/>
        </w:tabs>
        <w:spacing w:line="360" w:lineRule="auto"/>
        <w:ind w:left="567" w:hanging="567"/>
        <w:rPr>
          <w:b/>
        </w:rPr>
      </w:pPr>
      <w:r>
        <w:rPr>
          <w:b/>
        </w:rPr>
        <w:t>B.</w:t>
      </w:r>
      <w:r>
        <w:rPr>
          <w:b/>
        </w:rPr>
        <w:tab/>
      </w:r>
      <w:r>
        <w:rPr>
          <w:b/>
          <w:u w:val="single"/>
        </w:rPr>
        <w:t>Whether the Respondent has rights or legitimate interests in respect of the domain name</w:t>
      </w:r>
      <w:r>
        <w:rPr>
          <w:b/>
          <w:i/>
          <w:u w:val="single"/>
        </w:rPr>
        <w:t>[s]</w:t>
      </w:r>
      <w:r>
        <w:rPr>
          <w:b/>
          <w:u w:val="single"/>
        </w:rPr>
        <w:t>;</w:t>
      </w:r>
    </w:p>
    <w:p w:rsidR="000F2073" w:rsidRDefault="000F2073">
      <w:pPr>
        <w:pStyle w:val="Header"/>
        <w:keepNext/>
        <w:tabs>
          <w:tab w:val="clear" w:pos="4536"/>
          <w:tab w:val="clear" w:pos="9072"/>
        </w:tabs>
        <w:spacing w:line="360" w:lineRule="auto"/>
        <w:ind w:left="567"/>
      </w:pPr>
      <w:r>
        <w:t>(</w:t>
      </w:r>
      <w:r w:rsidR="00C718DB">
        <w:t>Policy</w:t>
      </w:r>
      <w:r>
        <w:t xml:space="preserve">, </w:t>
      </w:r>
      <w:r w:rsidR="0008418F">
        <w:t>Paragraph</w:t>
      </w:r>
      <w:r>
        <w:t xml:space="preserve"> 4(a)(ii))</w:t>
      </w:r>
    </w:p>
    <w:p w:rsidR="000F2073" w:rsidRDefault="000F2073">
      <w:pPr>
        <w:pStyle w:val="Header"/>
        <w:keepNext/>
        <w:tabs>
          <w:tab w:val="clear" w:pos="4536"/>
          <w:tab w:val="clear" w:pos="9072"/>
        </w:tabs>
        <w:spacing w:line="360" w:lineRule="auto"/>
        <w:ind w:left="567" w:hanging="567"/>
        <w:rPr>
          <w:b/>
          <w:i/>
        </w:rPr>
      </w:pPr>
    </w:p>
    <w:p w:rsidR="000F2073" w:rsidRDefault="000F2073">
      <w:pPr>
        <w:pStyle w:val="Header"/>
        <w:tabs>
          <w:tab w:val="clear" w:pos="4536"/>
          <w:tab w:val="clear" w:pos="9072"/>
          <w:tab w:val="num" w:pos="567"/>
        </w:tabs>
        <w:spacing w:line="360" w:lineRule="auto"/>
        <w:rPr>
          <w:i/>
        </w:rPr>
      </w:pPr>
      <w:r>
        <w:rPr>
          <w:i/>
        </w:rPr>
        <w:tab/>
        <w:t>[In this connection, consideration may, for example, be given to the following:]</w:t>
      </w:r>
    </w:p>
    <w:p w:rsidR="000F2073" w:rsidRDefault="000F2073">
      <w:pPr>
        <w:pStyle w:val="Header"/>
        <w:tabs>
          <w:tab w:val="clear" w:pos="4536"/>
          <w:tab w:val="clear" w:pos="9072"/>
          <w:tab w:val="num" w:pos="930"/>
        </w:tabs>
        <w:spacing w:line="360" w:lineRule="auto"/>
        <w:rPr>
          <w:i/>
        </w:rPr>
      </w:pPr>
    </w:p>
    <w:p w:rsidR="000F2073" w:rsidRDefault="000F2073">
      <w:pPr>
        <w:pStyle w:val="Header"/>
        <w:numPr>
          <w:ilvl w:val="0"/>
          <w:numId w:val="3"/>
        </w:numPr>
        <w:tabs>
          <w:tab w:val="clear" w:pos="720"/>
          <w:tab w:val="clear" w:pos="4536"/>
          <w:tab w:val="clear" w:pos="9072"/>
          <w:tab w:val="num" w:pos="930"/>
        </w:tabs>
        <w:spacing w:line="360" w:lineRule="auto"/>
        <w:ind w:left="930"/>
        <w:rPr>
          <w:i/>
        </w:rPr>
      </w:pPr>
      <w:r>
        <w:rPr>
          <w:i/>
        </w:rPr>
        <w:t>[A refutation of the arguments made by the Complainant as to why the Respondent should be considered as having no rights or legitimate interests in respect of the domain name(s) that (is/are) the subject of the Complaint.  Evidence should be submitted in support of any claims made by the Respondent concerning its alleged rights or legitimate interests in the domain name(s).]</w:t>
      </w:r>
    </w:p>
    <w:p w:rsidR="000F2073" w:rsidRDefault="000F2073">
      <w:pPr>
        <w:pStyle w:val="Header"/>
        <w:tabs>
          <w:tab w:val="clear" w:pos="4536"/>
          <w:tab w:val="clear" w:pos="9072"/>
        </w:tabs>
        <w:spacing w:line="360" w:lineRule="auto"/>
        <w:rPr>
          <w:i/>
        </w:rPr>
      </w:pPr>
    </w:p>
    <w:p w:rsidR="000F2073" w:rsidRDefault="000F2073">
      <w:pPr>
        <w:pStyle w:val="Header"/>
        <w:numPr>
          <w:ilvl w:val="0"/>
          <w:numId w:val="3"/>
        </w:numPr>
        <w:tabs>
          <w:tab w:val="clear" w:pos="720"/>
          <w:tab w:val="clear" w:pos="4536"/>
          <w:tab w:val="clear" w:pos="9072"/>
          <w:tab w:val="num" w:pos="930"/>
        </w:tabs>
        <w:spacing w:line="360" w:lineRule="auto"/>
        <w:ind w:left="930"/>
        <w:rPr>
          <w:i/>
        </w:rPr>
      </w:pPr>
      <w:r>
        <w:rPr>
          <w:i/>
        </w:rPr>
        <w:t xml:space="preserve">[The </w:t>
      </w:r>
      <w:r w:rsidR="00C718DB">
        <w:rPr>
          <w:i/>
        </w:rPr>
        <w:t>Policy</w:t>
      </w:r>
      <w:r>
        <w:rPr>
          <w:i/>
        </w:rPr>
        <w:t xml:space="preserve">, </w:t>
      </w:r>
      <w:r w:rsidR="0008418F">
        <w:rPr>
          <w:i/>
        </w:rPr>
        <w:t>Paragraph</w:t>
      </w:r>
      <w:r>
        <w:rPr>
          <w:i/>
        </w:rPr>
        <w:t xml:space="preserve"> 4(c) sets out examples of circumstances demonstrating the Respondent’s rights to or legitimate interests in the domain name(s) for the purposes of the </w:t>
      </w:r>
      <w:r w:rsidR="00C718DB">
        <w:rPr>
          <w:i/>
        </w:rPr>
        <w:t>Policy</w:t>
      </w:r>
      <w:r>
        <w:rPr>
          <w:i/>
        </w:rPr>
        <w:t xml:space="preserve">, </w:t>
      </w:r>
      <w:r w:rsidR="0008418F">
        <w:rPr>
          <w:i/>
        </w:rPr>
        <w:t>Paragraph</w:t>
      </w:r>
      <w:r>
        <w:rPr>
          <w:i/>
        </w:rPr>
        <w:t xml:space="preserve"> 4(a)(ii). </w:t>
      </w:r>
      <w:r w:rsidR="005E65DD">
        <w:rPr>
          <w:i/>
        </w:rPr>
        <w:t xml:space="preserve"> </w:t>
      </w:r>
      <w:r>
        <w:rPr>
          <w:i/>
        </w:rPr>
        <w:t xml:space="preserve">With reference to that </w:t>
      </w:r>
      <w:r w:rsidR="0008418F">
        <w:rPr>
          <w:i/>
        </w:rPr>
        <w:t>Paragraph</w:t>
      </w:r>
      <w:r>
        <w:rPr>
          <w:i/>
        </w:rPr>
        <w:t xml:space="preserve"> 4(c), to the extent argued by the Complainant, the Respondent should discuss and show that:</w:t>
      </w:r>
    </w:p>
    <w:p w:rsidR="000F2073" w:rsidRDefault="000F2073">
      <w:pPr>
        <w:pStyle w:val="Header"/>
        <w:tabs>
          <w:tab w:val="clear" w:pos="4536"/>
          <w:tab w:val="clear" w:pos="9072"/>
          <w:tab w:val="num" w:pos="930"/>
        </w:tabs>
        <w:spacing w:line="360" w:lineRule="auto"/>
        <w:rPr>
          <w:i/>
        </w:rPr>
      </w:pPr>
    </w:p>
    <w:p w:rsidR="000F2073" w:rsidRDefault="000F2073">
      <w:pPr>
        <w:ind w:left="1134" w:hanging="207"/>
        <w:rPr>
          <w:i/>
        </w:rPr>
      </w:pPr>
      <w:r>
        <w:rPr>
          <w:i/>
        </w:rPr>
        <w:t>-</w:t>
      </w:r>
      <w:r>
        <w:rPr>
          <w:i/>
        </w:rPr>
        <w:tab/>
        <w:t>before the Respondent received any notice of the dispute, there is evidence of the Respondent’s use of, or demonstrable preparations to use, the domain name(s) or a name corresponding to the domain name(s) in connection with a bona fide offering of goods or services;</w:t>
      </w:r>
    </w:p>
    <w:p w:rsidR="000F2073" w:rsidRDefault="000F2073">
      <w:pPr>
        <w:ind w:left="1134" w:hanging="207"/>
        <w:rPr>
          <w:i/>
        </w:rPr>
      </w:pPr>
    </w:p>
    <w:p w:rsidR="000F2073" w:rsidRDefault="000F2073">
      <w:pPr>
        <w:ind w:left="1134" w:hanging="207"/>
        <w:rPr>
          <w:i/>
        </w:rPr>
      </w:pPr>
      <w:r>
        <w:rPr>
          <w:i/>
        </w:rPr>
        <w:t>-</w:t>
      </w:r>
      <w:r>
        <w:rPr>
          <w:i/>
        </w:rPr>
        <w:tab/>
        <w:t>the Respondent (as an individual, business, or other organization) has been or is commonly known by the domain name(s) in issue, even if the Respondent has acquired no trademark or service mark rights;</w:t>
      </w:r>
    </w:p>
    <w:p w:rsidR="000F2073" w:rsidRDefault="000F2073">
      <w:pPr>
        <w:ind w:left="1134" w:hanging="207"/>
        <w:rPr>
          <w:i/>
        </w:rPr>
      </w:pPr>
    </w:p>
    <w:p w:rsidR="000F2073" w:rsidRDefault="000F2073">
      <w:pPr>
        <w:pStyle w:val="BodyTextIndent3"/>
      </w:pPr>
      <w:r>
        <w:t>-</w:t>
      </w:r>
      <w:r>
        <w:tab/>
        <w:t>the Respondent is making a legitimate noncommercial or fair use of the domain name(s), without intent for commercial gain misleadingly to divert consumers or to tarnish the trademark(s) or service mark(s) at issue.]</w:t>
      </w:r>
    </w:p>
    <w:p w:rsidR="000F2073" w:rsidRDefault="000F2073">
      <w:pPr>
        <w:pStyle w:val="Header"/>
        <w:tabs>
          <w:tab w:val="clear" w:pos="4536"/>
          <w:tab w:val="clear" w:pos="9072"/>
          <w:tab w:val="num" w:pos="930"/>
        </w:tabs>
        <w:spacing w:line="360" w:lineRule="auto"/>
        <w:rPr>
          <w:i/>
        </w:rPr>
      </w:pPr>
    </w:p>
    <w:p w:rsidR="000F2073" w:rsidRDefault="000F2073">
      <w:pPr>
        <w:pStyle w:val="Header"/>
        <w:tabs>
          <w:tab w:val="clear" w:pos="4536"/>
          <w:tab w:val="clear" w:pos="9072"/>
        </w:tabs>
        <w:spacing w:line="360" w:lineRule="auto"/>
        <w:ind w:left="567" w:hanging="567"/>
        <w:rPr>
          <w:b/>
          <w:u w:val="single"/>
        </w:rPr>
      </w:pPr>
      <w:r>
        <w:rPr>
          <w:b/>
        </w:rPr>
        <w:t>C.</w:t>
      </w:r>
      <w:r>
        <w:rPr>
          <w:b/>
        </w:rPr>
        <w:tab/>
      </w:r>
      <w:r>
        <w:rPr>
          <w:b/>
          <w:u w:val="single"/>
        </w:rPr>
        <w:t>Whether the domain name</w:t>
      </w:r>
      <w:r>
        <w:rPr>
          <w:b/>
          <w:i/>
          <w:u w:val="single"/>
        </w:rPr>
        <w:t>[s] [has/have]</w:t>
      </w:r>
      <w:r>
        <w:rPr>
          <w:b/>
          <w:u w:val="single"/>
        </w:rPr>
        <w:t xml:space="preserve"> been registered </w:t>
      </w:r>
      <w:r w:rsidR="005E65DD">
        <w:rPr>
          <w:b/>
          <w:u w:val="single"/>
        </w:rPr>
        <w:t xml:space="preserve">or </w:t>
      </w:r>
      <w:r>
        <w:rPr>
          <w:b/>
          <w:i/>
          <w:u w:val="single"/>
        </w:rPr>
        <w:t>[is/are]</w:t>
      </w:r>
      <w:r>
        <w:rPr>
          <w:b/>
          <w:u w:val="single"/>
        </w:rPr>
        <w:t xml:space="preserve"> being used in bad faith.</w:t>
      </w:r>
    </w:p>
    <w:p w:rsidR="000F2073" w:rsidRDefault="000F2073">
      <w:pPr>
        <w:pStyle w:val="Header"/>
        <w:tabs>
          <w:tab w:val="clear" w:pos="4536"/>
          <w:tab w:val="clear" w:pos="9072"/>
        </w:tabs>
        <w:spacing w:line="360" w:lineRule="auto"/>
        <w:ind w:left="567"/>
      </w:pPr>
      <w:r>
        <w:t>(</w:t>
      </w:r>
      <w:r w:rsidR="00C718DB">
        <w:t>Policy</w:t>
      </w:r>
      <w:r>
        <w:t xml:space="preserve">, </w:t>
      </w:r>
      <w:r w:rsidR="0008418F">
        <w:t>Paragraph</w:t>
      </w:r>
      <w:r>
        <w:t xml:space="preserve"> 4(a)(iii))</w:t>
      </w:r>
    </w:p>
    <w:p w:rsidR="000F2073" w:rsidRDefault="000F2073">
      <w:pPr>
        <w:pStyle w:val="Header"/>
        <w:tabs>
          <w:tab w:val="clear" w:pos="4536"/>
          <w:tab w:val="clear" w:pos="9072"/>
        </w:tabs>
        <w:spacing w:line="360" w:lineRule="auto"/>
        <w:ind w:left="567" w:hanging="567"/>
        <w:rPr>
          <w:b/>
          <w:i/>
        </w:rPr>
      </w:pPr>
    </w:p>
    <w:p w:rsidR="000F2073" w:rsidRDefault="000F2073">
      <w:pPr>
        <w:pStyle w:val="Header"/>
        <w:tabs>
          <w:tab w:val="clear" w:pos="4536"/>
          <w:tab w:val="clear" w:pos="9072"/>
          <w:tab w:val="num" w:pos="567"/>
        </w:tabs>
        <w:spacing w:line="360" w:lineRule="auto"/>
        <w:rPr>
          <w:i/>
        </w:rPr>
      </w:pPr>
      <w:r>
        <w:rPr>
          <w:i/>
        </w:rPr>
        <w:tab/>
        <w:t>[In this connection, consideration may, for example, be given to the following:]</w:t>
      </w:r>
    </w:p>
    <w:p w:rsidR="000F2073" w:rsidRDefault="000F2073">
      <w:pPr>
        <w:spacing w:line="360" w:lineRule="auto"/>
        <w:rPr>
          <w:i/>
        </w:rPr>
      </w:pPr>
    </w:p>
    <w:p w:rsidR="000F2073" w:rsidRDefault="000F2073">
      <w:pPr>
        <w:pStyle w:val="Header"/>
        <w:numPr>
          <w:ilvl w:val="0"/>
          <w:numId w:val="3"/>
        </w:numPr>
        <w:tabs>
          <w:tab w:val="clear" w:pos="720"/>
          <w:tab w:val="clear" w:pos="4536"/>
          <w:tab w:val="clear" w:pos="9072"/>
          <w:tab w:val="num" w:pos="930"/>
        </w:tabs>
        <w:spacing w:line="360" w:lineRule="auto"/>
        <w:ind w:left="930"/>
        <w:rPr>
          <w:i/>
        </w:rPr>
      </w:pPr>
      <w:r>
        <w:rPr>
          <w:i/>
        </w:rPr>
        <w:t xml:space="preserve">[A refutation of the arguments made by the Complainant as to why the domain name(s) should be considered as registered </w:t>
      </w:r>
      <w:r w:rsidR="005E65DD">
        <w:rPr>
          <w:i/>
        </w:rPr>
        <w:t xml:space="preserve">or </w:t>
      </w:r>
      <w:r>
        <w:rPr>
          <w:i/>
        </w:rPr>
        <w:t>used in bad faith.]</w:t>
      </w:r>
    </w:p>
    <w:p w:rsidR="000F2073" w:rsidRDefault="000F2073">
      <w:pPr>
        <w:pStyle w:val="Header"/>
        <w:numPr>
          <w:ilvl w:val="0"/>
          <w:numId w:val="3"/>
        </w:numPr>
        <w:tabs>
          <w:tab w:val="clear" w:pos="720"/>
          <w:tab w:val="clear" w:pos="4536"/>
          <w:tab w:val="clear" w:pos="9072"/>
          <w:tab w:val="num" w:pos="930"/>
        </w:tabs>
        <w:spacing w:line="360" w:lineRule="auto"/>
        <w:ind w:left="930"/>
        <w:rPr>
          <w:i/>
        </w:rPr>
      </w:pPr>
      <w:r>
        <w:rPr>
          <w:i/>
        </w:rPr>
        <w:t xml:space="preserve">[The </w:t>
      </w:r>
      <w:r w:rsidR="00C718DB">
        <w:rPr>
          <w:i/>
        </w:rPr>
        <w:t>Policy</w:t>
      </w:r>
      <w:r>
        <w:rPr>
          <w:i/>
        </w:rPr>
        <w:t xml:space="preserve">, </w:t>
      </w:r>
      <w:r w:rsidR="0008418F">
        <w:rPr>
          <w:i/>
        </w:rPr>
        <w:t>Paragraph</w:t>
      </w:r>
      <w:r>
        <w:rPr>
          <w:i/>
        </w:rPr>
        <w:t xml:space="preserve"> 4(b) identifies several examples of circumstances that an Administrative Panel could consider as constituting bad faith. With reference to that </w:t>
      </w:r>
      <w:r w:rsidR="0008418F">
        <w:rPr>
          <w:i/>
        </w:rPr>
        <w:t>Paragraph</w:t>
      </w:r>
      <w:r>
        <w:rPr>
          <w:i/>
        </w:rPr>
        <w:t xml:space="preserve"> 4(b), to the extent argued by the Complainant, the Respondent should discuss and show that:</w:t>
      </w:r>
    </w:p>
    <w:p w:rsidR="000F2073" w:rsidRDefault="000F2073">
      <w:pPr>
        <w:pStyle w:val="Header"/>
        <w:tabs>
          <w:tab w:val="clear" w:pos="4536"/>
          <w:tab w:val="clear" w:pos="9072"/>
          <w:tab w:val="num" w:pos="930"/>
        </w:tabs>
        <w:spacing w:line="360" w:lineRule="auto"/>
        <w:rPr>
          <w:i/>
        </w:rPr>
      </w:pPr>
    </w:p>
    <w:p w:rsidR="000F2073" w:rsidRDefault="000F2073">
      <w:pPr>
        <w:ind w:left="1134" w:hanging="207"/>
        <w:rPr>
          <w:i/>
        </w:rPr>
      </w:pPr>
      <w:r>
        <w:rPr>
          <w:i/>
        </w:rPr>
        <w:t>-</w:t>
      </w:r>
      <w:r>
        <w:rPr>
          <w:i/>
        </w:rPr>
        <w:tab/>
        <w:t>the domain name(s) (was/were) not registered or acquired primarily for the purpose of selling, renting, or otherwise transferring the domain name registration(s) to the Complainant, as the alleged owner of the trademark or service mark, or to a competitor of the Complainant, for valuable consideration in excess of the Respondent’s out-of-pocket costs directly related to the domain name(s);</w:t>
      </w:r>
    </w:p>
    <w:p w:rsidR="000F2073" w:rsidRDefault="000F2073">
      <w:pPr>
        <w:ind w:left="1134" w:hanging="207"/>
        <w:rPr>
          <w:i/>
        </w:rPr>
      </w:pPr>
    </w:p>
    <w:p w:rsidR="000F2073" w:rsidRDefault="000F2073">
      <w:pPr>
        <w:ind w:left="1134" w:hanging="207"/>
        <w:rPr>
          <w:i/>
        </w:rPr>
      </w:pPr>
      <w:r>
        <w:rPr>
          <w:i/>
        </w:rPr>
        <w:t>-</w:t>
      </w:r>
      <w:r>
        <w:rPr>
          <w:i/>
        </w:rPr>
        <w:tab/>
        <w:t>the domain name(s) (was/were) not registered in order to prevent the Complainant from reflecting the mark in a corresponding domain name and, in connection therewith, the Respondent has not engaged in a pattern of such conduct;</w:t>
      </w:r>
    </w:p>
    <w:p w:rsidR="000F2073" w:rsidRDefault="000F2073">
      <w:pPr>
        <w:ind w:left="1134" w:hanging="207"/>
        <w:rPr>
          <w:i/>
        </w:rPr>
      </w:pPr>
    </w:p>
    <w:p w:rsidR="000F2073" w:rsidRDefault="000F2073">
      <w:pPr>
        <w:ind w:left="1134" w:hanging="207"/>
        <w:rPr>
          <w:i/>
        </w:rPr>
      </w:pPr>
      <w:r>
        <w:rPr>
          <w:i/>
        </w:rPr>
        <w:t>-</w:t>
      </w:r>
      <w:r>
        <w:rPr>
          <w:i/>
        </w:rPr>
        <w:tab/>
        <w:t>the Complainant and the Respondent are not competitors and/or the domain name(s) (was/were) not registered by the Respondent primarily to disrupt the Complainant’s business;</w:t>
      </w:r>
    </w:p>
    <w:p w:rsidR="000F2073" w:rsidRDefault="000F2073">
      <w:pPr>
        <w:ind w:left="1134" w:hanging="207"/>
        <w:rPr>
          <w:i/>
        </w:rPr>
      </w:pPr>
    </w:p>
    <w:p w:rsidR="000F2073" w:rsidRDefault="000F2073">
      <w:pPr>
        <w:ind w:left="1134" w:hanging="207"/>
        <w:rPr>
          <w:i/>
        </w:rPr>
      </w:pPr>
      <w:r>
        <w:rPr>
          <w:i/>
        </w:rPr>
        <w:t>-</w:t>
      </w:r>
      <w:r>
        <w:rPr>
          <w:i/>
        </w:rPr>
        <w:tab/>
        <w:t>the domain name(s) (was/were) not registered by the Respondent in an intentional attempt to attract for commercial gain, Internet users to the Respondent’s website or other online location, by creating a likelihood of confusion with the Complainant’s mark as to the source, sponsorship, affiliation, or endorsement of the Respondent’s website or location or of a product or service on the Respondent’s website or location.]</w:t>
      </w:r>
    </w:p>
    <w:p w:rsidR="000F2073" w:rsidRDefault="000F2073">
      <w:pPr>
        <w:pStyle w:val="Header"/>
        <w:tabs>
          <w:tab w:val="clear" w:pos="4536"/>
          <w:tab w:val="clear" w:pos="9072"/>
          <w:tab w:val="num" w:pos="930"/>
        </w:tabs>
        <w:spacing w:line="360" w:lineRule="auto"/>
        <w:rPr>
          <w:i/>
        </w:rPr>
      </w:pPr>
    </w:p>
    <w:p w:rsidR="000F2073" w:rsidRDefault="000F2073">
      <w:pPr>
        <w:pStyle w:val="BodyTextIndent2"/>
        <w:ind w:left="567" w:hanging="567"/>
      </w:pPr>
      <w:r>
        <w:tab/>
        <w:t xml:space="preserve">If appropriate and the allegation can be substantiated with evidence, the </w:t>
      </w:r>
      <w:r w:rsidR="00C718DB">
        <w:t>Rules</w:t>
      </w:r>
      <w:r>
        <w:t xml:space="preserve"> provide that a Respondent may ask the Panel to make a finding of reverse domain name hijacking. </w:t>
      </w:r>
      <w:r w:rsidR="005E65DD">
        <w:t xml:space="preserve"> </w:t>
      </w:r>
      <w:r>
        <w:t>(</w:t>
      </w:r>
      <w:r w:rsidR="00C718DB">
        <w:t>Rules</w:t>
      </w:r>
      <w:r>
        <w:t xml:space="preserve">, </w:t>
      </w:r>
      <w:r w:rsidR="0008418F">
        <w:t>Paragraph</w:t>
      </w:r>
      <w:r>
        <w:t xml:space="preserve"> 15(e))]</w:t>
      </w:r>
    </w:p>
    <w:p w:rsidR="006B6C24" w:rsidRDefault="006B6C24" w:rsidP="00B80AD7">
      <w:pPr>
        <w:pStyle w:val="BodyTextIndent2"/>
        <w:spacing w:line="240" w:lineRule="auto"/>
        <w:ind w:left="567" w:hanging="567"/>
      </w:pPr>
    </w:p>
    <w:p w:rsidR="00B80AD7" w:rsidRDefault="00B80AD7" w:rsidP="00B80AD7">
      <w:pPr>
        <w:pStyle w:val="BodyTextIndent2"/>
        <w:spacing w:line="240" w:lineRule="auto"/>
        <w:ind w:left="567" w:hanging="567"/>
      </w:pPr>
    </w:p>
    <w:p w:rsidR="006B6C24" w:rsidRDefault="006B6C24" w:rsidP="006B6C24">
      <w:pPr>
        <w:pStyle w:val="Heading4"/>
      </w:pPr>
      <w:r>
        <w:rPr>
          <w:u w:val="none"/>
        </w:rPr>
        <w:t xml:space="preserve">IV. </w:t>
      </w:r>
      <w:r w:rsidR="00E35F6D">
        <w:rPr>
          <w:u w:val="none"/>
        </w:rPr>
        <w:t xml:space="preserve"> </w:t>
      </w:r>
      <w:r>
        <w:t>Consent to Remedy (Optional)</w:t>
      </w:r>
    </w:p>
    <w:p w:rsidR="003D72B1" w:rsidRDefault="003D72B1" w:rsidP="000E4B21">
      <w:pPr>
        <w:rPr>
          <w:i/>
        </w:rPr>
      </w:pPr>
    </w:p>
    <w:p w:rsidR="00CF4366" w:rsidRDefault="00CF4366" w:rsidP="00CF4366">
      <w:pPr>
        <w:spacing w:line="360" w:lineRule="auto"/>
        <w:rPr>
          <w:i/>
          <w:iCs/>
        </w:rPr>
      </w:pPr>
      <w:r>
        <w:rPr>
          <w:i/>
          <w:iCs/>
        </w:rPr>
        <w:t xml:space="preserve">[The Respondent may – in connection with an agreement between the Parties, or in its own discretion – include the below paragraph (no. 6).  If included, this informs the Complainant, the WIPO Center, the Registrar(s), and the Administrative Panel (if subsequently appointed) that the Respondent consents to the remedy requested by the Complainant.  Please note that any agreement between the Parties </w:t>
      </w:r>
      <w:r w:rsidRPr="00CF4366">
        <w:rPr>
          <w:i/>
          <w:iCs/>
        </w:rPr>
        <w:t>to transfer or cancel the disputed domain name</w:t>
      </w:r>
      <w:r>
        <w:rPr>
          <w:i/>
          <w:iCs/>
        </w:rPr>
        <w:t xml:space="preserve"> </w:t>
      </w:r>
      <w:r>
        <w:rPr>
          <w:i/>
          <w:iCs/>
          <w:u w:val="single"/>
        </w:rPr>
        <w:t>prior to</w:t>
      </w:r>
      <w:r>
        <w:rPr>
          <w:i/>
          <w:iCs/>
        </w:rPr>
        <w:t xml:space="preserve"> appointment of an Administrative Panel would require the Parties to complete and submit a Standard Settlement Form </w:t>
      </w:r>
    </w:p>
    <w:p w:rsidR="00CF4366" w:rsidRDefault="00CF4366" w:rsidP="00CF4366">
      <w:pPr>
        <w:spacing w:line="360" w:lineRule="auto"/>
      </w:pPr>
    </w:p>
    <w:p w:rsidR="00CF4366" w:rsidRDefault="00CF4366" w:rsidP="00CF4366">
      <w:pPr>
        <w:spacing w:line="360" w:lineRule="auto"/>
      </w:pPr>
      <w:r>
        <w:t>[6.] [The Respondent consents to the remedy requested by the Complainant and agrees to [transfer the disputed domain name(s) to the Complainant] / [cancel the disputed domain name(s).]</w:t>
      </w:r>
    </w:p>
    <w:p w:rsidR="006B6C24" w:rsidRDefault="006B6C24" w:rsidP="00B80AD7">
      <w:pPr>
        <w:spacing w:line="360" w:lineRule="auto"/>
      </w:pPr>
    </w:p>
    <w:p w:rsidR="00E05550" w:rsidRDefault="00E05550" w:rsidP="00B80AD7">
      <w:pPr>
        <w:spacing w:line="360" w:lineRule="auto"/>
      </w:pPr>
    </w:p>
    <w:p w:rsidR="000F2073" w:rsidRDefault="000F2073" w:rsidP="00B80AD7">
      <w:pPr>
        <w:pStyle w:val="Header"/>
        <w:keepNext/>
        <w:keepLines/>
        <w:tabs>
          <w:tab w:val="clear" w:pos="4536"/>
          <w:tab w:val="clear" w:pos="9072"/>
        </w:tabs>
        <w:jc w:val="center"/>
        <w:rPr>
          <w:b/>
          <w:u w:val="single"/>
        </w:rPr>
      </w:pPr>
      <w:r>
        <w:rPr>
          <w:b/>
        </w:rPr>
        <w:t xml:space="preserve">V.  </w:t>
      </w:r>
      <w:r>
        <w:rPr>
          <w:b/>
          <w:u w:val="single"/>
        </w:rPr>
        <w:t>Administrative Panel</w:t>
      </w:r>
    </w:p>
    <w:p w:rsidR="000F2073" w:rsidRDefault="000F2073" w:rsidP="00B80AD7">
      <w:pPr>
        <w:pStyle w:val="Header"/>
        <w:keepNext/>
        <w:keepLines/>
        <w:tabs>
          <w:tab w:val="clear" w:pos="4536"/>
          <w:tab w:val="clear" w:pos="9072"/>
        </w:tabs>
        <w:jc w:val="center"/>
      </w:pPr>
      <w:r>
        <w:t>(</w:t>
      </w:r>
      <w:r w:rsidR="00C718DB">
        <w:t>Rules</w:t>
      </w:r>
      <w:r>
        <w:t xml:space="preserve">, </w:t>
      </w:r>
      <w:r w:rsidR="0008418F">
        <w:t>P</w:t>
      </w:r>
      <w:r>
        <w:t>ara</w:t>
      </w:r>
      <w:r w:rsidR="0008418F">
        <w:t>graph</w:t>
      </w:r>
      <w:r>
        <w:t>s 5(</w:t>
      </w:r>
      <w:r w:rsidR="002047DE">
        <w:t>c</w:t>
      </w:r>
      <w:r>
        <w:t>)(iv) and (</w:t>
      </w:r>
      <w:r w:rsidR="002047DE">
        <w:t>c</w:t>
      </w:r>
      <w:r>
        <w:t xml:space="preserve">)(v) and </w:t>
      </w:r>
      <w:r w:rsidR="0008418F">
        <w:t>Paragraph</w:t>
      </w:r>
      <w:r>
        <w:t xml:space="preserve"> 6; </w:t>
      </w:r>
      <w:r w:rsidR="003D72B1">
        <w:t xml:space="preserve"> </w:t>
      </w:r>
      <w:r w:rsidR="00C718DB">
        <w:t>WIPO Supplemental Rules</w:t>
      </w:r>
      <w:r>
        <w:t xml:space="preserve">, </w:t>
      </w:r>
      <w:r w:rsidR="0008418F">
        <w:t>Paragraph</w:t>
      </w:r>
      <w:r>
        <w:t xml:space="preserve"> 7)</w:t>
      </w:r>
    </w:p>
    <w:p w:rsidR="000F2073" w:rsidRDefault="000F2073" w:rsidP="00B80AD7">
      <w:pPr>
        <w:pStyle w:val="Header"/>
        <w:keepNext/>
        <w:keepLines/>
        <w:tabs>
          <w:tab w:val="clear" w:pos="4536"/>
          <w:tab w:val="clear" w:pos="9072"/>
        </w:tabs>
        <w:spacing w:line="360" w:lineRule="auto"/>
      </w:pPr>
    </w:p>
    <w:p w:rsidR="000F2073" w:rsidRDefault="000F2073">
      <w:pPr>
        <w:spacing w:line="360" w:lineRule="auto"/>
        <w:ind w:left="567" w:hanging="567"/>
      </w:pPr>
      <w:r>
        <w:t>[</w:t>
      </w:r>
      <w:r w:rsidR="006B6C24">
        <w:t>7</w:t>
      </w:r>
      <w:r>
        <w:t>.]</w:t>
      </w:r>
      <w:r>
        <w:tab/>
        <w:t xml:space="preserve">The Respondent elects to have the dispute decided by a </w:t>
      </w:r>
      <w:r>
        <w:rPr>
          <w:i/>
        </w:rPr>
        <w:t xml:space="preserve">[state “single-member Administrative Panel” if the Complainant has asked for a single-member Administrative Panel and the Respondent agrees with that election.  If the Respondent does not agree and wants a three-member Administrative Panel instead, state “three-member Administrative Panel”.  Note that in the latter case the Respondent must pay half of the Center’s fee for a three-member Administrative Panel, as set out in </w:t>
      </w:r>
      <w:r w:rsidR="00C718DB">
        <w:rPr>
          <w:i/>
        </w:rPr>
        <w:t>WIPO Supplemental Rules</w:t>
      </w:r>
      <w:r>
        <w:rPr>
          <w:i/>
        </w:rPr>
        <w:t>, Annex D.  If the Complainant has indicated it wants a three-member Administrative Panel, then the Respondent does not have the option of choosing a single-member Administrative Panel]</w:t>
      </w:r>
      <w:r>
        <w:t>.</w:t>
      </w:r>
    </w:p>
    <w:p w:rsidR="000F2073" w:rsidRDefault="000F2073">
      <w:pPr>
        <w:spacing w:line="360" w:lineRule="auto"/>
        <w:ind w:left="567" w:hanging="567"/>
      </w:pPr>
    </w:p>
    <w:p w:rsidR="000F2073" w:rsidRDefault="000F2073">
      <w:pPr>
        <w:spacing w:line="360" w:lineRule="auto"/>
        <w:ind w:left="567" w:hanging="567"/>
      </w:pPr>
      <w:r>
        <w:rPr>
          <w:i/>
        </w:rPr>
        <w:tab/>
        <w:t xml:space="preserve">[If the Respondent designates a three-member Administrative Panel, or if the Complainant has designated a three-member Panel, the Respondent must provide the names of three persons, one of whom the Center will endeavor to appoint to the Administrative Panel in accordance with </w:t>
      </w:r>
      <w:r w:rsidR="0008418F">
        <w:rPr>
          <w:i/>
        </w:rPr>
        <w:t>Paragraph</w:t>
      </w:r>
      <w:r>
        <w:rPr>
          <w:i/>
        </w:rPr>
        <w:t xml:space="preserve"> 6 of the </w:t>
      </w:r>
      <w:r w:rsidR="00C718DB">
        <w:rPr>
          <w:i/>
        </w:rPr>
        <w:t>Rules</w:t>
      </w:r>
      <w:r>
        <w:rPr>
          <w:i/>
        </w:rPr>
        <w:t xml:space="preserve"> and </w:t>
      </w:r>
      <w:r w:rsidR="0008418F">
        <w:rPr>
          <w:i/>
        </w:rPr>
        <w:t>Paragraph</w:t>
      </w:r>
      <w:r>
        <w:rPr>
          <w:i/>
        </w:rPr>
        <w:t xml:space="preserve"> </w:t>
      </w:r>
      <w:r w:rsidR="00A56835">
        <w:rPr>
          <w:i/>
        </w:rPr>
        <w:t xml:space="preserve">8 </w:t>
      </w:r>
      <w:r>
        <w:rPr>
          <w:i/>
        </w:rPr>
        <w:t xml:space="preserve">of the </w:t>
      </w:r>
      <w:r w:rsidR="00C718DB">
        <w:rPr>
          <w:i/>
        </w:rPr>
        <w:t>WIPO Supplemental Rules</w:t>
      </w:r>
      <w:r>
        <w:rPr>
          <w:i/>
        </w:rPr>
        <w:t>.  The names of these three nominees may be taken from the Center’s published list of panelists at http://arbiter.wipo.int/domains/panel/panelists.html.]</w:t>
      </w:r>
    </w:p>
    <w:p w:rsidR="000F2073" w:rsidRDefault="000F2073"/>
    <w:p w:rsidR="000F2073" w:rsidRDefault="000F2073"/>
    <w:p w:rsidR="000F2073" w:rsidRDefault="000F2073">
      <w:pPr>
        <w:pStyle w:val="Header"/>
        <w:tabs>
          <w:tab w:val="clear" w:pos="4536"/>
          <w:tab w:val="clear" w:pos="9072"/>
        </w:tabs>
        <w:jc w:val="center"/>
      </w:pPr>
      <w:r>
        <w:rPr>
          <w:b/>
        </w:rPr>
        <w:t>V</w:t>
      </w:r>
      <w:r w:rsidR="006B6C24">
        <w:rPr>
          <w:b/>
        </w:rPr>
        <w:t>I</w:t>
      </w:r>
      <w:r>
        <w:rPr>
          <w:b/>
        </w:rPr>
        <w:t xml:space="preserve">.  </w:t>
      </w:r>
      <w:r>
        <w:rPr>
          <w:b/>
          <w:u w:val="single"/>
        </w:rPr>
        <w:t>Other Legal Proceedings</w:t>
      </w:r>
    </w:p>
    <w:p w:rsidR="000F2073" w:rsidRDefault="000F2073">
      <w:pPr>
        <w:pStyle w:val="Header"/>
        <w:tabs>
          <w:tab w:val="clear" w:pos="4536"/>
          <w:tab w:val="clear" w:pos="9072"/>
        </w:tabs>
        <w:jc w:val="center"/>
      </w:pPr>
      <w:r>
        <w:t>(</w:t>
      </w:r>
      <w:r w:rsidR="00C718DB">
        <w:t>Rules</w:t>
      </w:r>
      <w:r>
        <w:t xml:space="preserve">, </w:t>
      </w:r>
      <w:r w:rsidR="0008418F">
        <w:t>Paragraph</w:t>
      </w:r>
      <w:r>
        <w:t xml:space="preserve"> 5(</w:t>
      </w:r>
      <w:r w:rsidR="002047DE">
        <w:t>c</w:t>
      </w:r>
      <w:r>
        <w:t>)(vi))</w:t>
      </w:r>
    </w:p>
    <w:p w:rsidR="000F2073" w:rsidRDefault="000F2073">
      <w:pPr>
        <w:pStyle w:val="Header"/>
        <w:tabs>
          <w:tab w:val="clear" w:pos="4536"/>
          <w:tab w:val="clear" w:pos="9072"/>
        </w:tabs>
        <w:spacing w:line="360" w:lineRule="auto"/>
      </w:pPr>
    </w:p>
    <w:p w:rsidR="000F2073" w:rsidRDefault="000F2073">
      <w:pPr>
        <w:pStyle w:val="Header"/>
        <w:tabs>
          <w:tab w:val="clear" w:pos="4536"/>
          <w:tab w:val="clear" w:pos="9072"/>
        </w:tabs>
        <w:spacing w:line="360" w:lineRule="auto"/>
        <w:ind w:left="567" w:hanging="567"/>
      </w:pPr>
      <w:r>
        <w:t>[</w:t>
      </w:r>
      <w:r w:rsidR="006B6C24">
        <w:t>8.</w:t>
      </w:r>
      <w:r>
        <w:t xml:space="preserve"> ]</w:t>
      </w:r>
      <w:r>
        <w:rPr>
          <w:i/>
        </w:rPr>
        <w:tab/>
        <w:t>[If any, identify other legal proceedings that have been commenced or terminated in connection with or relating to the domain name(s) that (is/are) the subject of the Complaint and summarize the issues that are the subject of (that/those) proceeding(s).]</w:t>
      </w:r>
    </w:p>
    <w:p w:rsidR="000F2073" w:rsidRDefault="000F2073"/>
    <w:p w:rsidR="000F2073" w:rsidRDefault="000F2073"/>
    <w:p w:rsidR="000F2073" w:rsidRDefault="000F2073">
      <w:pPr>
        <w:pStyle w:val="Heading4"/>
        <w:rPr>
          <w:u w:val="none"/>
        </w:rPr>
      </w:pPr>
      <w:r>
        <w:rPr>
          <w:u w:val="none"/>
        </w:rPr>
        <w:t>VI</w:t>
      </w:r>
      <w:r w:rsidR="004D684B">
        <w:rPr>
          <w:u w:val="none"/>
        </w:rPr>
        <w:t>I</w:t>
      </w:r>
      <w:r>
        <w:rPr>
          <w:u w:val="none"/>
        </w:rPr>
        <w:t>.</w:t>
      </w:r>
      <w:r>
        <w:rPr>
          <w:b w:val="0"/>
          <w:u w:val="none"/>
        </w:rPr>
        <w:t xml:space="preserve">  </w:t>
      </w:r>
      <w:r>
        <w:t>Communications</w:t>
      </w:r>
    </w:p>
    <w:p w:rsidR="000F2073" w:rsidRDefault="000F2073">
      <w:pPr>
        <w:pStyle w:val="Heading4"/>
        <w:rPr>
          <w:b w:val="0"/>
          <w:u w:val="none"/>
        </w:rPr>
      </w:pPr>
      <w:r>
        <w:rPr>
          <w:b w:val="0"/>
          <w:u w:val="none"/>
        </w:rPr>
        <w:t>(</w:t>
      </w:r>
      <w:r w:rsidR="00C718DB">
        <w:rPr>
          <w:b w:val="0"/>
          <w:u w:val="none"/>
        </w:rPr>
        <w:t>Rules</w:t>
      </w:r>
      <w:r>
        <w:rPr>
          <w:b w:val="0"/>
          <w:u w:val="none"/>
        </w:rPr>
        <w:t xml:space="preserve">, </w:t>
      </w:r>
      <w:r w:rsidR="005E65DD">
        <w:rPr>
          <w:b w:val="0"/>
          <w:u w:val="none"/>
        </w:rPr>
        <w:t>P</w:t>
      </w:r>
      <w:r>
        <w:rPr>
          <w:b w:val="0"/>
          <w:u w:val="none"/>
        </w:rPr>
        <w:t>ara</w:t>
      </w:r>
      <w:r w:rsidR="005E65DD">
        <w:rPr>
          <w:b w:val="0"/>
          <w:u w:val="none"/>
        </w:rPr>
        <w:t>graph</w:t>
      </w:r>
      <w:r>
        <w:rPr>
          <w:b w:val="0"/>
          <w:u w:val="none"/>
        </w:rPr>
        <w:t>s 2(b), 5(</w:t>
      </w:r>
      <w:r w:rsidR="002047DE">
        <w:rPr>
          <w:b w:val="0"/>
          <w:u w:val="none"/>
        </w:rPr>
        <w:t>c</w:t>
      </w:r>
      <w:r>
        <w:rPr>
          <w:b w:val="0"/>
          <w:u w:val="none"/>
        </w:rPr>
        <w:t>)(vii);</w:t>
      </w:r>
      <w:r w:rsidR="003D72B1">
        <w:rPr>
          <w:b w:val="0"/>
          <w:u w:val="none"/>
        </w:rPr>
        <w:t xml:space="preserve"> </w:t>
      </w:r>
      <w:r>
        <w:rPr>
          <w:b w:val="0"/>
          <w:u w:val="none"/>
        </w:rPr>
        <w:t xml:space="preserve"> </w:t>
      </w:r>
      <w:r w:rsidR="00C718DB">
        <w:rPr>
          <w:b w:val="0"/>
          <w:u w:val="none"/>
        </w:rPr>
        <w:t>WIPO Supplemental Rules</w:t>
      </w:r>
      <w:r>
        <w:rPr>
          <w:b w:val="0"/>
          <w:u w:val="none"/>
        </w:rPr>
        <w:t xml:space="preserve">, </w:t>
      </w:r>
      <w:r w:rsidR="0008418F">
        <w:rPr>
          <w:b w:val="0"/>
          <w:u w:val="none"/>
        </w:rPr>
        <w:t>Paragraphs</w:t>
      </w:r>
      <w:r>
        <w:rPr>
          <w:b w:val="0"/>
          <w:u w:val="none"/>
        </w:rPr>
        <w:t xml:space="preserve"> 3</w:t>
      </w:r>
      <w:r w:rsidR="003D72B1">
        <w:rPr>
          <w:b w:val="0"/>
          <w:u w:val="none"/>
        </w:rPr>
        <w:t>, 7, 12</w:t>
      </w:r>
      <w:r>
        <w:rPr>
          <w:b w:val="0"/>
          <w:u w:val="none"/>
        </w:rPr>
        <w:t>)</w:t>
      </w:r>
    </w:p>
    <w:p w:rsidR="000F2073" w:rsidRDefault="000F2073">
      <w:pPr>
        <w:spacing w:line="360" w:lineRule="auto"/>
        <w:ind w:left="360"/>
      </w:pPr>
    </w:p>
    <w:p w:rsidR="000F2073" w:rsidRDefault="000F2073">
      <w:pPr>
        <w:spacing w:line="360" w:lineRule="auto"/>
        <w:ind w:left="567" w:hanging="567"/>
      </w:pPr>
      <w:r>
        <w:t>[</w:t>
      </w:r>
      <w:r w:rsidR="006B6C24">
        <w:t>9</w:t>
      </w:r>
      <w:r>
        <w:t>.]</w:t>
      </w:r>
      <w:r>
        <w:tab/>
        <w:t xml:space="preserve">A copy of this Response has been transmitted to the Complainant on </w:t>
      </w:r>
      <w:r>
        <w:rPr>
          <w:i/>
        </w:rPr>
        <w:t>[date]</w:t>
      </w:r>
      <w:r>
        <w:t xml:space="preserve"> </w:t>
      </w:r>
      <w:r w:rsidR="002047DE">
        <w:t>in electronic form.</w:t>
      </w:r>
    </w:p>
    <w:p w:rsidR="000F2073" w:rsidRDefault="000F2073">
      <w:pPr>
        <w:spacing w:line="360" w:lineRule="auto"/>
        <w:ind w:left="567" w:hanging="567"/>
      </w:pPr>
    </w:p>
    <w:p w:rsidR="00854E52" w:rsidRDefault="000F2073" w:rsidP="00854E52">
      <w:pPr>
        <w:spacing w:line="360" w:lineRule="auto"/>
        <w:ind w:left="567" w:hanging="567"/>
      </w:pPr>
      <w:r>
        <w:t>[</w:t>
      </w:r>
      <w:r w:rsidR="006B6C24">
        <w:t>10</w:t>
      </w:r>
      <w:r>
        <w:t>.]</w:t>
      </w:r>
      <w:r>
        <w:tab/>
        <w:t>This Response is submitted to the Center in electronic form</w:t>
      </w:r>
      <w:r w:rsidR="00854E52">
        <w:t xml:space="preserve">, including </w:t>
      </w:r>
      <w:r w:rsidR="003D72B1">
        <w:t xml:space="preserve">any </w:t>
      </w:r>
      <w:r w:rsidR="00854E52">
        <w:t>annexes, in the appropriate format.</w:t>
      </w:r>
    </w:p>
    <w:p w:rsidR="000F2073" w:rsidRDefault="000F2073"/>
    <w:p w:rsidR="000F2073" w:rsidRDefault="000F2073"/>
    <w:p w:rsidR="000F2073" w:rsidRDefault="000F2073">
      <w:pPr>
        <w:pStyle w:val="Heading4"/>
        <w:rPr>
          <w:b w:val="0"/>
        </w:rPr>
      </w:pPr>
      <w:r>
        <w:rPr>
          <w:u w:val="none"/>
        </w:rPr>
        <w:t>VII</w:t>
      </w:r>
      <w:r w:rsidR="004D684B">
        <w:rPr>
          <w:u w:val="none"/>
        </w:rPr>
        <w:t>I</w:t>
      </w:r>
      <w:r>
        <w:rPr>
          <w:u w:val="none"/>
        </w:rPr>
        <w:t xml:space="preserve">.  </w:t>
      </w:r>
      <w:r>
        <w:t>Payment</w:t>
      </w:r>
    </w:p>
    <w:p w:rsidR="000F2073" w:rsidRDefault="000F2073">
      <w:pPr>
        <w:jc w:val="center"/>
      </w:pPr>
      <w:r>
        <w:t>(</w:t>
      </w:r>
      <w:r w:rsidR="00C718DB">
        <w:t>Rules</w:t>
      </w:r>
      <w:r>
        <w:t xml:space="preserve">, </w:t>
      </w:r>
      <w:r w:rsidR="0008418F">
        <w:t>Paragraph</w:t>
      </w:r>
      <w:r>
        <w:t xml:space="preserve"> 5(</w:t>
      </w:r>
      <w:r w:rsidR="002047DE">
        <w:t>d</w:t>
      </w:r>
      <w:r>
        <w:t xml:space="preserve">); </w:t>
      </w:r>
      <w:r w:rsidR="005E65DD">
        <w:t xml:space="preserve"> </w:t>
      </w:r>
      <w:r w:rsidR="00C718DB">
        <w:t>WIPO Supplemental Rules</w:t>
      </w:r>
      <w:r>
        <w:t>, Annex D)</w:t>
      </w:r>
    </w:p>
    <w:p w:rsidR="000F2073" w:rsidRDefault="000F2073">
      <w:pPr>
        <w:rPr>
          <w:i/>
        </w:rPr>
      </w:pPr>
    </w:p>
    <w:p w:rsidR="000F2073" w:rsidRPr="00D80F5D" w:rsidRDefault="000F2073">
      <w:pPr>
        <w:spacing w:line="360" w:lineRule="auto"/>
        <w:ind w:left="567" w:hanging="567"/>
        <w:rPr>
          <w:i/>
          <w:sz w:val="28"/>
        </w:rPr>
      </w:pPr>
      <w:r>
        <w:t>[</w:t>
      </w:r>
      <w:r w:rsidR="006B6C24">
        <w:t>11.</w:t>
      </w:r>
      <w:r>
        <w:t>]</w:t>
      </w:r>
      <w:r>
        <w:tab/>
      </w:r>
      <w:r>
        <w:rPr>
          <w:i/>
        </w:rPr>
        <w:t>[If relevant, state:  “In view of the Complainant’s designation of a single-member Panel and the Respondent’s designation of a three-member Panel, the Respondent hereby submits payment in the amount of USD (amount</w:t>
      </w:r>
      <w:r>
        <w:rPr>
          <w:i/>
          <w:sz w:val="26"/>
        </w:rPr>
        <w:t>) by (method)”.</w:t>
      </w:r>
      <w:r>
        <w:rPr>
          <w:i/>
          <w:sz w:val="28"/>
        </w:rPr>
        <w:t>]</w:t>
      </w:r>
      <w:r w:rsidR="00D80F5D">
        <w:rPr>
          <w:i/>
          <w:sz w:val="28"/>
        </w:rPr>
        <w:t xml:space="preserve">  </w:t>
      </w:r>
      <w:r w:rsidR="00D80F5D" w:rsidRPr="005E65DD">
        <w:rPr>
          <w:i/>
          <w:szCs w:val="24"/>
        </w:rPr>
        <w:t>(</w:t>
      </w:r>
      <w:r w:rsidR="00EF7656" w:rsidRPr="002A4DEA">
        <w:rPr>
          <w:rStyle w:val="Emphasis"/>
          <w:lang w:val="en"/>
        </w:rPr>
        <w:t>Payment by credit card should be made using the Center's</w:t>
      </w:r>
      <w:r w:rsidR="00EF7656" w:rsidRPr="00EF7656">
        <w:rPr>
          <w:rStyle w:val="Emphasis"/>
          <w:color w:val="333333"/>
          <w:lang w:val="en"/>
        </w:rPr>
        <w:t xml:space="preserve"> </w:t>
      </w:r>
      <w:hyperlink r:id="rId7" w:history="1">
        <w:r w:rsidR="00EF7656" w:rsidRPr="00F32739">
          <w:rPr>
            <w:rStyle w:val="Hyperlink"/>
            <w:lang w:val="en"/>
          </w:rPr>
          <w:t>secure online payment facility</w:t>
        </w:r>
      </w:hyperlink>
      <w:r w:rsidR="00EF7656" w:rsidRPr="00EF7656">
        <w:rPr>
          <w:rStyle w:val="Emphasis"/>
          <w:color w:val="333333"/>
          <w:lang w:val="en"/>
        </w:rPr>
        <w:t xml:space="preserve">. </w:t>
      </w:r>
      <w:r w:rsidR="005E65DD">
        <w:rPr>
          <w:rStyle w:val="Emphasis"/>
          <w:color w:val="333333"/>
          <w:lang w:val="en"/>
        </w:rPr>
        <w:t xml:space="preserve"> </w:t>
      </w:r>
      <w:r w:rsidR="00EF7656" w:rsidRPr="002A4DEA">
        <w:rPr>
          <w:rStyle w:val="Emphasis"/>
          <w:lang w:val="en"/>
        </w:rPr>
        <w:t>For any payment-related queries or difficulties, please contact the Center Secretariat on (+41 22) 338 8247, or email the Center at</w:t>
      </w:r>
      <w:r w:rsidR="00EF7656" w:rsidRPr="00EF7656">
        <w:rPr>
          <w:rStyle w:val="Emphasis"/>
          <w:color w:val="333333"/>
          <w:lang w:val="en"/>
        </w:rPr>
        <w:t xml:space="preserve"> </w:t>
      </w:r>
      <w:hyperlink r:id="rId8" w:tooltip="mailto:arbiter.mail@wipo.int" w:history="1">
        <w:r w:rsidR="00EF7656">
          <w:rPr>
            <w:rStyle w:val="Hyperlink"/>
            <w:lang w:val="en"/>
          </w:rPr>
          <w:t>arbiter.mail@wipo.int</w:t>
        </w:r>
      </w:hyperlink>
      <w:r w:rsidR="00EF7656" w:rsidRPr="002A4DEA">
        <w:rPr>
          <w:rStyle w:val="Emphasis"/>
          <w:lang w:val="en"/>
        </w:rPr>
        <w:t>.)</w:t>
      </w:r>
    </w:p>
    <w:p w:rsidR="000F2073" w:rsidRDefault="000F2073"/>
    <w:p w:rsidR="000F2073" w:rsidRDefault="000F2073"/>
    <w:p w:rsidR="000F2073" w:rsidRDefault="004D684B">
      <w:pPr>
        <w:pStyle w:val="Heading4"/>
        <w:rPr>
          <w:b w:val="0"/>
          <w:u w:val="none"/>
        </w:rPr>
      </w:pPr>
      <w:r>
        <w:rPr>
          <w:u w:val="none"/>
        </w:rPr>
        <w:t>IX</w:t>
      </w:r>
      <w:r w:rsidR="000F2073">
        <w:rPr>
          <w:u w:val="none"/>
        </w:rPr>
        <w:t xml:space="preserve">.  </w:t>
      </w:r>
      <w:r w:rsidR="000F2073">
        <w:t>Certification</w:t>
      </w:r>
    </w:p>
    <w:p w:rsidR="000F2073" w:rsidRDefault="000F2073">
      <w:pPr>
        <w:pStyle w:val="Heading4"/>
        <w:rPr>
          <w:b w:val="0"/>
          <w:u w:val="none"/>
        </w:rPr>
      </w:pPr>
      <w:r>
        <w:rPr>
          <w:b w:val="0"/>
          <w:u w:val="none"/>
        </w:rPr>
        <w:t>(</w:t>
      </w:r>
      <w:r w:rsidR="00C718DB">
        <w:rPr>
          <w:b w:val="0"/>
          <w:u w:val="none"/>
        </w:rPr>
        <w:t>Rules</w:t>
      </w:r>
      <w:r>
        <w:rPr>
          <w:b w:val="0"/>
          <w:u w:val="none"/>
        </w:rPr>
        <w:t xml:space="preserve">, </w:t>
      </w:r>
      <w:r w:rsidR="0008418F">
        <w:rPr>
          <w:b w:val="0"/>
          <w:u w:val="none"/>
        </w:rPr>
        <w:t>Paragraph</w:t>
      </w:r>
      <w:r>
        <w:rPr>
          <w:b w:val="0"/>
          <w:u w:val="none"/>
        </w:rPr>
        <w:t xml:space="preserve"> 5(</w:t>
      </w:r>
      <w:r w:rsidR="002047DE">
        <w:rPr>
          <w:b w:val="0"/>
          <w:u w:val="none"/>
        </w:rPr>
        <w:t>c</w:t>
      </w:r>
      <w:r>
        <w:rPr>
          <w:b w:val="0"/>
          <w:u w:val="none"/>
        </w:rPr>
        <w:t>)(viii)</w:t>
      </w:r>
      <w:r w:rsidR="005E65DD">
        <w:rPr>
          <w:b w:val="0"/>
          <w:u w:val="none"/>
        </w:rPr>
        <w:t xml:space="preserve">; </w:t>
      </w:r>
      <w:r>
        <w:rPr>
          <w:b w:val="0"/>
          <w:u w:val="none"/>
        </w:rPr>
        <w:t xml:space="preserve"> </w:t>
      </w:r>
      <w:r w:rsidR="00C718DB">
        <w:rPr>
          <w:b w:val="0"/>
          <w:u w:val="none"/>
        </w:rPr>
        <w:t>WIPO Supplemental Rules</w:t>
      </w:r>
      <w:r>
        <w:rPr>
          <w:b w:val="0"/>
          <w:u w:val="none"/>
        </w:rPr>
        <w:t xml:space="preserve">, </w:t>
      </w:r>
      <w:r w:rsidR="0008418F">
        <w:rPr>
          <w:b w:val="0"/>
          <w:u w:val="none"/>
        </w:rPr>
        <w:t>Paragraph</w:t>
      </w:r>
      <w:r>
        <w:rPr>
          <w:b w:val="0"/>
          <w:u w:val="none"/>
        </w:rPr>
        <w:t xml:space="preserve"> 1</w:t>
      </w:r>
      <w:r w:rsidR="0008418F">
        <w:rPr>
          <w:b w:val="0"/>
          <w:u w:val="none"/>
        </w:rPr>
        <w:t>5</w:t>
      </w:r>
      <w:r>
        <w:rPr>
          <w:b w:val="0"/>
          <w:u w:val="none"/>
        </w:rPr>
        <w:t>)</w:t>
      </w:r>
    </w:p>
    <w:p w:rsidR="000F2073" w:rsidRDefault="000F2073">
      <w:pPr>
        <w:spacing w:line="360" w:lineRule="auto"/>
        <w:jc w:val="center"/>
      </w:pPr>
    </w:p>
    <w:p w:rsidR="000F2073" w:rsidRDefault="000F2073" w:rsidP="005E65DD">
      <w:pPr>
        <w:spacing w:line="360" w:lineRule="auto"/>
        <w:ind w:left="567" w:hanging="567"/>
      </w:pPr>
      <w:r>
        <w:t>[</w:t>
      </w:r>
      <w:r w:rsidR="006B6C24">
        <w:t>12</w:t>
      </w:r>
      <w:r>
        <w:t>.]</w:t>
      </w:r>
      <w:r>
        <w:tab/>
        <w:t>The Respondent agrees that, except in respect of deliberate wrongdoing, an Administrative Panel, the World Intellectual Property Organization and the Center shall not be liable</w:t>
      </w:r>
      <w:r w:rsidR="000E66AB">
        <w:t xml:space="preserve"> to a party, a concerned registrar or </w:t>
      </w:r>
      <w:r w:rsidR="00246629">
        <w:t xml:space="preserve">NIC.AC </w:t>
      </w:r>
      <w:r>
        <w:t>for any act or omission in connection with the administrative proceeding.</w:t>
      </w:r>
    </w:p>
    <w:p w:rsidR="000F2073" w:rsidRDefault="000F2073" w:rsidP="002A4DEA">
      <w:pPr>
        <w:spacing w:line="360" w:lineRule="auto"/>
        <w:ind w:left="567" w:hanging="567"/>
      </w:pPr>
    </w:p>
    <w:p w:rsidR="000F2073" w:rsidRDefault="000F2073" w:rsidP="005E65DD">
      <w:pPr>
        <w:spacing w:line="360" w:lineRule="auto"/>
        <w:ind w:left="567" w:hanging="567"/>
      </w:pPr>
      <w:r>
        <w:t>[1</w:t>
      </w:r>
      <w:r w:rsidR="006B6C24">
        <w:t>3</w:t>
      </w:r>
      <w:r>
        <w:t>.]</w:t>
      </w:r>
      <w:r>
        <w:tab/>
        <w:t xml:space="preserve">The Respondent certifies that the information contained in this Response is to the best of the Respondent’s knowledge complete and accurate, that this Response is not being presented for any improper purpose, such as to harass, and that the assertions in this Response are warranted under the </w:t>
      </w:r>
      <w:r w:rsidR="00C718DB">
        <w:t>Rules</w:t>
      </w:r>
      <w:r>
        <w:t xml:space="preserve"> and under applicable law, as it now exists or as it may be extended by a good-faith and reasonable argument. </w:t>
      </w:r>
    </w:p>
    <w:p w:rsidR="000F2073" w:rsidRDefault="000F2073">
      <w:pPr>
        <w:spacing w:line="360" w:lineRule="auto"/>
        <w:jc w:val="right"/>
      </w:pPr>
    </w:p>
    <w:p w:rsidR="000F2073" w:rsidRDefault="000F2073">
      <w:pPr>
        <w:spacing w:line="360" w:lineRule="auto"/>
        <w:jc w:val="right"/>
      </w:pPr>
    </w:p>
    <w:p w:rsidR="000F2073" w:rsidRDefault="000F2073">
      <w:pPr>
        <w:spacing w:line="360" w:lineRule="auto"/>
        <w:jc w:val="right"/>
      </w:pPr>
      <w:r>
        <w:t>Respectfully submitted,</w:t>
      </w:r>
    </w:p>
    <w:p w:rsidR="000F2073" w:rsidRDefault="000F2073">
      <w:pPr>
        <w:spacing w:line="360" w:lineRule="auto"/>
      </w:pPr>
    </w:p>
    <w:p w:rsidR="000F2073" w:rsidRDefault="000F2073">
      <w:pPr>
        <w:spacing w:line="360" w:lineRule="auto"/>
        <w:jc w:val="right"/>
      </w:pPr>
    </w:p>
    <w:p w:rsidR="000F2073" w:rsidRDefault="000F2073">
      <w:pPr>
        <w:spacing w:line="360" w:lineRule="auto"/>
        <w:jc w:val="right"/>
      </w:pPr>
      <w:r>
        <w:t>___________________</w:t>
      </w:r>
    </w:p>
    <w:p w:rsidR="000F2073" w:rsidRDefault="000F2073">
      <w:pPr>
        <w:spacing w:line="360" w:lineRule="auto"/>
        <w:jc w:val="right"/>
        <w:rPr>
          <w:i/>
        </w:rPr>
      </w:pPr>
      <w:r>
        <w:rPr>
          <w:i/>
        </w:rPr>
        <w:t>[Name/Signature]</w:t>
      </w:r>
    </w:p>
    <w:p w:rsidR="000F2073" w:rsidRDefault="000F2073">
      <w:pPr>
        <w:spacing w:line="360" w:lineRule="auto"/>
        <w:jc w:val="right"/>
      </w:pPr>
    </w:p>
    <w:p w:rsidR="000F2073" w:rsidRDefault="000F2073">
      <w:pPr>
        <w:pStyle w:val="Header"/>
        <w:tabs>
          <w:tab w:val="clear" w:pos="4536"/>
          <w:tab w:val="clear" w:pos="9072"/>
        </w:tabs>
        <w:spacing w:line="360" w:lineRule="auto"/>
      </w:pPr>
      <w:r>
        <w:t>Date: ______________</w:t>
      </w:r>
    </w:p>
    <w:p w:rsidR="002255A3" w:rsidRDefault="002255A3">
      <w:pPr>
        <w:pStyle w:val="Header"/>
        <w:tabs>
          <w:tab w:val="clear" w:pos="4536"/>
          <w:tab w:val="clear" w:pos="9072"/>
        </w:tabs>
        <w:spacing w:line="360" w:lineRule="auto"/>
      </w:pPr>
    </w:p>
    <w:p w:rsidR="002255A3" w:rsidRDefault="002255A3">
      <w:pPr>
        <w:pStyle w:val="Header"/>
        <w:tabs>
          <w:tab w:val="clear" w:pos="4536"/>
          <w:tab w:val="clear" w:pos="9072"/>
        </w:tabs>
        <w:spacing w:line="360" w:lineRule="auto"/>
      </w:pPr>
    </w:p>
    <w:p w:rsidR="002255A3" w:rsidRDefault="002255A3">
      <w:pPr>
        <w:pStyle w:val="Header"/>
        <w:tabs>
          <w:tab w:val="clear" w:pos="4536"/>
          <w:tab w:val="clear" w:pos="9072"/>
        </w:tabs>
        <w:spacing w:line="360" w:lineRule="auto"/>
      </w:pPr>
    </w:p>
    <w:p w:rsidR="002255A3" w:rsidRDefault="002255A3" w:rsidP="002255A3">
      <w:pPr>
        <w:pStyle w:val="Heading4"/>
      </w:pPr>
      <w:r>
        <w:rPr>
          <w:u w:val="none"/>
        </w:rPr>
        <w:t xml:space="preserve">X.  </w:t>
      </w:r>
      <w:r>
        <w:t>List of Annexes</w:t>
      </w:r>
    </w:p>
    <w:p w:rsidR="0008418F" w:rsidRPr="002A4DEA" w:rsidRDefault="002255A3" w:rsidP="0008418F">
      <w:pPr>
        <w:spacing w:after="168" w:line="336" w:lineRule="atLeast"/>
        <w:jc w:val="center"/>
        <w:textAlignment w:val="baseline"/>
        <w:rPr>
          <w:szCs w:val="24"/>
        </w:rPr>
      </w:pPr>
      <w:r w:rsidRPr="005E65DD">
        <w:rPr>
          <w:szCs w:val="24"/>
        </w:rPr>
        <w:t>[</w:t>
      </w:r>
      <w:r w:rsidR="0008418F" w:rsidRPr="002A4DEA">
        <w:rPr>
          <w:szCs w:val="24"/>
        </w:rPr>
        <w:t>(</w:t>
      </w:r>
      <w:r w:rsidR="00C718DB">
        <w:rPr>
          <w:szCs w:val="24"/>
        </w:rPr>
        <w:t>Rules</w:t>
      </w:r>
      <w:r w:rsidR="0008418F" w:rsidRPr="002A4DEA">
        <w:rPr>
          <w:szCs w:val="24"/>
        </w:rPr>
        <w:t>, Paragraph 5(c)</w:t>
      </w:r>
      <w:r w:rsidR="005E65DD">
        <w:rPr>
          <w:szCs w:val="24"/>
        </w:rPr>
        <w:t xml:space="preserve">; </w:t>
      </w:r>
      <w:r w:rsidR="0008418F" w:rsidRPr="002A4DEA">
        <w:rPr>
          <w:szCs w:val="24"/>
        </w:rPr>
        <w:t xml:space="preserve"> </w:t>
      </w:r>
      <w:r w:rsidR="00C718DB">
        <w:rPr>
          <w:szCs w:val="24"/>
        </w:rPr>
        <w:t>WIPO Supplemental Rules</w:t>
      </w:r>
      <w:r w:rsidR="0008418F" w:rsidRPr="002A4DEA">
        <w:rPr>
          <w:szCs w:val="24"/>
        </w:rPr>
        <w:t>, Paragraph 12, Annex E)</w:t>
      </w:r>
    </w:p>
    <w:p w:rsidR="0008418F" w:rsidRPr="002A4DEA" w:rsidRDefault="0008418F" w:rsidP="0008418F">
      <w:pPr>
        <w:spacing w:after="168" w:line="336" w:lineRule="atLeast"/>
        <w:textAlignment w:val="baseline"/>
        <w:rPr>
          <w:szCs w:val="24"/>
        </w:rPr>
      </w:pPr>
      <w:r w:rsidRPr="002A4DEA">
        <w:rPr>
          <w:szCs w:val="24"/>
        </w:rPr>
        <w:t xml:space="preserve">[14.] The </w:t>
      </w:r>
      <w:r w:rsidR="00C718DB">
        <w:rPr>
          <w:szCs w:val="24"/>
        </w:rPr>
        <w:t>Rules</w:t>
      </w:r>
      <w:r w:rsidRPr="002A4DEA">
        <w:rPr>
          <w:szCs w:val="24"/>
        </w:rPr>
        <w:t xml:space="preserve"> provide that a Complaint or Response, including any annexes, shall be submitted electronically. </w:t>
      </w:r>
      <w:r w:rsidR="000E66AB" w:rsidRPr="002A4DEA">
        <w:rPr>
          <w:szCs w:val="24"/>
        </w:rPr>
        <w:t xml:space="preserve"> U</w:t>
      </w:r>
      <w:r w:rsidRPr="002A4DEA">
        <w:rPr>
          <w:szCs w:val="24"/>
        </w:rPr>
        <w:t xml:space="preserve">nder the </w:t>
      </w:r>
      <w:r w:rsidR="00C718DB">
        <w:rPr>
          <w:szCs w:val="24"/>
        </w:rPr>
        <w:t>WIPO Supplemental Rules</w:t>
      </w:r>
      <w:r w:rsidRPr="002A4DEA">
        <w:rPr>
          <w:szCs w:val="24"/>
        </w:rPr>
        <w:t>, there is a file size limit of 10MB (ten megabytes) for any one attachment, with an overall limit for all submitted materials of no more than 50MB (fifty megabytes).</w:t>
      </w:r>
    </w:p>
    <w:p w:rsidR="0008418F" w:rsidRPr="002A4DEA" w:rsidRDefault="0008418F" w:rsidP="0008418F">
      <w:pPr>
        <w:spacing w:after="168" w:line="336" w:lineRule="atLeast"/>
        <w:textAlignment w:val="baseline"/>
        <w:rPr>
          <w:szCs w:val="24"/>
        </w:rPr>
      </w:pPr>
      <w:r w:rsidRPr="002A4DEA">
        <w:rPr>
          <w:szCs w:val="24"/>
        </w:rPr>
        <w:t xml:space="preserve">[15.] In particular, Paragraph 12 and Annex E of the </w:t>
      </w:r>
      <w:r w:rsidR="00C718DB">
        <w:rPr>
          <w:szCs w:val="24"/>
        </w:rPr>
        <w:t>WIPO Supplemental Rules</w:t>
      </w:r>
      <w:r w:rsidRPr="002A4DEA">
        <w:rPr>
          <w:szCs w:val="24"/>
        </w:rPr>
        <w:t xml:space="preserve"> provides that, other than by prior arrangement with the Center, the size of any individual file (such as a document in Word, PDF or Excel format) transmitted to the Center in connection with any </w:t>
      </w:r>
      <w:r w:rsidR="005E65DD">
        <w:rPr>
          <w:szCs w:val="24"/>
        </w:rPr>
        <w:t>.AC</w:t>
      </w:r>
      <w:r w:rsidR="005E65DD" w:rsidRPr="002A4DEA">
        <w:rPr>
          <w:szCs w:val="24"/>
        </w:rPr>
        <w:t xml:space="preserve"> </w:t>
      </w:r>
      <w:r w:rsidRPr="002A4DEA">
        <w:rPr>
          <w:szCs w:val="24"/>
        </w:rPr>
        <w:t xml:space="preserve">proceeding shall itself be no larger than 10MB. </w:t>
      </w:r>
      <w:r w:rsidR="000E66AB" w:rsidRPr="002A4DEA">
        <w:rPr>
          <w:szCs w:val="24"/>
        </w:rPr>
        <w:t xml:space="preserve"> </w:t>
      </w:r>
      <w:r w:rsidRPr="002A4DEA">
        <w:rPr>
          <w:szCs w:val="24"/>
        </w:rPr>
        <w:t xml:space="preserve">When larger amounts of data need to be transmitted, larger files can be </w:t>
      </w:r>
      <w:r w:rsidR="000E66AB" w:rsidRPr="002A4DEA">
        <w:rPr>
          <w:szCs w:val="24"/>
        </w:rPr>
        <w:t>“</w:t>
      </w:r>
      <w:r w:rsidRPr="002A4DEA">
        <w:rPr>
          <w:szCs w:val="24"/>
        </w:rPr>
        <w:t>split</w:t>
      </w:r>
      <w:r w:rsidR="000E66AB" w:rsidRPr="002A4DEA">
        <w:rPr>
          <w:szCs w:val="24"/>
        </w:rPr>
        <w:t>”</w:t>
      </w:r>
      <w:r w:rsidRPr="002A4DEA">
        <w:rPr>
          <w:szCs w:val="24"/>
        </w:rPr>
        <w:t xml:space="preserve"> into a number of separate files or documents each no larger than 10MB. </w:t>
      </w:r>
      <w:r w:rsidR="000E66AB" w:rsidRPr="002A4DEA">
        <w:rPr>
          <w:szCs w:val="24"/>
        </w:rPr>
        <w:t xml:space="preserve"> </w:t>
      </w:r>
      <w:r w:rsidRPr="002A4DEA">
        <w:rPr>
          <w:szCs w:val="24"/>
        </w:rPr>
        <w:t xml:space="preserve">The total size of a Complaint or Response (including any annexes) filed in relation to a </w:t>
      </w:r>
      <w:r w:rsidR="005E65DD">
        <w:rPr>
          <w:szCs w:val="24"/>
        </w:rPr>
        <w:t>.AC</w:t>
      </w:r>
      <w:r w:rsidR="005E65DD" w:rsidRPr="002A4DEA">
        <w:rPr>
          <w:szCs w:val="24"/>
        </w:rPr>
        <w:t xml:space="preserve"> </w:t>
      </w:r>
      <w:r w:rsidRPr="002A4DEA">
        <w:rPr>
          <w:szCs w:val="24"/>
        </w:rPr>
        <w:t>dispute shall not exceed 50MB, other than in exceptional circumstances (including in the case of pleadings concerning a large number of disputed domain names) where previously arranged with the Center.</w:t>
      </w:r>
    </w:p>
    <w:p w:rsidR="0008418F" w:rsidRPr="002A4DEA" w:rsidRDefault="0008418F" w:rsidP="0008418F">
      <w:pPr>
        <w:spacing w:after="168" w:line="336" w:lineRule="atLeast"/>
        <w:textAlignment w:val="baseline"/>
        <w:rPr>
          <w:szCs w:val="24"/>
        </w:rPr>
      </w:pPr>
      <w:r w:rsidRPr="002A4DEA">
        <w:rPr>
          <w:szCs w:val="24"/>
        </w:rPr>
        <w:t>Annex 1: </w:t>
      </w:r>
    </w:p>
    <w:p w:rsidR="0008418F" w:rsidRPr="002A4DEA" w:rsidRDefault="0008418F" w:rsidP="0008418F">
      <w:pPr>
        <w:spacing w:after="168" w:line="336" w:lineRule="atLeast"/>
        <w:textAlignment w:val="baseline"/>
        <w:rPr>
          <w:szCs w:val="24"/>
        </w:rPr>
      </w:pPr>
      <w:r w:rsidRPr="002A4DEA">
        <w:rPr>
          <w:szCs w:val="24"/>
        </w:rPr>
        <w:t>Annex 2: </w:t>
      </w:r>
    </w:p>
    <w:p w:rsidR="0008418F" w:rsidRPr="002A4DEA" w:rsidRDefault="0008418F" w:rsidP="0008418F">
      <w:pPr>
        <w:spacing w:after="168" w:line="336" w:lineRule="atLeast"/>
        <w:textAlignment w:val="baseline"/>
        <w:rPr>
          <w:szCs w:val="24"/>
        </w:rPr>
      </w:pPr>
      <w:r w:rsidRPr="002A4DEA">
        <w:rPr>
          <w:szCs w:val="24"/>
        </w:rPr>
        <w:t>Annex 3: </w:t>
      </w:r>
    </w:p>
    <w:p w:rsidR="0008418F" w:rsidRPr="002A4DEA" w:rsidRDefault="0008418F" w:rsidP="0008418F">
      <w:pPr>
        <w:spacing w:after="168" w:line="336" w:lineRule="atLeast"/>
        <w:textAlignment w:val="baseline"/>
        <w:rPr>
          <w:szCs w:val="24"/>
        </w:rPr>
      </w:pPr>
      <w:r w:rsidRPr="002A4DEA">
        <w:rPr>
          <w:szCs w:val="24"/>
        </w:rPr>
        <w:t>Annex 4: </w:t>
      </w:r>
    </w:p>
    <w:p w:rsidR="0008418F" w:rsidRPr="002A4DEA" w:rsidRDefault="0008418F" w:rsidP="0008418F">
      <w:pPr>
        <w:spacing w:after="168" w:line="336" w:lineRule="atLeast"/>
        <w:textAlignment w:val="baseline"/>
        <w:rPr>
          <w:szCs w:val="24"/>
        </w:rPr>
      </w:pPr>
      <w:r w:rsidRPr="002A4DEA">
        <w:rPr>
          <w:szCs w:val="24"/>
        </w:rPr>
        <w:t>Annex 5: </w:t>
      </w:r>
    </w:p>
    <w:p w:rsidR="0008418F" w:rsidRPr="002A4DEA" w:rsidRDefault="0008418F" w:rsidP="0008418F">
      <w:pPr>
        <w:spacing w:line="336" w:lineRule="atLeast"/>
        <w:textAlignment w:val="baseline"/>
        <w:rPr>
          <w:szCs w:val="24"/>
        </w:rPr>
      </w:pPr>
      <w:r w:rsidRPr="002A4DEA">
        <w:rPr>
          <w:i/>
          <w:iCs/>
          <w:szCs w:val="24"/>
          <w:bdr w:val="none" w:sz="0" w:space="0" w:color="auto" w:frame="1"/>
        </w:rPr>
        <w:t>[Additionally, to avoid any uncertainty, it is requested that any Annexes (and their corresponding filenames) be clearly labeled and sequentially numbered (i.e. Annex 1, 2, 3</w:t>
      </w:r>
      <w:r w:rsidR="005E65DD">
        <w:rPr>
          <w:i/>
          <w:iCs/>
          <w:szCs w:val="24"/>
          <w:bdr w:val="none" w:sz="0" w:space="0" w:color="auto" w:frame="1"/>
        </w:rPr>
        <w:t>,</w:t>
      </w:r>
      <w:r w:rsidRPr="002A4DEA">
        <w:rPr>
          <w:i/>
          <w:iCs/>
          <w:szCs w:val="24"/>
          <w:bdr w:val="none" w:sz="0" w:space="0" w:color="auto" w:frame="1"/>
        </w:rPr>
        <w:t xml:space="preserve"> etc</w:t>
      </w:r>
      <w:r w:rsidR="005E65DD">
        <w:rPr>
          <w:i/>
          <w:iCs/>
          <w:szCs w:val="24"/>
          <w:bdr w:val="none" w:sz="0" w:space="0" w:color="auto" w:frame="1"/>
        </w:rPr>
        <w:t>.</w:t>
      </w:r>
      <w:r w:rsidRPr="002A4DEA">
        <w:rPr>
          <w:i/>
          <w:iCs/>
          <w:szCs w:val="24"/>
          <w:bdr w:val="none" w:sz="0" w:space="0" w:color="auto" w:frame="1"/>
        </w:rPr>
        <w:t>), and a complete list of Annexes supplied].</w:t>
      </w:r>
    </w:p>
    <w:p w:rsidR="002255A3" w:rsidRPr="005E65DD" w:rsidRDefault="002255A3" w:rsidP="002255A3"/>
    <w:p w:rsidR="002255A3" w:rsidRPr="005E65DD" w:rsidRDefault="002255A3" w:rsidP="002255A3"/>
    <w:p w:rsidR="002255A3" w:rsidRPr="005E65DD" w:rsidRDefault="002255A3" w:rsidP="002255A3">
      <w:pPr>
        <w:pStyle w:val="Header"/>
        <w:tabs>
          <w:tab w:val="clear" w:pos="4536"/>
          <w:tab w:val="clear" w:pos="9072"/>
        </w:tabs>
        <w:spacing w:line="360" w:lineRule="auto"/>
      </w:pPr>
    </w:p>
    <w:p w:rsidR="002255A3" w:rsidRPr="00C718DB" w:rsidRDefault="002255A3">
      <w:pPr>
        <w:pStyle w:val="Header"/>
        <w:tabs>
          <w:tab w:val="clear" w:pos="4536"/>
          <w:tab w:val="clear" w:pos="9072"/>
        </w:tabs>
        <w:spacing w:line="360" w:lineRule="auto"/>
      </w:pPr>
    </w:p>
    <w:sectPr w:rsidR="002255A3" w:rsidRPr="00C718DB" w:rsidSect="009449D5">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992" w:right="1559" w:bottom="709" w:left="1985" w:header="510" w:footer="26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AF2" w:rsidRDefault="00EB0AF2">
      <w:r>
        <w:separator/>
      </w:r>
    </w:p>
  </w:endnote>
  <w:endnote w:type="continuationSeparator" w:id="0">
    <w:p w:rsidR="00EB0AF2" w:rsidRDefault="00EB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9BA" w:rsidRDefault="00766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25" w:rsidRDefault="00805025">
    <w:pPr>
      <w:pStyle w:val="Footer"/>
      <w:jc w:val="center"/>
    </w:pPr>
    <w:r>
      <w:rPr>
        <w:rStyle w:val="PageNumber"/>
      </w:rPr>
      <w:fldChar w:fldCharType="begin"/>
    </w:r>
    <w:r>
      <w:rPr>
        <w:rStyle w:val="PageNumber"/>
      </w:rPr>
      <w:instrText xml:space="preserve"> PAGE </w:instrText>
    </w:r>
    <w:r>
      <w:rPr>
        <w:rStyle w:val="PageNumber"/>
      </w:rPr>
      <w:fldChar w:fldCharType="separate"/>
    </w:r>
    <w:r w:rsidR="00F97B7F">
      <w:rPr>
        <w:rStyle w:val="PageNumber"/>
        <w:noProof/>
      </w:rPr>
      <w:t>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9BA" w:rsidRDefault="00766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AF2" w:rsidRDefault="00EB0AF2">
      <w:r>
        <w:separator/>
      </w:r>
    </w:p>
  </w:footnote>
  <w:footnote w:type="continuationSeparator" w:id="0">
    <w:p w:rsidR="00EB0AF2" w:rsidRDefault="00EB0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9BA" w:rsidRDefault="00766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9BA" w:rsidRDefault="007669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9BA" w:rsidRDefault="00766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5B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014FC4"/>
    <w:multiLevelType w:val="hybridMultilevel"/>
    <w:tmpl w:val="6044967A"/>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 w15:restartNumberingAfterBreak="0">
    <w:nsid w:val="122951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CB0BC4"/>
    <w:multiLevelType w:val="hybridMultilevel"/>
    <w:tmpl w:val="3D0A332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83848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7B7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E50E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0323D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9537B4"/>
    <w:multiLevelType w:val="hybridMultilevel"/>
    <w:tmpl w:val="4868508A"/>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0" w15:restartNumberingAfterBreak="0">
    <w:nsid w:val="342827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CA4EB3"/>
    <w:multiLevelType w:val="hybridMultilevel"/>
    <w:tmpl w:val="9E74344E"/>
    <w:lvl w:ilvl="0">
      <w:start w:val="1"/>
      <w:numFmt w:val="decimal"/>
      <w:lvlText w:val="(%1)"/>
      <w:lvlJc w:val="left"/>
      <w:pPr>
        <w:tabs>
          <w:tab w:val="num" w:pos="930"/>
        </w:tabs>
        <w:ind w:left="930" w:hanging="36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2" w15:restartNumberingAfterBreak="0">
    <w:nsid w:val="3AB439AE"/>
    <w:multiLevelType w:val="hybridMultilevel"/>
    <w:tmpl w:val="8D6E1CE4"/>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15:restartNumberingAfterBreak="0">
    <w:nsid w:val="3C5835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D732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1F521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F733E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B9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0759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2874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45D2D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BAE5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CAD30E6"/>
    <w:multiLevelType w:val="hybridMultilevel"/>
    <w:tmpl w:val="597657C4"/>
    <w:lvl w:ilvl="0">
      <w:start w:val="1"/>
      <w:numFmt w:val="decimal"/>
      <w:lvlText w:val="(%1)"/>
      <w:lvlJc w:val="left"/>
      <w:pPr>
        <w:tabs>
          <w:tab w:val="num" w:pos="927"/>
        </w:tabs>
        <w:ind w:left="927" w:hanging="360"/>
      </w:pPr>
      <w:rPr>
        <w:rFonts w:hint="default"/>
      </w:rPr>
    </w:lvl>
    <w:lvl w:ilvl="1">
      <w:start w:val="1"/>
      <w:numFmt w:val="bullet"/>
      <w:lvlText w:val="-"/>
      <w:lvlJc w:val="left"/>
      <w:pPr>
        <w:tabs>
          <w:tab w:val="num" w:pos="1647"/>
        </w:tabs>
        <w:ind w:left="1647" w:hanging="360"/>
      </w:pPr>
      <w:rPr>
        <w:rFonts w:ascii="Times New Roman" w:eastAsia="Times New Roman" w:hAnsi="Times New Roman" w:cs="Times New Roman"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4" w15:restartNumberingAfterBreak="0">
    <w:nsid w:val="655702A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71BF6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8EE08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96F63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B6A66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E542E7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6"/>
  </w:num>
  <w:num w:numId="3">
    <w:abstractNumId w:val="24"/>
  </w:num>
  <w:num w:numId="4">
    <w:abstractNumId w:val="22"/>
  </w:num>
  <w:num w:numId="5">
    <w:abstractNumId w:val="15"/>
  </w:num>
  <w:num w:numId="6">
    <w:abstractNumId w:val="26"/>
  </w:num>
  <w:num w:numId="7">
    <w:abstractNumId w:val="6"/>
  </w:num>
  <w:num w:numId="8">
    <w:abstractNumId w:val="19"/>
  </w:num>
  <w:num w:numId="9">
    <w:abstractNumId w:val="27"/>
  </w:num>
  <w:num w:numId="10">
    <w:abstractNumId w:val="20"/>
  </w:num>
  <w:num w:numId="11">
    <w:abstractNumId w:val="13"/>
  </w:num>
  <w:num w:numId="12">
    <w:abstractNumId w:val="8"/>
  </w:num>
  <w:num w:numId="13">
    <w:abstractNumId w:val="14"/>
  </w:num>
  <w:num w:numId="14">
    <w:abstractNumId w:val="12"/>
  </w:num>
  <w:num w:numId="15">
    <w:abstractNumId w:val="23"/>
  </w:num>
  <w:num w:numId="16">
    <w:abstractNumId w:val="9"/>
  </w:num>
  <w:num w:numId="17">
    <w:abstractNumId w:val="25"/>
  </w:num>
  <w:num w:numId="18">
    <w:abstractNumId w:val="11"/>
  </w:num>
  <w:num w:numId="19">
    <w:abstractNumId w:val="1"/>
  </w:num>
  <w:num w:numId="20">
    <w:abstractNumId w:val="3"/>
  </w:num>
  <w:num w:numId="21">
    <w:abstractNumId w:val="18"/>
  </w:num>
  <w:num w:numId="22">
    <w:abstractNumId w:val="21"/>
  </w:num>
  <w:num w:numId="23">
    <w:abstractNumId w:val="0"/>
  </w:num>
  <w:num w:numId="24">
    <w:abstractNumId w:val="29"/>
  </w:num>
  <w:num w:numId="25">
    <w:abstractNumId w:val="28"/>
  </w:num>
  <w:num w:numId="26">
    <w:abstractNumId w:val="17"/>
  </w:num>
  <w:num w:numId="27">
    <w:abstractNumId w:val="10"/>
  </w:num>
  <w:num w:numId="28">
    <w:abstractNumId w:val="7"/>
  </w:num>
  <w:num w:numId="29">
    <w:abstractNumId w:val="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78"/>
    <w:rsid w:val="000400D0"/>
    <w:rsid w:val="0008418F"/>
    <w:rsid w:val="00091993"/>
    <w:rsid w:val="000E4B21"/>
    <w:rsid w:val="000E66AB"/>
    <w:rsid w:val="000F2073"/>
    <w:rsid w:val="00131892"/>
    <w:rsid w:val="001970B7"/>
    <w:rsid w:val="001B7146"/>
    <w:rsid w:val="001D1578"/>
    <w:rsid w:val="00203428"/>
    <w:rsid w:val="002047DE"/>
    <w:rsid w:val="002255A3"/>
    <w:rsid w:val="00225879"/>
    <w:rsid w:val="00246629"/>
    <w:rsid w:val="002A4DEA"/>
    <w:rsid w:val="002E0B30"/>
    <w:rsid w:val="0030032A"/>
    <w:rsid w:val="00362FC0"/>
    <w:rsid w:val="003727C7"/>
    <w:rsid w:val="003819CC"/>
    <w:rsid w:val="003D72B1"/>
    <w:rsid w:val="003E3399"/>
    <w:rsid w:val="0041379D"/>
    <w:rsid w:val="00420E85"/>
    <w:rsid w:val="00440592"/>
    <w:rsid w:val="004526D9"/>
    <w:rsid w:val="00472D3E"/>
    <w:rsid w:val="004A1B18"/>
    <w:rsid w:val="004A6430"/>
    <w:rsid w:val="004D684B"/>
    <w:rsid w:val="0054558A"/>
    <w:rsid w:val="005862E4"/>
    <w:rsid w:val="005E0926"/>
    <w:rsid w:val="005E17DE"/>
    <w:rsid w:val="005E65DD"/>
    <w:rsid w:val="00622112"/>
    <w:rsid w:val="00697D86"/>
    <w:rsid w:val="006A4C86"/>
    <w:rsid w:val="006A5F0E"/>
    <w:rsid w:val="006B6C24"/>
    <w:rsid w:val="007112C6"/>
    <w:rsid w:val="00724804"/>
    <w:rsid w:val="007669BA"/>
    <w:rsid w:val="007B5F74"/>
    <w:rsid w:val="00805025"/>
    <w:rsid w:val="00844347"/>
    <w:rsid w:val="0085490D"/>
    <w:rsid w:val="00854E52"/>
    <w:rsid w:val="008D7B75"/>
    <w:rsid w:val="009449D5"/>
    <w:rsid w:val="00A21D44"/>
    <w:rsid w:val="00A44417"/>
    <w:rsid w:val="00A56835"/>
    <w:rsid w:val="00A613A7"/>
    <w:rsid w:val="00B80AD7"/>
    <w:rsid w:val="00BC21FB"/>
    <w:rsid w:val="00C43EDE"/>
    <w:rsid w:val="00C718DB"/>
    <w:rsid w:val="00C866BB"/>
    <w:rsid w:val="00CA7EC3"/>
    <w:rsid w:val="00CD1621"/>
    <w:rsid w:val="00CF4366"/>
    <w:rsid w:val="00D64230"/>
    <w:rsid w:val="00D66846"/>
    <w:rsid w:val="00D66CDE"/>
    <w:rsid w:val="00D80F5D"/>
    <w:rsid w:val="00D95952"/>
    <w:rsid w:val="00DB659A"/>
    <w:rsid w:val="00DD2D26"/>
    <w:rsid w:val="00DF6C1C"/>
    <w:rsid w:val="00E006AB"/>
    <w:rsid w:val="00E05550"/>
    <w:rsid w:val="00E176FC"/>
    <w:rsid w:val="00E23C81"/>
    <w:rsid w:val="00E35F6D"/>
    <w:rsid w:val="00E36D90"/>
    <w:rsid w:val="00E46159"/>
    <w:rsid w:val="00E51FE8"/>
    <w:rsid w:val="00E85124"/>
    <w:rsid w:val="00EB0799"/>
    <w:rsid w:val="00EB0AF2"/>
    <w:rsid w:val="00ED3255"/>
    <w:rsid w:val="00EE26A1"/>
    <w:rsid w:val="00EF7656"/>
    <w:rsid w:val="00F0077F"/>
    <w:rsid w:val="00F32739"/>
    <w:rsid w:val="00F97B7F"/>
    <w:rsid w:val="00FE1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15:chartTrackingRefBased/>
  <w15:docId w15:val="{8C070A99-54C9-4BDC-945B-83CF0DBC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jc w:val="center"/>
      <w:outlineLvl w:val="2"/>
    </w:pPr>
    <w:rPr>
      <w:b/>
      <w:color w:val="FF0000"/>
      <w:sz w:val="22"/>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center"/>
      <w:outlineLvl w:val="4"/>
    </w:pPr>
    <w:rPr>
      <w:b/>
      <w:snapToGrid w:val="0"/>
    </w:rPr>
  </w:style>
  <w:style w:type="paragraph" w:styleId="Heading6">
    <w:name w:val="heading 6"/>
    <w:basedOn w:val="Normal"/>
    <w:next w:val="Normal"/>
    <w:qFormat/>
    <w:pPr>
      <w:keepNext/>
      <w:ind w:left="360"/>
      <w:jc w:val="center"/>
      <w:outlineLvl w:val="5"/>
    </w:pPr>
    <w:rPr>
      <w:b/>
      <w:sz w:val="36"/>
    </w:rPr>
  </w:style>
  <w:style w:type="paragraph" w:styleId="Heading7">
    <w:name w:val="heading 7"/>
    <w:basedOn w:val="Normal"/>
    <w:next w:val="Normal"/>
    <w:qFormat/>
    <w:pPr>
      <w:keepNext/>
      <w:ind w:left="360"/>
      <w:jc w:val="center"/>
      <w:outlineLvl w:val="6"/>
    </w:pPr>
    <w:rPr>
      <w:b/>
    </w:rPr>
  </w:style>
  <w:style w:type="paragraph" w:styleId="Heading8">
    <w:name w:val="heading 8"/>
    <w:basedOn w:val="Normal"/>
    <w:next w:val="Normal"/>
    <w:qFormat/>
    <w:pPr>
      <w:keepNext/>
      <w:jc w:val="center"/>
      <w:outlineLvl w:val="7"/>
    </w:pPr>
    <w:rPr>
      <w:b/>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536"/>
        <w:tab w:val="right" w:pos="9072"/>
      </w:tabs>
    </w:pPr>
  </w:style>
  <w:style w:type="paragraph" w:styleId="Footer">
    <w:name w:val="footer"/>
    <w:basedOn w:val="Normal"/>
    <w:pPr>
      <w:tabs>
        <w:tab w:val="center" w:pos="4320"/>
        <w:tab w:val="right" w:pos="8640"/>
      </w:tabs>
    </w:pPr>
  </w:style>
  <w:style w:type="paragraph" w:styleId="BodyText2">
    <w:name w:val="Body Text 2"/>
    <w:basedOn w:val="Normal"/>
    <w:rPr>
      <w:i/>
    </w:rPr>
  </w:style>
  <w:style w:type="character" w:styleId="PageNumber">
    <w:name w:val="page number"/>
    <w:basedOn w:val="DefaultParagraphFont"/>
  </w:style>
  <w:style w:type="paragraph" w:styleId="BodyTextIndent">
    <w:name w:val="Body Text Indent"/>
    <w:basedOn w:val="Normal"/>
    <w:pPr>
      <w:spacing w:line="360" w:lineRule="auto"/>
      <w:ind w:left="567"/>
    </w:pPr>
    <w:rPr>
      <w:i/>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szCs w:val="24"/>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spacing w:line="360" w:lineRule="auto"/>
    </w:pPr>
    <w:rPr>
      <w:sz w:val="22"/>
    </w:rPr>
  </w:style>
  <w:style w:type="paragraph" w:styleId="BodyTextIndent2">
    <w:name w:val="Body Text Indent 2"/>
    <w:basedOn w:val="Normal"/>
    <w:pPr>
      <w:spacing w:line="360" w:lineRule="auto"/>
      <w:ind w:left="360"/>
    </w:pPr>
    <w:rPr>
      <w:i/>
    </w:rPr>
  </w:style>
  <w:style w:type="paragraph" w:styleId="BodyTextIndent3">
    <w:name w:val="Body Text Indent 3"/>
    <w:basedOn w:val="Normal"/>
    <w:pPr>
      <w:ind w:left="1134" w:hanging="207"/>
    </w:pPr>
    <w:rPr>
      <w:i/>
    </w:rPr>
  </w:style>
  <w:style w:type="paragraph" w:styleId="BalloonText">
    <w:name w:val="Balloon Text"/>
    <w:basedOn w:val="Normal"/>
    <w:semiHidden/>
    <w:rsid w:val="00A56835"/>
    <w:rPr>
      <w:rFonts w:ascii="Tahoma" w:hAnsi="Tahoma" w:cs="Tahoma"/>
      <w:sz w:val="16"/>
      <w:szCs w:val="16"/>
    </w:rPr>
  </w:style>
  <w:style w:type="character" w:styleId="Emphasis">
    <w:name w:val="Emphasis"/>
    <w:qFormat/>
    <w:rsid w:val="00EF7656"/>
    <w:rPr>
      <w:i/>
      <w:iCs/>
    </w:rPr>
  </w:style>
  <w:style w:type="character" w:styleId="CommentReference">
    <w:name w:val="annotation reference"/>
    <w:rsid w:val="002047DE"/>
    <w:rPr>
      <w:sz w:val="16"/>
      <w:szCs w:val="16"/>
    </w:rPr>
  </w:style>
  <w:style w:type="paragraph" w:styleId="CommentText">
    <w:name w:val="annotation text"/>
    <w:basedOn w:val="Normal"/>
    <w:link w:val="CommentTextChar"/>
    <w:rsid w:val="002047DE"/>
    <w:rPr>
      <w:sz w:val="20"/>
    </w:rPr>
  </w:style>
  <w:style w:type="character" w:customStyle="1" w:styleId="CommentTextChar">
    <w:name w:val="Comment Text Char"/>
    <w:basedOn w:val="DefaultParagraphFont"/>
    <w:link w:val="CommentText"/>
    <w:rsid w:val="002047DE"/>
  </w:style>
  <w:style w:type="paragraph" w:styleId="CommentSubject">
    <w:name w:val="annotation subject"/>
    <w:basedOn w:val="CommentText"/>
    <w:next w:val="CommentText"/>
    <w:link w:val="CommentSubjectChar"/>
    <w:rsid w:val="002047DE"/>
    <w:rPr>
      <w:b/>
      <w:bCs/>
    </w:rPr>
  </w:style>
  <w:style w:type="character" w:customStyle="1" w:styleId="CommentSubjectChar">
    <w:name w:val="Comment Subject Char"/>
    <w:link w:val="CommentSubject"/>
    <w:rsid w:val="002047DE"/>
    <w:rPr>
      <w:b/>
      <w:bCs/>
    </w:rPr>
  </w:style>
  <w:style w:type="paragraph" w:styleId="ListParagraph">
    <w:name w:val="List Paragraph"/>
    <w:basedOn w:val="Normal"/>
    <w:uiPriority w:val="34"/>
    <w:qFormat/>
    <w:rsid w:val="005E65DD"/>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760298">
      <w:bodyDiv w:val="1"/>
      <w:marLeft w:val="0"/>
      <w:marRight w:val="0"/>
      <w:marTop w:val="0"/>
      <w:marBottom w:val="0"/>
      <w:divBdr>
        <w:top w:val="none" w:sz="0" w:space="0" w:color="auto"/>
        <w:left w:val="none" w:sz="0" w:space="0" w:color="auto"/>
        <w:bottom w:val="none" w:sz="0" w:space="0" w:color="auto"/>
        <w:right w:val="none" w:sz="0" w:space="0" w:color="auto"/>
      </w:divBdr>
      <w:divsChild>
        <w:div w:id="1337419857">
          <w:marLeft w:val="0"/>
          <w:marRight w:val="0"/>
          <w:marTop w:val="0"/>
          <w:marBottom w:val="0"/>
          <w:divBdr>
            <w:top w:val="none" w:sz="0" w:space="0" w:color="auto"/>
            <w:left w:val="none" w:sz="0" w:space="0" w:color="auto"/>
            <w:bottom w:val="none" w:sz="0" w:space="0" w:color="auto"/>
            <w:right w:val="none" w:sz="0" w:space="0" w:color="auto"/>
          </w:divBdr>
          <w:divsChild>
            <w:div w:id="625045897">
              <w:marLeft w:val="0"/>
              <w:marRight w:val="0"/>
              <w:marTop w:val="0"/>
              <w:marBottom w:val="0"/>
              <w:divBdr>
                <w:top w:val="none" w:sz="0" w:space="0" w:color="auto"/>
                <w:left w:val="none" w:sz="0" w:space="0" w:color="auto"/>
                <w:bottom w:val="none" w:sz="0" w:space="0" w:color="auto"/>
                <w:right w:val="none" w:sz="0" w:space="0" w:color="auto"/>
              </w:divBdr>
              <w:divsChild>
                <w:div w:id="604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3956">
      <w:bodyDiv w:val="1"/>
      <w:marLeft w:val="0"/>
      <w:marRight w:val="0"/>
      <w:marTop w:val="0"/>
      <w:marBottom w:val="0"/>
      <w:divBdr>
        <w:top w:val="none" w:sz="0" w:space="0" w:color="auto"/>
        <w:left w:val="none" w:sz="0" w:space="0" w:color="auto"/>
        <w:bottom w:val="none" w:sz="0" w:space="0" w:color="auto"/>
        <w:right w:val="none" w:sz="0" w:space="0" w:color="auto"/>
      </w:divBdr>
    </w:div>
    <w:div w:id="1187794974">
      <w:bodyDiv w:val="1"/>
      <w:marLeft w:val="0"/>
      <w:marRight w:val="0"/>
      <w:marTop w:val="0"/>
      <w:marBottom w:val="0"/>
      <w:divBdr>
        <w:top w:val="none" w:sz="0" w:space="0" w:color="auto"/>
        <w:left w:val="none" w:sz="0" w:space="0" w:color="auto"/>
        <w:bottom w:val="none" w:sz="0" w:space="0" w:color="auto"/>
        <w:right w:val="none" w:sz="0" w:space="0" w:color="auto"/>
      </w:divBdr>
      <w:divsChild>
        <w:div w:id="699745717">
          <w:marLeft w:val="0"/>
          <w:marRight w:val="0"/>
          <w:marTop w:val="0"/>
          <w:marBottom w:val="0"/>
          <w:divBdr>
            <w:top w:val="none" w:sz="0" w:space="0" w:color="auto"/>
            <w:left w:val="none" w:sz="0" w:space="0" w:color="auto"/>
            <w:bottom w:val="none" w:sz="0" w:space="0" w:color="auto"/>
            <w:right w:val="none" w:sz="0" w:space="0" w:color="auto"/>
          </w:divBdr>
          <w:divsChild>
            <w:div w:id="1454980765">
              <w:marLeft w:val="0"/>
              <w:marRight w:val="0"/>
              <w:marTop w:val="0"/>
              <w:marBottom w:val="0"/>
              <w:divBdr>
                <w:top w:val="none" w:sz="0" w:space="0" w:color="auto"/>
                <w:left w:val="none" w:sz="0" w:space="0" w:color="auto"/>
                <w:bottom w:val="none" w:sz="0" w:space="0" w:color="auto"/>
                <w:right w:val="none" w:sz="0" w:space="0" w:color="auto"/>
              </w:divBdr>
              <w:divsChild>
                <w:div w:id="16369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1493">
      <w:bodyDiv w:val="1"/>
      <w:marLeft w:val="0"/>
      <w:marRight w:val="0"/>
      <w:marTop w:val="0"/>
      <w:marBottom w:val="0"/>
      <w:divBdr>
        <w:top w:val="none" w:sz="0" w:space="0" w:color="auto"/>
        <w:left w:val="none" w:sz="0" w:space="0" w:color="auto"/>
        <w:bottom w:val="none" w:sz="0" w:space="0" w:color="auto"/>
        <w:right w:val="none" w:sz="0" w:space="0" w:color="auto"/>
      </w:divBdr>
      <w:divsChild>
        <w:div w:id="1351031236">
          <w:marLeft w:val="0"/>
          <w:marRight w:val="0"/>
          <w:marTop w:val="0"/>
          <w:marBottom w:val="0"/>
          <w:divBdr>
            <w:top w:val="none" w:sz="0" w:space="0" w:color="auto"/>
            <w:left w:val="none" w:sz="0" w:space="0" w:color="auto"/>
            <w:bottom w:val="none" w:sz="0" w:space="0" w:color="auto"/>
            <w:right w:val="none" w:sz="0" w:space="0" w:color="auto"/>
          </w:divBdr>
          <w:divsChild>
            <w:div w:id="1028793322">
              <w:marLeft w:val="0"/>
              <w:marRight w:val="0"/>
              <w:marTop w:val="0"/>
              <w:marBottom w:val="0"/>
              <w:divBdr>
                <w:top w:val="none" w:sz="0" w:space="0" w:color="auto"/>
                <w:left w:val="none" w:sz="0" w:space="0" w:color="auto"/>
                <w:bottom w:val="none" w:sz="0" w:space="0" w:color="auto"/>
                <w:right w:val="none" w:sz="0" w:space="0" w:color="auto"/>
              </w:divBdr>
              <w:divsChild>
                <w:div w:id="8269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rbiter.mail@wipo.in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3.wipo.int/amc-paymen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2073</Words>
  <Characters>11821</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13867</CharactersWithSpaces>
  <SharedDoc>false</SharedDoc>
  <HLinks>
    <vt:vector size="12" baseType="variant">
      <vt:variant>
        <vt:i4>3670096</vt:i4>
      </vt:variant>
      <vt:variant>
        <vt:i4>3</vt:i4>
      </vt:variant>
      <vt:variant>
        <vt:i4>0</vt:i4>
      </vt:variant>
      <vt:variant>
        <vt:i4>5</vt:i4>
      </vt:variant>
      <vt:variant>
        <vt:lpwstr>mailto:arbiter.mail@wipo.int</vt:lpwstr>
      </vt:variant>
      <vt:variant>
        <vt:lpwstr/>
      </vt:variant>
      <vt:variant>
        <vt:i4>3145839</vt:i4>
      </vt:variant>
      <vt:variant>
        <vt:i4>0</vt:i4>
      </vt:variant>
      <vt:variant>
        <vt:i4>0</vt:i4>
      </vt:variant>
      <vt:variant>
        <vt:i4>5</vt:i4>
      </vt:variant>
      <vt:variant>
        <vt:lpwstr>https://www3.wipo.int/amc-payment/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WIPO Center</dc:creator>
  <cp:keywords/>
  <cp:lastModifiedBy>RUIZ SANCHEZ Dalia</cp:lastModifiedBy>
  <cp:revision>2</cp:revision>
  <dcterms:created xsi:type="dcterms:W3CDTF">2020-05-25T17:40:00Z</dcterms:created>
  <dcterms:modified xsi:type="dcterms:W3CDTF">2020-05-25T17:40:00Z</dcterms:modified>
</cp:coreProperties>
</file>