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D60918" w:rsidRPr="00797939" w:rsidRDefault="00D60918">
      <w:pPr>
        <w:rPr>
          <w:color w:val="FF0000"/>
          <w:lang w:val="pt-BR"/>
        </w:rPr>
      </w:pPr>
      <w:hyperlink r:id="rId5">
        <w:r w:rsidRPr="00797939">
          <w:rPr>
            <w:color w:val="1155CC"/>
            <w:u w:val="single"/>
            <w:lang w:val="pt-BR"/>
          </w:rPr>
          <w:t>https://www3.wipo.int/contact/en/area.jsp?area=ica_udrp</w:t>
        </w:r>
      </w:hyperlink>
    </w:p>
    <w:p w14:paraId="00000004" w14:textId="491A87D4" w:rsidR="00D60918" w:rsidRPr="00522C25" w:rsidRDefault="00522C25">
      <w:pPr>
        <w:rPr>
          <w:color w:val="FF0000"/>
          <w:lang w:val="en-US"/>
        </w:rPr>
      </w:pPr>
      <w:r w:rsidRPr="00522C25">
        <w:rPr>
          <w:color w:val="FF0000"/>
          <w:highlight w:val="cyan"/>
          <w:lang w:val="en-US"/>
        </w:rPr>
        <w:t>ABPI`s comments highlighted in blue</w:t>
      </w:r>
    </w:p>
    <w:p w14:paraId="00000007" w14:textId="77777777" w:rsidR="00D60918" w:rsidRDefault="008D5436">
      <w:pPr>
        <w:pStyle w:val="Title"/>
        <w:widowControl w:val="0"/>
      </w:pPr>
      <w:bookmarkStart w:id="0" w:name="t1l3mm9vojsb" w:colFirst="0" w:colLast="0"/>
      <w:bookmarkStart w:id="1" w:name="_sig6idrp2qux" w:colFirst="0" w:colLast="0"/>
      <w:bookmarkEnd w:id="0"/>
      <w:bookmarkEnd w:id="1"/>
      <w:r>
        <w:t xml:space="preserve">Tier 1 – Unanimity of the Project Team </w:t>
      </w:r>
    </w:p>
    <w:p w14:paraId="00000008" w14:textId="77777777" w:rsidR="00D60918" w:rsidRDefault="008D5436">
      <w:pPr>
        <w:widowControl w:val="0"/>
        <w:spacing w:before="246" w:line="230" w:lineRule="auto"/>
        <w:ind w:left="17" w:right="543" w:firstLine="20"/>
        <w:rPr>
          <w:i/>
        </w:rPr>
      </w:pPr>
      <w:r>
        <w:rPr>
          <w:i/>
        </w:rPr>
        <w:t xml:space="preserve">These are areas where the Project Team reached unanimous agreement and therefore we  believe that consensus is likely to exist in the Phase 2 Review.  </w:t>
      </w:r>
    </w:p>
    <w:p w14:paraId="00000009" w14:textId="77777777" w:rsidR="00D60918" w:rsidRDefault="008D5436">
      <w:pPr>
        <w:widowControl w:val="0"/>
        <w:spacing w:before="257" w:line="228" w:lineRule="auto"/>
        <w:ind w:left="27" w:right="124" w:hanging="21"/>
        <w:rPr>
          <w:i/>
        </w:rPr>
      </w:pPr>
      <w:r>
        <w:rPr>
          <w:i/>
        </w:rPr>
        <w:t xml:space="preserve">Against that backdrop, these are topics that the Project Team considers should form part of the  work charter for ICANN’s Phase 2 review of the UDRP. </w:t>
      </w:r>
    </w:p>
    <w:p w14:paraId="0000000A" w14:textId="77777777" w:rsidR="00D60918" w:rsidRDefault="008D5436">
      <w:pPr>
        <w:pStyle w:val="Heading1"/>
      </w:pPr>
      <w:bookmarkStart w:id="2" w:name="_pfheyvols7fg" w:colFirst="0" w:colLast="0"/>
      <w:bookmarkEnd w:id="2"/>
      <w:r>
        <w:t xml:space="preserve">Loser Pays, Costs, Damages </w:t>
      </w:r>
    </w:p>
    <w:p w14:paraId="0000000B" w14:textId="77777777" w:rsidR="00D60918" w:rsidRDefault="008D5436">
      <w:pPr>
        <w:widowControl w:val="0"/>
        <w:spacing w:before="249" w:line="228" w:lineRule="auto"/>
        <w:ind w:left="17" w:right="357" w:firstLine="8"/>
      </w:pPr>
      <w:r>
        <w:t xml:space="preserve">Both brand owners who face whack-a-mole scenarios, as well as prevailing registrants, have  expressed interest in a “loser pays” model.  </w:t>
      </w:r>
    </w:p>
    <w:p w14:paraId="0000000C" w14:textId="77777777" w:rsidR="00D60918" w:rsidRDefault="008D5436">
      <w:pPr>
        <w:widowControl w:val="0"/>
        <w:spacing w:before="259" w:line="229" w:lineRule="auto"/>
        <w:ind w:left="23" w:right="114" w:hanging="14"/>
      </w:pPr>
      <w:r>
        <w:t xml:space="preserve">At the same time – and assuming panelists would be comfortable in making such awards – it is  recognized that such awards may ultimately be unenforceable absent some form of bond  payment system which ensures that the successful party receives its cost award. Moreover,  between complainants and respondents, it is more likely that costs could be recovered from an  unsuccessful complainant than a losing cybersquatter, presenting a vastly inequitable situation.  </w:t>
      </w:r>
    </w:p>
    <w:p w14:paraId="0000000D" w14:textId="77777777" w:rsidR="00D60918" w:rsidRDefault="008D5436">
      <w:pPr>
        <w:widowControl w:val="0"/>
        <w:spacing w:before="258" w:line="228" w:lineRule="auto"/>
        <w:ind w:left="17" w:right="296" w:firstLine="8"/>
        <w:jc w:val="both"/>
      </w:pPr>
      <w:r>
        <w:t xml:space="preserve">Moreover, requiring a bond to be paid by a registrant (or held against their credit card used to  register a domain name) creates potential access to justice but also practical issues. Neither  UDRP Providers nor registration authorities would seem inclined to assume the responsibility  and costs for a bond payment system. </w:t>
      </w:r>
    </w:p>
    <w:p w14:paraId="0000000E" w14:textId="77777777" w:rsidR="00D60918" w:rsidRDefault="008D5436">
      <w:pPr>
        <w:widowControl w:val="0"/>
        <w:spacing w:before="258" w:line="240" w:lineRule="auto"/>
        <w:ind w:left="12"/>
      </w:pPr>
      <w:r>
        <w:t xml:space="preserve">We considered the following questions: would a “loser pays” system be worth creating despite:  </w:t>
      </w:r>
    </w:p>
    <w:p w14:paraId="0000000F" w14:textId="77777777" w:rsidR="00D60918" w:rsidRDefault="008D5436">
      <w:pPr>
        <w:widowControl w:val="0"/>
        <w:spacing w:before="248" w:line="228" w:lineRule="auto"/>
        <w:ind w:left="744" w:right="1303" w:hanging="6"/>
      </w:pPr>
      <w:r>
        <w:t xml:space="preserve">a) the change to the UDRP required – noting (ICANN) contractual and legal  ramifications;  </w:t>
      </w:r>
    </w:p>
    <w:p w14:paraId="00000010" w14:textId="77777777" w:rsidR="00D60918" w:rsidRDefault="008D5436">
      <w:pPr>
        <w:widowControl w:val="0"/>
        <w:spacing w:before="259" w:line="228" w:lineRule="auto"/>
        <w:ind w:left="744" w:right="519"/>
      </w:pPr>
      <w:r>
        <w:t xml:space="preserve">b) the additional work (and potential discomfort) required by parties and panelists to  request or to rule on costs; </w:t>
      </w:r>
    </w:p>
    <w:p w14:paraId="00000011" w14:textId="77777777" w:rsidR="00D60918" w:rsidRDefault="008D5436">
      <w:pPr>
        <w:widowControl w:val="0"/>
        <w:spacing w:before="259" w:line="228" w:lineRule="auto"/>
        <w:ind w:left="738" w:right="629"/>
      </w:pPr>
      <w:r>
        <w:t>c) the fact that it would likely require the prevailing party to chase up any monetary  compensation in a national (e.g., small claims) court; and</w:t>
      </w:r>
    </w:p>
    <w:p w14:paraId="00000012" w14:textId="77777777" w:rsidR="00D60918" w:rsidRDefault="008D5436">
      <w:pPr>
        <w:widowControl w:val="0"/>
        <w:spacing w:before="328" w:line="240" w:lineRule="auto"/>
        <w:ind w:right="66"/>
        <w:jc w:val="right"/>
        <w:rPr>
          <w:sz w:val="18"/>
          <w:szCs w:val="18"/>
        </w:rPr>
      </w:pPr>
      <w:r>
        <w:rPr>
          <w:sz w:val="18"/>
          <w:szCs w:val="18"/>
        </w:rPr>
        <w:t xml:space="preserve">Page 8 of 28 </w:t>
      </w:r>
    </w:p>
    <w:p w14:paraId="00000013" w14:textId="77777777" w:rsidR="00D60918" w:rsidRDefault="008D5436">
      <w:pPr>
        <w:widowControl w:val="0"/>
        <w:spacing w:line="230" w:lineRule="auto"/>
        <w:ind w:left="744" w:right="253" w:hanging="7"/>
      </w:pPr>
      <w:r>
        <w:t xml:space="preserve">d) some respondents might defend against a complaint when they otherwise might not  have solely due to the risk of a costs order against them. </w:t>
      </w:r>
    </w:p>
    <w:p w14:paraId="00000014" w14:textId="77777777" w:rsidR="00D60918" w:rsidRDefault="008D5436">
      <w:pPr>
        <w:widowControl w:val="0"/>
        <w:spacing w:before="257" w:line="240" w:lineRule="auto"/>
        <w:ind w:right="318"/>
        <w:jc w:val="right"/>
        <w:rPr>
          <w:i/>
        </w:rPr>
      </w:pPr>
      <w:r>
        <w:rPr>
          <w:b/>
          <w:i/>
        </w:rPr>
        <w:t xml:space="preserve">Recommendation: </w:t>
      </w:r>
      <w:r>
        <w:rPr>
          <w:i/>
        </w:rPr>
        <w:t xml:space="preserve">While there was support for  </w:t>
      </w:r>
    </w:p>
    <w:p w14:paraId="00000015" w14:textId="77777777" w:rsidR="00D60918" w:rsidRDefault="008D5436">
      <w:pPr>
        <w:widowControl w:val="0"/>
        <w:spacing w:line="240" w:lineRule="auto"/>
        <w:ind w:right="806"/>
        <w:jc w:val="right"/>
        <w:rPr>
          <w:i/>
        </w:rPr>
      </w:pPr>
      <w:r>
        <w:rPr>
          <w:i/>
        </w:rPr>
        <w:t xml:space="preserve">the principle of addressing the imbalance in  </w:t>
      </w:r>
    </w:p>
    <w:p w14:paraId="00000016" w14:textId="77777777" w:rsidR="00D60918" w:rsidRDefault="008D5436">
      <w:pPr>
        <w:widowControl w:val="0"/>
        <w:spacing w:line="240" w:lineRule="auto"/>
        <w:ind w:right="734"/>
        <w:jc w:val="right"/>
        <w:rPr>
          <w:i/>
        </w:rPr>
      </w:pPr>
      <w:r>
        <w:rPr>
          <w:i/>
        </w:rPr>
        <w:t xml:space="preserve">enforcement costs and providing a deterrent  </w:t>
      </w:r>
    </w:p>
    <w:p w14:paraId="00000017" w14:textId="77777777" w:rsidR="00D60918" w:rsidRDefault="008D5436">
      <w:pPr>
        <w:widowControl w:val="0"/>
        <w:spacing w:line="240" w:lineRule="auto"/>
        <w:ind w:right="722"/>
        <w:jc w:val="right"/>
        <w:rPr>
          <w:i/>
        </w:rPr>
      </w:pPr>
      <w:r>
        <w:rPr>
          <w:i/>
        </w:rPr>
        <w:t xml:space="preserve">against bad actors, given the complexities in  </w:t>
      </w:r>
    </w:p>
    <w:p w14:paraId="00000018" w14:textId="77777777" w:rsidR="00D60918" w:rsidRDefault="008D5436">
      <w:pPr>
        <w:widowControl w:val="0"/>
        <w:spacing w:line="240" w:lineRule="auto"/>
        <w:ind w:right="2"/>
        <w:jc w:val="right"/>
        <w:rPr>
          <w:i/>
        </w:rPr>
      </w:pPr>
      <w:r>
        <w:rPr>
          <w:i/>
        </w:rPr>
        <w:t xml:space="preserve">administering such a system, </w:t>
      </w:r>
      <w:r>
        <w:rPr>
          <w:i/>
          <w:u w:val="single"/>
        </w:rPr>
        <w:t xml:space="preserve">we would recommend </w:t>
      </w:r>
      <w:r>
        <w:rPr>
          <w:i/>
        </w:rPr>
        <w:t xml:space="preserve"> </w:t>
      </w:r>
    </w:p>
    <w:p w14:paraId="00000019" w14:textId="77777777" w:rsidR="00D60918" w:rsidRDefault="008D5436">
      <w:pPr>
        <w:widowControl w:val="0"/>
        <w:spacing w:line="240" w:lineRule="auto"/>
        <w:ind w:right="827"/>
        <w:jc w:val="right"/>
        <w:rPr>
          <w:i/>
        </w:rPr>
      </w:pPr>
      <w:r>
        <w:rPr>
          <w:i/>
          <w:u w:val="single"/>
        </w:rPr>
        <w:t xml:space="preserve">against </w:t>
      </w:r>
      <w:r>
        <w:rPr>
          <w:i/>
        </w:rPr>
        <w:t xml:space="preserve">the adoption of a loser pays system. </w:t>
      </w:r>
    </w:p>
    <w:p w14:paraId="0000001A" w14:textId="77777777" w:rsidR="00D60918" w:rsidRDefault="00D60918">
      <w:pPr>
        <w:pStyle w:val="Heading1"/>
        <w:widowControl w:val="0"/>
        <w:spacing w:before="500"/>
        <w:ind w:left="26"/>
      </w:pPr>
      <w:bookmarkStart w:id="3" w:name="_k9pyge8wqrly" w:colFirst="0" w:colLast="0"/>
      <w:bookmarkEnd w:id="3"/>
    </w:p>
    <w:p w14:paraId="0000001B" w14:textId="77777777" w:rsidR="00D60918" w:rsidRDefault="008D5436">
      <w:r w:rsidRPr="005A222C">
        <w:rPr>
          <w:highlight w:val="cyan"/>
        </w:rPr>
        <w:t xml:space="preserve">ABPI COMMENTS: ABPI agrees with the </w:t>
      </w:r>
      <w:r w:rsidRPr="005A222C">
        <w:rPr>
          <w:highlight w:val="cyan"/>
        </w:rPr>
        <w:t>recommendation</w:t>
      </w:r>
      <w:r>
        <w:t>.</w:t>
      </w:r>
    </w:p>
    <w:p w14:paraId="0000001C" w14:textId="77777777" w:rsidR="00D60918" w:rsidRDefault="00D60918"/>
    <w:p w14:paraId="0000001D" w14:textId="77777777" w:rsidR="00D60918" w:rsidRDefault="008D5436">
      <w:pPr>
        <w:pStyle w:val="Heading1"/>
        <w:widowControl w:val="0"/>
        <w:spacing w:before="500"/>
        <w:ind w:left="26"/>
      </w:pPr>
      <w:bookmarkStart w:id="4" w:name="_fansnbh1fbvw" w:colFirst="0" w:colLast="0"/>
      <w:bookmarkEnd w:id="4"/>
      <w:r>
        <w:t xml:space="preserve">Fee Payment Deadlines </w:t>
      </w:r>
    </w:p>
    <w:p w14:paraId="0000001E" w14:textId="77777777" w:rsidR="00D60918" w:rsidRDefault="008D5436">
      <w:pPr>
        <w:widowControl w:val="0"/>
        <w:spacing w:before="248" w:line="229" w:lineRule="auto"/>
        <w:ind w:left="24" w:right="344" w:hanging="3"/>
        <w:rPr>
          <w:color w:val="262627"/>
        </w:rPr>
      </w:pPr>
      <w:r>
        <w:rPr>
          <w:color w:val="262627"/>
        </w:rPr>
        <w:t xml:space="preserve">Currently there is no fixed time frame in the Rules for complainants to pay the additional fees  required for a three-member panel case. While normally this is not an issue, in a very small  number of cases, it has put Providers in an awkward position of chasing a party. </w:t>
      </w:r>
    </w:p>
    <w:p w14:paraId="0000001F" w14:textId="77777777" w:rsidR="00D60918" w:rsidRDefault="008D5436">
      <w:pPr>
        <w:widowControl w:val="0"/>
        <w:spacing w:before="256" w:line="230" w:lineRule="auto"/>
        <w:ind w:left="14" w:right="185" w:hanging="1"/>
        <w:rPr>
          <w:color w:val="262627"/>
        </w:rPr>
      </w:pPr>
      <w:r>
        <w:rPr>
          <w:color w:val="262627"/>
        </w:rPr>
        <w:t xml:space="preserve">We considered whether there should be a reasonable but fixed length of time for complainants  to pay any additional required filing fees in a three-member panel case. </w:t>
      </w:r>
    </w:p>
    <w:p w14:paraId="00000020" w14:textId="77777777" w:rsidR="00D60918" w:rsidRDefault="008D5436">
      <w:pPr>
        <w:widowControl w:val="0"/>
        <w:spacing w:before="257" w:line="240" w:lineRule="auto"/>
        <w:ind w:right="14"/>
        <w:jc w:val="right"/>
        <w:rPr>
          <w:i/>
        </w:rPr>
      </w:pPr>
      <w:r>
        <w:rPr>
          <w:b/>
          <w:i/>
        </w:rPr>
        <w:t xml:space="preserve">Recommendation: </w:t>
      </w:r>
      <w:r>
        <w:rPr>
          <w:i/>
        </w:rPr>
        <w:t xml:space="preserve">We would recommend that the  </w:t>
      </w:r>
    </w:p>
    <w:p w14:paraId="00000021" w14:textId="77777777" w:rsidR="00D60918" w:rsidRDefault="008D5436">
      <w:pPr>
        <w:widowControl w:val="0"/>
        <w:spacing w:line="240" w:lineRule="auto"/>
        <w:ind w:right="502"/>
        <w:jc w:val="right"/>
        <w:rPr>
          <w:i/>
        </w:rPr>
      </w:pPr>
      <w:r>
        <w:rPr>
          <w:i/>
        </w:rPr>
        <w:t xml:space="preserve">Rules be amended to require a reasonable but  </w:t>
      </w:r>
    </w:p>
    <w:p w14:paraId="00000022" w14:textId="77777777" w:rsidR="00D60918" w:rsidRDefault="008D5436">
      <w:pPr>
        <w:widowControl w:val="0"/>
        <w:spacing w:line="240" w:lineRule="auto"/>
        <w:ind w:right="441"/>
        <w:jc w:val="right"/>
        <w:rPr>
          <w:i/>
        </w:rPr>
      </w:pPr>
      <w:r>
        <w:rPr>
          <w:i/>
        </w:rPr>
        <w:t xml:space="preserve">fixed length of time for complainants to pay any  </w:t>
      </w:r>
    </w:p>
    <w:p w14:paraId="00000023" w14:textId="77777777" w:rsidR="00D60918" w:rsidRDefault="008D5436">
      <w:pPr>
        <w:widowControl w:val="0"/>
        <w:spacing w:line="240" w:lineRule="auto"/>
        <w:ind w:right="563"/>
        <w:jc w:val="right"/>
        <w:rPr>
          <w:i/>
        </w:rPr>
      </w:pPr>
      <w:r>
        <w:rPr>
          <w:i/>
        </w:rPr>
        <w:t xml:space="preserve">additional required filing fees in three-member  </w:t>
      </w:r>
    </w:p>
    <w:p w14:paraId="00000024" w14:textId="77777777" w:rsidR="00D60918" w:rsidRDefault="008D5436">
      <w:pPr>
        <w:widowControl w:val="0"/>
        <w:spacing w:line="240" w:lineRule="auto"/>
        <w:ind w:right="3885"/>
        <w:jc w:val="right"/>
        <w:rPr>
          <w:i/>
        </w:rPr>
      </w:pPr>
      <w:r>
        <w:rPr>
          <w:i/>
        </w:rPr>
        <w:t xml:space="preserve">panel cases. </w:t>
      </w:r>
    </w:p>
    <w:p w14:paraId="00000025" w14:textId="77777777" w:rsidR="00D60918" w:rsidRDefault="00D60918">
      <w:pPr>
        <w:pStyle w:val="Heading1"/>
        <w:widowControl w:val="0"/>
        <w:spacing w:before="500"/>
        <w:ind w:left="26"/>
      </w:pPr>
      <w:bookmarkStart w:id="5" w:name="_mfh14rfq0ekj" w:colFirst="0" w:colLast="0"/>
      <w:bookmarkEnd w:id="5"/>
    </w:p>
    <w:p w14:paraId="00000026" w14:textId="77777777" w:rsidR="00D60918" w:rsidRDefault="008D5436">
      <w:r w:rsidRPr="005A222C">
        <w:rPr>
          <w:highlight w:val="cyan"/>
        </w:rPr>
        <w:t>ABPI COMMENTS: ABPI agrees with the recommendation</w:t>
      </w:r>
      <w:r>
        <w:t>.</w:t>
      </w:r>
    </w:p>
    <w:p w14:paraId="00000027" w14:textId="77777777" w:rsidR="00D60918" w:rsidRDefault="008D5436">
      <w:pPr>
        <w:pStyle w:val="Heading1"/>
        <w:widowControl w:val="0"/>
        <w:spacing w:before="500"/>
        <w:ind w:left="26"/>
      </w:pPr>
      <w:bookmarkStart w:id="6" w:name="_9x8gl3oj99x6" w:colFirst="0" w:colLast="0"/>
      <w:bookmarkEnd w:id="6"/>
      <w:r>
        <w:t xml:space="preserve">Reviewing and Reinforcing ICANN’s Role in Compliance </w:t>
      </w:r>
    </w:p>
    <w:p w14:paraId="00000028" w14:textId="77777777" w:rsidR="00D60918" w:rsidRDefault="008D5436">
      <w:pPr>
        <w:widowControl w:val="0"/>
        <w:spacing w:before="249" w:line="230" w:lineRule="auto"/>
        <w:ind w:left="17" w:right="372" w:firstLine="13"/>
        <w:rPr>
          <w:color w:val="262627"/>
        </w:rPr>
      </w:pPr>
      <w:r>
        <w:t>I</w:t>
      </w:r>
      <w:r>
        <w:rPr>
          <w:color w:val="262627"/>
        </w:rPr>
        <w:t xml:space="preserve">CANN Registrar Compliance plays a crucial role in ensuring that registrars comply with their  obligations under the UDRP.  </w:t>
      </w:r>
    </w:p>
    <w:p w14:paraId="00000029" w14:textId="77777777" w:rsidR="00D60918" w:rsidRDefault="008D5436">
      <w:pPr>
        <w:widowControl w:val="0"/>
        <w:spacing w:before="255" w:line="229" w:lineRule="auto"/>
        <w:ind w:left="13" w:right="113" w:firstLine="12"/>
        <w:rPr>
          <w:color w:val="262627"/>
        </w:rPr>
      </w:pPr>
      <w:r>
        <w:rPr>
          <w:color w:val="262627"/>
        </w:rPr>
        <w:t xml:space="preserve">Nevertheless, there have been reports, particularly from complainants, that ICANN Compliance  is sometimes unable to intervene in a timely or satisfactory manner, e.g., where a registrar fails  to appropriately lock a domain name which is the subject of a UDRP case, or refuses to  implement a UDRP decision in their favor. </w:t>
      </w:r>
    </w:p>
    <w:p w14:paraId="0000002A" w14:textId="77777777" w:rsidR="00D60918" w:rsidRDefault="008D5436">
      <w:pPr>
        <w:widowControl w:val="0"/>
        <w:spacing w:before="255" w:line="229" w:lineRule="auto"/>
        <w:ind w:left="13" w:right="200" w:hanging="1"/>
      </w:pPr>
      <w:r>
        <w:t xml:space="preserve">We considered the question of whether ICANN should review and reinforce its role in ensuring  timely compliance of registrars with respect to their duties under the UDRP and the corollary  that registrars receive greater training and information on these obligations. </w:t>
      </w:r>
    </w:p>
    <w:p w14:paraId="0000002B" w14:textId="77777777" w:rsidR="00D60918" w:rsidRDefault="008D5436">
      <w:pPr>
        <w:widowControl w:val="0"/>
        <w:spacing w:before="258" w:line="229" w:lineRule="auto"/>
        <w:ind w:left="16" w:right="761" w:hanging="6"/>
      </w:pPr>
      <w:r>
        <w:t xml:space="preserve">As the party ultimately responsible for (contractual) compliance with its own Consensus  Policies, it was felt to be a rather obvious point that ICANN should be required to act in a  specified timely manner when compliance questions are raised to its attention. </w:t>
      </w:r>
    </w:p>
    <w:p w14:paraId="0000002C" w14:textId="77777777" w:rsidR="00D60918" w:rsidRDefault="008D5436">
      <w:pPr>
        <w:widowControl w:val="0"/>
        <w:spacing w:before="258" w:line="240" w:lineRule="auto"/>
        <w:ind w:right="379"/>
        <w:jc w:val="right"/>
        <w:rPr>
          <w:i/>
        </w:rPr>
      </w:pPr>
      <w:r>
        <w:rPr>
          <w:b/>
          <w:i/>
        </w:rPr>
        <w:t xml:space="preserve">Recommendation: </w:t>
      </w:r>
      <w:r>
        <w:rPr>
          <w:i/>
        </w:rPr>
        <w:t xml:space="preserve">We would recommend that  </w:t>
      </w:r>
    </w:p>
    <w:p w14:paraId="0000002D" w14:textId="77777777" w:rsidR="00D60918" w:rsidRDefault="008D5436">
      <w:pPr>
        <w:widowControl w:val="0"/>
        <w:spacing w:line="240" w:lineRule="auto"/>
        <w:ind w:right="465"/>
        <w:jc w:val="right"/>
        <w:rPr>
          <w:i/>
        </w:rPr>
      </w:pPr>
      <w:r>
        <w:rPr>
          <w:i/>
        </w:rPr>
        <w:t xml:space="preserve">ICANN review and reinforce its role in ensuring  </w:t>
      </w:r>
    </w:p>
    <w:p w14:paraId="0000002E" w14:textId="77777777" w:rsidR="00D60918" w:rsidRDefault="008D5436">
      <w:pPr>
        <w:widowControl w:val="0"/>
        <w:spacing w:line="240" w:lineRule="auto"/>
        <w:ind w:right="832"/>
        <w:jc w:val="right"/>
        <w:rPr>
          <w:i/>
        </w:rPr>
      </w:pPr>
      <w:r>
        <w:rPr>
          <w:i/>
        </w:rPr>
        <w:t xml:space="preserve">specifically-delineated timely compliance of  </w:t>
      </w:r>
    </w:p>
    <w:p w14:paraId="0000002F" w14:textId="77777777" w:rsidR="00D60918" w:rsidRDefault="008D5436">
      <w:pPr>
        <w:widowControl w:val="0"/>
        <w:spacing w:line="240" w:lineRule="auto"/>
        <w:ind w:right="513"/>
        <w:jc w:val="right"/>
        <w:rPr>
          <w:i/>
        </w:rPr>
      </w:pPr>
      <w:r>
        <w:rPr>
          <w:i/>
        </w:rPr>
        <w:t xml:space="preserve">registrars with respect to their duties under the </w:t>
      </w:r>
    </w:p>
    <w:p w14:paraId="00000030" w14:textId="77777777" w:rsidR="00D60918" w:rsidRDefault="008D5436">
      <w:pPr>
        <w:widowControl w:val="0"/>
        <w:spacing w:before="569" w:line="240" w:lineRule="auto"/>
        <w:ind w:right="66"/>
        <w:jc w:val="right"/>
        <w:rPr>
          <w:sz w:val="18"/>
          <w:szCs w:val="18"/>
        </w:rPr>
      </w:pPr>
      <w:r>
        <w:rPr>
          <w:sz w:val="18"/>
          <w:szCs w:val="18"/>
        </w:rPr>
        <w:t xml:space="preserve">Page 9 of 28 </w:t>
      </w:r>
    </w:p>
    <w:p w14:paraId="00000031" w14:textId="77777777" w:rsidR="00D60918" w:rsidRDefault="008D5436">
      <w:pPr>
        <w:widowControl w:val="0"/>
        <w:spacing w:line="240" w:lineRule="auto"/>
        <w:ind w:right="271"/>
        <w:jc w:val="right"/>
        <w:rPr>
          <w:i/>
        </w:rPr>
      </w:pPr>
      <w:r>
        <w:rPr>
          <w:i/>
        </w:rPr>
        <w:t xml:space="preserve">UDRP and that registrars receive greater training  </w:t>
      </w:r>
    </w:p>
    <w:p w14:paraId="00000032" w14:textId="77777777" w:rsidR="00D60918" w:rsidRDefault="008D5436">
      <w:pPr>
        <w:widowControl w:val="0"/>
        <w:spacing w:line="240" w:lineRule="auto"/>
        <w:ind w:right="1637"/>
        <w:jc w:val="right"/>
        <w:rPr>
          <w:i/>
        </w:rPr>
      </w:pPr>
      <w:r>
        <w:rPr>
          <w:i/>
        </w:rPr>
        <w:t xml:space="preserve">and information on their obligations. </w:t>
      </w:r>
    </w:p>
    <w:p w14:paraId="00000033" w14:textId="77777777" w:rsidR="00D60918" w:rsidRDefault="00D60918">
      <w:pPr>
        <w:pStyle w:val="Heading1"/>
        <w:widowControl w:val="0"/>
        <w:spacing w:before="502"/>
        <w:ind w:left="25"/>
      </w:pPr>
      <w:bookmarkStart w:id="7" w:name="_wu3p26q8a7es" w:colFirst="0" w:colLast="0"/>
      <w:bookmarkEnd w:id="7"/>
    </w:p>
    <w:p w14:paraId="00000034" w14:textId="77777777" w:rsidR="00D60918" w:rsidRDefault="008D5436">
      <w:r w:rsidRPr="005A222C">
        <w:rPr>
          <w:highlight w:val="cyan"/>
        </w:rPr>
        <w:t>ABPI COMMENTS: ABPI agrees with the recommendation</w:t>
      </w:r>
      <w:r>
        <w:t>.</w:t>
      </w:r>
    </w:p>
    <w:p w14:paraId="00000035" w14:textId="77777777" w:rsidR="00D60918" w:rsidRDefault="008D5436">
      <w:pPr>
        <w:pStyle w:val="Heading1"/>
        <w:widowControl w:val="0"/>
        <w:spacing w:before="502"/>
        <w:ind w:left="25"/>
      </w:pPr>
      <w:bookmarkStart w:id="8" w:name="_91eqpfozm6qk" w:colFirst="0" w:colLast="0"/>
      <w:bookmarkEnd w:id="8"/>
      <w:r>
        <w:t xml:space="preserve">Providing UDRP-related Information for Registrars </w:t>
      </w:r>
    </w:p>
    <w:p w14:paraId="00000036" w14:textId="77777777" w:rsidR="00D60918" w:rsidRDefault="008D5436">
      <w:pPr>
        <w:widowControl w:val="0"/>
        <w:spacing w:before="246" w:line="229" w:lineRule="auto"/>
        <w:ind w:left="24" w:right="234" w:firstLine="3"/>
      </w:pPr>
      <w:r>
        <w:t>Registrars play a crucial role in the UDRP by locking and unlocking domain names, providing  underlying registrant details, and enforcing transfer orders. Nevertheless, some complainants  have reported occasional issues and delays with some registrars in performing their duties to lock a domain name, provide registrant information, or transfer the domain name to a successful  complainant. In a few cases, this has even resulted in a third party registering the domain name  after the UDRP case, thus forcing t</w:t>
      </w:r>
      <w:r>
        <w:t xml:space="preserve">he complainant to file a second case. </w:t>
      </w:r>
    </w:p>
    <w:p w14:paraId="00000037" w14:textId="77777777" w:rsidR="00D60918" w:rsidRDefault="008D5436">
      <w:pPr>
        <w:widowControl w:val="0"/>
        <w:spacing w:before="259" w:line="230" w:lineRule="auto"/>
        <w:ind w:left="24" w:right="89" w:hanging="11"/>
      </w:pPr>
      <w:r>
        <w:t xml:space="preserve">We considered whether a one or two-page FAQ document for registrars be prepared by ICANN  in consultation with stakeholders. </w:t>
      </w:r>
    </w:p>
    <w:p w14:paraId="00000038" w14:textId="77777777" w:rsidR="00D60918" w:rsidRDefault="008D5436">
      <w:pPr>
        <w:widowControl w:val="0"/>
        <w:spacing w:before="257" w:line="228" w:lineRule="auto"/>
        <w:ind w:left="26" w:right="1060" w:hanging="13"/>
        <w:rPr>
          <w:color w:val="262627"/>
        </w:rPr>
      </w:pPr>
      <w:r>
        <w:rPr>
          <w:color w:val="262627"/>
        </w:rPr>
        <w:t xml:space="preserve">We also considered whether registrars should be required to undergo a short “UDRP  Bootcamp” so as to better inform them how to process UDRP complaints and transfer. </w:t>
      </w:r>
    </w:p>
    <w:p w14:paraId="00000039" w14:textId="77777777" w:rsidR="00D60918" w:rsidRDefault="008D5436">
      <w:pPr>
        <w:widowControl w:val="0"/>
        <w:spacing w:before="259" w:line="240" w:lineRule="auto"/>
        <w:ind w:right="379"/>
        <w:jc w:val="right"/>
        <w:rPr>
          <w:i/>
        </w:rPr>
      </w:pPr>
      <w:r>
        <w:rPr>
          <w:b/>
          <w:i/>
        </w:rPr>
        <w:t xml:space="preserve">Recommendation: </w:t>
      </w:r>
      <w:r>
        <w:rPr>
          <w:i/>
        </w:rPr>
        <w:t xml:space="preserve">We would recommend that  </w:t>
      </w:r>
    </w:p>
    <w:p w14:paraId="0000003A" w14:textId="77777777" w:rsidR="00D60918" w:rsidRDefault="008D5436">
      <w:pPr>
        <w:widowControl w:val="0"/>
        <w:spacing w:line="240" w:lineRule="auto"/>
        <w:ind w:right="1125"/>
        <w:jc w:val="right"/>
        <w:rPr>
          <w:i/>
        </w:rPr>
      </w:pPr>
      <w:r>
        <w:rPr>
          <w:i/>
        </w:rPr>
        <w:t xml:space="preserve">ICANN prepare an FAQ for registrars, in  </w:t>
      </w:r>
    </w:p>
    <w:p w14:paraId="0000003B" w14:textId="77777777" w:rsidR="00D60918" w:rsidRDefault="008D5436">
      <w:pPr>
        <w:widowControl w:val="0"/>
        <w:spacing w:line="240" w:lineRule="auto"/>
        <w:ind w:right="1358"/>
        <w:jc w:val="right"/>
        <w:rPr>
          <w:i/>
        </w:rPr>
      </w:pPr>
      <w:r>
        <w:rPr>
          <w:i/>
        </w:rPr>
        <w:t xml:space="preserve">consultation with UDRP stakeholders.  </w:t>
      </w:r>
    </w:p>
    <w:p w14:paraId="0000003C" w14:textId="77777777" w:rsidR="00D60918" w:rsidRDefault="008D5436">
      <w:pPr>
        <w:widowControl w:val="0"/>
        <w:spacing w:before="246" w:line="240" w:lineRule="auto"/>
        <w:ind w:right="698"/>
        <w:jc w:val="right"/>
        <w:rPr>
          <w:i/>
        </w:rPr>
      </w:pPr>
      <w:r>
        <w:rPr>
          <w:i/>
        </w:rPr>
        <w:t xml:space="preserve">We also recommend that ICANN sponsor an  </w:t>
      </w:r>
    </w:p>
    <w:p w14:paraId="0000003D" w14:textId="77777777" w:rsidR="00D60918" w:rsidRDefault="008D5436">
      <w:pPr>
        <w:widowControl w:val="0"/>
        <w:spacing w:line="240" w:lineRule="auto"/>
        <w:ind w:right="14"/>
        <w:jc w:val="right"/>
        <w:rPr>
          <w:i/>
        </w:rPr>
      </w:pPr>
      <w:r>
        <w:rPr>
          <w:i/>
        </w:rPr>
        <w:t xml:space="preserve">optional “UDRP Bootcamp” webinar to better inform  </w:t>
      </w:r>
    </w:p>
    <w:p w14:paraId="0000003E" w14:textId="77777777" w:rsidR="00D60918" w:rsidRDefault="008D5436">
      <w:pPr>
        <w:widowControl w:val="0"/>
        <w:spacing w:line="240" w:lineRule="auto"/>
        <w:ind w:right="354"/>
        <w:jc w:val="right"/>
        <w:rPr>
          <w:i/>
        </w:rPr>
      </w:pPr>
      <w:r>
        <w:rPr>
          <w:i/>
        </w:rPr>
        <w:t xml:space="preserve">registrars how to process UDRP complaints and  </w:t>
      </w:r>
    </w:p>
    <w:p w14:paraId="0000003F" w14:textId="77777777" w:rsidR="00D60918" w:rsidRDefault="008D5436">
      <w:pPr>
        <w:widowControl w:val="0"/>
        <w:spacing w:line="240" w:lineRule="auto"/>
        <w:ind w:right="3628"/>
        <w:jc w:val="right"/>
        <w:rPr>
          <w:i/>
        </w:rPr>
      </w:pPr>
      <w:r>
        <w:rPr>
          <w:i/>
        </w:rPr>
        <w:t xml:space="preserve">transfer orders. </w:t>
      </w:r>
    </w:p>
    <w:p w14:paraId="00000040" w14:textId="77777777" w:rsidR="00D60918" w:rsidRDefault="00D60918">
      <w:pPr>
        <w:pStyle w:val="Heading1"/>
        <w:widowControl w:val="0"/>
        <w:spacing w:before="500"/>
        <w:ind w:left="26"/>
      </w:pPr>
      <w:bookmarkStart w:id="9" w:name="_xkq1wgosa0t8" w:colFirst="0" w:colLast="0"/>
      <w:bookmarkEnd w:id="9"/>
    </w:p>
    <w:p w14:paraId="00000041" w14:textId="77777777" w:rsidR="00D60918" w:rsidRDefault="008D5436">
      <w:r w:rsidRPr="005A222C">
        <w:rPr>
          <w:highlight w:val="cyan"/>
        </w:rPr>
        <w:t>ABPI COMMENTS: ABPI partially agrees with the recommendation. It will certainly be useful to provide registrars with resources, but we believe that mandatory "bootcamps” would be too burdensome and might not get the results needed - only one or a few of the registrar's staff would attend those and there is no certainty that they would cascade information correctly. It will be more useful to: 1) mandate registrars to appoint a designated point of contact for UDRP procedures, responsible for receiving and cas</w:t>
      </w:r>
      <w:r w:rsidRPr="005A222C">
        <w:rPr>
          <w:highlight w:val="cyan"/>
        </w:rPr>
        <w:t>cading UDRP trainings and resources; and 2) provide registrars with clear and updated resource material that can be consulted by registrars at any time</w:t>
      </w:r>
      <w:r>
        <w:t>.</w:t>
      </w:r>
    </w:p>
    <w:p w14:paraId="00000042" w14:textId="77777777" w:rsidR="00D60918" w:rsidRDefault="008D5436">
      <w:pPr>
        <w:pStyle w:val="Heading1"/>
        <w:widowControl w:val="0"/>
        <w:spacing w:before="500"/>
        <w:ind w:left="26"/>
      </w:pPr>
      <w:bookmarkStart w:id="10" w:name="_azti4sl5jr4c" w:colFirst="0" w:colLast="0"/>
      <w:bookmarkEnd w:id="10"/>
      <w:r>
        <w:t xml:space="preserve">Regulating Complaint Withdrawals </w:t>
      </w:r>
    </w:p>
    <w:p w14:paraId="00000043" w14:textId="77777777" w:rsidR="00D60918" w:rsidRDefault="008D5436">
      <w:pPr>
        <w:widowControl w:val="0"/>
        <w:spacing w:before="250" w:line="228" w:lineRule="auto"/>
        <w:ind w:left="10" w:right="113" w:firstLine="4"/>
        <w:rPr>
          <w:color w:val="262627"/>
        </w:rPr>
      </w:pPr>
      <w:r>
        <w:rPr>
          <w:color w:val="262627"/>
        </w:rPr>
        <w:t xml:space="preserve">The Rules do not specifically address situations where a complainant wants to withdraw a filed complaint without the respondent’s consent. This can sometimes arise where a respondent wants a determination on the merits. At some Providers (e.g., WIPO), if there is a known respondent and/or Response, this would be subject to comments from, and usually consent by,  the respondent. At other providers, apparently this may not be the case. </w:t>
      </w:r>
    </w:p>
    <w:p w14:paraId="00000044" w14:textId="77777777" w:rsidR="00D60918" w:rsidRDefault="008D5436">
      <w:pPr>
        <w:widowControl w:val="0"/>
        <w:spacing w:before="259" w:line="228" w:lineRule="auto"/>
        <w:ind w:left="10" w:right="615" w:firstLine="1"/>
      </w:pPr>
      <w:r>
        <w:t xml:space="preserve">We considered the question of whether the Rules should be clarified to regulate complaint  withdrawals and make the procedure and considerations uniform across all Providers. </w:t>
      </w:r>
    </w:p>
    <w:p w14:paraId="00000045" w14:textId="77777777" w:rsidR="00D60918" w:rsidRDefault="008D5436">
      <w:pPr>
        <w:widowControl w:val="0"/>
        <w:spacing w:before="259" w:line="240" w:lineRule="auto"/>
        <w:ind w:right="14"/>
        <w:jc w:val="right"/>
        <w:rPr>
          <w:i/>
        </w:rPr>
      </w:pPr>
      <w:r>
        <w:rPr>
          <w:b/>
          <w:i/>
        </w:rPr>
        <w:lastRenderedPageBreak/>
        <w:t xml:space="preserve">Recommendation: </w:t>
      </w:r>
      <w:r>
        <w:rPr>
          <w:i/>
        </w:rPr>
        <w:t xml:space="preserve">We would recommend that the  </w:t>
      </w:r>
    </w:p>
    <w:p w14:paraId="00000046" w14:textId="77777777" w:rsidR="00D60918" w:rsidRDefault="008D5436">
      <w:pPr>
        <w:widowControl w:val="0"/>
        <w:spacing w:line="240" w:lineRule="auto"/>
        <w:ind w:right="209"/>
        <w:jc w:val="right"/>
        <w:rPr>
          <w:i/>
        </w:rPr>
      </w:pPr>
      <w:r>
        <w:rPr>
          <w:i/>
        </w:rPr>
        <w:t xml:space="preserve">Rules be amended to regulate withdrawals and to  </w:t>
      </w:r>
    </w:p>
    <w:p w14:paraId="00000047" w14:textId="77777777" w:rsidR="00D60918" w:rsidRDefault="008D5436">
      <w:pPr>
        <w:widowControl w:val="0"/>
        <w:spacing w:line="240" w:lineRule="auto"/>
        <w:ind w:right="501"/>
        <w:jc w:val="right"/>
        <w:rPr>
          <w:i/>
        </w:rPr>
      </w:pPr>
      <w:r>
        <w:rPr>
          <w:i/>
        </w:rPr>
        <w:t xml:space="preserve">thereby make the procedure uniform across all  </w:t>
      </w:r>
    </w:p>
    <w:p w14:paraId="00000048" w14:textId="77777777" w:rsidR="00D60918" w:rsidRDefault="008D5436">
      <w:pPr>
        <w:widowControl w:val="0"/>
        <w:spacing w:line="240" w:lineRule="auto"/>
        <w:ind w:right="4130"/>
        <w:jc w:val="right"/>
        <w:rPr>
          <w:i/>
        </w:rPr>
      </w:pPr>
      <w:r>
        <w:rPr>
          <w:i/>
        </w:rPr>
        <w:t xml:space="preserve">Providers. </w:t>
      </w:r>
    </w:p>
    <w:p w14:paraId="00000049" w14:textId="77777777" w:rsidR="00D60918" w:rsidRDefault="00D60918">
      <w:pPr>
        <w:pStyle w:val="Heading1"/>
        <w:widowControl w:val="0"/>
        <w:spacing w:before="500"/>
        <w:ind w:left="20"/>
      </w:pPr>
      <w:bookmarkStart w:id="11" w:name="_hvoxb84y31x3" w:colFirst="0" w:colLast="0"/>
      <w:bookmarkEnd w:id="11"/>
    </w:p>
    <w:p w14:paraId="0000004A" w14:textId="77777777" w:rsidR="00D60918" w:rsidRDefault="008D5436">
      <w:r w:rsidRPr="005A222C">
        <w:rPr>
          <w:highlight w:val="cyan"/>
        </w:rPr>
        <w:t>ABPI COMMENTS: ABPI agrees with the recommendation</w:t>
      </w:r>
      <w:r>
        <w:t>.</w:t>
      </w:r>
    </w:p>
    <w:p w14:paraId="0000004B" w14:textId="77777777" w:rsidR="00D60918" w:rsidRDefault="008D5436">
      <w:pPr>
        <w:pStyle w:val="Heading1"/>
        <w:widowControl w:val="0"/>
        <w:spacing w:before="500"/>
        <w:ind w:left="20"/>
      </w:pPr>
      <w:bookmarkStart w:id="12" w:name="_nej9vgqphdw8" w:colFirst="0" w:colLast="0"/>
      <w:bookmarkEnd w:id="12"/>
      <w:r>
        <w:t xml:space="preserve">Clarifying Registrar Verification Procedures </w:t>
      </w:r>
    </w:p>
    <w:p w14:paraId="0000004C" w14:textId="77777777" w:rsidR="00D60918" w:rsidRDefault="008D5436">
      <w:pPr>
        <w:widowControl w:val="0"/>
        <w:spacing w:before="249" w:line="228" w:lineRule="auto"/>
        <w:ind w:left="13" w:right="126" w:firstLine="13"/>
      </w:pPr>
      <w:r>
        <w:rPr>
          <w:color w:val="262627"/>
        </w:rPr>
        <w:t xml:space="preserve">Registrar Verification to Providers is sometimes unclear depending on how the answers  </w:t>
      </w:r>
      <w:r>
        <w:rPr>
          <w:color w:val="262627"/>
        </w:rPr>
        <w:t>provided by the registrars are produced/formatted. Sometimes it is a complete copy-paste of  the WHOIS (RDAP) information, other times it seems to be more ad hoc. R</w:t>
      </w:r>
      <w:r>
        <w:t>egistrar Verification</w:t>
      </w:r>
      <w:r>
        <w:rPr>
          <w:sz w:val="18"/>
          <w:szCs w:val="18"/>
        </w:rPr>
        <w:t xml:space="preserve"> </w:t>
      </w:r>
      <w:r>
        <w:t xml:space="preserve">can in some cases be an important part of the evidentiary record; the Rules currently do not however require that it be shared with both parties and the panel, resulting in potentially inconsistent distribution of this information. </w:t>
      </w:r>
    </w:p>
    <w:p w14:paraId="0000004D" w14:textId="77777777" w:rsidR="00D60918" w:rsidRDefault="008D5436">
      <w:pPr>
        <w:widowControl w:val="0"/>
        <w:spacing w:before="258" w:line="228" w:lineRule="auto"/>
        <w:ind w:left="12" w:right="41" w:hanging="1"/>
        <w:rPr>
          <w:color w:val="262627"/>
        </w:rPr>
      </w:pPr>
      <w:r>
        <w:rPr>
          <w:color w:val="262627"/>
        </w:rPr>
        <w:t>We considered the question of whether there should be a requirement that the registrar’s  obligation vis-à-vis the registrant contact information be specifically defined to provide (in  addition to answers to questions such as the language of the registration agreement or  confirmation that the domain name is locked) the complete and unredacted underlying  registration data for the disputed domain name. NB while the Project Team did not examine the  ICANN PPSAI in detail, it is presumed that whatever framew</w:t>
      </w:r>
      <w:r>
        <w:rPr>
          <w:color w:val="262627"/>
        </w:rPr>
        <w:t xml:space="preserve">ork ICANN eventually deploys, that  this would facilitate the provision of the actual underlying </w:t>
      </w:r>
      <w:r>
        <w:t>customer information in UDRP  proceedings and provide specific parameters for timing and method of such disclosur</w:t>
      </w:r>
      <w:r>
        <w:rPr>
          <w:i/>
        </w:rPr>
        <w:t>e</w:t>
      </w:r>
      <w:r>
        <w:rPr>
          <w:color w:val="262627"/>
        </w:rPr>
        <w:t xml:space="preserve">; it is  also noted that absent any such disclosure, section 3.7.7.3 of the ICANN RAA specifies the  liability of the publicly-named registrant (the “Registered Name Holder”). </w:t>
      </w:r>
    </w:p>
    <w:p w14:paraId="0000004E" w14:textId="77777777" w:rsidR="00D60918" w:rsidRDefault="008D5436">
      <w:pPr>
        <w:widowControl w:val="0"/>
        <w:spacing w:before="258" w:line="230" w:lineRule="auto"/>
        <w:ind w:left="17" w:right="444" w:hanging="4"/>
      </w:pPr>
      <w:r>
        <w:rPr>
          <w:color w:val="262627"/>
        </w:rPr>
        <w:t xml:space="preserve">We also considered the question of whether (and to the </w:t>
      </w:r>
      <w:r>
        <w:t xml:space="preserve">extent that a Provider is not already  doing so) RDAP data be provided to both parties and the panel. </w:t>
      </w:r>
    </w:p>
    <w:p w14:paraId="0000004F" w14:textId="77777777" w:rsidR="00D60918" w:rsidRDefault="008D5436">
      <w:pPr>
        <w:widowControl w:val="0"/>
        <w:spacing w:before="255" w:line="240" w:lineRule="auto"/>
        <w:ind w:right="3119"/>
        <w:jc w:val="right"/>
        <w:rPr>
          <w:b/>
          <w:i/>
        </w:rPr>
      </w:pPr>
      <w:r>
        <w:rPr>
          <w:b/>
          <w:i/>
        </w:rPr>
        <w:t xml:space="preserve">Recommendation:  </w:t>
      </w:r>
    </w:p>
    <w:p w14:paraId="00000050" w14:textId="77777777" w:rsidR="00D60918" w:rsidRDefault="008D5436">
      <w:pPr>
        <w:widowControl w:val="0"/>
        <w:spacing w:before="248" w:line="240" w:lineRule="auto"/>
        <w:ind w:right="722"/>
        <w:jc w:val="right"/>
        <w:rPr>
          <w:i/>
        </w:rPr>
      </w:pPr>
      <w:r>
        <w:rPr>
          <w:i/>
        </w:rPr>
        <w:t xml:space="preserve">We would recommend that, to the extent not  </w:t>
      </w:r>
    </w:p>
    <w:p w14:paraId="00000051" w14:textId="77777777" w:rsidR="00D60918" w:rsidRDefault="008D5436">
      <w:pPr>
        <w:widowControl w:val="0"/>
        <w:spacing w:line="240" w:lineRule="auto"/>
        <w:ind w:right="84"/>
        <w:jc w:val="right"/>
        <w:rPr>
          <w:i/>
        </w:rPr>
      </w:pPr>
      <w:r>
        <w:rPr>
          <w:i/>
        </w:rPr>
        <w:t xml:space="preserve">already being done so by a Provider, in the case of  </w:t>
      </w:r>
    </w:p>
    <w:p w14:paraId="00000052" w14:textId="77777777" w:rsidR="00D60918" w:rsidRDefault="008D5436">
      <w:pPr>
        <w:widowControl w:val="0"/>
        <w:spacing w:line="240" w:lineRule="auto"/>
        <w:ind w:right="134"/>
        <w:jc w:val="right"/>
        <w:rPr>
          <w:i/>
        </w:rPr>
      </w:pPr>
      <w:r>
        <w:rPr>
          <w:i/>
        </w:rPr>
        <w:t xml:space="preserve">a discrepancy between the information provided in  </w:t>
      </w:r>
    </w:p>
    <w:p w14:paraId="00000053" w14:textId="77777777" w:rsidR="00D60918" w:rsidRDefault="008D5436">
      <w:pPr>
        <w:widowControl w:val="0"/>
        <w:spacing w:line="240" w:lineRule="auto"/>
        <w:ind w:right="220"/>
        <w:jc w:val="right"/>
        <w:rPr>
          <w:i/>
        </w:rPr>
      </w:pPr>
      <w:r>
        <w:rPr>
          <w:i/>
        </w:rPr>
        <w:t xml:space="preserve">the complaint, the registrant’s registration data be  </w:t>
      </w:r>
    </w:p>
    <w:p w14:paraId="00000054" w14:textId="77777777" w:rsidR="00D60918" w:rsidRDefault="008D5436">
      <w:pPr>
        <w:widowControl w:val="0"/>
        <w:spacing w:line="240" w:lineRule="auto"/>
        <w:ind w:right="684"/>
        <w:jc w:val="right"/>
        <w:rPr>
          <w:i/>
        </w:rPr>
      </w:pPr>
      <w:r>
        <w:rPr>
          <w:i/>
        </w:rPr>
        <w:t xml:space="preserve">provided to both parties and the panel by the  </w:t>
      </w:r>
    </w:p>
    <w:p w14:paraId="00000055" w14:textId="77777777" w:rsidR="00D60918" w:rsidRDefault="008D5436">
      <w:pPr>
        <w:widowControl w:val="0"/>
        <w:spacing w:line="240" w:lineRule="auto"/>
        <w:ind w:right="4240"/>
        <w:jc w:val="right"/>
        <w:rPr>
          <w:i/>
        </w:rPr>
      </w:pPr>
      <w:r>
        <w:rPr>
          <w:i/>
        </w:rPr>
        <w:t xml:space="preserve">Provider. </w:t>
      </w:r>
    </w:p>
    <w:p w14:paraId="00000056" w14:textId="77777777" w:rsidR="00D60918" w:rsidRDefault="00D60918">
      <w:pPr>
        <w:pStyle w:val="Heading1"/>
        <w:widowControl w:val="0"/>
        <w:spacing w:before="500"/>
        <w:ind w:left="24"/>
      </w:pPr>
      <w:bookmarkStart w:id="13" w:name="_tqeghb7jbjtw" w:colFirst="0" w:colLast="0"/>
      <w:bookmarkEnd w:id="13"/>
    </w:p>
    <w:p w14:paraId="00000057" w14:textId="77777777" w:rsidR="00D60918" w:rsidRDefault="008D5436">
      <w:r w:rsidRPr="005A222C">
        <w:rPr>
          <w:highlight w:val="cyan"/>
        </w:rPr>
        <w:t xml:space="preserve">ABPI COMMENTS: ABPI </w:t>
      </w:r>
      <w:r w:rsidRPr="005A222C">
        <w:rPr>
          <w:highlight w:val="cyan"/>
        </w:rPr>
        <w:t>agrees with the recommendation.</w:t>
      </w:r>
    </w:p>
    <w:p w14:paraId="00000058" w14:textId="77777777" w:rsidR="00D60918" w:rsidRDefault="008D5436">
      <w:pPr>
        <w:pStyle w:val="Heading1"/>
        <w:widowControl w:val="0"/>
        <w:spacing w:before="500"/>
        <w:ind w:left="24"/>
      </w:pPr>
      <w:bookmarkStart w:id="14" w:name="_8uuakgaju499" w:colFirst="0" w:colLast="0"/>
      <w:bookmarkEnd w:id="14"/>
      <w:r>
        <w:t xml:space="preserve">Identifying Dissenting Panelists </w:t>
      </w:r>
    </w:p>
    <w:p w14:paraId="00000059" w14:textId="77777777" w:rsidR="00D60918" w:rsidRDefault="008D5436">
      <w:pPr>
        <w:widowControl w:val="0"/>
        <w:spacing w:before="250" w:line="230" w:lineRule="auto"/>
        <w:ind w:left="17" w:right="454" w:firstLine="13"/>
      </w:pPr>
      <w:r>
        <w:t xml:space="preserve">In a few very rare occasions, a dissenting panelist has not been identified in a decision. If a  dissenting panelist is not identified, it is unclear which panelist holds which views.  </w:t>
      </w:r>
    </w:p>
    <w:p w14:paraId="0000005A" w14:textId="77777777" w:rsidR="00D60918" w:rsidRDefault="008D5436">
      <w:pPr>
        <w:widowControl w:val="0"/>
        <w:spacing w:before="255" w:line="230" w:lineRule="auto"/>
        <w:ind w:left="16" w:right="775" w:hanging="1"/>
      </w:pPr>
      <w:r>
        <w:t xml:space="preserve">This lack of transparency undercuts the ability of parties to make informed choices when  selecting panelists for a three-member panel case. </w:t>
      </w:r>
    </w:p>
    <w:p w14:paraId="0000005B" w14:textId="77777777" w:rsidR="00D60918" w:rsidRDefault="008D5436">
      <w:pPr>
        <w:widowControl w:val="0"/>
        <w:spacing w:before="257" w:line="228" w:lineRule="auto"/>
        <w:ind w:left="24" w:right="102" w:hanging="11"/>
      </w:pPr>
      <w:r>
        <w:t xml:space="preserve">We considered the question of whether dissenting panelists should be identified in </w:t>
      </w:r>
      <w:r>
        <w:lastRenderedPageBreak/>
        <w:t xml:space="preserve">decisions by  name. </w:t>
      </w:r>
    </w:p>
    <w:p w14:paraId="0000005C" w14:textId="77777777" w:rsidR="00D60918" w:rsidRDefault="008D5436">
      <w:pPr>
        <w:widowControl w:val="0"/>
        <w:spacing w:before="259" w:line="240" w:lineRule="auto"/>
        <w:ind w:right="14"/>
        <w:jc w:val="right"/>
        <w:rPr>
          <w:i/>
        </w:rPr>
      </w:pPr>
      <w:r>
        <w:rPr>
          <w:b/>
          <w:i/>
        </w:rPr>
        <w:t xml:space="preserve">Recommendation: </w:t>
      </w:r>
      <w:r>
        <w:rPr>
          <w:i/>
        </w:rPr>
        <w:t xml:space="preserve">We would recommend that the  </w:t>
      </w:r>
    </w:p>
    <w:p w14:paraId="0000005D" w14:textId="77777777" w:rsidR="00D60918" w:rsidRDefault="008D5436">
      <w:pPr>
        <w:widowControl w:val="0"/>
        <w:spacing w:line="240" w:lineRule="auto"/>
        <w:ind w:right="722"/>
        <w:jc w:val="right"/>
        <w:rPr>
          <w:i/>
        </w:rPr>
      </w:pPr>
      <w:r>
        <w:rPr>
          <w:i/>
        </w:rPr>
        <w:t xml:space="preserve">Rules be amended to require that dissenting  </w:t>
      </w:r>
    </w:p>
    <w:p w14:paraId="0000005E" w14:textId="77777777" w:rsidR="00D60918" w:rsidRDefault="008D5436">
      <w:pPr>
        <w:widowControl w:val="0"/>
        <w:spacing w:line="240" w:lineRule="auto"/>
        <w:ind w:right="1454"/>
        <w:jc w:val="right"/>
        <w:rPr>
          <w:i/>
        </w:rPr>
      </w:pPr>
      <w:r>
        <w:rPr>
          <w:i/>
        </w:rPr>
        <w:t xml:space="preserve">panelists be identified in all decisions. </w:t>
      </w:r>
    </w:p>
    <w:p w14:paraId="0000005F" w14:textId="77777777" w:rsidR="00D60918" w:rsidRDefault="00D60918">
      <w:pPr>
        <w:pStyle w:val="Heading1"/>
        <w:widowControl w:val="0"/>
        <w:spacing w:before="500"/>
        <w:ind w:left="24"/>
      </w:pPr>
      <w:bookmarkStart w:id="15" w:name="_fe8v3aw25lyi" w:colFirst="0" w:colLast="0"/>
      <w:bookmarkEnd w:id="15"/>
    </w:p>
    <w:p w14:paraId="00000060" w14:textId="77777777" w:rsidR="00D60918" w:rsidRDefault="008D5436">
      <w:r w:rsidRPr="005A222C">
        <w:rPr>
          <w:highlight w:val="cyan"/>
        </w:rPr>
        <w:t>ABPI COMMENTS: ABPI agrees with the recommendation</w:t>
      </w:r>
      <w:r>
        <w:t>.</w:t>
      </w:r>
    </w:p>
    <w:p w14:paraId="00000061" w14:textId="77777777" w:rsidR="00D60918" w:rsidRDefault="008D5436">
      <w:pPr>
        <w:pStyle w:val="Heading1"/>
        <w:widowControl w:val="0"/>
        <w:spacing w:before="500"/>
        <w:ind w:left="24"/>
      </w:pPr>
      <w:bookmarkStart w:id="16" w:name="_32zlhgetv53v" w:colFirst="0" w:colLast="0"/>
      <w:bookmarkEnd w:id="16"/>
      <w:r>
        <w:t xml:space="preserve">ICANN Contribution to the UDRP </w:t>
      </w:r>
    </w:p>
    <w:p w14:paraId="00000062" w14:textId="77777777" w:rsidR="00D60918" w:rsidRDefault="008D5436">
      <w:pPr>
        <w:widowControl w:val="0"/>
        <w:spacing w:before="249" w:line="240" w:lineRule="auto"/>
        <w:ind w:left="26"/>
      </w:pPr>
      <w:r>
        <w:t xml:space="preserve">Millions of dollars are spent annually on UDRP filing fees – mostly by complainants.  </w:t>
      </w:r>
    </w:p>
    <w:p w14:paraId="00000063" w14:textId="77777777" w:rsidR="00D60918" w:rsidRDefault="008D5436">
      <w:pPr>
        <w:widowControl w:val="0"/>
        <w:spacing w:before="248" w:line="228" w:lineRule="auto"/>
        <w:ind w:left="17" w:right="273" w:hanging="7"/>
      </w:pPr>
      <w:r>
        <w:t xml:space="preserve">At the same time, not only complainants, but also, registries, registrars, and registrants all  generally benefit from the UDRP’s good functioning to resolve domain name disputes out of  court. ICANN benefits from the UDRP as it contributes to overall stability in the domain name </w:t>
      </w:r>
    </w:p>
    <w:p w14:paraId="00000064" w14:textId="77777777" w:rsidR="00D60918" w:rsidRDefault="008D5436">
      <w:pPr>
        <w:widowControl w:val="0"/>
        <w:spacing w:before="327" w:line="240" w:lineRule="auto"/>
        <w:ind w:right="66"/>
        <w:jc w:val="right"/>
        <w:rPr>
          <w:sz w:val="18"/>
          <w:szCs w:val="18"/>
        </w:rPr>
      </w:pPr>
      <w:r>
        <w:rPr>
          <w:sz w:val="18"/>
          <w:szCs w:val="18"/>
        </w:rPr>
        <w:t xml:space="preserve">Page 11 of 28 </w:t>
      </w:r>
    </w:p>
    <w:p w14:paraId="00000065" w14:textId="77777777" w:rsidR="00D60918" w:rsidRDefault="008D5436">
      <w:pPr>
        <w:widowControl w:val="0"/>
        <w:spacing w:line="229" w:lineRule="auto"/>
        <w:ind w:left="13" w:right="173" w:firstLine="2"/>
      </w:pPr>
      <w:r>
        <w:t xml:space="preserve">system. Nevertheless, and unlike other intermediaries such as online marketplaces (see for  example, the eBay v Tiffany case) the overwhelming lion’s share of the costs to administer the  UDRP are borne by parties and Providers. Merely one penny per registration or renewal (from  that already paid by ICANN Contracted Parties) would produce about USD $2,000,000  annually. </w:t>
      </w:r>
    </w:p>
    <w:p w14:paraId="00000066" w14:textId="77777777" w:rsidR="00D60918" w:rsidRDefault="008D5436">
      <w:pPr>
        <w:widowControl w:val="0"/>
        <w:spacing w:before="256" w:line="229" w:lineRule="auto"/>
        <w:ind w:left="12" w:right="29" w:hanging="1"/>
      </w:pPr>
      <w:r>
        <w:t xml:space="preserve">We considered whether there should be a subsidy drawn from registration fees going towards  the UDRP in some fashion such as lowering or reimbursing a portion of filing fees (especially for  non-profits or SMEs both on the complainant and respondent side), UDRP education and  training, panel remuneration, developing UDRP guidance material, etc. </w:t>
      </w:r>
    </w:p>
    <w:p w14:paraId="00000067" w14:textId="77777777" w:rsidR="00D60918" w:rsidRDefault="008D5436">
      <w:pPr>
        <w:widowControl w:val="0"/>
        <w:spacing w:before="255" w:line="240" w:lineRule="auto"/>
        <w:ind w:right="1089"/>
        <w:jc w:val="right"/>
        <w:rPr>
          <w:i/>
        </w:rPr>
      </w:pPr>
      <w:r>
        <w:rPr>
          <w:b/>
          <w:i/>
        </w:rPr>
        <w:t xml:space="preserve">Recommendation: </w:t>
      </w:r>
      <w:r>
        <w:rPr>
          <w:i/>
        </w:rPr>
        <w:t xml:space="preserve">Given the benefit to  </w:t>
      </w:r>
    </w:p>
    <w:p w14:paraId="00000068" w14:textId="77777777" w:rsidR="00D60918" w:rsidRDefault="008D5436">
      <w:pPr>
        <w:widowControl w:val="0"/>
        <w:spacing w:line="240" w:lineRule="auto"/>
        <w:ind w:right="672"/>
        <w:jc w:val="right"/>
        <w:rPr>
          <w:i/>
        </w:rPr>
      </w:pPr>
      <w:r>
        <w:rPr>
          <w:i/>
        </w:rPr>
        <w:t xml:space="preserve">registration authorities in outsourcing dispute  </w:t>
      </w:r>
    </w:p>
    <w:p w14:paraId="00000069" w14:textId="77777777" w:rsidR="00D60918" w:rsidRDefault="008D5436">
      <w:pPr>
        <w:widowControl w:val="0"/>
        <w:spacing w:line="240" w:lineRule="auto"/>
        <w:ind w:right="149"/>
        <w:jc w:val="right"/>
        <w:rPr>
          <w:i/>
        </w:rPr>
      </w:pPr>
      <w:r>
        <w:rPr>
          <w:i/>
        </w:rPr>
        <w:t xml:space="preserve">resolution under the UDRP, we would recommend  </w:t>
      </w:r>
    </w:p>
    <w:p w14:paraId="0000006A" w14:textId="77777777" w:rsidR="00D60918" w:rsidRDefault="008D5436">
      <w:pPr>
        <w:widowControl w:val="0"/>
        <w:spacing w:line="240" w:lineRule="auto"/>
        <w:ind w:right="122"/>
        <w:jc w:val="right"/>
        <w:rPr>
          <w:i/>
        </w:rPr>
      </w:pPr>
      <w:r>
        <w:rPr>
          <w:i/>
        </w:rPr>
        <w:t xml:space="preserve">that consideration be given to a very small subsidy  </w:t>
      </w:r>
    </w:p>
    <w:p w14:paraId="0000006B" w14:textId="77777777" w:rsidR="00D60918" w:rsidRDefault="008D5436">
      <w:pPr>
        <w:widowControl w:val="0"/>
        <w:spacing w:line="240" w:lineRule="auto"/>
        <w:ind w:right="516"/>
        <w:jc w:val="right"/>
        <w:rPr>
          <w:i/>
        </w:rPr>
      </w:pPr>
      <w:r>
        <w:rPr>
          <w:i/>
        </w:rPr>
        <w:t xml:space="preserve">drawn from registration fees going towards the  </w:t>
      </w:r>
    </w:p>
    <w:p w14:paraId="0000006C" w14:textId="77777777" w:rsidR="00D60918" w:rsidRDefault="008D5436">
      <w:pPr>
        <w:widowControl w:val="0"/>
        <w:spacing w:line="240" w:lineRule="auto"/>
        <w:ind w:right="856"/>
        <w:jc w:val="right"/>
        <w:rPr>
          <w:i/>
        </w:rPr>
      </w:pPr>
      <w:r>
        <w:rPr>
          <w:i/>
        </w:rPr>
        <w:t xml:space="preserve">UDRP in some fashion such as lowering or  </w:t>
      </w:r>
    </w:p>
    <w:p w14:paraId="0000006D" w14:textId="77777777" w:rsidR="00D60918" w:rsidRDefault="008D5436">
      <w:pPr>
        <w:widowControl w:val="0"/>
        <w:spacing w:line="240" w:lineRule="auto"/>
        <w:ind w:right="732"/>
        <w:jc w:val="right"/>
        <w:rPr>
          <w:i/>
        </w:rPr>
      </w:pPr>
      <w:r>
        <w:rPr>
          <w:i/>
        </w:rPr>
        <w:t xml:space="preserve">reimbursing a portion of complaint filing fees  </w:t>
      </w:r>
    </w:p>
    <w:p w14:paraId="0000006E" w14:textId="77777777" w:rsidR="00D60918" w:rsidRDefault="008D5436">
      <w:pPr>
        <w:widowControl w:val="0"/>
        <w:spacing w:line="240" w:lineRule="auto"/>
        <w:ind w:right="858"/>
        <w:jc w:val="right"/>
        <w:rPr>
          <w:i/>
        </w:rPr>
      </w:pPr>
      <w:r>
        <w:rPr>
          <w:i/>
        </w:rPr>
        <w:t xml:space="preserve">(especially for non-profits or SMEs), UDRP  </w:t>
      </w:r>
    </w:p>
    <w:p w14:paraId="0000006F" w14:textId="77777777" w:rsidR="00D60918" w:rsidRDefault="008D5436">
      <w:pPr>
        <w:widowControl w:val="0"/>
        <w:spacing w:line="240" w:lineRule="auto"/>
        <w:ind w:right="794"/>
        <w:jc w:val="right"/>
        <w:rPr>
          <w:i/>
        </w:rPr>
      </w:pPr>
      <w:r>
        <w:rPr>
          <w:i/>
        </w:rPr>
        <w:t xml:space="preserve">education and training, panel remuneration,  </w:t>
      </w:r>
    </w:p>
    <w:p w14:paraId="00000070" w14:textId="77777777" w:rsidR="00D60918" w:rsidRDefault="008D5436">
      <w:pPr>
        <w:widowControl w:val="0"/>
        <w:spacing w:line="240" w:lineRule="auto"/>
        <w:ind w:right="1099"/>
        <w:jc w:val="right"/>
        <w:rPr>
          <w:i/>
        </w:rPr>
      </w:pPr>
      <w:r>
        <w:rPr>
          <w:i/>
        </w:rPr>
        <w:t xml:space="preserve">developing UDRP guidance material, etc. </w:t>
      </w:r>
    </w:p>
    <w:p w14:paraId="00000071" w14:textId="77777777" w:rsidR="00D60918" w:rsidRDefault="00D60918"/>
    <w:p w14:paraId="00000072" w14:textId="77777777" w:rsidR="00D60918" w:rsidRDefault="008D5436">
      <w:r w:rsidRPr="005A222C">
        <w:rPr>
          <w:highlight w:val="cyan"/>
        </w:rPr>
        <w:t>ABPI COMMENTS: ABPI agrees with the recommendation. It will be an essential way to enable the development and strengthening of the proposed measures — such as improving UDRP-related education for all stakeholders and facilitating access to the procedure for parties with limited financial resources. However, effective implementation will require further analysis of the fund’s structure, administration, governance, and other relevant aspects.</w:t>
      </w:r>
    </w:p>
    <w:p w14:paraId="00000073" w14:textId="77777777" w:rsidR="00D60918" w:rsidRDefault="008D5436">
      <w:pPr>
        <w:pStyle w:val="Heading1"/>
        <w:widowControl w:val="0"/>
        <w:spacing w:before="500"/>
        <w:ind w:left="25"/>
      </w:pPr>
      <w:bookmarkStart w:id="17" w:name="_1eqnthjwidr" w:colFirst="0" w:colLast="0"/>
      <w:bookmarkEnd w:id="17"/>
      <w:r>
        <w:t xml:space="preserve">Educational Materials </w:t>
      </w:r>
    </w:p>
    <w:p w14:paraId="00000074" w14:textId="77777777" w:rsidR="00D60918" w:rsidRDefault="008D5436">
      <w:pPr>
        <w:widowControl w:val="0"/>
        <w:spacing w:before="249" w:line="229" w:lineRule="auto"/>
        <w:ind w:left="12" w:right="18" w:hanging="1"/>
      </w:pPr>
      <w:r>
        <w:t xml:space="preserve">We believe that there is a role for ICANN in reducing the frequency of poorly-conceived or  unsubstantiated pleadings by providing parties with neutral and standardized educational  </w:t>
      </w:r>
      <w:r>
        <w:lastRenderedPageBreak/>
        <w:t>materials covering not only the obligation not to infringe third party rights when registering a  domain name, but also the basic requirements of a UDRP complaint and response. The  educational materials would alert parties to the most common deficiencies in poorly drafted  complaints and inadequate responses (e.g., the failure to submit proof of adequate and timely  trademark rights; the need to support contentions with documentary evidence and not through  unsubstantiated allegations; explanations of bona</w:t>
      </w:r>
      <w:r>
        <w:t xml:space="preserve"> fide noncommercial fair use or valid legitimate  interests, etc.). The materials would be made available in plain language for those who are not  trained legal professionals or otherwise have little experience in this field. </w:t>
      </w:r>
    </w:p>
    <w:p w14:paraId="00000075" w14:textId="77777777" w:rsidR="00D60918" w:rsidRDefault="008D5436">
      <w:pPr>
        <w:widowControl w:val="0"/>
        <w:spacing w:before="258" w:line="228" w:lineRule="auto"/>
        <w:ind w:left="10" w:right="53" w:firstLine="4"/>
      </w:pPr>
      <w:r>
        <w:t>This information would benefit meritorious complainants and their counsel who are unfamiliar  with the UDRP by alerting them to potential pitfalls. It could also benefit both complainants and  respondents by helping unwitting complainants and their counsel avoid bringing complaints that  will not succeed and could possibly result in a finding of RDNH. Similarly, educational materials  could help educate respondents about trademark rights and clarify that registering a domain  name that is available may conf</w:t>
      </w:r>
      <w:r>
        <w:t xml:space="preserve">lict with pre-existing trademark rights and would not  automatically provide rights to such a domain name. </w:t>
      </w:r>
    </w:p>
    <w:p w14:paraId="00000076" w14:textId="77777777" w:rsidR="00D60918" w:rsidRDefault="008D5436">
      <w:pPr>
        <w:widowControl w:val="0"/>
        <w:spacing w:before="258" w:line="229" w:lineRule="auto"/>
        <w:ind w:left="17" w:right="65" w:firstLine="3"/>
      </w:pPr>
      <w:r>
        <w:t>Care must be taken with such materials so as not to deter lawful registration of domain names  or discourage legitimate complaints. Providers could offer links to these educational materials  at prominent points most likely to be seen by parties prior to submission of their pleadings, such  as on their home pages, facilities for online submission of complaints and responses, notice of  commencement emails, etc.</w:t>
      </w:r>
    </w:p>
    <w:p w14:paraId="00000077" w14:textId="77777777" w:rsidR="00D60918" w:rsidRDefault="008D5436">
      <w:pPr>
        <w:widowControl w:val="0"/>
        <w:spacing w:before="831" w:line="240" w:lineRule="auto"/>
        <w:ind w:right="66"/>
        <w:jc w:val="right"/>
        <w:rPr>
          <w:sz w:val="18"/>
          <w:szCs w:val="18"/>
        </w:rPr>
      </w:pPr>
      <w:r>
        <w:rPr>
          <w:sz w:val="18"/>
          <w:szCs w:val="18"/>
        </w:rPr>
        <w:t xml:space="preserve">Page 12 of 28 </w:t>
      </w:r>
    </w:p>
    <w:p w14:paraId="00000078" w14:textId="77777777" w:rsidR="00D60918" w:rsidRDefault="008D5436">
      <w:pPr>
        <w:widowControl w:val="0"/>
        <w:spacing w:line="240" w:lineRule="auto"/>
        <w:ind w:right="441"/>
        <w:jc w:val="right"/>
        <w:rPr>
          <w:i/>
        </w:rPr>
      </w:pPr>
      <w:r>
        <w:rPr>
          <w:b/>
          <w:i/>
        </w:rPr>
        <w:t xml:space="preserve">Recommendation: </w:t>
      </w:r>
      <w:r>
        <w:rPr>
          <w:i/>
        </w:rPr>
        <w:t xml:space="preserve">We would recommend the  </w:t>
      </w:r>
    </w:p>
    <w:p w14:paraId="00000079" w14:textId="77777777" w:rsidR="00D60918" w:rsidRDefault="008D5436">
      <w:pPr>
        <w:widowControl w:val="0"/>
        <w:spacing w:line="240" w:lineRule="auto"/>
        <w:ind w:right="123"/>
        <w:jc w:val="right"/>
        <w:rPr>
          <w:i/>
        </w:rPr>
      </w:pPr>
      <w:r>
        <w:rPr>
          <w:i/>
        </w:rPr>
        <w:t xml:space="preserve">creation and publication of educational material for  </w:t>
      </w:r>
    </w:p>
    <w:p w14:paraId="0000007A" w14:textId="77777777" w:rsidR="00D60918" w:rsidRDefault="008D5436">
      <w:pPr>
        <w:widowControl w:val="0"/>
        <w:spacing w:line="240" w:lineRule="auto"/>
        <w:ind w:right="880"/>
        <w:jc w:val="right"/>
        <w:rPr>
          <w:i/>
        </w:rPr>
      </w:pPr>
      <w:r>
        <w:rPr>
          <w:i/>
        </w:rPr>
        <w:t xml:space="preserve">use by all parties, and which may be made  </w:t>
      </w:r>
    </w:p>
    <w:p w14:paraId="0000007B" w14:textId="77777777" w:rsidR="00D60918" w:rsidRDefault="008D5436">
      <w:pPr>
        <w:widowControl w:val="0"/>
        <w:spacing w:line="240" w:lineRule="auto"/>
        <w:ind w:right="746"/>
        <w:jc w:val="right"/>
        <w:rPr>
          <w:i/>
        </w:rPr>
      </w:pPr>
      <w:r>
        <w:rPr>
          <w:i/>
        </w:rPr>
        <w:t xml:space="preserve">available on each Provider’s website and on  </w:t>
      </w:r>
    </w:p>
    <w:p w14:paraId="0000007C" w14:textId="77777777" w:rsidR="00D60918" w:rsidRDefault="008D5436">
      <w:pPr>
        <w:widowControl w:val="0"/>
        <w:spacing w:line="240" w:lineRule="auto"/>
        <w:ind w:right="2944"/>
        <w:jc w:val="right"/>
        <w:rPr>
          <w:i/>
        </w:rPr>
      </w:pPr>
      <w:r>
        <w:rPr>
          <w:i/>
        </w:rPr>
        <w:t xml:space="preserve">ICANN’s own website. </w:t>
      </w:r>
    </w:p>
    <w:p w14:paraId="0000007D" w14:textId="77777777" w:rsidR="00D60918" w:rsidRDefault="00D60918"/>
    <w:p w14:paraId="0000007E" w14:textId="77777777" w:rsidR="00D60918" w:rsidRDefault="008D5436">
      <w:r w:rsidRPr="005A222C">
        <w:rPr>
          <w:highlight w:val="cyan"/>
        </w:rPr>
        <w:t>ABPI COMMENTS: ABPI agrees with the recommendation. We understand that it would be necessary to obtain funding to develop and implement such measures - the previous point addresses that.</w:t>
      </w:r>
    </w:p>
    <w:p w14:paraId="0000007F" w14:textId="77777777" w:rsidR="00D60918" w:rsidRDefault="008D5436">
      <w:pPr>
        <w:pStyle w:val="Heading1"/>
        <w:widowControl w:val="0"/>
        <w:spacing w:before="500"/>
        <w:ind w:left="25"/>
      </w:pPr>
      <w:bookmarkStart w:id="18" w:name="_tdt4i4spdrdp" w:colFirst="0" w:colLast="0"/>
      <w:bookmarkEnd w:id="18"/>
      <w:r>
        <w:t xml:space="preserve">Mediation </w:t>
      </w:r>
    </w:p>
    <w:p w14:paraId="00000080" w14:textId="77777777" w:rsidR="00D60918" w:rsidRDefault="008D5436">
      <w:pPr>
        <w:widowControl w:val="0"/>
        <w:spacing w:before="249" w:line="228" w:lineRule="auto"/>
        <w:ind w:left="13" w:right="65" w:hanging="3"/>
        <w:rPr>
          <w:color w:val="262627"/>
        </w:rPr>
      </w:pPr>
      <w:r>
        <w:rPr>
          <w:color w:val="262627"/>
        </w:rPr>
        <w:t xml:space="preserve">A number of ccTLDs employ mediation, for example, .CH, .LI, .NL, and .UK, with varying  approaches and with different funding frameworks. While some experts found that mediation  could be useful, others question its functioning within the context of the UDRP, primarily since  the parties are free to engage in self-directed settlement discussions or may have already failed  to reach an agreement prior to the commencement of proceedings.  </w:t>
      </w:r>
    </w:p>
    <w:p w14:paraId="00000081" w14:textId="77777777" w:rsidR="00D60918" w:rsidRDefault="008D5436">
      <w:pPr>
        <w:widowControl w:val="0"/>
        <w:spacing w:before="259" w:line="229" w:lineRule="auto"/>
        <w:ind w:left="12" w:right="2" w:hanging="1"/>
        <w:rPr>
          <w:color w:val="262627"/>
        </w:rPr>
      </w:pPr>
      <w:r>
        <w:rPr>
          <w:color w:val="262627"/>
        </w:rPr>
        <w:t xml:space="preserve">While questions such as “at which stage(s) of the case mediation would occur” (e.g., before or  after pleadings), and “who would bear the costs” (e.g., both parties or a single party) would need  to be resolved, it has been suggested that a voluntary mediation could </w:t>
      </w:r>
      <w:r>
        <w:rPr>
          <w:i/>
          <w:color w:val="262627"/>
        </w:rPr>
        <w:t xml:space="preserve">already </w:t>
      </w:r>
      <w:r>
        <w:rPr>
          <w:color w:val="262627"/>
        </w:rPr>
        <w:t xml:space="preserve">be offered today  by any provider under the existing UDRP framework without the need for any Rules or Policy  change.  </w:t>
      </w:r>
    </w:p>
    <w:p w14:paraId="00000082" w14:textId="77777777" w:rsidR="00D60918" w:rsidRDefault="008D5436">
      <w:pPr>
        <w:widowControl w:val="0"/>
        <w:spacing w:before="258" w:line="228" w:lineRule="auto"/>
        <w:ind w:left="18" w:right="151" w:hanging="8"/>
        <w:rPr>
          <w:color w:val="262627"/>
        </w:rPr>
      </w:pPr>
      <w:r>
        <w:rPr>
          <w:color w:val="262627"/>
        </w:rPr>
        <w:t xml:space="preserve">At the same time, there was little appetite for mandatory mediation as it could add to time and  costs without a corresponding benefit in many cases (e.g., where one or both of the parties are  not genuinely interested in participating in mediation in good faith (noting also the high  respondent default rate)). </w:t>
      </w:r>
    </w:p>
    <w:p w14:paraId="00000083" w14:textId="77777777" w:rsidR="00D60918" w:rsidRDefault="008D5436">
      <w:pPr>
        <w:widowControl w:val="0"/>
        <w:spacing w:before="258" w:line="240" w:lineRule="auto"/>
        <w:ind w:right="379"/>
        <w:jc w:val="right"/>
        <w:rPr>
          <w:i/>
        </w:rPr>
      </w:pPr>
      <w:r>
        <w:rPr>
          <w:b/>
          <w:i/>
        </w:rPr>
        <w:lastRenderedPageBreak/>
        <w:t xml:space="preserve">Recommendation: </w:t>
      </w:r>
      <w:r>
        <w:rPr>
          <w:i/>
        </w:rPr>
        <w:t xml:space="preserve">We believe that mandatory  </w:t>
      </w:r>
    </w:p>
    <w:p w14:paraId="00000084" w14:textId="77777777" w:rsidR="00D60918" w:rsidRDefault="008D5436">
      <w:pPr>
        <w:widowControl w:val="0"/>
        <w:spacing w:line="240" w:lineRule="auto"/>
        <w:ind w:right="1785"/>
        <w:jc w:val="right"/>
        <w:rPr>
          <w:i/>
        </w:rPr>
      </w:pPr>
      <w:r>
        <w:rPr>
          <w:i/>
        </w:rPr>
        <w:t xml:space="preserve">mediation should not be adopted.  </w:t>
      </w:r>
    </w:p>
    <w:p w14:paraId="00000085" w14:textId="77777777" w:rsidR="00D60918" w:rsidRDefault="008D5436">
      <w:pPr>
        <w:widowControl w:val="0"/>
        <w:spacing w:before="248" w:line="240" w:lineRule="auto"/>
        <w:ind w:right="892"/>
        <w:jc w:val="right"/>
        <w:rPr>
          <w:i/>
        </w:rPr>
      </w:pPr>
      <w:r>
        <w:rPr>
          <w:i/>
        </w:rPr>
        <w:t xml:space="preserve">At the same time, we believe that although  </w:t>
      </w:r>
    </w:p>
    <w:p w14:paraId="00000086" w14:textId="77777777" w:rsidR="00D60918" w:rsidRDefault="008D5436">
      <w:pPr>
        <w:widowControl w:val="0"/>
        <w:spacing w:line="240" w:lineRule="auto"/>
        <w:ind w:right="211"/>
        <w:jc w:val="right"/>
        <w:rPr>
          <w:i/>
        </w:rPr>
      </w:pPr>
      <w:r>
        <w:rPr>
          <w:i/>
        </w:rPr>
        <w:t xml:space="preserve">instances may be relatively infrequent where both  </w:t>
      </w:r>
    </w:p>
    <w:p w14:paraId="00000087" w14:textId="77777777" w:rsidR="00D60918" w:rsidRDefault="008D5436">
      <w:pPr>
        <w:widowControl w:val="0"/>
        <w:spacing w:line="240" w:lineRule="auto"/>
        <w:ind w:right="331"/>
        <w:jc w:val="right"/>
        <w:rPr>
          <w:i/>
        </w:rPr>
      </w:pPr>
      <w:r>
        <w:rPr>
          <w:i/>
        </w:rPr>
        <w:t xml:space="preserve">parties are interested in availing themselves of a  </w:t>
      </w:r>
    </w:p>
    <w:p w14:paraId="00000088" w14:textId="77777777" w:rsidR="00D60918" w:rsidRDefault="008D5436">
      <w:pPr>
        <w:widowControl w:val="0"/>
        <w:spacing w:line="240" w:lineRule="auto"/>
        <w:ind w:right="854"/>
        <w:jc w:val="right"/>
        <w:rPr>
          <w:i/>
        </w:rPr>
      </w:pPr>
      <w:r>
        <w:rPr>
          <w:i/>
        </w:rPr>
        <w:t xml:space="preserve">voluntary mediation procedure offered by a  </w:t>
      </w:r>
    </w:p>
    <w:p w14:paraId="00000089" w14:textId="77777777" w:rsidR="00D60918" w:rsidRDefault="008D5436">
      <w:pPr>
        <w:widowControl w:val="0"/>
        <w:spacing w:line="240" w:lineRule="auto"/>
        <w:ind w:right="292"/>
        <w:jc w:val="right"/>
        <w:rPr>
          <w:i/>
        </w:rPr>
      </w:pPr>
      <w:r>
        <w:rPr>
          <w:i/>
        </w:rPr>
        <w:t xml:space="preserve">Provider, it may nonetheless be offered for those  </w:t>
      </w:r>
    </w:p>
    <w:p w14:paraId="0000008A" w14:textId="77777777" w:rsidR="00D60918" w:rsidRDefault="008D5436">
      <w:pPr>
        <w:widowControl w:val="0"/>
        <w:spacing w:line="240" w:lineRule="auto"/>
        <w:ind w:right="208"/>
        <w:jc w:val="right"/>
        <w:rPr>
          <w:i/>
        </w:rPr>
      </w:pPr>
      <w:r>
        <w:rPr>
          <w:i/>
        </w:rPr>
        <w:t xml:space="preserve">that want it without interfering or compelling those  </w:t>
      </w:r>
    </w:p>
    <w:p w14:paraId="0000008B" w14:textId="77777777" w:rsidR="00D60918" w:rsidRDefault="008D5436">
      <w:pPr>
        <w:widowControl w:val="0"/>
        <w:spacing w:line="240" w:lineRule="auto"/>
        <w:ind w:right="3937"/>
        <w:jc w:val="right"/>
        <w:rPr>
          <w:i/>
        </w:rPr>
      </w:pPr>
      <w:r>
        <w:rPr>
          <w:i/>
        </w:rPr>
        <w:t xml:space="preserve">that do not.  </w:t>
      </w:r>
    </w:p>
    <w:p w14:paraId="0000008C" w14:textId="77777777" w:rsidR="00D60918" w:rsidRDefault="008D5436">
      <w:pPr>
        <w:widowControl w:val="0"/>
        <w:spacing w:before="248" w:line="240" w:lineRule="auto"/>
        <w:ind w:right="38"/>
        <w:jc w:val="right"/>
        <w:rPr>
          <w:i/>
        </w:rPr>
      </w:pPr>
      <w:r>
        <w:rPr>
          <w:i/>
        </w:rPr>
        <w:t xml:space="preserve">In that light, we recommend however that individual  </w:t>
      </w:r>
    </w:p>
    <w:p w14:paraId="0000008D" w14:textId="77777777" w:rsidR="00D60918" w:rsidRDefault="008D5436">
      <w:pPr>
        <w:widowControl w:val="0"/>
        <w:spacing w:line="240" w:lineRule="auto"/>
        <w:ind w:right="955"/>
        <w:jc w:val="right"/>
        <w:rPr>
          <w:i/>
        </w:rPr>
      </w:pPr>
      <w:r>
        <w:rPr>
          <w:i/>
        </w:rPr>
        <w:t xml:space="preserve">Providers should be free to offer voluntary  </w:t>
      </w:r>
    </w:p>
    <w:p w14:paraId="0000008E" w14:textId="77777777" w:rsidR="00D60918" w:rsidRDefault="008D5436">
      <w:pPr>
        <w:widowControl w:val="0"/>
        <w:spacing w:line="240" w:lineRule="auto"/>
        <w:ind w:right="136"/>
        <w:jc w:val="right"/>
        <w:rPr>
          <w:i/>
        </w:rPr>
      </w:pPr>
      <w:r>
        <w:rPr>
          <w:i/>
        </w:rPr>
        <w:t xml:space="preserve">mediation to parties, provided that they both agree  </w:t>
      </w:r>
    </w:p>
    <w:p w14:paraId="0000008F" w14:textId="77777777" w:rsidR="00D60918" w:rsidRDefault="008D5436">
      <w:pPr>
        <w:widowControl w:val="0"/>
        <w:spacing w:line="240" w:lineRule="auto"/>
        <w:ind w:right="734"/>
        <w:jc w:val="right"/>
        <w:rPr>
          <w:i/>
        </w:rPr>
      </w:pPr>
      <w:r>
        <w:rPr>
          <w:i/>
        </w:rPr>
        <w:t xml:space="preserve">to participate under the Provider’s mediation  </w:t>
      </w:r>
    </w:p>
    <w:p w14:paraId="00000090" w14:textId="77777777" w:rsidR="00D60918" w:rsidRDefault="008D5436">
      <w:pPr>
        <w:widowControl w:val="0"/>
        <w:spacing w:line="240" w:lineRule="auto"/>
        <w:ind w:right="2385"/>
        <w:jc w:val="right"/>
        <w:rPr>
          <w:i/>
        </w:rPr>
      </w:pPr>
      <w:r>
        <w:rPr>
          <w:i/>
        </w:rPr>
        <w:t xml:space="preserve">framework, rules, and fees.  </w:t>
      </w:r>
    </w:p>
    <w:p w14:paraId="00000091" w14:textId="77777777" w:rsidR="00D60918" w:rsidRDefault="00D60918"/>
    <w:p w14:paraId="00000092" w14:textId="77777777" w:rsidR="00D60918" w:rsidRDefault="00D60918"/>
    <w:p w14:paraId="00000093" w14:textId="77777777" w:rsidR="00D60918" w:rsidRDefault="008D5436">
      <w:r w:rsidRPr="005A222C">
        <w:rPr>
          <w:highlight w:val="cyan"/>
        </w:rPr>
        <w:t xml:space="preserve">ABPI COMMENTS: ABPI agrees with the </w:t>
      </w:r>
      <w:r w:rsidRPr="005A222C">
        <w:rPr>
          <w:highlight w:val="cyan"/>
        </w:rPr>
        <w:t>recommendation. Adding another mandatory step would go against the expedited nature of the UDRP procedure. The Parties are free to seek mediation before, during - or even after depending on the specificities of the case.</w:t>
      </w:r>
    </w:p>
    <w:p w14:paraId="00000094" w14:textId="77777777" w:rsidR="00D60918" w:rsidRDefault="008D5436">
      <w:pPr>
        <w:pStyle w:val="Heading1"/>
        <w:widowControl w:val="0"/>
        <w:spacing w:before="500"/>
      </w:pPr>
      <w:bookmarkStart w:id="19" w:name="_2gtwwcb2lcbi" w:colFirst="0" w:colLast="0"/>
      <w:bookmarkEnd w:id="19"/>
      <w:r>
        <w:t xml:space="preserve">Laches/Statute of Limitations </w:t>
      </w:r>
    </w:p>
    <w:p w14:paraId="00000095" w14:textId="77777777" w:rsidR="00D60918" w:rsidRDefault="008D5436">
      <w:pPr>
        <w:widowControl w:val="0"/>
        <w:spacing w:before="250" w:line="228" w:lineRule="auto"/>
        <w:ind w:left="10" w:right="99" w:firstLine="15"/>
      </w:pPr>
      <w:r>
        <w:t>Laches and Limitation Periods are strictly-speaking, two distinct concepts but they are  discussed here together, insofar as they bear some conceptual relation. The defense of laches  requires delay on the part of the rights holder (the complainant) combined with detrimental  reliance on the part of the respondent, whereas a limitation period is simply a clear line after  which no complaint may be brought. Laches as understood in law, requires very specific circumstances to be properly invoked; it is not th</w:t>
      </w:r>
      <w:r>
        <w:t xml:space="preserve">e same as simply a dismissal for delay. It  requires awareness and detrimental reliance, and in the context of domain name disputes may  require a party invoking such a claim to demonstrate that they, for example, built a business  while the complainant knowingly chose not to take action against the respondent.  </w:t>
      </w:r>
    </w:p>
    <w:p w14:paraId="00000096" w14:textId="77777777" w:rsidR="00D60918" w:rsidRDefault="008D5436">
      <w:pPr>
        <w:widowControl w:val="0"/>
        <w:spacing w:before="258" w:line="229" w:lineRule="auto"/>
        <w:ind w:left="11" w:right="75" w:firstLine="7"/>
      </w:pPr>
      <w:r>
        <w:t xml:space="preserve">Some conflate the defense of laches with a statute of limitations. A statute of limitations would  bar commencing proceedings a fixed number of years after the domain name is registered, or a  fixed number of years after the brand owner becomes aware of an alleged cybersquatting case.  </w:t>
      </w:r>
    </w:p>
    <w:p w14:paraId="00000097" w14:textId="77777777" w:rsidR="00D60918" w:rsidRDefault="008D5436">
      <w:pPr>
        <w:widowControl w:val="0"/>
        <w:spacing w:before="258" w:line="228" w:lineRule="auto"/>
        <w:ind w:left="16" w:right="77" w:hanging="6"/>
      </w:pPr>
      <w:r>
        <w:t xml:space="preserve">Although there may be questions as to why a party may occasionally commence a UDRP some  20 years after a domain name is registered, panels can – and do – generally take such delay  into account in assessing the strength of a party’s case but will generally not dismiss a case for  delay alone. As is captured in the WIPO Overview, panels have noted that in specific cases,  certain delays in filing a UDRP complaint may make it more difficult for a complainant to  establish its case on the merits. </w:t>
      </w:r>
    </w:p>
    <w:p w14:paraId="00000098" w14:textId="77777777" w:rsidR="00D60918" w:rsidRDefault="008D5436">
      <w:pPr>
        <w:widowControl w:val="0"/>
        <w:spacing w:before="258" w:line="228" w:lineRule="auto"/>
        <w:ind w:left="13" w:right="51" w:firstLine="1"/>
      </w:pPr>
      <w:r>
        <w:t>The Project Team considered and deliberated upon the question of whether the defense of  laches or a limitation period should be adopted and was unable to reach unanimous agreement  on this issue. Most of the Project Team was of the view that the current consensus view as is  captured in the WIPO Overview already allows panels to sufficiently consider delay as a factual  element in the assessment of bad faith, and that a limitation period would unnecessarily prevent  complaints against cybersquatters who sh</w:t>
      </w:r>
      <w:r>
        <w:t xml:space="preserve">ould not benefit from the mere passage of time. On  the other hand, some members of the Project </w:t>
      </w:r>
      <w:r>
        <w:lastRenderedPageBreak/>
        <w:t xml:space="preserve">Team believe that more robust consideration of  delay should be given by panelists and that complainants should be required to address a delay  in bringing a complaint.  </w:t>
      </w:r>
    </w:p>
    <w:p w14:paraId="00000099" w14:textId="77777777" w:rsidR="00D60918" w:rsidRDefault="008D5436">
      <w:pPr>
        <w:widowControl w:val="0"/>
        <w:spacing w:before="258" w:line="240" w:lineRule="auto"/>
        <w:ind w:right="354"/>
        <w:jc w:val="right"/>
        <w:rPr>
          <w:i/>
        </w:rPr>
      </w:pPr>
      <w:r>
        <w:rPr>
          <w:b/>
          <w:i/>
        </w:rPr>
        <w:t xml:space="preserve">Recommendation: </w:t>
      </w:r>
      <w:r>
        <w:rPr>
          <w:i/>
        </w:rPr>
        <w:t xml:space="preserve">As a result of the extensive  </w:t>
      </w:r>
    </w:p>
    <w:p w14:paraId="0000009A" w14:textId="77777777" w:rsidR="00D60918" w:rsidRDefault="008D5436">
      <w:pPr>
        <w:widowControl w:val="0"/>
        <w:spacing w:line="240" w:lineRule="auto"/>
        <w:ind w:right="209"/>
        <w:jc w:val="right"/>
        <w:rPr>
          <w:i/>
        </w:rPr>
      </w:pPr>
      <w:r>
        <w:rPr>
          <w:i/>
        </w:rPr>
        <w:t xml:space="preserve">investigations, consultations, and deliberations by  </w:t>
      </w:r>
    </w:p>
    <w:p w14:paraId="0000009B" w14:textId="77777777" w:rsidR="00D60918" w:rsidRDefault="008D5436">
      <w:pPr>
        <w:widowControl w:val="0"/>
        <w:spacing w:line="240" w:lineRule="auto"/>
        <w:ind w:right="868"/>
        <w:jc w:val="right"/>
        <w:rPr>
          <w:i/>
        </w:rPr>
      </w:pPr>
      <w:r>
        <w:rPr>
          <w:i/>
        </w:rPr>
        <w:t xml:space="preserve">the Project Team, we recognize that delay,  </w:t>
      </w:r>
    </w:p>
    <w:p w14:paraId="0000009C" w14:textId="77777777" w:rsidR="00D60918" w:rsidRDefault="008D5436">
      <w:pPr>
        <w:widowControl w:val="0"/>
        <w:spacing w:line="240" w:lineRule="auto"/>
        <w:ind w:right="355"/>
        <w:jc w:val="right"/>
        <w:rPr>
          <w:i/>
        </w:rPr>
      </w:pPr>
      <w:r>
        <w:rPr>
          <w:i/>
        </w:rPr>
        <w:t xml:space="preserve">especially as some domain names are as old as  </w:t>
      </w:r>
    </w:p>
    <w:p w14:paraId="0000009D" w14:textId="77777777" w:rsidR="00D60918" w:rsidRDefault="008D5436">
      <w:pPr>
        <w:widowControl w:val="0"/>
        <w:spacing w:line="240" w:lineRule="auto"/>
        <w:ind w:right="244"/>
        <w:jc w:val="right"/>
        <w:rPr>
          <w:i/>
        </w:rPr>
      </w:pPr>
      <w:r>
        <w:rPr>
          <w:i/>
        </w:rPr>
        <w:t xml:space="preserve">the UDRP, is a factor that ought to be considered  </w:t>
      </w:r>
    </w:p>
    <w:p w14:paraId="0000009E" w14:textId="77777777" w:rsidR="00D60918" w:rsidRDefault="008D5436">
      <w:pPr>
        <w:widowControl w:val="0"/>
        <w:spacing w:line="240" w:lineRule="auto"/>
        <w:ind w:right="2250"/>
        <w:jc w:val="right"/>
        <w:rPr>
          <w:i/>
        </w:rPr>
      </w:pPr>
      <w:r>
        <w:rPr>
          <w:i/>
        </w:rPr>
        <w:t xml:space="preserve">by panels, and it currently is.  </w:t>
      </w:r>
    </w:p>
    <w:p w14:paraId="0000009F" w14:textId="77777777" w:rsidR="00D60918" w:rsidRDefault="008D5436">
      <w:pPr>
        <w:widowControl w:val="0"/>
        <w:spacing w:before="246" w:line="240" w:lineRule="auto"/>
        <w:ind w:right="856"/>
        <w:jc w:val="right"/>
        <w:rPr>
          <w:i/>
        </w:rPr>
      </w:pPr>
      <w:r>
        <w:rPr>
          <w:i/>
        </w:rPr>
        <w:t xml:space="preserve">We therefore do not see sufficient basis for  </w:t>
      </w:r>
    </w:p>
    <w:p w14:paraId="000000A0" w14:textId="77777777" w:rsidR="00D60918" w:rsidRDefault="008D5436">
      <w:pPr>
        <w:widowControl w:val="0"/>
        <w:spacing w:line="240" w:lineRule="auto"/>
        <w:ind w:right="683"/>
        <w:jc w:val="right"/>
        <w:rPr>
          <w:i/>
        </w:rPr>
      </w:pPr>
      <w:r>
        <w:rPr>
          <w:i/>
        </w:rPr>
        <w:t xml:space="preserve">changing the UDRP to better address laches  </w:t>
      </w:r>
    </w:p>
    <w:p w14:paraId="000000A1" w14:textId="77777777" w:rsidR="00D60918" w:rsidRDefault="008D5436">
      <w:pPr>
        <w:widowControl w:val="0"/>
        <w:spacing w:line="240" w:lineRule="auto"/>
        <w:ind w:right="110"/>
        <w:jc w:val="right"/>
        <w:rPr>
          <w:i/>
        </w:rPr>
      </w:pPr>
      <w:r>
        <w:rPr>
          <w:i/>
        </w:rPr>
        <w:t xml:space="preserve">except perhaps by codification of existing case law  </w:t>
      </w:r>
    </w:p>
    <w:p w14:paraId="000000A2" w14:textId="77777777" w:rsidR="00D60918" w:rsidRDefault="008D5436">
      <w:pPr>
        <w:widowControl w:val="0"/>
        <w:spacing w:line="240" w:lineRule="auto"/>
        <w:ind w:right="4048"/>
        <w:jc w:val="right"/>
        <w:rPr>
          <w:i/>
        </w:rPr>
      </w:pPr>
      <w:r>
        <w:rPr>
          <w:i/>
        </w:rPr>
        <w:t xml:space="preserve">principles.  </w:t>
      </w:r>
    </w:p>
    <w:p w14:paraId="000000A3" w14:textId="77777777" w:rsidR="00D60918" w:rsidRDefault="008D5436">
      <w:pPr>
        <w:widowControl w:val="0"/>
        <w:spacing w:before="246" w:line="240" w:lineRule="auto"/>
        <w:ind w:right="259"/>
        <w:jc w:val="right"/>
        <w:rPr>
          <w:i/>
        </w:rPr>
      </w:pPr>
      <w:r>
        <w:rPr>
          <w:i/>
        </w:rPr>
        <w:t xml:space="preserve">Overall, we believe that a limitation period should  </w:t>
      </w:r>
    </w:p>
    <w:p w14:paraId="000000A4" w14:textId="77777777" w:rsidR="00D60918" w:rsidRDefault="008D5436">
      <w:pPr>
        <w:widowControl w:val="0"/>
        <w:spacing w:line="240" w:lineRule="auto"/>
        <w:ind w:right="537"/>
        <w:jc w:val="right"/>
        <w:rPr>
          <w:i/>
        </w:rPr>
      </w:pPr>
      <w:r>
        <w:rPr>
          <w:i/>
        </w:rPr>
        <w:t xml:space="preserve">not be adopted and that laches, even if it were  </w:t>
      </w:r>
    </w:p>
    <w:p w14:paraId="000000A5" w14:textId="77777777" w:rsidR="00D60918" w:rsidRDefault="008D5436">
      <w:pPr>
        <w:widowControl w:val="0"/>
        <w:spacing w:line="240" w:lineRule="auto"/>
        <w:ind w:right="549"/>
        <w:jc w:val="right"/>
        <w:rPr>
          <w:i/>
        </w:rPr>
      </w:pPr>
      <w:r>
        <w:rPr>
          <w:i/>
        </w:rPr>
        <w:t xml:space="preserve">adopted as a formal defense under the Policy,  </w:t>
      </w:r>
    </w:p>
    <w:p w14:paraId="000000A6" w14:textId="77777777" w:rsidR="00D60918" w:rsidRDefault="008D5436">
      <w:pPr>
        <w:widowControl w:val="0"/>
        <w:spacing w:line="240" w:lineRule="auto"/>
        <w:ind w:right="367"/>
        <w:jc w:val="right"/>
        <w:rPr>
          <w:i/>
        </w:rPr>
      </w:pPr>
      <w:r>
        <w:rPr>
          <w:i/>
        </w:rPr>
        <w:t xml:space="preserve">would be unlikely to have any appreciable effect  </w:t>
      </w:r>
    </w:p>
    <w:p w14:paraId="000000A7" w14:textId="77777777" w:rsidR="00D60918" w:rsidRDefault="008D5436">
      <w:pPr>
        <w:widowControl w:val="0"/>
        <w:spacing w:line="240" w:lineRule="auto"/>
        <w:ind w:right="172"/>
        <w:jc w:val="right"/>
        <w:rPr>
          <w:i/>
        </w:rPr>
      </w:pPr>
      <w:r>
        <w:rPr>
          <w:i/>
        </w:rPr>
        <w:t xml:space="preserve">given the rarity in which circumstances which lend  </w:t>
      </w:r>
    </w:p>
    <w:p w14:paraId="000000A8" w14:textId="77777777" w:rsidR="00D60918" w:rsidRDefault="008D5436">
      <w:pPr>
        <w:widowControl w:val="0"/>
        <w:spacing w:line="240" w:lineRule="auto"/>
        <w:ind w:right="2469"/>
        <w:jc w:val="right"/>
        <w:rPr>
          <w:i/>
        </w:rPr>
      </w:pPr>
      <w:r>
        <w:rPr>
          <w:i/>
        </w:rPr>
        <w:t xml:space="preserve">themselves to laches arise. </w:t>
      </w:r>
    </w:p>
    <w:p w14:paraId="000000A9" w14:textId="77777777" w:rsidR="00D60918" w:rsidRDefault="00D60918"/>
    <w:p w14:paraId="000000AA" w14:textId="77777777" w:rsidR="00D60918" w:rsidRDefault="008D5436">
      <w:r w:rsidRPr="005A222C">
        <w:rPr>
          <w:highlight w:val="cyan"/>
        </w:rPr>
        <w:t>ABPI COMMENTS: ABPI agrees with the recommendation.</w:t>
      </w:r>
    </w:p>
    <w:p w14:paraId="000000AB" w14:textId="77777777" w:rsidR="00D60918" w:rsidRDefault="008D5436">
      <w:pPr>
        <w:pStyle w:val="Heading1"/>
        <w:widowControl w:val="0"/>
        <w:spacing w:before="500"/>
        <w:ind w:left="18"/>
      </w:pPr>
      <w:bookmarkStart w:id="20" w:name="_mtxcmiohhfsu" w:colFirst="0" w:colLast="0"/>
      <w:bookmarkEnd w:id="20"/>
      <w:r>
        <w:t xml:space="preserve">Scope of UDRP  </w:t>
      </w:r>
    </w:p>
    <w:p w14:paraId="000000AC" w14:textId="77777777" w:rsidR="00D60918" w:rsidRDefault="008D5436">
      <w:pPr>
        <w:widowControl w:val="0"/>
        <w:spacing w:before="251" w:line="228" w:lineRule="auto"/>
        <w:ind w:left="13" w:right="1" w:hanging="3"/>
      </w:pPr>
      <w:r>
        <w:t>Although the UDRP has proven generally effective for dealing with cybersquatting, some believe  that it could be expanded to deal with additional types of disputes. Although expanding the  scope of rights covered by the UDRP is in theory possible, it would introduce operational,</w:t>
      </w:r>
      <w:r>
        <w:rPr>
          <w:sz w:val="18"/>
          <w:szCs w:val="18"/>
        </w:rPr>
        <w:t xml:space="preserve"> </w:t>
      </w:r>
      <w:r>
        <w:t>procedural, and substantive complexities which would make ICANN’s Phase 2 Review even  more complex than it already is expected to be. Such an expansion would also be a  fundamental shift in application if it involved for example, the expansion of the scope of the  UDRP to add copyright, or Geographical Indications, or domain names where there is no  trademark corresponding to the domain name (e.g., fakewatches.com). (This approach takes  account the fact that, although the Second WIPO Internet Domain Name</w:t>
      </w:r>
      <w:r>
        <w:t xml:space="preserve"> Process considered  the extension of the UDRP to certain non-trademark identifiers, such as International  Nonproprietary Names for Pharmaceutical Substances (INNs), the names and acronyms of  international intergovernmental organizations (IGOs), personal names, geographical identifiers,  and trade names), follow-up work in that respect remains inconclusive and, for geographical  names and geographical indications, for example, discussions at the WIPO Standing Committee  on the Law of Trademarks, Industria</w:t>
      </w:r>
      <w:r>
        <w:t xml:space="preserve">l Designs and Geographical Indications are ongoing (SCT),  e.g., SCT 31/8 and SCT 41/6 on which consensus has not been reached.) </w:t>
      </w:r>
    </w:p>
    <w:p w14:paraId="000000AD" w14:textId="77777777" w:rsidR="00D60918" w:rsidRDefault="008D5436">
      <w:pPr>
        <w:widowControl w:val="0"/>
        <w:spacing w:before="510" w:line="240" w:lineRule="auto"/>
        <w:ind w:right="709"/>
        <w:jc w:val="right"/>
        <w:rPr>
          <w:i/>
        </w:rPr>
      </w:pPr>
      <w:r>
        <w:rPr>
          <w:b/>
          <w:i/>
        </w:rPr>
        <w:t xml:space="preserve">Recommendation: </w:t>
      </w:r>
      <w:r>
        <w:rPr>
          <w:i/>
        </w:rPr>
        <w:t xml:space="preserve">While the Project Team  </w:t>
      </w:r>
    </w:p>
    <w:p w14:paraId="000000AE" w14:textId="77777777" w:rsidR="00D60918" w:rsidRDefault="008D5436">
      <w:pPr>
        <w:widowControl w:val="0"/>
        <w:spacing w:line="240" w:lineRule="auto"/>
        <w:ind w:right="439"/>
        <w:jc w:val="right"/>
        <w:rPr>
          <w:i/>
        </w:rPr>
      </w:pPr>
      <w:r>
        <w:rPr>
          <w:i/>
        </w:rPr>
        <w:t xml:space="preserve">recognizes that the success of the UDRP could  </w:t>
      </w:r>
    </w:p>
    <w:p w14:paraId="000000AF" w14:textId="77777777" w:rsidR="00D60918" w:rsidRDefault="008D5436">
      <w:pPr>
        <w:widowControl w:val="0"/>
        <w:spacing w:line="240" w:lineRule="auto"/>
        <w:ind w:right="148"/>
        <w:jc w:val="right"/>
        <w:rPr>
          <w:i/>
        </w:rPr>
      </w:pPr>
      <w:r>
        <w:rPr>
          <w:i/>
        </w:rPr>
        <w:t xml:space="preserve">encourage its expansion beyond trademark-based  </w:t>
      </w:r>
    </w:p>
    <w:p w14:paraId="000000B0" w14:textId="77777777" w:rsidR="00D60918" w:rsidRDefault="008D5436">
      <w:pPr>
        <w:widowControl w:val="0"/>
        <w:spacing w:line="240" w:lineRule="auto"/>
        <w:ind w:right="256"/>
        <w:jc w:val="right"/>
        <w:rPr>
          <w:i/>
        </w:rPr>
      </w:pPr>
      <w:r>
        <w:rPr>
          <w:i/>
        </w:rPr>
        <w:t xml:space="preserve">cybersquatting cases, it is not recommended that  </w:t>
      </w:r>
    </w:p>
    <w:p w14:paraId="000000B1" w14:textId="77777777" w:rsidR="00D60918" w:rsidRDefault="008D5436">
      <w:pPr>
        <w:widowControl w:val="0"/>
        <w:spacing w:line="240" w:lineRule="auto"/>
        <w:ind w:right="23"/>
        <w:jc w:val="right"/>
        <w:rPr>
          <w:i/>
        </w:rPr>
      </w:pPr>
      <w:r>
        <w:rPr>
          <w:i/>
        </w:rPr>
        <w:t xml:space="preserve">the ICANN’s Phase 2 Review consider as part of its  </w:t>
      </w:r>
    </w:p>
    <w:p w14:paraId="000000B2" w14:textId="77777777" w:rsidR="00D60918" w:rsidRDefault="008D5436">
      <w:pPr>
        <w:widowControl w:val="0"/>
        <w:spacing w:line="240" w:lineRule="auto"/>
        <w:ind w:right="331"/>
        <w:jc w:val="right"/>
        <w:rPr>
          <w:i/>
        </w:rPr>
      </w:pPr>
      <w:r>
        <w:rPr>
          <w:i/>
        </w:rPr>
        <w:t xml:space="preserve">initial work charter the expansion of the scope of  </w:t>
      </w:r>
    </w:p>
    <w:p w14:paraId="000000B3" w14:textId="77777777" w:rsidR="00D60918" w:rsidRDefault="008D5436">
      <w:pPr>
        <w:widowControl w:val="0"/>
        <w:spacing w:line="240" w:lineRule="auto"/>
        <w:ind w:right="3985"/>
        <w:jc w:val="right"/>
        <w:rPr>
          <w:i/>
        </w:rPr>
      </w:pPr>
      <w:r>
        <w:rPr>
          <w:i/>
        </w:rPr>
        <w:t xml:space="preserve">the UDRP.  </w:t>
      </w:r>
    </w:p>
    <w:p w14:paraId="000000B4" w14:textId="77777777" w:rsidR="00D60918" w:rsidRDefault="008D5436">
      <w:pPr>
        <w:widowControl w:val="0"/>
        <w:spacing w:before="246" w:line="240" w:lineRule="auto"/>
        <w:ind w:right="259"/>
        <w:jc w:val="right"/>
        <w:rPr>
          <w:i/>
        </w:rPr>
      </w:pPr>
      <w:r>
        <w:rPr>
          <w:i/>
        </w:rPr>
        <w:t xml:space="preserve">We believe that any such scope consideration be  </w:t>
      </w:r>
    </w:p>
    <w:p w14:paraId="000000B5" w14:textId="77777777" w:rsidR="00D60918" w:rsidRDefault="008D5436">
      <w:pPr>
        <w:widowControl w:val="0"/>
        <w:spacing w:line="240" w:lineRule="auto"/>
        <w:ind w:right="563"/>
        <w:jc w:val="right"/>
        <w:rPr>
          <w:i/>
        </w:rPr>
      </w:pPr>
      <w:r>
        <w:rPr>
          <w:i/>
        </w:rPr>
        <w:lastRenderedPageBreak/>
        <w:t xml:space="preserve">addressed in a separate work track, if at all, in  </w:t>
      </w:r>
    </w:p>
    <w:p w14:paraId="000000B6" w14:textId="77777777" w:rsidR="00D60918" w:rsidRDefault="008D5436">
      <w:pPr>
        <w:widowControl w:val="0"/>
        <w:spacing w:line="240" w:lineRule="auto"/>
        <w:ind w:right="391"/>
        <w:jc w:val="right"/>
        <w:rPr>
          <w:i/>
        </w:rPr>
      </w:pPr>
      <w:r>
        <w:rPr>
          <w:i/>
        </w:rPr>
        <w:t xml:space="preserve">order to avoid adding to an already delicate and  </w:t>
      </w:r>
    </w:p>
    <w:p w14:paraId="000000B7" w14:textId="77777777" w:rsidR="00D60918" w:rsidRDefault="008D5436">
      <w:pPr>
        <w:widowControl w:val="0"/>
        <w:spacing w:line="240" w:lineRule="auto"/>
        <w:ind w:right="2006"/>
        <w:jc w:val="right"/>
        <w:rPr>
          <w:i/>
        </w:rPr>
      </w:pPr>
      <w:r>
        <w:rPr>
          <w:i/>
        </w:rPr>
        <w:t xml:space="preserve">complex policy review process.  </w:t>
      </w:r>
    </w:p>
    <w:p w14:paraId="000000B8" w14:textId="77777777" w:rsidR="00D60918" w:rsidRDefault="00D60918">
      <w:pPr>
        <w:pStyle w:val="Heading1"/>
        <w:widowControl w:val="0"/>
        <w:spacing w:before="500"/>
        <w:ind w:left="26"/>
      </w:pPr>
      <w:bookmarkStart w:id="21" w:name="_eqru02zabp3r" w:colFirst="0" w:colLast="0"/>
      <w:bookmarkEnd w:id="21"/>
    </w:p>
    <w:p w14:paraId="000000B9" w14:textId="77777777" w:rsidR="00D60918" w:rsidRPr="005A222C" w:rsidRDefault="008D5436">
      <w:pPr>
        <w:rPr>
          <w:highlight w:val="cyan"/>
        </w:rPr>
      </w:pPr>
      <w:r w:rsidRPr="005A222C">
        <w:rPr>
          <w:highlight w:val="cyan"/>
        </w:rPr>
        <w:t>ABPI COMMENTS: ABPI agrees with the recommendation for further review and consideration of this topic. It is of utmost importance to review and analyze the expansion of the UDRP scope to deter further cases of cybersquatting and Internet fraud. One example is the Administrative System for Internet Dispute Resolution concerning domain names under ".BR" ("Saci-ADM) which has been successfully operating for the past fifteen years, covering the following scenarios:</w:t>
      </w:r>
    </w:p>
    <w:p w14:paraId="000000BA" w14:textId="77777777" w:rsidR="00D60918" w:rsidRPr="005A222C" w:rsidRDefault="008D5436">
      <w:pPr>
        <w:numPr>
          <w:ilvl w:val="0"/>
          <w:numId w:val="1"/>
        </w:numPr>
        <w:spacing w:before="240" w:after="240"/>
        <w:rPr>
          <w:highlight w:val="cyan"/>
        </w:rPr>
      </w:pPr>
      <w:r w:rsidRPr="005A222C">
        <w:rPr>
          <w:highlight w:val="cyan"/>
        </w:rPr>
        <w:t>registered trademarks and trademark applications;</w:t>
      </w:r>
      <w:r w:rsidRPr="005A222C">
        <w:rPr>
          <w:highlight w:val="cyan"/>
        </w:rPr>
        <w:br/>
        <w:t xml:space="preserve"> b) a well-known mark in Brazil within its field of activity, for the purposes of Article 126 of Law No. 9,279/96 (the Industrial Property Law); and</w:t>
      </w:r>
      <w:r w:rsidRPr="005A222C">
        <w:rPr>
          <w:highlight w:val="cyan"/>
        </w:rPr>
        <w:br/>
        <w:t xml:space="preserve"> c) trade names, business names, civil names, family names or surnames, well-known pseudonyms or nicknames, individual or collective stage names, and registered domain names over which the Complainant holds prior rights.</w:t>
      </w:r>
    </w:p>
    <w:p w14:paraId="000000BB" w14:textId="77777777" w:rsidR="00D60918" w:rsidRDefault="008D5436">
      <w:r w:rsidRPr="005A222C">
        <w:rPr>
          <w:highlight w:val="cyan"/>
        </w:rPr>
        <w:t>While the majority of .BR cases relates to trademark rights, there are still important conflicts and domain name abuses that were solved under the SACI-ADM policy for infringement of other rights.</w:t>
      </w:r>
    </w:p>
    <w:p w14:paraId="000000BC" w14:textId="77777777" w:rsidR="00D60918" w:rsidRDefault="008D5436">
      <w:pPr>
        <w:pStyle w:val="Heading1"/>
        <w:widowControl w:val="0"/>
        <w:spacing w:before="500"/>
        <w:ind w:left="26"/>
      </w:pPr>
      <w:bookmarkStart w:id="22" w:name="_jq33yasnbvjv" w:colFirst="0" w:colLast="0"/>
      <w:bookmarkEnd w:id="22"/>
      <w:r>
        <w:t xml:space="preserve">Name Redaction  </w:t>
      </w:r>
    </w:p>
    <w:p w14:paraId="000000BD" w14:textId="77777777" w:rsidR="00D60918" w:rsidRDefault="008D5436">
      <w:pPr>
        <w:widowControl w:val="0"/>
        <w:spacing w:before="250" w:line="228" w:lineRule="auto"/>
        <w:ind w:left="17" w:right="113" w:firstLine="9"/>
      </w:pPr>
      <w:r>
        <w:t>Parties’ names are included in decisions so that subsequent parties can determine a party’s  decision history; indeed, this concept is built into the black-letter of the UDRP. In the case of  respondents for example, it is important for complainants to know the identity of the respondent  so that they can establish whether a pattern of cybersquatting has occurred. However, in the  case of a successful respondent, for example where the respondent was completely innocent  and the victim of an abusive complain</w:t>
      </w:r>
      <w:r>
        <w:t xml:space="preserve">t, some have argued that there is little justification for  disclosing a respondent’s name on the Internet. Equally, a respondent may actually want their  name in a decision to provide a public record of a panel finding in their favor which they may  use in the specific case, or in future cases as evidence of their bona fides. </w:t>
      </w:r>
    </w:p>
    <w:p w14:paraId="000000BE" w14:textId="77777777" w:rsidR="00D60918" w:rsidRDefault="008D5436">
      <w:pPr>
        <w:widowControl w:val="0"/>
        <w:spacing w:before="258" w:line="229" w:lineRule="auto"/>
        <w:ind w:left="17" w:right="405" w:firstLine="13"/>
      </w:pPr>
      <w:r>
        <w:t xml:space="preserve">In some cases, the named respondent claims to be a victim of identity theft; in such cases,  panels tend to redact the name in the decision already and append an annex to the registrar  only for purposes of the transfer order.  </w:t>
      </w:r>
    </w:p>
    <w:p w14:paraId="000000BF" w14:textId="77777777" w:rsidR="00D60918" w:rsidRDefault="008D5436">
      <w:pPr>
        <w:widowControl w:val="0"/>
        <w:spacing w:before="256" w:line="229" w:lineRule="auto"/>
        <w:ind w:left="10" w:right="3"/>
      </w:pPr>
      <w:r>
        <w:t xml:space="preserve">Accordingly, outside of identity theft situations, there does not appear to be any bright line for  when a respondent’s identity should be disclosed or not, as it depends on the particular  circumstances and therefore remains properly within a panel’s discretion. Nevertheless, there is  no clear rule expressly allowing a party to request redaction – either during or after the  conclusion of a case – nor for panels required to consider such a request. </w:t>
      </w:r>
    </w:p>
    <w:p w14:paraId="000000C0" w14:textId="77777777" w:rsidR="00D60918" w:rsidRDefault="00D60918">
      <w:pPr>
        <w:widowControl w:val="0"/>
        <w:spacing w:before="256" w:line="229" w:lineRule="auto"/>
        <w:ind w:left="10" w:right="3"/>
      </w:pPr>
    </w:p>
    <w:p w14:paraId="000000C1" w14:textId="77777777" w:rsidR="00D60918" w:rsidRDefault="008D5436">
      <w:pPr>
        <w:widowControl w:val="0"/>
        <w:spacing w:line="262" w:lineRule="auto"/>
        <w:ind w:left="10" w:right="357" w:firstLine="19"/>
      </w:pPr>
      <w:r>
        <w:t xml:space="preserve">It is however noted that WIPO publishes a “Q&amp;A: domain name WHOIS data and the UDRP”  which sets out a process for a party to request name redaction during or following a case. </w:t>
      </w:r>
    </w:p>
    <w:p w14:paraId="000000C2" w14:textId="77777777" w:rsidR="00D60918" w:rsidRDefault="008D5436">
      <w:pPr>
        <w:widowControl w:val="0"/>
        <w:spacing w:before="265" w:line="240" w:lineRule="auto"/>
        <w:ind w:right="220"/>
        <w:jc w:val="right"/>
        <w:rPr>
          <w:i/>
        </w:rPr>
      </w:pPr>
      <w:r>
        <w:rPr>
          <w:b/>
          <w:i/>
        </w:rPr>
        <w:lastRenderedPageBreak/>
        <w:t xml:space="preserve">Recommendation: </w:t>
      </w:r>
      <w:r>
        <w:rPr>
          <w:i/>
        </w:rPr>
        <w:t xml:space="preserve">We recognize the increasing  </w:t>
      </w:r>
    </w:p>
    <w:p w14:paraId="000000C3" w14:textId="77777777" w:rsidR="00D60918" w:rsidRDefault="008D5436">
      <w:pPr>
        <w:widowControl w:val="0"/>
        <w:spacing w:line="240" w:lineRule="auto"/>
        <w:ind w:right="367"/>
        <w:jc w:val="right"/>
        <w:rPr>
          <w:i/>
        </w:rPr>
      </w:pPr>
      <w:r>
        <w:rPr>
          <w:i/>
        </w:rPr>
        <w:t xml:space="preserve">importance of privacy generally and in particular  </w:t>
      </w:r>
    </w:p>
    <w:p w14:paraId="000000C4" w14:textId="77777777" w:rsidR="00D60918" w:rsidRDefault="008D5436">
      <w:pPr>
        <w:widowControl w:val="0"/>
        <w:spacing w:line="240" w:lineRule="auto"/>
        <w:ind w:right="98"/>
        <w:jc w:val="right"/>
        <w:rPr>
          <w:i/>
        </w:rPr>
      </w:pPr>
      <w:r>
        <w:rPr>
          <w:i/>
        </w:rPr>
        <w:t xml:space="preserve">when it comes to protecting the privacy of innocent  </w:t>
      </w:r>
    </w:p>
    <w:p w14:paraId="000000C5" w14:textId="77777777" w:rsidR="00D60918" w:rsidRDefault="008D5436">
      <w:pPr>
        <w:widowControl w:val="0"/>
        <w:spacing w:line="240" w:lineRule="auto"/>
        <w:ind w:right="319"/>
        <w:jc w:val="right"/>
        <w:rPr>
          <w:i/>
        </w:rPr>
      </w:pPr>
      <w:r>
        <w:rPr>
          <w:i/>
        </w:rPr>
        <w:t xml:space="preserve">registrants. We also recognize the importance of  </w:t>
      </w:r>
    </w:p>
    <w:p w14:paraId="000000C6" w14:textId="77777777" w:rsidR="00D60918" w:rsidRDefault="008D5436">
      <w:pPr>
        <w:widowControl w:val="0"/>
        <w:spacing w:line="240" w:lineRule="auto"/>
        <w:ind w:right="89"/>
        <w:jc w:val="right"/>
        <w:rPr>
          <w:i/>
        </w:rPr>
      </w:pPr>
      <w:r>
        <w:rPr>
          <w:i/>
        </w:rPr>
        <w:t xml:space="preserve">publication of party names where warranted for the  </w:t>
      </w:r>
    </w:p>
    <w:p w14:paraId="000000C7" w14:textId="77777777" w:rsidR="00D60918" w:rsidRDefault="008D5436">
      <w:pPr>
        <w:widowControl w:val="0"/>
        <w:spacing w:line="240" w:lineRule="auto"/>
        <w:ind w:right="3018"/>
        <w:jc w:val="right"/>
        <w:rPr>
          <w:i/>
        </w:rPr>
      </w:pPr>
      <w:r>
        <w:rPr>
          <w:i/>
        </w:rPr>
        <w:t xml:space="preserve">efficacy of the UDRP. </w:t>
      </w:r>
    </w:p>
    <w:p w14:paraId="000000C8" w14:textId="77777777" w:rsidR="00D60918" w:rsidRDefault="008D5436">
      <w:pPr>
        <w:widowControl w:val="0"/>
        <w:spacing w:before="248" w:line="240" w:lineRule="auto"/>
        <w:ind w:right="343"/>
        <w:jc w:val="right"/>
        <w:rPr>
          <w:i/>
        </w:rPr>
      </w:pPr>
      <w:r>
        <w:rPr>
          <w:i/>
        </w:rPr>
        <w:t xml:space="preserve">We believe that panels currently have the power  </w:t>
      </w:r>
    </w:p>
    <w:p w14:paraId="000000C9" w14:textId="77777777" w:rsidR="00D60918" w:rsidRDefault="008D5436">
      <w:pPr>
        <w:widowControl w:val="0"/>
        <w:spacing w:line="240" w:lineRule="auto"/>
        <w:ind w:right="158"/>
        <w:jc w:val="right"/>
        <w:rPr>
          <w:i/>
        </w:rPr>
      </w:pPr>
      <w:r>
        <w:rPr>
          <w:i/>
        </w:rPr>
        <w:t xml:space="preserve">under the Policy and Rules, to redact party names  </w:t>
      </w:r>
    </w:p>
    <w:p w14:paraId="000000CA" w14:textId="77777777" w:rsidR="00D60918" w:rsidRDefault="008D5436">
      <w:pPr>
        <w:widowControl w:val="0"/>
        <w:spacing w:line="240" w:lineRule="auto"/>
        <w:ind w:right="331"/>
        <w:jc w:val="right"/>
        <w:rPr>
          <w:i/>
        </w:rPr>
      </w:pPr>
      <w:r>
        <w:rPr>
          <w:i/>
        </w:rPr>
        <w:t xml:space="preserve">where appropriate and therefore neither a Policy  </w:t>
      </w:r>
    </w:p>
    <w:p w14:paraId="000000CB" w14:textId="77777777" w:rsidR="00D60918" w:rsidRDefault="008D5436">
      <w:pPr>
        <w:widowControl w:val="0"/>
        <w:spacing w:line="240" w:lineRule="auto"/>
        <w:ind w:right="2356"/>
        <w:jc w:val="right"/>
        <w:rPr>
          <w:i/>
        </w:rPr>
      </w:pPr>
      <w:r>
        <w:rPr>
          <w:i/>
        </w:rPr>
        <w:t xml:space="preserve">nor Rule change is required. </w:t>
      </w:r>
    </w:p>
    <w:p w14:paraId="000000CC" w14:textId="77777777" w:rsidR="00D60918" w:rsidRDefault="008D5436">
      <w:pPr>
        <w:widowControl w:val="0"/>
        <w:spacing w:before="248" w:line="240" w:lineRule="auto"/>
        <w:ind w:right="26"/>
        <w:jc w:val="right"/>
        <w:rPr>
          <w:i/>
        </w:rPr>
      </w:pPr>
      <w:r>
        <w:rPr>
          <w:i/>
        </w:rPr>
        <w:t xml:space="preserve">Nevertheless, we recommend that the discretionary  </w:t>
      </w:r>
    </w:p>
    <w:p w14:paraId="000000CD" w14:textId="77777777" w:rsidR="00D60918" w:rsidRDefault="008D5436">
      <w:pPr>
        <w:widowControl w:val="0"/>
        <w:spacing w:line="240" w:lineRule="auto"/>
        <w:ind w:right="624"/>
        <w:jc w:val="right"/>
        <w:rPr>
          <w:i/>
        </w:rPr>
      </w:pPr>
      <w:r>
        <w:rPr>
          <w:i/>
        </w:rPr>
        <w:t xml:space="preserve">best practices applicable to redaction of party  </w:t>
      </w:r>
    </w:p>
    <w:p w14:paraId="000000CE" w14:textId="77777777" w:rsidR="00D60918" w:rsidRDefault="008D5436">
      <w:pPr>
        <w:widowControl w:val="0"/>
        <w:spacing w:line="240" w:lineRule="auto"/>
        <w:ind w:right="280"/>
        <w:jc w:val="right"/>
        <w:rPr>
          <w:i/>
        </w:rPr>
      </w:pPr>
      <w:r>
        <w:rPr>
          <w:i/>
        </w:rPr>
        <w:t xml:space="preserve">names by panelists should be further shared and  </w:t>
      </w:r>
    </w:p>
    <w:p w14:paraId="000000CF" w14:textId="77777777" w:rsidR="00D60918" w:rsidRDefault="008D5436">
      <w:pPr>
        <w:widowControl w:val="0"/>
        <w:spacing w:line="240" w:lineRule="auto"/>
        <w:ind w:right="2469"/>
        <w:jc w:val="right"/>
        <w:rPr>
          <w:i/>
        </w:rPr>
      </w:pPr>
      <w:r>
        <w:rPr>
          <w:i/>
        </w:rPr>
        <w:t xml:space="preserve">published by all Providers.  </w:t>
      </w:r>
    </w:p>
    <w:p w14:paraId="000000D0" w14:textId="77777777" w:rsidR="00D60918" w:rsidRDefault="00D60918">
      <w:pPr>
        <w:pStyle w:val="Heading1"/>
        <w:widowControl w:val="0"/>
        <w:spacing w:before="500"/>
        <w:ind w:left="26"/>
      </w:pPr>
      <w:bookmarkStart w:id="23" w:name="_t0v15ill9tjl" w:colFirst="0" w:colLast="0"/>
      <w:bookmarkEnd w:id="23"/>
    </w:p>
    <w:p w14:paraId="000000D1" w14:textId="77777777" w:rsidR="00D60918" w:rsidRDefault="008D5436">
      <w:r w:rsidRPr="005A222C">
        <w:rPr>
          <w:highlight w:val="cyan"/>
        </w:rPr>
        <w:t>ABPI COMMENTS: ABPI agrees with the recommendation.</w:t>
      </w:r>
      <w:r>
        <w:t xml:space="preserve"> </w:t>
      </w:r>
    </w:p>
    <w:p w14:paraId="000000D2" w14:textId="77777777" w:rsidR="00D60918" w:rsidRDefault="008D5436">
      <w:pPr>
        <w:pStyle w:val="Heading1"/>
        <w:widowControl w:val="0"/>
        <w:spacing w:before="500"/>
        <w:ind w:left="26"/>
      </w:pPr>
      <w:bookmarkStart w:id="24" w:name="_lersspsppyhr" w:colFirst="0" w:colLast="0"/>
      <w:bookmarkEnd w:id="24"/>
      <w:r>
        <w:t xml:space="preserve">Registrars to Provide Additional Notice  </w:t>
      </w:r>
    </w:p>
    <w:p w14:paraId="000000D3" w14:textId="77777777" w:rsidR="00D60918" w:rsidRDefault="008D5436">
      <w:pPr>
        <w:widowControl w:val="0"/>
        <w:spacing w:before="249" w:line="228" w:lineRule="auto"/>
        <w:ind w:left="11" w:right="53" w:firstLine="9"/>
      </w:pPr>
      <w:r>
        <w:t>Currently, notices of a dispute are issued by the Provider directly to the respondent. However,  there have been some reported instances of a registrant not responding to or not recognizing  the import of the Provider’s notice, as the respondent is not familiar with the Provider or with the  UDRP. (Indeed, Internet users are often advised not to open attachments from unknown  senders.) If a registrant is notified by its registrar that a UDRP case has been commenced  against it, it is expected that the regis</w:t>
      </w:r>
      <w:r>
        <w:t xml:space="preserve">trant will generally be more likely to read it and to trust that  the notice is legitimate. Registrants have a relationship with their registrar and will generally be  familiar with and trusting of notices received from their registrar. Some registrars notably  already provide this additional notice to their customers as a matter of good customer service.  </w:t>
      </w:r>
    </w:p>
    <w:p w14:paraId="000000D4" w14:textId="77777777" w:rsidR="00D60918" w:rsidRDefault="008D5436">
      <w:pPr>
        <w:widowControl w:val="0"/>
        <w:spacing w:before="258" w:line="240" w:lineRule="auto"/>
        <w:ind w:right="109"/>
        <w:jc w:val="right"/>
        <w:rPr>
          <w:i/>
        </w:rPr>
      </w:pPr>
      <w:r>
        <w:rPr>
          <w:b/>
          <w:i/>
        </w:rPr>
        <w:t xml:space="preserve">Recommendation: </w:t>
      </w:r>
      <w:r>
        <w:rPr>
          <w:i/>
        </w:rPr>
        <w:t xml:space="preserve">Although the UDRP has been  </w:t>
      </w:r>
    </w:p>
    <w:p w14:paraId="000000D5" w14:textId="77777777" w:rsidR="00D60918" w:rsidRDefault="008D5436">
      <w:pPr>
        <w:widowControl w:val="0"/>
        <w:spacing w:line="240" w:lineRule="auto"/>
        <w:ind w:right="24"/>
        <w:jc w:val="right"/>
        <w:rPr>
          <w:i/>
        </w:rPr>
      </w:pPr>
      <w:r>
        <w:rPr>
          <w:i/>
        </w:rPr>
        <w:t xml:space="preserve">generally successful in providing notice of a dispute  </w:t>
      </w:r>
    </w:p>
    <w:p w14:paraId="000000D6" w14:textId="77777777" w:rsidR="00D60918" w:rsidRDefault="008D5436">
      <w:pPr>
        <w:widowControl w:val="0"/>
        <w:spacing w:line="240" w:lineRule="auto"/>
        <w:ind w:right="12"/>
        <w:jc w:val="right"/>
        <w:rPr>
          <w:i/>
        </w:rPr>
      </w:pPr>
      <w:r>
        <w:rPr>
          <w:i/>
        </w:rPr>
        <w:t xml:space="preserve">to respondents, the process can be easily improved  </w:t>
      </w:r>
    </w:p>
    <w:p w14:paraId="000000D7" w14:textId="77777777" w:rsidR="00D60918" w:rsidRDefault="008D5436">
      <w:pPr>
        <w:widowControl w:val="0"/>
        <w:spacing w:line="240" w:lineRule="auto"/>
        <w:ind w:right="244"/>
        <w:jc w:val="right"/>
        <w:rPr>
          <w:i/>
        </w:rPr>
      </w:pPr>
      <w:r>
        <w:rPr>
          <w:i/>
        </w:rPr>
        <w:t xml:space="preserve">with a small adjustment. We believe that it would  </w:t>
      </w:r>
    </w:p>
    <w:p w14:paraId="000000D8" w14:textId="77777777" w:rsidR="00D60918" w:rsidRDefault="008D5436">
      <w:pPr>
        <w:widowControl w:val="0"/>
        <w:spacing w:line="240" w:lineRule="auto"/>
        <w:ind w:right="259"/>
        <w:jc w:val="right"/>
        <w:rPr>
          <w:i/>
        </w:rPr>
      </w:pPr>
      <w:r>
        <w:rPr>
          <w:i/>
        </w:rPr>
        <w:t xml:space="preserve">increase effectiveness and would be prudent and  </w:t>
      </w:r>
    </w:p>
    <w:p w14:paraId="000000D9" w14:textId="77777777" w:rsidR="00D60918" w:rsidRDefault="008D5436">
      <w:pPr>
        <w:widowControl w:val="0"/>
        <w:spacing w:line="240" w:lineRule="auto"/>
        <w:ind w:right="197"/>
        <w:jc w:val="right"/>
        <w:rPr>
          <w:i/>
        </w:rPr>
      </w:pPr>
      <w:r>
        <w:rPr>
          <w:i/>
        </w:rPr>
        <w:t xml:space="preserve">manageable for registrars to provide an additional  </w:t>
      </w:r>
    </w:p>
    <w:p w14:paraId="000000DA" w14:textId="77777777" w:rsidR="00D60918" w:rsidRDefault="008D5436">
      <w:pPr>
        <w:widowControl w:val="0"/>
        <w:spacing w:line="240" w:lineRule="auto"/>
        <w:ind w:right="2128"/>
        <w:jc w:val="right"/>
        <w:rPr>
          <w:i/>
        </w:rPr>
      </w:pPr>
      <w:r>
        <w:rPr>
          <w:i/>
        </w:rPr>
        <w:t xml:space="preserve">form of notice to respondents.  </w:t>
      </w:r>
    </w:p>
    <w:p w14:paraId="000000DB" w14:textId="77777777" w:rsidR="00D60918" w:rsidRDefault="008D5436">
      <w:pPr>
        <w:widowControl w:val="0"/>
        <w:spacing w:before="246" w:line="240" w:lineRule="auto"/>
        <w:ind w:right="403"/>
        <w:jc w:val="right"/>
        <w:rPr>
          <w:i/>
        </w:rPr>
      </w:pPr>
      <w:r>
        <w:rPr>
          <w:i/>
        </w:rPr>
        <w:t xml:space="preserve">We propose that this practice become universal  </w:t>
      </w:r>
    </w:p>
    <w:p w14:paraId="000000DC" w14:textId="77777777" w:rsidR="00D60918" w:rsidRDefault="008D5436">
      <w:pPr>
        <w:widowControl w:val="0"/>
        <w:spacing w:line="240" w:lineRule="auto"/>
        <w:ind w:right="145"/>
        <w:jc w:val="right"/>
        <w:rPr>
          <w:i/>
        </w:rPr>
      </w:pPr>
      <w:r>
        <w:rPr>
          <w:i/>
        </w:rPr>
        <w:t xml:space="preserve">and mandatory across all registrars – in support of  </w:t>
      </w:r>
    </w:p>
    <w:p w14:paraId="000000DD" w14:textId="77777777" w:rsidR="00D60918" w:rsidRDefault="008D5436">
      <w:pPr>
        <w:widowControl w:val="0"/>
        <w:spacing w:line="240" w:lineRule="auto"/>
        <w:ind w:right="2373"/>
        <w:jc w:val="right"/>
        <w:rPr>
          <w:i/>
        </w:rPr>
      </w:pPr>
      <w:r>
        <w:rPr>
          <w:i/>
        </w:rPr>
        <w:t xml:space="preserve">due process for registrants.  </w:t>
      </w:r>
    </w:p>
    <w:p w14:paraId="000000DE" w14:textId="77777777" w:rsidR="00D60918" w:rsidRDefault="008D5436">
      <w:pPr>
        <w:widowControl w:val="0"/>
        <w:spacing w:before="248" w:line="240" w:lineRule="auto"/>
        <w:ind w:right="2"/>
        <w:jc w:val="right"/>
        <w:rPr>
          <w:i/>
        </w:rPr>
      </w:pPr>
      <w:r>
        <w:rPr>
          <w:i/>
        </w:rPr>
        <w:t xml:space="preserve">Registrars, however, would not be required to serve  </w:t>
      </w:r>
    </w:p>
    <w:p w14:paraId="000000DF" w14:textId="77777777" w:rsidR="00D60918" w:rsidRDefault="008D5436">
      <w:pPr>
        <w:widowControl w:val="0"/>
        <w:spacing w:line="240" w:lineRule="auto"/>
        <w:ind w:right="122"/>
        <w:jc w:val="right"/>
        <w:rPr>
          <w:i/>
        </w:rPr>
      </w:pPr>
      <w:r>
        <w:rPr>
          <w:i/>
        </w:rPr>
        <w:t xml:space="preserve">the complaint; that function would still be left to the  </w:t>
      </w:r>
    </w:p>
    <w:p w14:paraId="000000E0" w14:textId="77777777" w:rsidR="00D60918" w:rsidRDefault="008D5436">
      <w:pPr>
        <w:widowControl w:val="0"/>
        <w:spacing w:line="240" w:lineRule="auto"/>
        <w:ind w:right="160"/>
        <w:jc w:val="right"/>
        <w:rPr>
          <w:i/>
        </w:rPr>
      </w:pPr>
      <w:r>
        <w:rPr>
          <w:i/>
        </w:rPr>
        <w:t xml:space="preserve">Provider. (The registrar’s actions would be limited  </w:t>
      </w:r>
    </w:p>
    <w:p w14:paraId="000000E1" w14:textId="77777777" w:rsidR="00D60918" w:rsidRDefault="008D5436">
      <w:pPr>
        <w:widowControl w:val="0"/>
        <w:spacing w:line="240" w:lineRule="auto"/>
        <w:ind w:right="686"/>
        <w:jc w:val="right"/>
        <w:rPr>
          <w:i/>
        </w:rPr>
      </w:pPr>
      <w:r>
        <w:rPr>
          <w:i/>
        </w:rPr>
        <w:t xml:space="preserve">to emailing its customer at all available email  </w:t>
      </w:r>
    </w:p>
    <w:p w14:paraId="000000E2" w14:textId="77777777" w:rsidR="00D60918" w:rsidRDefault="008D5436">
      <w:pPr>
        <w:widowControl w:val="0"/>
        <w:spacing w:line="240" w:lineRule="auto"/>
        <w:ind w:right="307"/>
        <w:jc w:val="right"/>
        <w:rPr>
          <w:sz w:val="18"/>
          <w:szCs w:val="18"/>
        </w:rPr>
      </w:pPr>
      <w:r>
        <w:rPr>
          <w:i/>
        </w:rPr>
        <w:t xml:space="preserve">addresses (including the account holder address </w:t>
      </w:r>
    </w:p>
    <w:p w14:paraId="000000E3" w14:textId="77777777" w:rsidR="00D60918" w:rsidRDefault="008D5436">
      <w:pPr>
        <w:widowControl w:val="0"/>
        <w:spacing w:line="240" w:lineRule="auto"/>
        <w:ind w:right="659"/>
        <w:jc w:val="right"/>
        <w:rPr>
          <w:i/>
        </w:rPr>
      </w:pPr>
      <w:r>
        <w:rPr>
          <w:i/>
        </w:rPr>
        <w:t xml:space="preserve">and not just the registrant’s recorded WHOIS  </w:t>
      </w:r>
    </w:p>
    <w:p w14:paraId="000000E4" w14:textId="77777777" w:rsidR="00D60918" w:rsidRDefault="008D5436">
      <w:pPr>
        <w:widowControl w:val="0"/>
        <w:spacing w:line="240" w:lineRule="auto"/>
        <w:ind w:right="196"/>
        <w:jc w:val="right"/>
        <w:rPr>
          <w:i/>
        </w:rPr>
      </w:pPr>
      <w:r>
        <w:rPr>
          <w:i/>
        </w:rPr>
        <w:t xml:space="preserve">address) and providing notification to its customer  </w:t>
      </w:r>
    </w:p>
    <w:p w14:paraId="000000E5" w14:textId="77777777" w:rsidR="00D60918" w:rsidRDefault="008D5436">
      <w:pPr>
        <w:widowControl w:val="0"/>
        <w:spacing w:line="240" w:lineRule="auto"/>
        <w:ind w:right="355"/>
        <w:jc w:val="right"/>
        <w:rPr>
          <w:i/>
        </w:rPr>
      </w:pPr>
      <w:r>
        <w:rPr>
          <w:i/>
        </w:rPr>
        <w:t xml:space="preserve">that the disputed domain name has been locked  </w:t>
      </w:r>
    </w:p>
    <w:p w14:paraId="000000E6" w14:textId="77777777" w:rsidR="00D60918" w:rsidRDefault="008D5436">
      <w:pPr>
        <w:widowControl w:val="0"/>
        <w:spacing w:line="240" w:lineRule="auto"/>
        <w:ind w:right="635"/>
        <w:jc w:val="right"/>
        <w:rPr>
          <w:i/>
        </w:rPr>
      </w:pPr>
      <w:r>
        <w:rPr>
          <w:i/>
        </w:rPr>
        <w:lastRenderedPageBreak/>
        <w:t xml:space="preserve">and that they will have received or will shortly  </w:t>
      </w:r>
    </w:p>
    <w:p w14:paraId="000000E7" w14:textId="77777777" w:rsidR="00D60918" w:rsidRDefault="008D5436">
      <w:pPr>
        <w:widowControl w:val="0"/>
        <w:spacing w:line="240" w:lineRule="auto"/>
        <w:ind w:right="14"/>
        <w:jc w:val="right"/>
        <w:rPr>
          <w:i/>
        </w:rPr>
      </w:pPr>
      <w:r>
        <w:rPr>
          <w:i/>
        </w:rPr>
        <w:t xml:space="preserve">receive a Notice of Commencement of Proceedings  </w:t>
      </w:r>
    </w:p>
    <w:p w14:paraId="000000E8" w14:textId="77777777" w:rsidR="00D60918" w:rsidRDefault="008D5436">
      <w:pPr>
        <w:widowControl w:val="0"/>
        <w:spacing w:line="240" w:lineRule="auto"/>
        <w:ind w:right="3290"/>
        <w:jc w:val="right"/>
        <w:rPr>
          <w:i/>
        </w:rPr>
      </w:pPr>
      <w:r>
        <w:rPr>
          <w:i/>
        </w:rPr>
        <w:t xml:space="preserve">from the Provider.) </w:t>
      </w:r>
    </w:p>
    <w:p w14:paraId="000000E9" w14:textId="77777777" w:rsidR="00D60918" w:rsidRDefault="008D5436">
      <w:pPr>
        <w:widowControl w:val="0"/>
        <w:spacing w:before="248" w:line="240" w:lineRule="auto"/>
        <w:ind w:right="244"/>
        <w:jc w:val="right"/>
        <w:rPr>
          <w:i/>
        </w:rPr>
      </w:pPr>
      <w:r>
        <w:rPr>
          <w:i/>
        </w:rPr>
        <w:t xml:space="preserve">Although the Project Team was not in unanimous  </w:t>
      </w:r>
    </w:p>
    <w:p w14:paraId="000000EA" w14:textId="77777777" w:rsidR="00D60918" w:rsidRDefault="008D5436">
      <w:pPr>
        <w:widowControl w:val="0"/>
        <w:spacing w:line="240" w:lineRule="auto"/>
        <w:ind w:right="60"/>
        <w:jc w:val="right"/>
        <w:rPr>
          <w:i/>
        </w:rPr>
      </w:pPr>
      <w:r>
        <w:rPr>
          <w:i/>
        </w:rPr>
        <w:t xml:space="preserve">agreement about removing the current requirement  </w:t>
      </w:r>
    </w:p>
    <w:p w14:paraId="000000EB" w14:textId="77777777" w:rsidR="00D60918" w:rsidRDefault="008D5436">
      <w:pPr>
        <w:widowControl w:val="0"/>
        <w:spacing w:line="240" w:lineRule="auto"/>
        <w:ind w:right="108"/>
        <w:jc w:val="right"/>
        <w:rPr>
          <w:i/>
        </w:rPr>
      </w:pPr>
      <w:r>
        <w:rPr>
          <w:i/>
        </w:rPr>
        <w:t xml:space="preserve">to deliver a hard copy of the notice of proceedings,  </w:t>
      </w:r>
    </w:p>
    <w:p w14:paraId="000000EC" w14:textId="77777777" w:rsidR="00D60918" w:rsidRDefault="008D5436">
      <w:pPr>
        <w:widowControl w:val="0"/>
        <w:spacing w:line="240" w:lineRule="auto"/>
        <w:ind w:right="940"/>
        <w:jc w:val="right"/>
        <w:rPr>
          <w:i/>
        </w:rPr>
      </w:pPr>
      <w:r>
        <w:rPr>
          <w:i/>
        </w:rPr>
        <w:t xml:space="preserve">there was strong support – also noting the  </w:t>
      </w:r>
    </w:p>
    <w:p w14:paraId="000000ED" w14:textId="77777777" w:rsidR="00D60918" w:rsidRDefault="008D5436">
      <w:pPr>
        <w:widowControl w:val="0"/>
        <w:spacing w:line="240" w:lineRule="auto"/>
        <w:ind w:right="257"/>
        <w:jc w:val="right"/>
        <w:rPr>
          <w:i/>
        </w:rPr>
      </w:pPr>
      <w:r>
        <w:rPr>
          <w:i/>
        </w:rPr>
        <w:t xml:space="preserve">registrant’s obligation to provide accurate contact  </w:t>
      </w:r>
    </w:p>
    <w:p w14:paraId="000000EE" w14:textId="77777777" w:rsidR="00D60918" w:rsidRDefault="008D5436">
      <w:pPr>
        <w:widowControl w:val="0"/>
        <w:spacing w:line="240" w:lineRule="auto"/>
        <w:ind w:right="2505"/>
        <w:jc w:val="right"/>
        <w:rPr>
          <w:i/>
        </w:rPr>
      </w:pPr>
      <w:r>
        <w:rPr>
          <w:i/>
        </w:rPr>
        <w:t xml:space="preserve">information – on this issue. </w:t>
      </w:r>
    </w:p>
    <w:p w14:paraId="000000EF" w14:textId="77777777" w:rsidR="00D60918" w:rsidRDefault="00D60918">
      <w:pPr>
        <w:widowControl w:val="0"/>
        <w:spacing w:before="500" w:line="240" w:lineRule="auto"/>
        <w:ind w:left="22"/>
        <w:rPr>
          <w:b/>
        </w:rPr>
      </w:pPr>
    </w:p>
    <w:p w14:paraId="000000F0" w14:textId="77777777" w:rsidR="00D60918" w:rsidRPr="005A222C" w:rsidRDefault="008D5436">
      <w:pPr>
        <w:rPr>
          <w:highlight w:val="cyan"/>
        </w:rPr>
      </w:pPr>
      <w:r w:rsidRPr="005A222C">
        <w:rPr>
          <w:highlight w:val="cyan"/>
        </w:rPr>
        <w:t xml:space="preserve">ABPI COMMENTS: ABPI agrees with the recommendation, as long as it is clear in the Policy and Rules that the registrar's notice is information </w:t>
      </w:r>
      <w:r w:rsidRPr="005A222C">
        <w:rPr>
          <w:b/>
          <w:highlight w:val="cyan"/>
        </w:rPr>
        <w:t>only</w:t>
      </w:r>
      <w:r w:rsidRPr="005A222C">
        <w:rPr>
          <w:highlight w:val="cyan"/>
        </w:rPr>
        <w:t>. Registrar's notice should not influence any deadlines (including response and default) and providers should not depend on registrars’ notice to proceed with the complaint at any stage.</w:t>
      </w:r>
    </w:p>
    <w:p w14:paraId="000000F1" w14:textId="77777777" w:rsidR="00D60918" w:rsidRPr="005A222C" w:rsidRDefault="00D60918">
      <w:pPr>
        <w:rPr>
          <w:highlight w:val="cyan"/>
        </w:rPr>
      </w:pPr>
    </w:p>
    <w:p w14:paraId="000000F2" w14:textId="77777777" w:rsidR="00D60918" w:rsidRDefault="008D5436">
      <w:r w:rsidRPr="005A222C">
        <w:rPr>
          <w:highlight w:val="cyan"/>
        </w:rPr>
        <w:t>ABPI further agrees with the recommendation to remove the requirement to deliver hard copies to parties. An all-electronic proceeding is more efficient and more sustainable. Any domain name registrant is familiar with electronic communications and has the obligation to maintain accurate and updated email addresses with its registrar.</w:t>
      </w:r>
    </w:p>
    <w:p w14:paraId="000000F3" w14:textId="6E4E8D55" w:rsidR="005A222C" w:rsidRDefault="005A222C">
      <w:pPr>
        <w:rPr>
          <w:b/>
        </w:rPr>
      </w:pPr>
      <w:r>
        <w:rPr>
          <w:b/>
        </w:rPr>
        <w:br w:type="page"/>
      </w:r>
    </w:p>
    <w:p w14:paraId="000000F4" w14:textId="77777777" w:rsidR="00D60918" w:rsidRDefault="008D5436">
      <w:pPr>
        <w:pStyle w:val="Title"/>
        <w:widowControl w:val="0"/>
        <w:spacing w:before="500"/>
        <w:ind w:left="36"/>
        <w:rPr>
          <w:i/>
        </w:rPr>
      </w:pPr>
      <w:bookmarkStart w:id="25" w:name="_5fk46u6xb09s" w:colFirst="0" w:colLast="0"/>
      <w:bookmarkEnd w:id="25"/>
      <w:r>
        <w:lastRenderedPageBreak/>
        <w:t>Tier 2 – No Unanimity of the Project Team, But Consensus Potentially Achievable</w:t>
      </w:r>
      <w:r>
        <w:rPr>
          <w:i/>
        </w:rPr>
        <w:t xml:space="preserve">  </w:t>
      </w:r>
    </w:p>
    <w:p w14:paraId="000000F5" w14:textId="77777777" w:rsidR="00D60918" w:rsidRDefault="008D5436">
      <w:pPr>
        <w:widowControl w:val="0"/>
        <w:spacing w:before="248" w:line="229" w:lineRule="auto"/>
        <w:ind w:left="17" w:right="63" w:firstLine="20"/>
        <w:rPr>
          <w:i/>
        </w:rPr>
      </w:pPr>
      <w:r>
        <w:rPr>
          <w:i/>
        </w:rPr>
        <w:t xml:space="preserve">These are areas where the Project Team did not reach unanimous agreement and therefore we  believe that consensus may be achievable through dedicated and specialized work in a  “secondary” work track in Phase 2. </w:t>
      </w:r>
    </w:p>
    <w:p w14:paraId="000000F6" w14:textId="77777777" w:rsidR="00D60918" w:rsidRDefault="008D5436">
      <w:pPr>
        <w:pStyle w:val="Heading1"/>
        <w:widowControl w:val="0"/>
        <w:spacing w:before="510"/>
        <w:ind w:left="9"/>
      </w:pPr>
      <w:bookmarkStart w:id="26" w:name="_n1enzlbwc0cj" w:colFirst="0" w:colLast="0"/>
      <w:bookmarkEnd w:id="26"/>
      <w:r>
        <w:t xml:space="preserve">Appeals Layer </w:t>
      </w:r>
    </w:p>
    <w:p w14:paraId="000000F7" w14:textId="77777777" w:rsidR="00D60918" w:rsidRDefault="008D5436">
      <w:pPr>
        <w:widowControl w:val="0"/>
        <w:spacing w:before="250" w:line="228" w:lineRule="auto"/>
        <w:ind w:right="17" w:firstLine="9"/>
      </w:pPr>
      <w:r>
        <w:t>An appeals layer has been consistently raised from across stakeholder groups as a desired  feature to be added to the existing UDRP. While the Final Report of the First WIPO Internet  Domain Name Process recommended against the inclusion of a specific internal appeals layer,  preferring recourse to national courts for a de novo review, experience has shown that this  design element may be worth revisiting. Moreover, concerns have been raised that a number of  jurisdictions’ legal systems may not provide a c</w:t>
      </w:r>
      <w:r>
        <w:t xml:space="preserve">ause of action under national law for cases to be  heard following a UDRP decision.  </w:t>
      </w:r>
    </w:p>
    <w:p w14:paraId="000000F8" w14:textId="77777777" w:rsidR="00D60918" w:rsidRDefault="008D5436">
      <w:pPr>
        <w:widowControl w:val="0"/>
        <w:spacing w:before="258" w:line="230" w:lineRule="auto"/>
        <w:ind w:left="10" w:right="113" w:firstLine="19"/>
      </w:pPr>
      <w:r>
        <w:t xml:space="preserve">In principle, the Project Team was in unanimous support for the idea of an appeals layer; there  was however a range of views on the exact details.  </w:t>
      </w:r>
    </w:p>
    <w:p w14:paraId="000000F9" w14:textId="77777777" w:rsidR="00D60918" w:rsidRDefault="008D5436">
      <w:pPr>
        <w:widowControl w:val="0"/>
        <w:spacing w:before="255" w:line="240" w:lineRule="auto"/>
        <w:ind w:left="9"/>
        <w:rPr>
          <w:color w:val="262627"/>
        </w:rPr>
      </w:pPr>
      <w:r>
        <w:rPr>
          <w:color w:val="262627"/>
        </w:rPr>
        <w:t xml:space="preserve">An appeals procedure has been largely considered as a potential means of:  </w:t>
      </w:r>
    </w:p>
    <w:p w14:paraId="000000FA" w14:textId="77777777" w:rsidR="00D60918" w:rsidRDefault="008D5436">
      <w:pPr>
        <w:widowControl w:val="0"/>
        <w:spacing w:before="248" w:line="230" w:lineRule="auto"/>
        <w:ind w:left="737" w:right="641" w:firstLine="5"/>
        <w:rPr>
          <w:color w:val="262627"/>
        </w:rPr>
      </w:pPr>
      <w:r>
        <w:rPr>
          <w:color w:val="262627"/>
        </w:rPr>
        <w:t xml:space="preserve">(a) providing recourse to parties whose national courts may not provide a cause of  action following a UDRP case;  </w:t>
      </w:r>
    </w:p>
    <w:p w14:paraId="000000FB" w14:textId="77777777" w:rsidR="00D60918" w:rsidRDefault="008D5436">
      <w:pPr>
        <w:widowControl w:val="0"/>
        <w:spacing w:before="257" w:line="228" w:lineRule="auto"/>
        <w:ind w:left="733" w:right="223" w:firstLine="9"/>
        <w:rPr>
          <w:color w:val="262627"/>
        </w:rPr>
      </w:pPr>
      <w:r>
        <w:rPr>
          <w:color w:val="262627"/>
        </w:rPr>
        <w:t xml:space="preserve">(b) providing a means of allowing the parties to challenge what they believe may be an  incorrect decision while also saving significant time and cost in comparison to courts  (where available), in particular where the parties may come from different jurisdictions  thus requiring use of foreign counsel; and  </w:t>
      </w:r>
    </w:p>
    <w:p w14:paraId="000000FC" w14:textId="77777777" w:rsidR="00D60918" w:rsidRDefault="008D5436">
      <w:pPr>
        <w:widowControl w:val="0"/>
        <w:spacing w:before="258" w:line="228" w:lineRule="auto"/>
        <w:ind w:left="720" w:right="1202" w:firstLine="23"/>
        <w:rPr>
          <w:color w:val="262627"/>
        </w:rPr>
      </w:pPr>
      <w:r>
        <w:rPr>
          <w:color w:val="262627"/>
        </w:rPr>
        <w:t xml:space="preserve">(c) further enhancing the stability and predictability of the UDRP system as a  jurisprudential system driven by consensus, in a more structured way. </w:t>
      </w:r>
    </w:p>
    <w:p w14:paraId="607C8168" w14:textId="77777777" w:rsidR="005A222C" w:rsidRDefault="005A222C">
      <w:pPr>
        <w:widowControl w:val="0"/>
        <w:spacing w:line="228" w:lineRule="auto"/>
        <w:ind w:left="17" w:right="15" w:firstLine="2"/>
        <w:rPr>
          <w:color w:val="262627"/>
        </w:rPr>
      </w:pPr>
    </w:p>
    <w:p w14:paraId="000000FE" w14:textId="0E6C015A" w:rsidR="00D60918" w:rsidRDefault="008D5436">
      <w:pPr>
        <w:widowControl w:val="0"/>
        <w:spacing w:line="228" w:lineRule="auto"/>
        <w:ind w:left="17" w:right="15" w:firstLine="2"/>
        <w:rPr>
          <w:color w:val="262627"/>
        </w:rPr>
      </w:pPr>
      <w:r>
        <w:rPr>
          <w:color w:val="262627"/>
        </w:rPr>
        <w:t>Set against the backdrop of the potential enhancement to the UDRP that an appeal layer could  enable, is the fact that the vast majority of UDRP decisions are agreed to be solid and lacking in  genuinely appealable aspects. This conclusion is illustrated by the nature of most domain name  disputes which involve “indefensible” or obvious cybersquats where, as a result, the respondent  does not even contest the allegations. Beyond that, only the rarest of UDRP cases is ever  moved to a national court – even i</w:t>
      </w:r>
      <w:r>
        <w:rPr>
          <w:color w:val="262627"/>
        </w:rPr>
        <w:t xml:space="preserve">n those jurisdictions where a cause of action is well established, such as in the case of the ACPA in the United States of America.  </w:t>
      </w:r>
    </w:p>
    <w:p w14:paraId="000000FF" w14:textId="77777777" w:rsidR="00D60918" w:rsidRDefault="008D5436">
      <w:pPr>
        <w:widowControl w:val="0"/>
        <w:spacing w:before="258" w:line="228" w:lineRule="auto"/>
        <w:ind w:left="24" w:right="2" w:hanging="9"/>
        <w:rPr>
          <w:color w:val="262627"/>
        </w:rPr>
      </w:pPr>
      <w:r>
        <w:rPr>
          <w:color w:val="262627"/>
        </w:rPr>
        <w:t xml:space="preserve">Then again, as with all legal regimes, there are occasionally outlier cases that are believed to be  incorrectly decided and deserving of reconsideration, and resort to national courts may be  impractical given the considerable expense or even due to the unavailability of recourse under  national legal regimes. </w:t>
      </w:r>
    </w:p>
    <w:p w14:paraId="00000100" w14:textId="77777777" w:rsidR="00D60918" w:rsidRDefault="008D5436">
      <w:pPr>
        <w:widowControl w:val="0"/>
        <w:spacing w:before="258" w:line="228" w:lineRule="auto"/>
        <w:ind w:left="15" w:right="3" w:hanging="2"/>
        <w:rPr>
          <w:color w:val="262627"/>
        </w:rPr>
      </w:pPr>
      <w:r>
        <w:rPr>
          <w:color w:val="262627"/>
        </w:rPr>
        <w:t>The concept of an appeals layer has raised some dialogue as to whether an appeals option  could be abused to lengthen proceedings and to increase costs, whether by losing complainants  or losing respondents. Such risks could however be mitigated by appeals fee payments. It is  also notable that even without a UDRP appeals procedure, parties can (and have) attempted to  lengthen proceedings and frustrate transfers by commencing post-UDRP court proceedings in  relatively slow and low-cost foreign jurisdiction</w:t>
      </w:r>
      <w:r>
        <w:rPr>
          <w:color w:val="262627"/>
        </w:rPr>
        <w:t xml:space="preserve">s. (See e.g.,  </w:t>
      </w:r>
    </w:p>
    <w:p w14:paraId="00000101" w14:textId="77777777" w:rsidR="00D60918" w:rsidRDefault="008D5436">
      <w:pPr>
        <w:widowControl w:val="0"/>
        <w:spacing w:before="6" w:line="240" w:lineRule="auto"/>
        <w:ind w:left="24"/>
        <w:rPr>
          <w:color w:val="262627"/>
        </w:rPr>
      </w:pPr>
      <w:r>
        <w:rPr>
          <w:color w:val="262627"/>
        </w:rPr>
        <w:t xml:space="preserve">https://www.wipo.int/amc/en/docs/icann090409.pdf) </w:t>
      </w:r>
    </w:p>
    <w:p w14:paraId="00000102" w14:textId="77777777" w:rsidR="00D60918" w:rsidRDefault="008D5436">
      <w:pPr>
        <w:widowControl w:val="0"/>
        <w:spacing w:before="248" w:line="228" w:lineRule="auto"/>
        <w:ind w:left="17" w:right="127" w:firstLine="9"/>
        <w:rPr>
          <w:color w:val="262627"/>
        </w:rPr>
      </w:pPr>
      <w:r>
        <w:rPr>
          <w:color w:val="262627"/>
        </w:rPr>
        <w:t xml:space="preserve">Discussions also considered the risk that a party that uses an internal UDRP appeal should </w:t>
      </w:r>
      <w:r>
        <w:rPr>
          <w:color w:val="262627"/>
        </w:rPr>
        <w:lastRenderedPageBreak/>
        <w:t xml:space="preserve">not  also be able to go to court in order to avoid too many “bites at the apple”. However, as a  practical matter, it may not be possible (or desirable) to prevent this. Preventing a party from  going to court could raise access to justice issues, complex national legal issues, and  complexity in revising UDRP Paragraph 4(k) in particular.  </w:t>
      </w:r>
    </w:p>
    <w:p w14:paraId="00000103" w14:textId="77777777" w:rsidR="00D60918" w:rsidRDefault="008D5436">
      <w:pPr>
        <w:widowControl w:val="0"/>
        <w:spacing w:before="259" w:line="228" w:lineRule="auto"/>
        <w:ind w:left="12" w:right="26"/>
        <w:rPr>
          <w:color w:val="262627"/>
        </w:rPr>
      </w:pPr>
      <w:r>
        <w:rPr>
          <w:color w:val="262627"/>
        </w:rPr>
        <w:t>When it comes to determining how exactly an appeals procedure could work, a number of  questions arise. For example, if an appeal decision were to be binding instead of corrective, the  composition of an appeals panel may take on increased importance as its composition would  not only determine the outcome of the particular case, but also set precedent for future cases.  Furthermore, if there were multiple appeals providers, an appeals decision from one could in  theory be inconsistent with an appeal decisi</w:t>
      </w:r>
      <w:r>
        <w:rPr>
          <w:color w:val="262627"/>
        </w:rPr>
        <w:t xml:space="preserve">on from another – this speaks to the risk of  fragmented or inconsistent appeals results vs the benefit of a single appeals board managed by  a single body, such as WIPO given its role in creating and acting as steward of the UDRP (e.g.,  as reflected by its institutional investment in the WIPO Overview). </w:t>
      </w:r>
    </w:p>
    <w:p w14:paraId="00000104" w14:textId="77777777" w:rsidR="00D60918" w:rsidRDefault="008D5436">
      <w:pPr>
        <w:widowControl w:val="0"/>
        <w:spacing w:before="258" w:line="228" w:lineRule="auto"/>
        <w:ind w:left="17" w:right="51" w:firstLine="3"/>
        <w:rPr>
          <w:color w:val="262627"/>
        </w:rPr>
      </w:pPr>
      <w:r>
        <w:rPr>
          <w:color w:val="262627"/>
        </w:rPr>
        <w:t xml:space="preserve">Consideration was also given to an appeals layer that only permits appeals from single-member  panel decisions, based upon the rationale that replacing the judgment of one three-member  panel with that of another three-member appeals panel, might not necessarily result in a better  decision, but perhaps only a different one.  </w:t>
      </w:r>
    </w:p>
    <w:p w14:paraId="00000105" w14:textId="77777777" w:rsidR="00D60918" w:rsidRDefault="008D5436">
      <w:pPr>
        <w:widowControl w:val="0"/>
        <w:spacing w:before="258" w:line="228" w:lineRule="auto"/>
        <w:ind w:left="18" w:right="101" w:hanging="7"/>
        <w:rPr>
          <w:color w:val="262627"/>
        </w:rPr>
      </w:pPr>
      <w:r>
        <w:rPr>
          <w:color w:val="262627"/>
        </w:rPr>
        <w:t>Alternatively, appeals could be heard from three-member panels and not just single member  panels at first instance which could involve a special “Appeals Panel Roster” (as Nominet does,  and with the panelists for such roster to be drawn from the broader pool of panelists across  providers). Based upon the Project Team’s discussions and hearing from the outside experts,  and given the considerations about creating an appeals layer that is appropriately balanced, an  appeals system featuring the following e</w:t>
      </w:r>
      <w:r>
        <w:rPr>
          <w:color w:val="262627"/>
        </w:rPr>
        <w:t>lements could be feasible:</w:t>
      </w:r>
    </w:p>
    <w:p w14:paraId="1A7DEF97" w14:textId="77777777" w:rsidR="005A222C" w:rsidRDefault="005A222C">
      <w:pPr>
        <w:widowControl w:val="0"/>
        <w:spacing w:line="229" w:lineRule="auto"/>
        <w:ind w:left="738" w:right="492" w:firstLine="4"/>
        <w:rPr>
          <w:color w:val="262627"/>
        </w:rPr>
      </w:pPr>
    </w:p>
    <w:p w14:paraId="00000107" w14:textId="237D56F6" w:rsidR="00D60918" w:rsidRDefault="008D5436">
      <w:pPr>
        <w:widowControl w:val="0"/>
        <w:spacing w:line="229" w:lineRule="auto"/>
        <w:ind w:left="738" w:right="492" w:firstLine="4"/>
        <w:rPr>
          <w:color w:val="262627"/>
        </w:rPr>
      </w:pPr>
      <w:r>
        <w:rPr>
          <w:color w:val="262627"/>
        </w:rPr>
        <w:t xml:space="preserve">(a) whether removing the three-member panel option for cases at first instance or  leaving both current options intact, creating an appeals roster which would be a  community-agreed specially-constituted roster of the most experienced panelists; or  </w:t>
      </w:r>
    </w:p>
    <w:p w14:paraId="00000108" w14:textId="77777777" w:rsidR="00D60918" w:rsidRDefault="008D5436">
      <w:pPr>
        <w:widowControl w:val="0"/>
        <w:spacing w:before="258" w:line="228" w:lineRule="auto"/>
        <w:ind w:left="737" w:right="5" w:firstLine="5"/>
        <w:rPr>
          <w:color w:val="262627"/>
        </w:rPr>
      </w:pPr>
      <w:r>
        <w:rPr>
          <w:color w:val="262627"/>
        </w:rPr>
        <w:t xml:space="preserve">(b) corrective as to the appealed case between the involved parties, rather than  establishing a binding precedent on future parties (bearing in mind that inevitably such  decisions may nonetheless have persuasive value) such that an appeals panel would  not create binding case precedent on all subsequent panels. NB on this topic there were  divergent views, and the question of appeals being binding as precedent merits specific  consideration. </w:t>
      </w:r>
    </w:p>
    <w:p w14:paraId="00000109" w14:textId="77777777" w:rsidR="00D60918" w:rsidRDefault="008D5436">
      <w:pPr>
        <w:widowControl w:val="0"/>
        <w:spacing w:before="256" w:line="229" w:lineRule="auto"/>
        <w:ind w:left="12" w:right="259" w:firstLine="7"/>
        <w:rPr>
          <w:color w:val="262627"/>
        </w:rPr>
      </w:pPr>
      <w:r>
        <w:rPr>
          <w:color w:val="262627"/>
        </w:rPr>
        <w:t xml:space="preserve">Questions also arose as to whether an appeals procedure should involve a closed evidentiary  record drawn from the original hearing, subject to appeals panel discretion/exceptional  circumstances. Consideration would also need to be given to the means of commencing an  appeal and within which set time frame along with payment of a fee gauged to discourage  frivolous appeals. </w:t>
      </w:r>
    </w:p>
    <w:p w14:paraId="0000010A" w14:textId="77777777" w:rsidR="00D60918" w:rsidRDefault="008D5436">
      <w:pPr>
        <w:widowControl w:val="0"/>
        <w:spacing w:before="258" w:line="228" w:lineRule="auto"/>
        <w:ind w:left="17" w:right="77" w:firstLine="10"/>
        <w:rPr>
          <w:color w:val="262627"/>
        </w:rPr>
      </w:pPr>
      <w:r>
        <w:rPr>
          <w:color w:val="262627"/>
        </w:rPr>
        <w:t>Despite the attraction of some or all of these potential elements in a possible appeals  procedure, concerns have still been raised including within the Project Team. For example,  some believe that given the heavy lift, complexity, panel composition issues, binding precedent  issues, and the general rarity of decisions that some parties believe warrant reconsideration, an  appeals procedure is not worth pursuing, preferring the status quo which enables recourse to  national courts in most instances. Others</w:t>
      </w:r>
      <w:r>
        <w:rPr>
          <w:color w:val="262627"/>
        </w:rPr>
        <w:t xml:space="preserve"> believe that the most obvious approach of confining  appeals to appeals from single-member panel decisions, though attractive at first impression,  could likely result in parties being forced to participate in two hearings (the initial one and the  appeal) in many instances, making the concept undesirable. </w:t>
      </w:r>
    </w:p>
    <w:p w14:paraId="0000010B" w14:textId="77777777" w:rsidR="00D60918" w:rsidRDefault="008D5436">
      <w:pPr>
        <w:widowControl w:val="0"/>
        <w:spacing w:before="258" w:line="229" w:lineRule="auto"/>
        <w:ind w:left="10" w:right="298" w:firstLine="9"/>
        <w:rPr>
          <w:color w:val="262627"/>
        </w:rPr>
      </w:pPr>
      <w:r>
        <w:rPr>
          <w:color w:val="262627"/>
        </w:rPr>
        <w:lastRenderedPageBreak/>
        <w:t xml:space="preserve">On the other hand, within the Project Team, the view was also endorsed that an appeals  procedure would serve to enhance the UDRP by providing a relatively simple and low-cost  mechanism for addressing the relatively occasional errant decision particularly by a  single-member panel, and believe that despite the procedural questions to be addressed, it is  worth pursuing. </w:t>
      </w:r>
    </w:p>
    <w:p w14:paraId="0000010C" w14:textId="77777777" w:rsidR="00D60918" w:rsidRDefault="008D5436">
      <w:pPr>
        <w:widowControl w:val="0"/>
        <w:spacing w:before="256" w:line="240" w:lineRule="auto"/>
        <w:ind w:right="354"/>
        <w:jc w:val="right"/>
        <w:rPr>
          <w:i/>
        </w:rPr>
      </w:pPr>
      <w:r>
        <w:rPr>
          <w:b/>
          <w:i/>
        </w:rPr>
        <w:t xml:space="preserve">Recommendation: </w:t>
      </w:r>
      <w:r>
        <w:rPr>
          <w:i/>
        </w:rPr>
        <w:t xml:space="preserve">As a result of the extensive  </w:t>
      </w:r>
    </w:p>
    <w:p w14:paraId="0000010D" w14:textId="77777777" w:rsidR="00D60918" w:rsidRDefault="008D5436">
      <w:pPr>
        <w:widowControl w:val="0"/>
        <w:spacing w:line="240" w:lineRule="auto"/>
        <w:ind w:right="209"/>
        <w:jc w:val="right"/>
        <w:rPr>
          <w:i/>
        </w:rPr>
      </w:pPr>
      <w:r>
        <w:rPr>
          <w:i/>
        </w:rPr>
        <w:t xml:space="preserve">investigations, consultations, and deliberations by  </w:t>
      </w:r>
    </w:p>
    <w:p w14:paraId="0000010E" w14:textId="77777777" w:rsidR="00D60918" w:rsidRDefault="008D5436">
      <w:pPr>
        <w:widowControl w:val="0"/>
        <w:spacing w:line="240" w:lineRule="auto"/>
        <w:ind w:right="561"/>
        <w:jc w:val="right"/>
        <w:rPr>
          <w:i/>
        </w:rPr>
      </w:pPr>
      <w:r>
        <w:rPr>
          <w:i/>
        </w:rPr>
        <w:t xml:space="preserve">the Project Team, we believe that although an  </w:t>
      </w:r>
    </w:p>
    <w:p w14:paraId="0000010F" w14:textId="77777777" w:rsidR="00D60918" w:rsidRDefault="008D5436">
      <w:pPr>
        <w:widowControl w:val="0"/>
        <w:spacing w:line="240" w:lineRule="auto"/>
        <w:ind w:right="197"/>
        <w:jc w:val="right"/>
        <w:rPr>
          <w:i/>
        </w:rPr>
      </w:pPr>
      <w:r>
        <w:rPr>
          <w:i/>
        </w:rPr>
        <w:t xml:space="preserve">appeals procedure can provide enhanced stability  </w:t>
      </w:r>
    </w:p>
    <w:p w14:paraId="00000110" w14:textId="77777777" w:rsidR="00D60918" w:rsidRDefault="008D5436">
      <w:pPr>
        <w:widowControl w:val="0"/>
        <w:spacing w:line="240" w:lineRule="auto"/>
        <w:ind w:right="475"/>
        <w:jc w:val="right"/>
        <w:rPr>
          <w:i/>
        </w:rPr>
      </w:pPr>
      <w:r>
        <w:rPr>
          <w:i/>
        </w:rPr>
        <w:t xml:space="preserve">to the UDRP and on the whole appears to be a  </w:t>
      </w:r>
    </w:p>
    <w:p w14:paraId="00000111" w14:textId="77777777" w:rsidR="00D60918" w:rsidRDefault="008D5436">
      <w:pPr>
        <w:widowControl w:val="0"/>
        <w:spacing w:line="240" w:lineRule="auto"/>
        <w:ind w:right="600"/>
        <w:jc w:val="right"/>
        <w:rPr>
          <w:i/>
        </w:rPr>
      </w:pPr>
      <w:r>
        <w:rPr>
          <w:i/>
        </w:rPr>
        <w:t xml:space="preserve">workable concept, complex procedural issues  </w:t>
      </w:r>
    </w:p>
    <w:p w14:paraId="00000112" w14:textId="77777777" w:rsidR="00D60918" w:rsidRDefault="008D5436">
      <w:pPr>
        <w:widowControl w:val="0"/>
        <w:spacing w:line="240" w:lineRule="auto"/>
        <w:ind w:right="2164"/>
        <w:jc w:val="right"/>
        <w:rPr>
          <w:i/>
        </w:rPr>
      </w:pPr>
      <w:r>
        <w:rPr>
          <w:i/>
        </w:rPr>
        <w:t xml:space="preserve">would need to be worked out.  </w:t>
      </w:r>
    </w:p>
    <w:p w14:paraId="00000113" w14:textId="77777777" w:rsidR="00D60918" w:rsidRDefault="008D5436">
      <w:pPr>
        <w:widowControl w:val="0"/>
        <w:spacing w:before="248" w:line="240" w:lineRule="auto"/>
        <w:ind w:right="110"/>
        <w:jc w:val="right"/>
        <w:rPr>
          <w:i/>
        </w:rPr>
      </w:pPr>
      <w:r>
        <w:rPr>
          <w:i/>
        </w:rPr>
        <w:t xml:space="preserve">As a result, we would recommend that the concept  </w:t>
      </w:r>
    </w:p>
    <w:p w14:paraId="00000114" w14:textId="77777777" w:rsidR="00D60918" w:rsidRDefault="008D5436">
      <w:pPr>
        <w:widowControl w:val="0"/>
        <w:spacing w:line="240" w:lineRule="auto"/>
        <w:ind w:right="134"/>
        <w:jc w:val="right"/>
        <w:rPr>
          <w:i/>
        </w:rPr>
      </w:pPr>
      <w:r>
        <w:rPr>
          <w:i/>
        </w:rPr>
        <w:t xml:space="preserve">of an appeals layer be considered in a “Secondary  </w:t>
      </w:r>
    </w:p>
    <w:p w14:paraId="00000115" w14:textId="77777777" w:rsidR="00D60918" w:rsidRDefault="008D5436">
      <w:pPr>
        <w:widowControl w:val="0"/>
        <w:spacing w:line="240" w:lineRule="auto"/>
        <w:ind w:right="196"/>
        <w:jc w:val="right"/>
        <w:rPr>
          <w:i/>
        </w:rPr>
      </w:pPr>
      <w:r>
        <w:rPr>
          <w:i/>
        </w:rPr>
        <w:t xml:space="preserve">Track” in Phase 2 wherein the ICANN Community  </w:t>
      </w:r>
    </w:p>
    <w:p w14:paraId="00000116" w14:textId="77777777" w:rsidR="00D60918" w:rsidRDefault="008D5436">
      <w:pPr>
        <w:widowControl w:val="0"/>
        <w:spacing w:line="240" w:lineRule="auto"/>
        <w:ind w:right="1358"/>
        <w:jc w:val="right"/>
        <w:rPr>
          <w:i/>
        </w:rPr>
      </w:pPr>
      <w:r>
        <w:rPr>
          <w:i/>
        </w:rPr>
        <w:t xml:space="preserve">can deliberate the different facets and  </w:t>
      </w:r>
    </w:p>
    <w:p w14:paraId="00000117" w14:textId="77777777" w:rsidR="00D60918" w:rsidRDefault="008D5436">
      <w:pPr>
        <w:widowControl w:val="0"/>
        <w:spacing w:line="240" w:lineRule="auto"/>
        <w:ind w:right="1639"/>
        <w:jc w:val="right"/>
        <w:rPr>
          <w:i/>
        </w:rPr>
      </w:pPr>
      <w:r>
        <w:rPr>
          <w:i/>
        </w:rPr>
        <w:t xml:space="preserve">considerations of an appeals layer.  </w:t>
      </w:r>
    </w:p>
    <w:p w14:paraId="00000118" w14:textId="77777777" w:rsidR="00D60918" w:rsidRDefault="008D5436">
      <w:pPr>
        <w:widowControl w:val="0"/>
        <w:spacing w:before="248" w:line="228" w:lineRule="auto"/>
        <w:ind w:left="10" w:right="185" w:hanging="3"/>
      </w:pPr>
      <w:r>
        <w:t>As stated above, the concept of an appeals layer was perhaps the one that on the surface had  the most support, and which would preserve the good functioning of the UDRP into the future.  In the time available however, it was not possible to fully settle on the different facets of an  appeals layer. More than any other topic in this Report, it is felt that any ICANN Phase 2</w:t>
      </w:r>
      <w:r>
        <w:rPr>
          <w:sz w:val="18"/>
          <w:szCs w:val="18"/>
        </w:rPr>
        <w:t xml:space="preserve"> </w:t>
      </w:r>
      <w:r>
        <w:t xml:space="preserve">Review work on the appeals layer concept should be undertaken by a narrow group with  experience in the UDRP and court litigation. In sum it was felt that consensus on the workings  of an appeals layer might be possible.  </w:t>
      </w:r>
    </w:p>
    <w:p w14:paraId="00000119" w14:textId="77777777" w:rsidR="00D60918" w:rsidRDefault="00D60918">
      <w:pPr>
        <w:pStyle w:val="Heading1"/>
        <w:widowControl w:val="0"/>
        <w:spacing w:before="258"/>
        <w:ind w:left="20"/>
      </w:pPr>
      <w:bookmarkStart w:id="27" w:name="_izcjsro2y4tg" w:colFirst="0" w:colLast="0"/>
      <w:bookmarkEnd w:id="27"/>
    </w:p>
    <w:p w14:paraId="0000011A" w14:textId="77777777" w:rsidR="00D60918" w:rsidRDefault="008D5436">
      <w:r w:rsidRPr="005A222C">
        <w:rPr>
          <w:highlight w:val="cyan"/>
        </w:rPr>
        <w:t>ABPI COMMENTS: ABPI agrees with the recommendation.</w:t>
      </w:r>
      <w:r>
        <w:t xml:space="preserve"> </w:t>
      </w:r>
    </w:p>
    <w:p w14:paraId="0000011B" w14:textId="77777777" w:rsidR="00D60918" w:rsidRDefault="00D60918"/>
    <w:p w14:paraId="0000011C" w14:textId="77777777" w:rsidR="00D60918" w:rsidRDefault="00D60918"/>
    <w:p w14:paraId="0000011D" w14:textId="77777777" w:rsidR="00D60918" w:rsidRDefault="008D5436">
      <w:pPr>
        <w:pStyle w:val="Heading1"/>
        <w:widowControl w:val="0"/>
        <w:spacing w:before="258"/>
        <w:ind w:left="20"/>
      </w:pPr>
      <w:bookmarkStart w:id="28" w:name="_w6w1nt651on4" w:colFirst="0" w:colLast="0"/>
      <w:bookmarkEnd w:id="28"/>
      <w:r>
        <w:t xml:space="preserve">Changing “and” to “or” </w:t>
      </w:r>
    </w:p>
    <w:p w14:paraId="0000011E" w14:textId="77777777" w:rsidR="00D60918" w:rsidRDefault="008D5436">
      <w:pPr>
        <w:widowControl w:val="0"/>
        <w:spacing w:before="246" w:line="229" w:lineRule="auto"/>
        <w:ind w:left="13" w:right="62" w:firstLine="1"/>
        <w:rPr>
          <w:color w:val="262627"/>
        </w:rPr>
      </w:pPr>
      <w:r>
        <w:rPr>
          <w:color w:val="262627"/>
        </w:rPr>
        <w:t xml:space="preserve">The UDRP requires both registration, </w:t>
      </w:r>
      <w:r>
        <w:rPr>
          <w:color w:val="262627"/>
          <w:u w:val="single"/>
        </w:rPr>
        <w:t xml:space="preserve">and </w:t>
      </w:r>
      <w:r>
        <w:rPr>
          <w:color w:val="262627"/>
        </w:rPr>
        <w:t>use of the disputed domain name in bad faith. While  in many cases, the two are interconnected, in some very rare cases over the years, a domain  name originally registered without the intent to target a brand owner in bad faith (e.g., because  the complainant did not yet exist), is later used in a clearly bad faith infringing manner. More  commonly but still relatively rare, are cases where a registrant associated with the Complainant  registered a domain name in good faith, but the relationship was su</w:t>
      </w:r>
      <w:r>
        <w:rPr>
          <w:color w:val="262627"/>
        </w:rPr>
        <w:t>bsequently severed and the  Respondent nevertheless continued to use the domain name in bad faith. An example of this is  the “Octogen” case, where the panel nonetheless decided in the complainant’s favor, setting off  a controversy as to the correct interpretation of the UDRP. In the intervening years, a clear  consensus coalesced around the fact that the view expressed by the Octogen panel was out of  step with the plain language of the UDRP. This has not, however, answered the dilemma faced  by the Octog</w:t>
      </w:r>
      <w:r>
        <w:rPr>
          <w:color w:val="262627"/>
        </w:rPr>
        <w:t xml:space="preserve">en case of a registrant’s original good faith and subsequent bad faith not being  covered by the UDRP.  </w:t>
      </w:r>
    </w:p>
    <w:p w14:paraId="0000011F" w14:textId="77777777" w:rsidR="00D60918" w:rsidRDefault="008D5436">
      <w:pPr>
        <w:widowControl w:val="0"/>
        <w:spacing w:before="258" w:line="228" w:lineRule="auto"/>
        <w:ind w:left="10" w:right="29" w:firstLine="16"/>
        <w:rPr>
          <w:color w:val="262627"/>
        </w:rPr>
      </w:pPr>
      <w:r>
        <w:rPr>
          <w:color w:val="262627"/>
        </w:rPr>
        <w:t>Even prior to Octogen, changing “and” to “or” has been the subject of considerable interest and  discussion over the years. In the discussions amongst the Project Team, one view was that the  change to “and/or” would be an undesirable or potentially destabilizing expansion of the Policy.  By way of compromise, others put forward a proposal to introduce the “or” concept in a manner  which targets a limited set of scenarios where a domain name was registered in good faith (or in  unclear circumstances) but su</w:t>
      </w:r>
      <w:r>
        <w:rPr>
          <w:color w:val="262627"/>
        </w:rPr>
        <w:t xml:space="preserve">bsequently used in a clearly </w:t>
      </w:r>
      <w:r>
        <w:rPr>
          <w:color w:val="262627"/>
        </w:rPr>
        <w:lastRenderedPageBreak/>
        <w:t xml:space="preserve">egregious manner.  </w:t>
      </w:r>
    </w:p>
    <w:p w14:paraId="00000120" w14:textId="77777777" w:rsidR="00D60918" w:rsidRDefault="008D5436">
      <w:pPr>
        <w:widowControl w:val="0"/>
        <w:spacing w:before="258" w:line="228" w:lineRule="auto"/>
        <w:ind w:left="10" w:right="14" w:firstLine="9"/>
        <w:rPr>
          <w:color w:val="262627"/>
        </w:rPr>
      </w:pPr>
      <w:r>
        <w:rPr>
          <w:color w:val="262627"/>
        </w:rPr>
        <w:t xml:space="preserve">One specific scenario raised was where a domain name was registered in good faith pursuant  to a license or other business arrangement (e.g., an IT or web hosting services company or by a  former employee), but after the termination of the parties’ relationship, the registrant continued  to hold the domain name despite the terminated relationship. It was felt that the UDRP could be  adapted to fairly address this kind of particular and discrete scenario that the UDRP does not  currently adequately address, </w:t>
      </w:r>
      <w:r>
        <w:rPr>
          <w:color w:val="262627"/>
        </w:rPr>
        <w:t xml:space="preserve">without otherwise broadening the applicability of the UDRP.  Nevertheless, some felt that such scenarios can be left to the courts to determine, as the UDRP  was not intended to address cases that did not involve both bad faith registration and use, and  that contractual issues are not the proper jurisdiction of the UDRP. </w:t>
      </w:r>
    </w:p>
    <w:p w14:paraId="00000121" w14:textId="77777777" w:rsidR="00D60918" w:rsidRDefault="008D5436">
      <w:pPr>
        <w:widowControl w:val="0"/>
        <w:spacing w:before="258" w:line="229" w:lineRule="auto"/>
        <w:ind w:left="10" w:right="176" w:firstLine="9"/>
        <w:rPr>
          <w:color w:val="262627"/>
        </w:rPr>
      </w:pPr>
      <w:r>
        <w:rPr>
          <w:color w:val="262627"/>
        </w:rPr>
        <w:t>Others believe that without strict limitations on the application of “and/or”, valuable domain  names could be targeted as a result of merely offering them for sale, or as a result of an  inadvertent PPC link, even when the domain name clearly pre-existed the complainant’s  trademark rights and was registered in good faith. One potential solution raised in that respect  was that “and/or” could be introduced into the Policy on the explicit understanding that there  would be sufficient express safeguards adde</w:t>
      </w:r>
      <w:r>
        <w:rPr>
          <w:color w:val="262627"/>
        </w:rPr>
        <w:t xml:space="preserve">d to the UDRP to limit its application only to  specified (e.g., licensee/former employee) scenarios.  </w:t>
      </w:r>
    </w:p>
    <w:p w14:paraId="00000122" w14:textId="77777777" w:rsidR="00D60918" w:rsidRDefault="008D5436">
      <w:pPr>
        <w:widowControl w:val="0"/>
        <w:spacing w:before="256" w:line="229" w:lineRule="auto"/>
        <w:ind w:left="11" w:right="29" w:firstLine="18"/>
        <w:rPr>
          <w:color w:val="262627"/>
        </w:rPr>
      </w:pPr>
      <w:r>
        <w:rPr>
          <w:color w:val="262627"/>
        </w:rPr>
        <w:t>It is apparent that a significant number of ccTLDs use the and/or formulation with apparent  fairness and success, but it was also felt that such a change in the Policy could in the short term  affect UDRP jurisprudence and that even the expressed benefits might not be worth the effort  since such a change may ultimately impact only a relatively small number of cases.</w:t>
      </w:r>
    </w:p>
    <w:p w14:paraId="00000124" w14:textId="29A81CDF" w:rsidR="00D60918" w:rsidRDefault="005A222C" w:rsidP="005A222C">
      <w:pPr>
        <w:widowControl w:val="0"/>
        <w:spacing w:line="240" w:lineRule="auto"/>
        <w:ind w:left="3600" w:right="354"/>
        <w:jc w:val="center"/>
        <w:rPr>
          <w:i/>
        </w:rPr>
      </w:pPr>
      <w:r>
        <w:rPr>
          <w:b/>
          <w:i/>
        </w:rPr>
        <w:t xml:space="preserve">     Recommendation: </w:t>
      </w:r>
      <w:r>
        <w:rPr>
          <w:i/>
        </w:rPr>
        <w:t xml:space="preserve">As a result of the extensive  </w:t>
      </w:r>
    </w:p>
    <w:p w14:paraId="00000125" w14:textId="77777777" w:rsidR="00D60918" w:rsidRDefault="008D5436">
      <w:pPr>
        <w:widowControl w:val="0"/>
        <w:spacing w:line="240" w:lineRule="auto"/>
        <w:ind w:right="209"/>
        <w:jc w:val="right"/>
        <w:rPr>
          <w:i/>
        </w:rPr>
      </w:pPr>
      <w:r>
        <w:rPr>
          <w:i/>
        </w:rPr>
        <w:t xml:space="preserve">investigations, consultations, and deliberations by  </w:t>
      </w:r>
    </w:p>
    <w:p w14:paraId="00000126" w14:textId="77777777" w:rsidR="00D60918" w:rsidRDefault="008D5436">
      <w:pPr>
        <w:widowControl w:val="0"/>
        <w:spacing w:line="240" w:lineRule="auto"/>
        <w:ind w:right="684"/>
        <w:jc w:val="right"/>
        <w:rPr>
          <w:i/>
        </w:rPr>
      </w:pPr>
      <w:r>
        <w:rPr>
          <w:i/>
        </w:rPr>
        <w:t xml:space="preserve">the Project Team, we believe that although a  </w:t>
      </w:r>
    </w:p>
    <w:p w14:paraId="00000127" w14:textId="77777777" w:rsidR="00D60918" w:rsidRDefault="008D5436">
      <w:pPr>
        <w:widowControl w:val="0"/>
        <w:spacing w:line="240" w:lineRule="auto"/>
        <w:ind w:right="269"/>
        <w:jc w:val="right"/>
        <w:rPr>
          <w:i/>
        </w:rPr>
      </w:pPr>
      <w:r>
        <w:rPr>
          <w:i/>
        </w:rPr>
        <w:t xml:space="preserve">change from “and” to “and/or” may be possible to  </w:t>
      </w:r>
    </w:p>
    <w:p w14:paraId="00000128" w14:textId="77777777" w:rsidR="00D60918" w:rsidRDefault="008D5436">
      <w:pPr>
        <w:widowControl w:val="0"/>
        <w:spacing w:line="240" w:lineRule="auto"/>
        <w:ind w:right="172"/>
        <w:jc w:val="right"/>
        <w:rPr>
          <w:i/>
        </w:rPr>
      </w:pPr>
      <w:r>
        <w:rPr>
          <w:i/>
        </w:rPr>
        <w:t xml:space="preserve">implement in order to address discrete and limited  </w:t>
      </w:r>
    </w:p>
    <w:p w14:paraId="00000129" w14:textId="77777777" w:rsidR="00D60918" w:rsidRDefault="008D5436">
      <w:pPr>
        <w:widowControl w:val="0"/>
        <w:spacing w:line="240" w:lineRule="auto"/>
        <w:ind w:right="597"/>
        <w:jc w:val="right"/>
        <w:rPr>
          <w:i/>
        </w:rPr>
      </w:pPr>
      <w:r>
        <w:rPr>
          <w:i/>
        </w:rPr>
        <w:t xml:space="preserve">instances of bad faith use following good faith  </w:t>
      </w:r>
    </w:p>
    <w:p w14:paraId="0000012A" w14:textId="77777777" w:rsidR="00D60918" w:rsidRDefault="008D5436">
      <w:pPr>
        <w:widowControl w:val="0"/>
        <w:spacing w:line="240" w:lineRule="auto"/>
        <w:ind w:right="367"/>
        <w:jc w:val="right"/>
        <w:rPr>
          <w:i/>
        </w:rPr>
      </w:pPr>
      <w:r>
        <w:rPr>
          <w:i/>
        </w:rPr>
        <w:t xml:space="preserve">registration such as a licensee/former employee  </w:t>
      </w:r>
    </w:p>
    <w:p w14:paraId="0000012B" w14:textId="77777777" w:rsidR="00D60918" w:rsidRDefault="008D5436">
      <w:pPr>
        <w:widowControl w:val="0"/>
        <w:spacing w:line="240" w:lineRule="auto"/>
        <w:ind w:right="74"/>
        <w:jc w:val="right"/>
        <w:rPr>
          <w:i/>
        </w:rPr>
      </w:pPr>
      <w:r>
        <w:rPr>
          <w:i/>
        </w:rPr>
        <w:t xml:space="preserve">scenario, the instances of such cases are relatively  </w:t>
      </w:r>
    </w:p>
    <w:p w14:paraId="0000012C" w14:textId="77777777" w:rsidR="00D60918" w:rsidRDefault="008D5436">
      <w:pPr>
        <w:widowControl w:val="0"/>
        <w:spacing w:line="240" w:lineRule="auto"/>
        <w:ind w:right="367"/>
        <w:jc w:val="right"/>
        <w:rPr>
          <w:i/>
        </w:rPr>
      </w:pPr>
      <w:r>
        <w:rPr>
          <w:i/>
        </w:rPr>
        <w:t xml:space="preserve">infrequent, therefore raising a question as to the  </w:t>
      </w:r>
    </w:p>
    <w:p w14:paraId="0000012D" w14:textId="77777777" w:rsidR="00D60918" w:rsidRDefault="008D5436">
      <w:pPr>
        <w:widowControl w:val="0"/>
        <w:spacing w:line="240" w:lineRule="auto"/>
        <w:ind w:right="292"/>
        <w:jc w:val="right"/>
        <w:rPr>
          <w:i/>
        </w:rPr>
      </w:pPr>
      <w:r>
        <w:rPr>
          <w:i/>
        </w:rPr>
        <w:t xml:space="preserve">overall utility of undertaking such a change given  </w:t>
      </w:r>
    </w:p>
    <w:p w14:paraId="0000012E" w14:textId="77777777" w:rsidR="00D60918" w:rsidRDefault="008D5436">
      <w:pPr>
        <w:widowControl w:val="0"/>
        <w:spacing w:line="240" w:lineRule="auto"/>
        <w:ind w:right="2335"/>
        <w:jc w:val="right"/>
        <w:rPr>
          <w:i/>
        </w:rPr>
      </w:pPr>
      <w:r>
        <w:rPr>
          <w:i/>
        </w:rPr>
        <w:t xml:space="preserve">the nuanced effort involved.  </w:t>
      </w:r>
    </w:p>
    <w:p w14:paraId="0000012F" w14:textId="77777777" w:rsidR="00D60918" w:rsidRDefault="008D5436">
      <w:pPr>
        <w:widowControl w:val="0"/>
        <w:spacing w:before="248" w:line="240" w:lineRule="auto"/>
        <w:ind w:right="1003"/>
        <w:jc w:val="right"/>
        <w:rPr>
          <w:i/>
        </w:rPr>
      </w:pPr>
      <w:r>
        <w:rPr>
          <w:i/>
        </w:rPr>
        <w:t xml:space="preserve">As a result, we would recommend that an  </w:t>
      </w:r>
    </w:p>
    <w:p w14:paraId="00000130" w14:textId="77777777" w:rsidR="00D60918" w:rsidRDefault="008D5436">
      <w:pPr>
        <w:widowControl w:val="0"/>
        <w:spacing w:line="240" w:lineRule="auto"/>
        <w:ind w:right="96"/>
        <w:jc w:val="right"/>
        <w:rPr>
          <w:i/>
        </w:rPr>
      </w:pPr>
      <w:r>
        <w:rPr>
          <w:i/>
        </w:rPr>
        <w:t xml:space="preserve">examination of the possible introduction of “and/or”  </w:t>
      </w:r>
    </w:p>
    <w:p w14:paraId="00000131" w14:textId="77777777" w:rsidR="00D60918" w:rsidRDefault="008D5436">
      <w:pPr>
        <w:widowControl w:val="0"/>
        <w:spacing w:line="240" w:lineRule="auto"/>
        <w:ind w:right="316"/>
        <w:jc w:val="right"/>
        <w:rPr>
          <w:i/>
        </w:rPr>
      </w:pPr>
      <w:r>
        <w:rPr>
          <w:i/>
        </w:rPr>
        <w:t xml:space="preserve">in limited circumstances such as licensee/former  </w:t>
      </w:r>
    </w:p>
    <w:p w14:paraId="00000132" w14:textId="77777777" w:rsidR="00D60918" w:rsidRDefault="008D5436">
      <w:pPr>
        <w:widowControl w:val="0"/>
        <w:spacing w:line="240" w:lineRule="auto"/>
        <w:ind w:right="173"/>
        <w:jc w:val="right"/>
        <w:rPr>
          <w:i/>
        </w:rPr>
      </w:pPr>
      <w:r>
        <w:rPr>
          <w:i/>
        </w:rPr>
        <w:t xml:space="preserve">employee scenarios, and the inclusion of potential  </w:t>
      </w:r>
    </w:p>
    <w:p w14:paraId="00000133" w14:textId="77777777" w:rsidR="00D60918" w:rsidRDefault="008D5436">
      <w:pPr>
        <w:widowControl w:val="0"/>
        <w:spacing w:line="240" w:lineRule="auto"/>
        <w:ind w:right="259"/>
        <w:jc w:val="right"/>
        <w:rPr>
          <w:i/>
        </w:rPr>
      </w:pPr>
      <w:r>
        <w:rPr>
          <w:i/>
        </w:rPr>
        <w:t xml:space="preserve">express safeguards, be deferred to a “Secondary  </w:t>
      </w:r>
    </w:p>
    <w:p w14:paraId="00000134" w14:textId="77777777" w:rsidR="00D60918" w:rsidRDefault="008D5436">
      <w:pPr>
        <w:widowControl w:val="0"/>
        <w:spacing w:line="240" w:lineRule="auto"/>
        <w:ind w:right="196"/>
        <w:jc w:val="right"/>
        <w:rPr>
          <w:i/>
        </w:rPr>
      </w:pPr>
      <w:r>
        <w:rPr>
          <w:i/>
        </w:rPr>
        <w:t xml:space="preserve">Track” in Phase 2 wherein the ICANN Community  </w:t>
      </w:r>
    </w:p>
    <w:p w14:paraId="00000135" w14:textId="77777777" w:rsidR="00D60918" w:rsidRDefault="008D5436">
      <w:pPr>
        <w:widowControl w:val="0"/>
        <w:spacing w:line="240" w:lineRule="auto"/>
        <w:ind w:right="329"/>
        <w:jc w:val="right"/>
        <w:rPr>
          <w:i/>
        </w:rPr>
      </w:pPr>
      <w:r>
        <w:rPr>
          <w:i/>
        </w:rPr>
        <w:t xml:space="preserve">can engage in what would appear to be required  </w:t>
      </w:r>
    </w:p>
    <w:p w14:paraId="00000136" w14:textId="77777777" w:rsidR="00D60918" w:rsidRDefault="008D5436">
      <w:pPr>
        <w:widowControl w:val="0"/>
        <w:spacing w:line="240" w:lineRule="auto"/>
        <w:ind w:right="391"/>
        <w:jc w:val="right"/>
        <w:rPr>
          <w:i/>
        </w:rPr>
      </w:pPr>
      <w:r>
        <w:rPr>
          <w:i/>
        </w:rPr>
        <w:t xml:space="preserve">lengthy and complex deliberations with possible  </w:t>
      </w:r>
    </w:p>
    <w:p w14:paraId="00000137" w14:textId="77777777" w:rsidR="00D60918" w:rsidRDefault="008D5436">
      <w:pPr>
        <w:widowControl w:val="0"/>
        <w:spacing w:line="240" w:lineRule="auto"/>
        <w:ind w:right="845"/>
        <w:jc w:val="right"/>
        <w:rPr>
          <w:i/>
        </w:rPr>
      </w:pPr>
      <w:r>
        <w:rPr>
          <w:i/>
        </w:rPr>
        <w:t xml:space="preserve">consensus achievable, but not immediately  </w:t>
      </w:r>
    </w:p>
    <w:p w14:paraId="00000138" w14:textId="77777777" w:rsidR="00D60918" w:rsidRDefault="008D5436">
      <w:pPr>
        <w:widowControl w:val="0"/>
        <w:spacing w:line="240" w:lineRule="auto"/>
        <w:ind w:right="953"/>
        <w:jc w:val="right"/>
        <w:rPr>
          <w:i/>
        </w:rPr>
      </w:pPr>
      <w:r>
        <w:rPr>
          <w:i/>
        </w:rPr>
        <w:t xml:space="preserve">available. That is not to prejudge whether  </w:t>
      </w:r>
    </w:p>
    <w:p w14:paraId="00000139" w14:textId="77777777" w:rsidR="00D60918" w:rsidRDefault="008D5436">
      <w:pPr>
        <w:widowControl w:val="0"/>
        <w:spacing w:line="240" w:lineRule="auto"/>
        <w:ind w:right="11"/>
        <w:jc w:val="right"/>
        <w:rPr>
          <w:i/>
        </w:rPr>
      </w:pPr>
      <w:r>
        <w:rPr>
          <w:i/>
        </w:rPr>
        <w:t xml:space="preserve">ultimately the ICANN community will decide in favor  </w:t>
      </w:r>
    </w:p>
    <w:p w14:paraId="0000013A" w14:textId="77777777" w:rsidR="00D60918" w:rsidRDefault="008D5436">
      <w:pPr>
        <w:widowControl w:val="0"/>
        <w:spacing w:line="240" w:lineRule="auto"/>
        <w:ind w:right="148"/>
        <w:jc w:val="right"/>
        <w:rPr>
          <w:i/>
        </w:rPr>
      </w:pPr>
      <w:r>
        <w:rPr>
          <w:i/>
        </w:rPr>
        <w:t xml:space="preserve">or against a limited introduction of “and/or”, but we  </w:t>
      </w:r>
    </w:p>
    <w:p w14:paraId="0000013B" w14:textId="77777777" w:rsidR="00D60918" w:rsidRDefault="008D5436">
      <w:pPr>
        <w:widowControl w:val="0"/>
        <w:spacing w:line="240" w:lineRule="auto"/>
        <w:ind w:right="868"/>
        <w:jc w:val="right"/>
        <w:rPr>
          <w:i/>
        </w:rPr>
      </w:pPr>
      <w:r>
        <w:rPr>
          <w:i/>
        </w:rPr>
        <w:t xml:space="preserve">identify this topic as one where it is at least  </w:t>
      </w:r>
    </w:p>
    <w:p w14:paraId="0000013C" w14:textId="77777777" w:rsidR="00D60918" w:rsidRDefault="008D5436">
      <w:pPr>
        <w:widowControl w:val="0"/>
        <w:spacing w:line="240" w:lineRule="auto"/>
        <w:jc w:val="right"/>
        <w:rPr>
          <w:i/>
        </w:rPr>
      </w:pPr>
      <w:r>
        <w:rPr>
          <w:i/>
        </w:rPr>
        <w:t xml:space="preserve">conceivable that with further work a consensus may  </w:t>
      </w:r>
    </w:p>
    <w:p w14:paraId="0000013D" w14:textId="77777777" w:rsidR="00D60918" w:rsidRDefault="008D5436">
      <w:pPr>
        <w:widowControl w:val="0"/>
        <w:spacing w:line="240" w:lineRule="auto"/>
        <w:ind w:right="1332"/>
        <w:jc w:val="right"/>
        <w:rPr>
          <w:i/>
        </w:rPr>
      </w:pPr>
      <w:r>
        <w:rPr>
          <w:i/>
        </w:rPr>
        <w:t xml:space="preserve">be achieved through delicate balance.  </w:t>
      </w:r>
    </w:p>
    <w:p w14:paraId="0000013E" w14:textId="77777777" w:rsidR="00D60918" w:rsidRDefault="00D60918"/>
    <w:p w14:paraId="0000013F" w14:textId="77777777" w:rsidR="00D60918" w:rsidRDefault="00D60918"/>
    <w:p w14:paraId="00000140" w14:textId="77777777" w:rsidR="00D60918" w:rsidRDefault="008D5436">
      <w:r w:rsidRPr="005A222C">
        <w:rPr>
          <w:highlight w:val="cyan"/>
        </w:rPr>
        <w:lastRenderedPageBreak/>
        <w:t xml:space="preserve">ABPI COMMENTS: ABPI agrees with the recommendation. The current requirement of demonstrating both bad faith registration </w:t>
      </w:r>
      <w:r w:rsidRPr="005A222C">
        <w:rPr>
          <w:i/>
          <w:highlight w:val="cyan"/>
        </w:rPr>
        <w:t>and</w:t>
      </w:r>
      <w:r w:rsidRPr="005A222C">
        <w:rPr>
          <w:highlight w:val="cyan"/>
        </w:rPr>
        <w:t xml:space="preserve"> use significantly limits access to the UDRP for thousands of victims of cybersquatting. In many cases, a domain name may have been registered in good faith, but later used in bad faith. Excluding such scenarios from the scope of the UDRP creates substantial obstacles — and, in some cases, makes it virtually impossible — for trademark owners to combat domain name abuse. The Brazilian ".BR" dispute resolution system ("Saci-ADM") adopts a more balanced “registration and/or use” standard, which has been suc</w:t>
      </w:r>
      <w:r w:rsidRPr="005A222C">
        <w:rPr>
          <w:highlight w:val="cyan"/>
        </w:rPr>
        <w:t>cessfully implemented for the past 15 years and has allowed hundreds of IP owners to seek redress through the policy.</w:t>
      </w:r>
      <w:r>
        <w:t xml:space="preserve"> </w:t>
      </w:r>
    </w:p>
    <w:p w14:paraId="00000141" w14:textId="77777777" w:rsidR="00D60918" w:rsidRDefault="00D60918"/>
    <w:p w14:paraId="00000142" w14:textId="77777777" w:rsidR="00D60918" w:rsidRDefault="008D5436">
      <w:r>
        <w:rPr>
          <w:u w:val="single"/>
        </w:rPr>
        <w:t>Supplemental Filings</w:t>
      </w:r>
      <w:r>
        <w:t xml:space="preserve">  </w:t>
      </w:r>
    </w:p>
    <w:p w14:paraId="00000143" w14:textId="77777777" w:rsidR="00D60918" w:rsidRDefault="008D5436">
      <w:pPr>
        <w:widowControl w:val="0"/>
        <w:spacing w:before="250" w:line="228" w:lineRule="auto"/>
        <w:ind w:left="12" w:right="125" w:firstLine="14"/>
      </w:pPr>
      <w:r>
        <w:t>Neither the UDRP nor the Rules regulate supplemental filings other than making it within the  discretion of the panel to request them. Nevertheless, in practice, supplemental filings are  sometimes submitted without a panel requesting them and thereby slow down or increase the  burden on panelists and other parties. Sometimes supplemental filings are unwarranted and  moreover they do not meet the test for admission set out in prior cases. As is captured in the  WIPO Overview, panels have repeatedly affirmed</w:t>
      </w:r>
      <w:r>
        <w:t xml:space="preserve"> that the party submitting or requesting to  submit an unsolicited supplemental filing should clearly show its relevance to the case and why  it was unable to provide the information contained therein in its complaint or response (e.g.,  owing to some “exceptional” circumstance). </w:t>
      </w:r>
    </w:p>
    <w:p w14:paraId="00000144" w14:textId="77777777" w:rsidR="00D60918" w:rsidRDefault="008D5436">
      <w:pPr>
        <w:widowControl w:val="0"/>
        <w:spacing w:before="258" w:line="228" w:lineRule="auto"/>
        <w:ind w:left="17" w:right="113" w:firstLine="3"/>
      </w:pPr>
      <w:r>
        <w:t xml:space="preserve">Often, when an unsolicited supplemental is filed by one party, whether justified or not, the other  party feels it is obliged to respond to it (sometimes at significant cost and effort) even if the  original supplemental filing is repetitive and/or ultimately disallowed. There are no rules  governing the length or content of a supplemental filing. </w:t>
      </w:r>
    </w:p>
    <w:p w14:paraId="00000145" w14:textId="77777777" w:rsidR="00D60918" w:rsidRDefault="008D5436">
      <w:pPr>
        <w:widowControl w:val="0"/>
        <w:spacing w:before="258" w:line="240" w:lineRule="auto"/>
        <w:ind w:right="390"/>
        <w:jc w:val="right"/>
        <w:rPr>
          <w:i/>
        </w:rPr>
      </w:pPr>
      <w:r>
        <w:rPr>
          <w:b/>
          <w:i/>
        </w:rPr>
        <w:t xml:space="preserve">Recommendation: </w:t>
      </w:r>
      <w:r>
        <w:rPr>
          <w:i/>
        </w:rPr>
        <w:t xml:space="preserve">Although the Project Team  </w:t>
      </w:r>
    </w:p>
    <w:p w14:paraId="00000146" w14:textId="77777777" w:rsidR="00D60918" w:rsidRDefault="008D5436">
      <w:pPr>
        <w:widowControl w:val="0"/>
        <w:spacing w:line="240" w:lineRule="auto"/>
        <w:ind w:right="146"/>
        <w:jc w:val="right"/>
        <w:rPr>
          <w:i/>
        </w:rPr>
      </w:pPr>
      <w:r>
        <w:rPr>
          <w:i/>
        </w:rPr>
        <w:t xml:space="preserve">was unable to reach unanimous agreement on the  </w:t>
      </w:r>
    </w:p>
    <w:p w14:paraId="00000147" w14:textId="77777777" w:rsidR="00D60918" w:rsidRDefault="008D5436">
      <w:pPr>
        <w:widowControl w:val="0"/>
        <w:spacing w:line="240" w:lineRule="auto"/>
        <w:ind w:right="355"/>
        <w:jc w:val="right"/>
        <w:rPr>
          <w:i/>
        </w:rPr>
      </w:pPr>
      <w:r>
        <w:rPr>
          <w:i/>
        </w:rPr>
        <w:t xml:space="preserve">specifics concerning supplementary filing issues  </w:t>
      </w:r>
    </w:p>
    <w:p w14:paraId="00000148" w14:textId="77777777" w:rsidR="00D60918" w:rsidRDefault="008D5436">
      <w:pPr>
        <w:widowControl w:val="0"/>
        <w:spacing w:line="240" w:lineRule="auto"/>
        <w:ind w:right="501"/>
        <w:jc w:val="right"/>
        <w:rPr>
          <w:i/>
        </w:rPr>
      </w:pPr>
      <w:r>
        <w:rPr>
          <w:i/>
        </w:rPr>
        <w:t xml:space="preserve">with some disagreement about whether a Rule  </w:t>
      </w:r>
    </w:p>
    <w:p w14:paraId="00000149" w14:textId="77777777" w:rsidR="00D60918" w:rsidRDefault="008D5436">
      <w:pPr>
        <w:widowControl w:val="0"/>
        <w:spacing w:line="240" w:lineRule="auto"/>
        <w:ind w:right="305"/>
        <w:jc w:val="right"/>
        <w:rPr>
          <w:sz w:val="18"/>
          <w:szCs w:val="18"/>
        </w:rPr>
      </w:pPr>
      <w:r>
        <w:rPr>
          <w:i/>
        </w:rPr>
        <w:t xml:space="preserve">change was required or whether a codification of </w:t>
      </w:r>
    </w:p>
    <w:p w14:paraId="0000014A" w14:textId="77777777" w:rsidR="00D60918" w:rsidRDefault="008D5436">
      <w:pPr>
        <w:widowControl w:val="0"/>
        <w:spacing w:line="240" w:lineRule="auto"/>
        <w:ind w:right="35"/>
        <w:jc w:val="right"/>
        <w:rPr>
          <w:i/>
        </w:rPr>
      </w:pPr>
      <w:r>
        <w:rPr>
          <w:i/>
        </w:rPr>
        <w:t xml:space="preserve">the case law or status quo is preferable, the Project  </w:t>
      </w:r>
    </w:p>
    <w:p w14:paraId="0000014B" w14:textId="77777777" w:rsidR="00D60918" w:rsidRDefault="008D5436">
      <w:pPr>
        <w:widowControl w:val="0"/>
        <w:spacing w:line="240" w:lineRule="auto"/>
        <w:ind w:right="305"/>
        <w:jc w:val="right"/>
        <w:rPr>
          <w:i/>
        </w:rPr>
      </w:pPr>
      <w:r>
        <w:rPr>
          <w:i/>
        </w:rPr>
        <w:t xml:space="preserve">Team agrees that supplemental filings should be  </w:t>
      </w:r>
    </w:p>
    <w:p w14:paraId="0000014C" w14:textId="77777777" w:rsidR="00D60918" w:rsidRDefault="008D5436">
      <w:pPr>
        <w:widowControl w:val="0"/>
        <w:spacing w:line="240" w:lineRule="auto"/>
        <w:ind w:right="62"/>
        <w:jc w:val="right"/>
        <w:rPr>
          <w:i/>
        </w:rPr>
      </w:pPr>
      <w:r>
        <w:rPr>
          <w:i/>
        </w:rPr>
        <w:t xml:space="preserve">further considered with a view to finding consensus  </w:t>
      </w:r>
    </w:p>
    <w:p w14:paraId="0000014D" w14:textId="77777777" w:rsidR="00D60918" w:rsidRDefault="008D5436">
      <w:pPr>
        <w:widowControl w:val="0"/>
        <w:spacing w:line="240" w:lineRule="auto"/>
        <w:ind w:right="451"/>
        <w:jc w:val="right"/>
        <w:rPr>
          <w:i/>
        </w:rPr>
      </w:pPr>
      <w:r>
        <w:rPr>
          <w:i/>
        </w:rPr>
        <w:t xml:space="preserve">on an improved and uniform manner of treating  </w:t>
      </w:r>
    </w:p>
    <w:p w14:paraId="0000014E" w14:textId="77777777" w:rsidR="00D60918" w:rsidRDefault="008D5436">
      <w:pPr>
        <w:widowControl w:val="0"/>
        <w:spacing w:line="240" w:lineRule="auto"/>
        <w:ind w:right="329"/>
        <w:jc w:val="right"/>
        <w:rPr>
          <w:i/>
        </w:rPr>
      </w:pPr>
      <w:r>
        <w:rPr>
          <w:i/>
        </w:rPr>
        <w:t xml:space="preserve">supplemental filings, which is consistent with the  </w:t>
      </w:r>
    </w:p>
    <w:p w14:paraId="0000014F" w14:textId="77777777" w:rsidR="00D60918" w:rsidRDefault="008D5436">
      <w:pPr>
        <w:widowControl w:val="0"/>
        <w:spacing w:line="240" w:lineRule="auto"/>
        <w:ind w:right="709"/>
        <w:jc w:val="right"/>
        <w:rPr>
          <w:i/>
        </w:rPr>
      </w:pPr>
      <w:r>
        <w:rPr>
          <w:i/>
        </w:rPr>
        <w:t xml:space="preserve">existing case law. This may take the form of  </w:t>
      </w:r>
    </w:p>
    <w:p w14:paraId="00000150" w14:textId="77777777" w:rsidR="00D60918" w:rsidRDefault="008D5436">
      <w:pPr>
        <w:widowControl w:val="0"/>
        <w:spacing w:line="240" w:lineRule="auto"/>
        <w:ind w:right="271"/>
        <w:jc w:val="right"/>
        <w:rPr>
          <w:i/>
        </w:rPr>
      </w:pPr>
      <w:r>
        <w:rPr>
          <w:i/>
        </w:rPr>
        <w:t xml:space="preserve">codification of current practices and discouraging  </w:t>
      </w:r>
    </w:p>
    <w:p w14:paraId="00000151" w14:textId="77777777" w:rsidR="00D60918" w:rsidRDefault="008D5436">
      <w:pPr>
        <w:widowControl w:val="0"/>
        <w:spacing w:line="240" w:lineRule="auto"/>
        <w:ind w:right="232"/>
        <w:jc w:val="right"/>
        <w:rPr>
          <w:i/>
        </w:rPr>
      </w:pPr>
      <w:r>
        <w:rPr>
          <w:i/>
        </w:rPr>
        <w:t xml:space="preserve">supplemental filings. The Project Team therefore  </w:t>
      </w:r>
    </w:p>
    <w:p w14:paraId="00000152" w14:textId="77777777" w:rsidR="00D60918" w:rsidRDefault="008D5436">
      <w:pPr>
        <w:widowControl w:val="0"/>
        <w:spacing w:line="240" w:lineRule="auto"/>
        <w:ind w:right="26"/>
        <w:jc w:val="right"/>
        <w:rPr>
          <w:i/>
        </w:rPr>
      </w:pPr>
      <w:r>
        <w:rPr>
          <w:i/>
        </w:rPr>
        <w:t xml:space="preserve">recommends that this issue be further explored and  </w:t>
      </w:r>
    </w:p>
    <w:p w14:paraId="00000153" w14:textId="77777777" w:rsidR="00D60918" w:rsidRDefault="008D5436">
      <w:pPr>
        <w:widowControl w:val="0"/>
        <w:spacing w:line="240" w:lineRule="auto"/>
        <w:ind w:right="168"/>
        <w:jc w:val="right"/>
        <w:rPr>
          <w:i/>
        </w:rPr>
      </w:pPr>
      <w:r>
        <w:rPr>
          <w:i/>
        </w:rPr>
        <w:t xml:space="preserve">deliberated upon in a Secondary Track of Phase 2. </w:t>
      </w:r>
    </w:p>
    <w:p w14:paraId="00000154" w14:textId="77777777" w:rsidR="00D60918" w:rsidRDefault="00D60918"/>
    <w:p w14:paraId="00000155" w14:textId="77777777" w:rsidR="00D60918" w:rsidRDefault="008D5436">
      <w:r w:rsidRPr="005A222C">
        <w:rPr>
          <w:highlight w:val="cyan"/>
        </w:rPr>
        <w:t xml:space="preserve">ABPI COMMENTS: ABPI agrees with the recommendation. Should this issue advance to a Secondary Track under Phase 2 and Supplemental Filings be permitted, it will be important to establish clear rules and limitations — including the number of </w:t>
      </w:r>
      <w:r w:rsidRPr="005A222C">
        <w:rPr>
          <w:highlight w:val="cyan"/>
        </w:rPr>
        <w:t>filings, word count, and permitted documentation — as well as the implementation of additional fees per filing, to reflect the increased administrative burden on service providers and the additional time and effort required from panelists.</w:t>
      </w:r>
    </w:p>
    <w:p w14:paraId="00000156" w14:textId="77777777" w:rsidR="00D60918" w:rsidRDefault="00D60918">
      <w:pPr>
        <w:pStyle w:val="Heading1"/>
        <w:widowControl w:val="0"/>
        <w:spacing w:before="500"/>
        <w:ind w:left="26"/>
      </w:pPr>
      <w:bookmarkStart w:id="29" w:name="_17upi1p4yjh" w:colFirst="0" w:colLast="0"/>
      <w:bookmarkEnd w:id="29"/>
    </w:p>
    <w:p w14:paraId="00000157" w14:textId="77777777" w:rsidR="00D60918" w:rsidRDefault="008D5436">
      <w:pPr>
        <w:pStyle w:val="Heading1"/>
        <w:widowControl w:val="0"/>
        <w:spacing w:before="500"/>
        <w:ind w:left="26"/>
      </w:pPr>
      <w:bookmarkStart w:id="30" w:name="_gwi3eq9j7npt" w:colFirst="0" w:colLast="0"/>
      <w:bookmarkEnd w:id="30"/>
      <w:r>
        <w:t xml:space="preserve">Expedited or Summary Procedures </w:t>
      </w:r>
    </w:p>
    <w:p w14:paraId="00000158" w14:textId="77777777" w:rsidR="00D60918" w:rsidRDefault="008D5436">
      <w:pPr>
        <w:widowControl w:val="0"/>
        <w:spacing w:before="249" w:line="228" w:lineRule="auto"/>
        <w:ind w:left="13" w:right="26" w:firstLine="12"/>
      </w:pPr>
      <w:r>
        <w:t>Brand owners have often expressed interest in a faster-track UDRP-style process (if not simply  a faster UDRP). Such a procedure was supposed to have been created for new gTLDs, namely  the URS, but unfortunately it has a number of aspects which have severely limited its  attractiveness and use. For example, the URS is only available for non-legacy new gTLDs and  does not enable transfer, but rather suspension only. Furthermore, it increases the burden on  complainants in terms of monitoring a suspended dom</w:t>
      </w:r>
      <w:r>
        <w:t xml:space="preserve">ain name including for a possibly  extended period of time. It also contains several different types of appeals possibilities. </w:t>
      </w:r>
    </w:p>
    <w:p w14:paraId="00000159" w14:textId="77777777" w:rsidR="00D60918" w:rsidRDefault="008D5436">
      <w:pPr>
        <w:widowControl w:val="0"/>
        <w:spacing w:before="258" w:line="228" w:lineRule="auto"/>
        <w:ind w:left="17" w:right="212" w:hanging="4"/>
      </w:pPr>
      <w:r>
        <w:t>WIPO had also in 2009 proposed an Expedited Suspension Mechanism – a conceptual hybrid  of the DMCA and UDRP where a respondent’s failure to respond could trigger an expedited  procedure and in particular, a finding of default which would have led to a suspension of the  domain name for the duration of its registration period; where the complainant wished for the  domain name to be transferred or permanently canceled a panel determination would be  necessary. It has also been suggested that an expedited tra</w:t>
      </w:r>
      <w:r>
        <w:t xml:space="preserve">nsfer procedure could focus on  helping complainants who frequently have to use the UDRP to defend the same trademark  repeatedly. Others still have proposed that, notwithstanding that it was proposed and rejected  in the ICANN Phase 1 Review, that the URS be applied to all gTLDs, including “.com”. </w:t>
      </w:r>
    </w:p>
    <w:p w14:paraId="0000015A" w14:textId="77777777" w:rsidR="00D60918" w:rsidRDefault="008D5436">
      <w:pPr>
        <w:widowControl w:val="0"/>
        <w:spacing w:before="258" w:line="229" w:lineRule="auto"/>
        <w:ind w:left="13" w:right="310" w:firstLine="1"/>
      </w:pPr>
      <w:r>
        <w:t xml:space="preserve">The Project Team agreed that an expedited element in the UDRP would be useful to address  the disproportionate enforcement burdens brand owners are forced to contend with, not to  mention the increased volume of fraud-based cases in recent years. While agreeing on the  concept, the Project Team differed on the specific attributes an expedited procedure should  contain.  </w:t>
      </w:r>
    </w:p>
    <w:p w14:paraId="0000015B" w14:textId="77777777" w:rsidR="00D60918" w:rsidRDefault="008D5436">
      <w:pPr>
        <w:widowControl w:val="0"/>
        <w:spacing w:before="256" w:line="229" w:lineRule="auto"/>
        <w:ind w:left="13" w:right="55" w:firstLine="1"/>
      </w:pPr>
      <w:r>
        <w:t>The Project Team considered the following possibilities: (i) a Nominet-style summary/full  decision model for faster and cheaper default cases; (ii) a fast-track available for trademarks  that are repeatedly targeted; (iii) default decisions i.e., no panel if there is no response, with the  domain name temporarily suspended (which suspension can be lifted, possibly with conditions,  if a response is filed prior to the duration of the registration), but a panel is appointed if the  brand owner wishes for a t</w:t>
      </w:r>
      <w:r>
        <w:t xml:space="preserve">ransfer or permanent cancellation remedy; and/or, (iv) procedures for  time-sensitive fraud-related issues.  </w:t>
      </w:r>
    </w:p>
    <w:p w14:paraId="0000015C" w14:textId="77777777" w:rsidR="00D60918" w:rsidRDefault="008D5436">
      <w:pPr>
        <w:widowControl w:val="0"/>
        <w:spacing w:before="258" w:line="229" w:lineRule="auto"/>
        <w:ind w:left="17" w:right="506" w:hanging="3"/>
        <w:rPr>
          <w:sz w:val="18"/>
          <w:szCs w:val="18"/>
        </w:rPr>
      </w:pPr>
      <w:r>
        <w:t>The above possibilities were not meant to be mutually exclusive, i.e., it could be possible to  combine certain attributes of some or all of them in addressing the desire to provide an  expedited path for certain types of UDRP cases.</w:t>
      </w:r>
    </w:p>
    <w:p w14:paraId="0000015D" w14:textId="77777777" w:rsidR="00D60918" w:rsidRDefault="008D5436">
      <w:pPr>
        <w:widowControl w:val="0"/>
        <w:spacing w:line="228" w:lineRule="auto"/>
        <w:ind w:left="16" w:right="420" w:firstLine="13"/>
      </w:pPr>
      <w:r>
        <w:t xml:space="preserve">It was also clear that there may be things a Provider could do within its fee structure to meet  some of the expressed concerns even absent a Policy or Rules change. </w:t>
      </w:r>
    </w:p>
    <w:p w14:paraId="0000015E" w14:textId="77777777" w:rsidR="00D60918" w:rsidRDefault="008D5436">
      <w:pPr>
        <w:widowControl w:val="0"/>
        <w:spacing w:before="259" w:line="240" w:lineRule="auto"/>
        <w:ind w:right="464"/>
        <w:jc w:val="right"/>
        <w:rPr>
          <w:i/>
        </w:rPr>
      </w:pPr>
      <w:r>
        <w:rPr>
          <w:b/>
          <w:i/>
        </w:rPr>
        <w:t xml:space="preserve">Recommendation: </w:t>
      </w:r>
      <w:r>
        <w:rPr>
          <w:i/>
        </w:rPr>
        <w:t xml:space="preserve">The Project Team felt that  </w:t>
      </w:r>
    </w:p>
    <w:p w14:paraId="0000015F" w14:textId="77777777" w:rsidR="00D60918" w:rsidRDefault="008D5436">
      <w:pPr>
        <w:widowControl w:val="0"/>
        <w:spacing w:line="240" w:lineRule="auto"/>
        <w:ind w:right="427"/>
        <w:jc w:val="right"/>
        <w:rPr>
          <w:i/>
        </w:rPr>
      </w:pPr>
      <w:r>
        <w:rPr>
          <w:i/>
        </w:rPr>
        <w:t xml:space="preserve">although agreeing on the form of any expedited  </w:t>
      </w:r>
    </w:p>
    <w:p w14:paraId="00000160" w14:textId="77777777" w:rsidR="00D60918" w:rsidRDefault="008D5436">
      <w:pPr>
        <w:widowControl w:val="0"/>
        <w:spacing w:line="240" w:lineRule="auto"/>
        <w:ind w:right="429"/>
        <w:jc w:val="right"/>
        <w:rPr>
          <w:i/>
        </w:rPr>
      </w:pPr>
      <w:r>
        <w:rPr>
          <w:i/>
        </w:rPr>
        <w:t xml:space="preserve">procedure would require further discussion, it is  </w:t>
      </w:r>
    </w:p>
    <w:p w14:paraId="00000161" w14:textId="77777777" w:rsidR="00D60918" w:rsidRDefault="008D5436">
      <w:pPr>
        <w:widowControl w:val="0"/>
        <w:spacing w:line="240" w:lineRule="auto"/>
        <w:jc w:val="right"/>
        <w:rPr>
          <w:i/>
        </w:rPr>
      </w:pPr>
      <w:r>
        <w:rPr>
          <w:i/>
        </w:rPr>
        <w:t xml:space="preserve">nevertheless highly worthwhile to further investigate  </w:t>
      </w:r>
    </w:p>
    <w:p w14:paraId="00000162" w14:textId="77777777" w:rsidR="00D60918" w:rsidRDefault="008D5436">
      <w:pPr>
        <w:widowControl w:val="0"/>
        <w:spacing w:line="240" w:lineRule="auto"/>
        <w:ind w:right="24"/>
        <w:jc w:val="right"/>
        <w:rPr>
          <w:i/>
        </w:rPr>
      </w:pPr>
      <w:r>
        <w:rPr>
          <w:i/>
        </w:rPr>
        <w:t xml:space="preserve">and deliberate upon the details of such a procedure  </w:t>
      </w:r>
    </w:p>
    <w:p w14:paraId="00000163" w14:textId="77777777" w:rsidR="00D60918" w:rsidRDefault="008D5436">
      <w:pPr>
        <w:widowControl w:val="0"/>
        <w:spacing w:line="240" w:lineRule="auto"/>
        <w:ind w:right="537"/>
        <w:jc w:val="right"/>
        <w:rPr>
          <w:i/>
        </w:rPr>
      </w:pPr>
      <w:r>
        <w:rPr>
          <w:i/>
        </w:rPr>
        <w:t xml:space="preserve">with a view to finding a solution that deals with  </w:t>
      </w:r>
    </w:p>
    <w:p w14:paraId="00000164" w14:textId="77777777" w:rsidR="00D60918" w:rsidRDefault="008D5436">
      <w:pPr>
        <w:widowControl w:val="0"/>
        <w:spacing w:line="240" w:lineRule="auto"/>
        <w:ind w:right="794"/>
        <w:jc w:val="right"/>
        <w:rPr>
          <w:i/>
        </w:rPr>
      </w:pPr>
      <w:r>
        <w:rPr>
          <w:i/>
        </w:rPr>
        <w:t xml:space="preserve">certain kinds of cybersquatting abuse on an  </w:t>
      </w:r>
    </w:p>
    <w:p w14:paraId="00000165" w14:textId="77777777" w:rsidR="00D60918" w:rsidRDefault="008D5436">
      <w:pPr>
        <w:widowControl w:val="0"/>
        <w:spacing w:line="240" w:lineRule="auto"/>
        <w:ind w:right="710"/>
        <w:jc w:val="right"/>
        <w:rPr>
          <w:i/>
        </w:rPr>
      </w:pPr>
      <w:r>
        <w:rPr>
          <w:i/>
        </w:rPr>
        <w:t xml:space="preserve">expedited basis, while ensuring that rights of  </w:t>
      </w:r>
    </w:p>
    <w:p w14:paraId="00000166" w14:textId="77777777" w:rsidR="00D60918" w:rsidRDefault="008D5436">
      <w:pPr>
        <w:widowControl w:val="0"/>
        <w:spacing w:line="240" w:lineRule="auto"/>
        <w:ind w:right="1673"/>
        <w:jc w:val="right"/>
        <w:rPr>
          <w:i/>
        </w:rPr>
      </w:pPr>
      <w:r>
        <w:rPr>
          <w:i/>
        </w:rPr>
        <w:t xml:space="preserve">legitimate registrants are protected. </w:t>
      </w:r>
    </w:p>
    <w:p w14:paraId="00000167" w14:textId="77777777" w:rsidR="00D60918" w:rsidRDefault="008D5436">
      <w:pPr>
        <w:widowControl w:val="0"/>
        <w:spacing w:before="248" w:line="240" w:lineRule="auto"/>
        <w:ind w:right="952"/>
        <w:jc w:val="right"/>
        <w:rPr>
          <w:i/>
        </w:rPr>
      </w:pPr>
      <w:r>
        <w:rPr>
          <w:i/>
        </w:rPr>
        <w:t xml:space="preserve">We would therefore recommend that such  </w:t>
      </w:r>
    </w:p>
    <w:p w14:paraId="00000168" w14:textId="77777777" w:rsidR="00D60918" w:rsidRDefault="008D5436">
      <w:pPr>
        <w:widowControl w:val="0"/>
        <w:spacing w:line="240" w:lineRule="auto"/>
        <w:ind w:right="136"/>
        <w:jc w:val="right"/>
        <w:rPr>
          <w:i/>
        </w:rPr>
      </w:pPr>
      <w:r>
        <w:rPr>
          <w:i/>
        </w:rPr>
        <w:lastRenderedPageBreak/>
        <w:t xml:space="preserve">consideration be subject to a “Secondary Track” in  </w:t>
      </w:r>
    </w:p>
    <w:p w14:paraId="00000169" w14:textId="77777777" w:rsidR="00D60918" w:rsidRDefault="008D5436">
      <w:pPr>
        <w:widowControl w:val="0"/>
        <w:spacing w:line="240" w:lineRule="auto"/>
        <w:ind w:right="794"/>
        <w:jc w:val="right"/>
        <w:rPr>
          <w:i/>
        </w:rPr>
      </w:pPr>
      <w:r>
        <w:rPr>
          <w:i/>
        </w:rPr>
        <w:t xml:space="preserve">Phase 2 as consensus appears achievable.  </w:t>
      </w:r>
    </w:p>
    <w:p w14:paraId="0000016A" w14:textId="77777777" w:rsidR="00D60918" w:rsidRDefault="00D60918">
      <w:pPr>
        <w:pStyle w:val="Heading1"/>
        <w:widowControl w:val="0"/>
        <w:spacing w:before="500"/>
        <w:ind w:left="26"/>
      </w:pPr>
      <w:bookmarkStart w:id="31" w:name="_aj42915mna5e" w:colFirst="0" w:colLast="0"/>
      <w:bookmarkEnd w:id="31"/>
    </w:p>
    <w:p w14:paraId="0000016B" w14:textId="77777777" w:rsidR="00D60918" w:rsidRDefault="008D5436">
      <w:r w:rsidRPr="005A222C">
        <w:rPr>
          <w:highlight w:val="cyan"/>
        </w:rPr>
        <w:t xml:space="preserve">ABPI COMMENTS: ABPI agrees with the recommendation. For further </w:t>
      </w:r>
      <w:r w:rsidRPr="005A222C">
        <w:rPr>
          <w:highlight w:val="cyan"/>
        </w:rPr>
        <w:t>consideration in Phase 2</w:t>
      </w:r>
    </w:p>
    <w:p w14:paraId="0000016C" w14:textId="77777777" w:rsidR="00D60918" w:rsidRDefault="008D5436">
      <w:pPr>
        <w:pStyle w:val="Heading1"/>
        <w:widowControl w:val="0"/>
        <w:spacing w:before="500"/>
        <w:ind w:left="26"/>
      </w:pPr>
      <w:bookmarkStart w:id="32" w:name="_qjv0yu3qcn1" w:colFirst="0" w:colLast="0"/>
      <w:bookmarkEnd w:id="32"/>
      <w:r>
        <w:t xml:space="preserve">Remedy: True Cancellation </w:t>
      </w:r>
    </w:p>
    <w:p w14:paraId="0000016D" w14:textId="77777777" w:rsidR="00D60918" w:rsidRDefault="008D5436">
      <w:pPr>
        <w:widowControl w:val="0"/>
        <w:spacing w:before="249" w:line="228" w:lineRule="auto"/>
        <w:ind w:left="14" w:right="212" w:firstLine="6"/>
        <w:rPr>
          <w:color w:val="262627"/>
        </w:rPr>
      </w:pPr>
      <w:r>
        <w:rPr>
          <w:color w:val="262627"/>
        </w:rPr>
        <w:t xml:space="preserve">Cancellation has always been a remedy available under the UDRP however it is infrequently  used because complainants would rather obtain a transfer of the domain name – even if it  means continually paying registration and renewal fees, rather than permitting a domain name  to re-enter circulation following a “cancellation” order.  </w:t>
      </w:r>
    </w:p>
    <w:p w14:paraId="0000016E" w14:textId="77777777" w:rsidR="00D60918" w:rsidRDefault="008D5436">
      <w:pPr>
        <w:widowControl w:val="0"/>
        <w:spacing w:before="258" w:line="229" w:lineRule="auto"/>
        <w:ind w:left="12" w:right="4" w:firstLine="8"/>
        <w:rPr>
          <w:color w:val="262627"/>
        </w:rPr>
      </w:pPr>
      <w:r>
        <w:rPr>
          <w:color w:val="262627"/>
        </w:rPr>
        <w:t>Owing to the costs to maintain a registration for a domain claimed under a UDRP, brand owners  have often asked that the UDRP enable a domain name to be permanently canceled, such that  renewal fees do not need to be paid merely to keep the domain name out of the hands of  cybersquatters. This could be subject to a periodic proof by the brand owner that its (registered)  mark remains valid. Arguably, registries and registrars should be willing to forgo the revenue  from domain names which panels have determ</w:t>
      </w:r>
      <w:r>
        <w:rPr>
          <w:color w:val="262627"/>
        </w:rPr>
        <w:t xml:space="preserve">ined should have never been registered in the  first place.  </w:t>
      </w:r>
    </w:p>
    <w:p w14:paraId="0000016F" w14:textId="77777777" w:rsidR="00D60918" w:rsidRDefault="008D5436">
      <w:pPr>
        <w:widowControl w:val="0"/>
        <w:spacing w:before="256" w:line="229" w:lineRule="auto"/>
        <w:ind w:left="10" w:right="101" w:firstLine="16"/>
        <w:rPr>
          <w:color w:val="262627"/>
        </w:rPr>
      </w:pPr>
      <w:r>
        <w:rPr>
          <w:color w:val="262627"/>
        </w:rPr>
        <w:t xml:space="preserve">Nevertheless, because of the possibility of coexistence of trademarks or use of words in a non trademark sense – such that certain domain names should not be permanently kept out of  circulation where another party may be able to use it in good faith without infringement – consideration must also be given to how to deal with such instances. For example, the Australian ccTLD manager AUDA once managed this (in a policy it called the Prohibition on Misspellings) by allowing a third party to ask that a name be </w:t>
      </w:r>
      <w:r>
        <w:rPr>
          <w:color w:val="262627"/>
        </w:rPr>
        <w:t xml:space="preserve">lifted from its cancelled/suspended  state upon the showing of a legitimate claim to the domain name. The operational considerations (e.g., a process to lift a domain name out of cancellation) that such a potential remedy brings to the UDRP would of course have to be considered if cancellation was repurposed to mean that a domain name was taken “off the grid” and no longer in the pool of generally available domain names. </w:t>
      </w:r>
    </w:p>
    <w:p w14:paraId="00000171" w14:textId="0C1AAB43" w:rsidR="00D60918" w:rsidRPr="005A222C" w:rsidRDefault="008D5436" w:rsidP="005A222C">
      <w:pPr>
        <w:widowControl w:val="0"/>
        <w:spacing w:before="256" w:line="229" w:lineRule="auto"/>
        <w:ind w:left="17" w:right="52" w:hanging="1"/>
        <w:rPr>
          <w:color w:val="262627"/>
        </w:rPr>
      </w:pPr>
      <w:r>
        <w:rPr>
          <w:color w:val="262627"/>
        </w:rPr>
        <w:t>The Project Team was in favor of true cancellation as a new remedy, but did not fully advance a solution for exactly how such a system would work, particularly with regard to lifting a  cancellation due to potential third-party good faith use.</w:t>
      </w:r>
      <w:r w:rsidR="005A222C">
        <w:rPr>
          <w:color w:val="262627"/>
        </w:rPr>
        <w:br/>
      </w:r>
    </w:p>
    <w:p w14:paraId="00000172" w14:textId="77777777" w:rsidR="00D60918" w:rsidRDefault="008D5436">
      <w:pPr>
        <w:widowControl w:val="0"/>
        <w:spacing w:line="240" w:lineRule="auto"/>
        <w:ind w:right="464"/>
        <w:jc w:val="right"/>
        <w:rPr>
          <w:i/>
        </w:rPr>
      </w:pPr>
      <w:r>
        <w:rPr>
          <w:b/>
          <w:i/>
        </w:rPr>
        <w:t xml:space="preserve">Recommendation: </w:t>
      </w:r>
      <w:r>
        <w:rPr>
          <w:i/>
        </w:rPr>
        <w:t xml:space="preserve">The Project Team felt that  </w:t>
      </w:r>
    </w:p>
    <w:p w14:paraId="00000173" w14:textId="77777777" w:rsidR="00D60918" w:rsidRDefault="008D5436">
      <w:pPr>
        <w:widowControl w:val="0"/>
        <w:spacing w:line="240" w:lineRule="auto"/>
        <w:ind w:right="660"/>
        <w:jc w:val="right"/>
        <w:rPr>
          <w:i/>
        </w:rPr>
      </w:pPr>
      <w:r>
        <w:rPr>
          <w:i/>
        </w:rPr>
        <w:t xml:space="preserve">“true cancellation” should be considered as a  </w:t>
      </w:r>
    </w:p>
    <w:p w14:paraId="00000174" w14:textId="77777777" w:rsidR="00D60918" w:rsidRDefault="008D5436">
      <w:pPr>
        <w:widowControl w:val="0"/>
        <w:spacing w:line="240" w:lineRule="auto"/>
        <w:ind w:right="232"/>
        <w:jc w:val="right"/>
        <w:rPr>
          <w:i/>
        </w:rPr>
      </w:pPr>
      <w:r>
        <w:rPr>
          <w:i/>
        </w:rPr>
        <w:t xml:space="preserve">remedy under the UDRP, provided that a suitable  </w:t>
      </w:r>
    </w:p>
    <w:p w14:paraId="00000175" w14:textId="77777777" w:rsidR="00D60918" w:rsidRDefault="008D5436">
      <w:pPr>
        <w:widowControl w:val="0"/>
        <w:spacing w:line="240" w:lineRule="auto"/>
        <w:ind w:right="220"/>
        <w:jc w:val="right"/>
        <w:rPr>
          <w:i/>
        </w:rPr>
      </w:pPr>
      <w:r>
        <w:rPr>
          <w:i/>
        </w:rPr>
        <w:t xml:space="preserve">mechanism for lifting the cancellation so that third  </w:t>
      </w:r>
    </w:p>
    <w:p w14:paraId="00000176" w14:textId="77777777" w:rsidR="00D60918" w:rsidRDefault="008D5436">
      <w:pPr>
        <w:widowControl w:val="0"/>
        <w:spacing w:line="240" w:lineRule="auto"/>
        <w:ind w:right="1089"/>
        <w:jc w:val="right"/>
        <w:rPr>
          <w:i/>
        </w:rPr>
      </w:pPr>
      <w:r>
        <w:rPr>
          <w:i/>
        </w:rPr>
        <w:t xml:space="preserve">parties are not prevented from legitimate  </w:t>
      </w:r>
    </w:p>
    <w:p w14:paraId="00000177" w14:textId="77777777" w:rsidR="00D60918" w:rsidRDefault="008D5436">
      <w:pPr>
        <w:widowControl w:val="0"/>
        <w:spacing w:line="240" w:lineRule="auto"/>
        <w:ind w:right="1896"/>
        <w:jc w:val="right"/>
        <w:rPr>
          <w:i/>
        </w:rPr>
      </w:pPr>
      <w:r>
        <w:rPr>
          <w:i/>
        </w:rPr>
        <w:t xml:space="preserve">registrations can be determined.  </w:t>
      </w:r>
    </w:p>
    <w:p w14:paraId="00000178" w14:textId="77777777" w:rsidR="00D60918" w:rsidRDefault="008D5436">
      <w:pPr>
        <w:widowControl w:val="0"/>
        <w:spacing w:before="248" w:line="240" w:lineRule="auto"/>
        <w:ind w:right="501"/>
        <w:jc w:val="right"/>
        <w:rPr>
          <w:i/>
        </w:rPr>
      </w:pPr>
      <w:r>
        <w:rPr>
          <w:i/>
        </w:rPr>
        <w:t xml:space="preserve">Figuring out a satisfactory method may require  </w:t>
      </w:r>
    </w:p>
    <w:p w14:paraId="00000179" w14:textId="77777777" w:rsidR="00D60918" w:rsidRDefault="008D5436">
      <w:pPr>
        <w:widowControl w:val="0"/>
        <w:spacing w:line="240" w:lineRule="auto"/>
        <w:ind w:right="489"/>
        <w:jc w:val="right"/>
        <w:rPr>
          <w:i/>
        </w:rPr>
      </w:pPr>
      <w:r>
        <w:rPr>
          <w:i/>
        </w:rPr>
        <w:t xml:space="preserve">some nuance but appears not only to be within  </w:t>
      </w:r>
    </w:p>
    <w:p w14:paraId="0000017A" w14:textId="77777777" w:rsidR="00D60918" w:rsidRDefault="008D5436">
      <w:pPr>
        <w:widowControl w:val="0"/>
        <w:spacing w:line="240" w:lineRule="auto"/>
        <w:ind w:right="246"/>
        <w:jc w:val="right"/>
        <w:rPr>
          <w:i/>
        </w:rPr>
      </w:pPr>
      <w:r>
        <w:rPr>
          <w:i/>
        </w:rPr>
        <w:t xml:space="preserve">reach, but worth a dedicated effort. We therefore  </w:t>
      </w:r>
    </w:p>
    <w:p w14:paraId="0000017B" w14:textId="77777777" w:rsidR="00D60918" w:rsidRDefault="008D5436">
      <w:pPr>
        <w:widowControl w:val="0"/>
        <w:spacing w:line="240" w:lineRule="auto"/>
        <w:ind w:right="734"/>
        <w:jc w:val="right"/>
        <w:rPr>
          <w:i/>
        </w:rPr>
      </w:pPr>
      <w:r>
        <w:rPr>
          <w:i/>
        </w:rPr>
        <w:t xml:space="preserve">recommend that this issue be prioritized in a  </w:t>
      </w:r>
    </w:p>
    <w:p w14:paraId="0000017C" w14:textId="77777777" w:rsidR="00D60918" w:rsidRDefault="008D5436">
      <w:pPr>
        <w:widowControl w:val="0"/>
        <w:spacing w:line="240" w:lineRule="auto"/>
        <w:ind w:right="62"/>
        <w:jc w:val="right"/>
        <w:rPr>
          <w:i/>
        </w:rPr>
      </w:pPr>
      <w:r>
        <w:rPr>
          <w:i/>
        </w:rPr>
        <w:t xml:space="preserve">dedicated “Secondary Track” in Phase 2 in order to  </w:t>
      </w:r>
    </w:p>
    <w:p w14:paraId="0000017D" w14:textId="77777777" w:rsidR="00D60918" w:rsidRDefault="008D5436">
      <w:pPr>
        <w:widowControl w:val="0"/>
        <w:spacing w:line="240" w:lineRule="auto"/>
        <w:ind w:right="3189"/>
        <w:jc w:val="right"/>
        <w:rPr>
          <w:i/>
        </w:rPr>
      </w:pPr>
      <w:r>
        <w:rPr>
          <w:i/>
        </w:rPr>
        <w:t xml:space="preserve">achieve consensus. </w:t>
      </w:r>
    </w:p>
    <w:p w14:paraId="0000017F" w14:textId="7628E5BB" w:rsidR="00D60918" w:rsidRDefault="005A222C">
      <w:bookmarkStart w:id="33" w:name="_sqrujtlp44q4" w:colFirst="0" w:colLast="0"/>
      <w:bookmarkEnd w:id="33"/>
      <w:r>
        <w:br/>
      </w:r>
      <w:r w:rsidRPr="005A222C">
        <w:rPr>
          <w:highlight w:val="cyan"/>
        </w:rPr>
        <w:t>ABPI COMMENTS: ABPI agrees with the recommendation.</w:t>
      </w:r>
    </w:p>
    <w:p w14:paraId="00000180" w14:textId="77777777" w:rsidR="00D60918" w:rsidRDefault="008D5436">
      <w:pPr>
        <w:pStyle w:val="Heading1"/>
        <w:widowControl w:val="0"/>
        <w:spacing w:before="500"/>
        <w:ind w:left="26"/>
      </w:pPr>
      <w:bookmarkStart w:id="34" w:name="_cg12nk1aov1" w:colFirst="0" w:colLast="0"/>
      <w:bookmarkEnd w:id="34"/>
      <w:r>
        <w:lastRenderedPageBreak/>
        <w:t xml:space="preserve">Panelist Appointment, Accreditation, and Quality </w:t>
      </w:r>
    </w:p>
    <w:p w14:paraId="00000181" w14:textId="77777777" w:rsidR="00D60918" w:rsidRDefault="008D5436">
      <w:pPr>
        <w:widowControl w:val="0"/>
        <w:spacing w:before="249" w:line="228" w:lineRule="auto"/>
        <w:ind w:left="9" w:right="173"/>
      </w:pPr>
      <w:r>
        <w:t>Another issue which has been raised, including in the Phase I Charter, is whether there should  be rules for the appointment of UDRP panels, such as formalized rotations. Some believe that  a “cab rank” concept is a good idea, but others believe that panelist appointments should be  made with regard to other criteria, such as expertise, experience, nationality, language, etc.  Additionally, the qualification of panelists lacks a uniform approach to accreditation, re accreditation, continuing education, or d</w:t>
      </w:r>
      <w:r>
        <w:t xml:space="preserve">e-accreditation amongst Providers. </w:t>
      </w:r>
    </w:p>
    <w:p w14:paraId="00000182" w14:textId="77777777" w:rsidR="00D60918" w:rsidRDefault="008D5436">
      <w:pPr>
        <w:widowControl w:val="0"/>
        <w:spacing w:before="258" w:line="228" w:lineRule="auto"/>
        <w:ind w:left="10" w:right="87" w:firstLine="4"/>
      </w:pPr>
      <w:r>
        <w:t>The question of whether panelists should be permitted to also act as advocates has also been  raised. There are however considerations such as: would a prohibition against panelists also  acting as advocates result in an unsatisfactory depletion of subject matter expertise available to  hear cases? Would such a prohibition prevent entire firms from acting as counsel if a panelist  was at the firm? Would solo practitioners be disadvantaged since they cannot have an  associate at their firm file a pleading fo</w:t>
      </w:r>
      <w:r>
        <w:t xml:space="preserve">r them unlike lawyers at larger firms? What about a  person filing under an associate’s name in order to circumvent a prohibition against acting both  as panelist and counsel? These are issues which involve many considerations which – to be  clear – do not lend themselves to an immediate or easy solution. </w:t>
      </w:r>
    </w:p>
    <w:p w14:paraId="00000183" w14:textId="77777777" w:rsidR="00D60918" w:rsidRDefault="008D5436">
      <w:pPr>
        <w:widowControl w:val="0"/>
        <w:spacing w:before="258" w:line="228" w:lineRule="auto"/>
        <w:ind w:left="27" w:right="157" w:hanging="1"/>
      </w:pPr>
      <w:r>
        <w:t xml:space="preserve">Lastly, the issue of panelist neutrality and quality has been raised and there are currently no Provider-wide criteria for panelist accreditation, quality, or requirement for continuing education. </w:t>
      </w:r>
    </w:p>
    <w:p w14:paraId="00000184" w14:textId="77777777" w:rsidR="00D60918" w:rsidRDefault="008D5436">
      <w:pPr>
        <w:widowControl w:val="0"/>
        <w:spacing w:before="259" w:line="240" w:lineRule="auto"/>
        <w:ind w:right="73"/>
        <w:jc w:val="right"/>
        <w:rPr>
          <w:i/>
        </w:rPr>
      </w:pPr>
      <w:r>
        <w:rPr>
          <w:b/>
          <w:i/>
        </w:rPr>
        <w:t xml:space="preserve">Recommendation: </w:t>
      </w:r>
      <w:r>
        <w:rPr>
          <w:i/>
        </w:rPr>
        <w:t xml:space="preserve">The Project Team was unable  </w:t>
      </w:r>
    </w:p>
    <w:p w14:paraId="00000185" w14:textId="77777777" w:rsidR="00D60918" w:rsidRDefault="008D5436">
      <w:pPr>
        <w:widowControl w:val="0"/>
        <w:spacing w:line="240" w:lineRule="auto"/>
        <w:ind w:right="343"/>
        <w:jc w:val="right"/>
        <w:rPr>
          <w:i/>
        </w:rPr>
      </w:pPr>
      <w:r>
        <w:rPr>
          <w:i/>
        </w:rPr>
        <w:t xml:space="preserve">to reach unanimous agreement on these issues.  </w:t>
      </w:r>
    </w:p>
    <w:p w14:paraId="00000186" w14:textId="77777777" w:rsidR="00D60918" w:rsidRDefault="008D5436">
      <w:pPr>
        <w:widowControl w:val="0"/>
        <w:spacing w:before="248" w:line="240" w:lineRule="auto"/>
        <w:ind w:right="611"/>
        <w:jc w:val="right"/>
        <w:rPr>
          <w:i/>
        </w:rPr>
      </w:pPr>
      <w:r>
        <w:rPr>
          <w:i/>
        </w:rPr>
        <w:t xml:space="preserve">Most of the Project Team however expressed  </w:t>
      </w:r>
    </w:p>
    <w:p w14:paraId="00000187" w14:textId="77777777" w:rsidR="00D60918" w:rsidRDefault="008D5436">
      <w:pPr>
        <w:widowControl w:val="0"/>
        <w:spacing w:line="240" w:lineRule="auto"/>
        <w:ind w:right="662"/>
        <w:jc w:val="right"/>
        <w:rPr>
          <w:i/>
        </w:rPr>
      </w:pPr>
      <w:r>
        <w:rPr>
          <w:i/>
        </w:rPr>
        <w:t xml:space="preserve">support for consideration in any future UDRP  </w:t>
      </w:r>
    </w:p>
    <w:p w14:paraId="00000188" w14:textId="77777777" w:rsidR="00D60918" w:rsidRDefault="008D5436">
      <w:pPr>
        <w:widowControl w:val="0"/>
        <w:spacing w:line="240" w:lineRule="auto"/>
        <w:ind w:right="745"/>
        <w:jc w:val="right"/>
        <w:rPr>
          <w:i/>
        </w:rPr>
      </w:pPr>
      <w:r>
        <w:rPr>
          <w:i/>
        </w:rPr>
        <w:t xml:space="preserve">review of matters such as a process to raise  </w:t>
      </w:r>
    </w:p>
    <w:p w14:paraId="00000189" w14:textId="77777777" w:rsidR="00D60918" w:rsidRDefault="008D5436">
      <w:pPr>
        <w:widowControl w:val="0"/>
        <w:spacing w:line="240" w:lineRule="auto"/>
        <w:ind w:right="170"/>
        <w:jc w:val="right"/>
        <w:rPr>
          <w:i/>
        </w:rPr>
      </w:pPr>
      <w:r>
        <w:rPr>
          <w:i/>
        </w:rPr>
        <w:t xml:space="preserve">concerns about panelist performance and panelist  </w:t>
      </w:r>
    </w:p>
    <w:p w14:paraId="0000018A" w14:textId="77777777" w:rsidR="00D60918" w:rsidRDefault="008D5436">
      <w:pPr>
        <w:widowControl w:val="0"/>
        <w:spacing w:line="240" w:lineRule="auto"/>
        <w:ind w:right="2959"/>
        <w:jc w:val="right"/>
        <w:rPr>
          <w:i/>
        </w:rPr>
      </w:pPr>
      <w:r>
        <w:rPr>
          <w:i/>
        </w:rPr>
        <w:t xml:space="preserve">continuing education.  </w:t>
      </w:r>
    </w:p>
    <w:p w14:paraId="0000018C" w14:textId="1A022036" w:rsidR="00D60918" w:rsidRPr="005A222C" w:rsidRDefault="005A222C">
      <w:pPr>
        <w:rPr>
          <w:highlight w:val="cyan"/>
        </w:rPr>
      </w:pPr>
      <w:bookmarkStart w:id="35" w:name="_gu2a5x1uqn8t" w:colFirst="0" w:colLast="0"/>
      <w:bookmarkEnd w:id="35"/>
      <w:r>
        <w:rPr>
          <w:highlight w:val="yellow"/>
        </w:rPr>
        <w:br/>
      </w:r>
      <w:r w:rsidRPr="005A222C">
        <w:rPr>
          <w:highlight w:val="cyan"/>
        </w:rPr>
        <w:t>ABPI COMMENTS:</w:t>
      </w:r>
      <w:r w:rsidR="00797939" w:rsidRPr="005A222C">
        <w:rPr>
          <w:highlight w:val="cyan"/>
        </w:rPr>
        <w:t xml:space="preserve"> Panelists should be subject to periodically mandatory participation in workshops to ensure quality over time and the evolution of cases and decisions.</w:t>
      </w:r>
    </w:p>
    <w:p w14:paraId="0000018D" w14:textId="77777777" w:rsidR="00D60918" w:rsidRDefault="008D5436">
      <w:pPr>
        <w:pStyle w:val="Heading1"/>
        <w:widowControl w:val="0"/>
        <w:spacing w:before="500"/>
        <w:ind w:left="20"/>
      </w:pPr>
      <w:bookmarkStart w:id="36" w:name="_qf8v4mhgdwag" w:colFirst="0" w:colLast="0"/>
      <w:bookmarkEnd w:id="36"/>
      <w:r>
        <w:t xml:space="preserve">Codification of Case Law </w:t>
      </w:r>
    </w:p>
    <w:p w14:paraId="0000018E" w14:textId="77777777" w:rsidR="00D60918" w:rsidRDefault="008D5436">
      <w:pPr>
        <w:widowControl w:val="0"/>
        <w:spacing w:before="250" w:line="228" w:lineRule="auto"/>
        <w:ind w:right="100" w:firstLine="15"/>
      </w:pPr>
      <w:r>
        <w:t xml:space="preserve">The Project Team considered the question of whether consensus based upon established case  jurisprudence should be codified in the Policy. A wide body of jurisprudence has resulted in clear and well-established interpretations of the UDRP in the vast majority of cases. The WIPO  Overview has captured much of this. However, a question arises as to whether interpretive  guidance or “rules” arising from such jurisprudence should be codified within the Policy itself as  a binding interpretative tool across all </w:t>
      </w:r>
      <w:r>
        <w:t xml:space="preserve">Providers and panelists. </w:t>
      </w:r>
    </w:p>
    <w:p w14:paraId="0000018F" w14:textId="77777777" w:rsidR="00D60918" w:rsidRDefault="008D5436">
      <w:pPr>
        <w:widowControl w:val="0"/>
        <w:spacing w:before="258" w:line="240" w:lineRule="auto"/>
        <w:ind w:right="73"/>
        <w:jc w:val="right"/>
        <w:rPr>
          <w:i/>
        </w:rPr>
      </w:pPr>
      <w:r>
        <w:rPr>
          <w:b/>
          <w:i/>
        </w:rPr>
        <w:t xml:space="preserve">Recommendation: </w:t>
      </w:r>
      <w:r>
        <w:rPr>
          <w:i/>
        </w:rPr>
        <w:t xml:space="preserve">The Project Team was unable  </w:t>
      </w:r>
    </w:p>
    <w:p w14:paraId="00000190" w14:textId="77777777" w:rsidR="00D60918" w:rsidRDefault="008D5436">
      <w:pPr>
        <w:widowControl w:val="0"/>
        <w:spacing w:line="240" w:lineRule="auto"/>
        <w:ind w:right="648"/>
        <w:jc w:val="right"/>
        <w:rPr>
          <w:i/>
        </w:rPr>
      </w:pPr>
      <w:r>
        <w:rPr>
          <w:i/>
        </w:rPr>
        <w:t xml:space="preserve">to reach agreement on whether existing case  </w:t>
      </w:r>
    </w:p>
    <w:p w14:paraId="00000191" w14:textId="77777777" w:rsidR="00D60918" w:rsidRDefault="008D5436">
      <w:pPr>
        <w:widowControl w:val="0"/>
        <w:spacing w:line="240" w:lineRule="auto"/>
        <w:ind w:right="696"/>
        <w:jc w:val="right"/>
        <w:rPr>
          <w:i/>
        </w:rPr>
      </w:pPr>
      <w:r>
        <w:rPr>
          <w:i/>
        </w:rPr>
        <w:t xml:space="preserve">jurisprudence should be codified in a binding  </w:t>
      </w:r>
    </w:p>
    <w:p w14:paraId="00000192" w14:textId="77777777" w:rsidR="00D60918" w:rsidRDefault="008D5436">
      <w:pPr>
        <w:widowControl w:val="0"/>
        <w:spacing w:line="240" w:lineRule="auto"/>
        <w:ind w:right="659"/>
        <w:jc w:val="right"/>
        <w:rPr>
          <w:i/>
        </w:rPr>
      </w:pPr>
      <w:r>
        <w:rPr>
          <w:i/>
        </w:rPr>
        <w:t xml:space="preserve">manner across all Providers. It was however  </w:t>
      </w:r>
    </w:p>
    <w:p w14:paraId="00000193" w14:textId="77777777" w:rsidR="00D60918" w:rsidRDefault="008D5436">
      <w:pPr>
        <w:widowControl w:val="0"/>
        <w:spacing w:line="240" w:lineRule="auto"/>
        <w:ind w:right="1027"/>
        <w:jc w:val="right"/>
        <w:rPr>
          <w:i/>
        </w:rPr>
      </w:pPr>
      <w:r>
        <w:rPr>
          <w:i/>
        </w:rPr>
        <w:t xml:space="preserve">recognized that there is value in ensuring  </w:t>
      </w:r>
    </w:p>
    <w:p w14:paraId="00000194" w14:textId="77777777" w:rsidR="00D60918" w:rsidRDefault="008D5436">
      <w:pPr>
        <w:widowControl w:val="0"/>
        <w:spacing w:line="240" w:lineRule="auto"/>
        <w:ind w:right="427"/>
        <w:jc w:val="right"/>
        <w:rPr>
          <w:i/>
        </w:rPr>
      </w:pPr>
      <w:r>
        <w:rPr>
          <w:i/>
        </w:rPr>
        <w:t xml:space="preserve">consistency in cases across Providers and also  </w:t>
      </w:r>
    </w:p>
    <w:p w14:paraId="00000195" w14:textId="77777777" w:rsidR="00D60918" w:rsidRDefault="008D5436">
      <w:pPr>
        <w:widowControl w:val="0"/>
        <w:spacing w:line="240" w:lineRule="auto"/>
        <w:ind w:right="636"/>
        <w:jc w:val="right"/>
        <w:rPr>
          <w:i/>
        </w:rPr>
      </w:pPr>
      <w:r>
        <w:rPr>
          <w:i/>
        </w:rPr>
        <w:t xml:space="preserve">ensuring that after 25 years of accepted case  </w:t>
      </w:r>
    </w:p>
    <w:p w14:paraId="00000196" w14:textId="77777777" w:rsidR="00D60918" w:rsidRDefault="008D5436">
      <w:pPr>
        <w:widowControl w:val="0"/>
        <w:spacing w:line="240" w:lineRule="auto"/>
        <w:ind w:right="12"/>
        <w:jc w:val="right"/>
        <w:rPr>
          <w:i/>
        </w:rPr>
      </w:pPr>
      <w:r>
        <w:rPr>
          <w:i/>
        </w:rPr>
        <w:t xml:space="preserve">outcomes, an accurate and accepted consensus be  </w:t>
      </w:r>
    </w:p>
    <w:p w14:paraId="00000197" w14:textId="77777777" w:rsidR="00D60918" w:rsidRDefault="008D5436">
      <w:pPr>
        <w:widowControl w:val="0"/>
        <w:spacing w:line="240" w:lineRule="auto"/>
        <w:ind w:right="2455"/>
        <w:jc w:val="right"/>
        <w:rPr>
          <w:i/>
        </w:rPr>
      </w:pPr>
      <w:r>
        <w:rPr>
          <w:i/>
        </w:rPr>
        <w:lastRenderedPageBreak/>
        <w:t xml:space="preserve">encapsulated and followed. </w:t>
      </w:r>
    </w:p>
    <w:p w14:paraId="00000198" w14:textId="77777777" w:rsidR="00D60918" w:rsidRDefault="008D5436">
      <w:pPr>
        <w:widowControl w:val="0"/>
        <w:spacing w:before="248" w:line="240" w:lineRule="auto"/>
        <w:ind w:right="173"/>
        <w:jc w:val="right"/>
        <w:rPr>
          <w:i/>
        </w:rPr>
      </w:pPr>
      <w:r>
        <w:rPr>
          <w:i/>
        </w:rPr>
        <w:t xml:space="preserve">We recommend in that respect that the concept of  </w:t>
      </w:r>
    </w:p>
    <w:p w14:paraId="00000199" w14:textId="77777777" w:rsidR="00D60918" w:rsidRDefault="008D5436">
      <w:pPr>
        <w:widowControl w:val="0"/>
        <w:spacing w:line="240" w:lineRule="auto"/>
        <w:ind w:right="1271"/>
        <w:jc w:val="right"/>
        <w:rPr>
          <w:i/>
        </w:rPr>
      </w:pPr>
      <w:r>
        <w:rPr>
          <w:i/>
        </w:rPr>
        <w:t xml:space="preserve">a [binding] Pan-Provider codification of  </w:t>
      </w:r>
    </w:p>
    <w:p w14:paraId="0000019A" w14:textId="77777777" w:rsidR="00D60918" w:rsidRDefault="008D5436">
      <w:pPr>
        <w:widowControl w:val="0"/>
        <w:spacing w:line="240" w:lineRule="auto"/>
        <w:ind w:right="439"/>
        <w:jc w:val="right"/>
        <w:rPr>
          <w:i/>
        </w:rPr>
      </w:pPr>
      <w:r>
        <w:rPr>
          <w:i/>
        </w:rPr>
        <w:t xml:space="preserve">jurisprudence, building on the consensus views  </w:t>
      </w:r>
    </w:p>
    <w:p w14:paraId="0000019B" w14:textId="77777777" w:rsidR="00D60918" w:rsidRDefault="008D5436">
      <w:pPr>
        <w:widowControl w:val="0"/>
        <w:spacing w:line="240" w:lineRule="auto"/>
        <w:ind w:right="50"/>
        <w:jc w:val="right"/>
        <w:rPr>
          <w:i/>
        </w:rPr>
      </w:pPr>
      <w:r>
        <w:rPr>
          <w:i/>
        </w:rPr>
        <w:t xml:space="preserve">captured in the WIPO Overview be further explored  </w:t>
      </w:r>
    </w:p>
    <w:p w14:paraId="0000019C" w14:textId="77777777" w:rsidR="00D60918" w:rsidRDefault="008D5436">
      <w:pPr>
        <w:widowControl w:val="0"/>
        <w:spacing w:line="240" w:lineRule="auto"/>
        <w:ind w:right="246"/>
        <w:jc w:val="right"/>
        <w:rPr>
          <w:i/>
        </w:rPr>
      </w:pPr>
      <w:r>
        <w:rPr>
          <w:i/>
        </w:rPr>
        <w:t xml:space="preserve">in a similar manner as this WIPO-ICA-led Review  </w:t>
      </w:r>
    </w:p>
    <w:p w14:paraId="0000019D" w14:textId="77777777" w:rsidR="00D60918" w:rsidRDefault="008D5436">
      <w:pPr>
        <w:widowControl w:val="0"/>
        <w:spacing w:line="240" w:lineRule="auto"/>
        <w:jc w:val="right"/>
        <w:rPr>
          <w:i/>
        </w:rPr>
      </w:pPr>
      <w:r>
        <w:rPr>
          <w:i/>
        </w:rPr>
        <w:t xml:space="preserve">Project (i.e., outside of ICANN’s policy development  </w:t>
      </w:r>
    </w:p>
    <w:p w14:paraId="0000019E" w14:textId="77777777" w:rsidR="00D60918" w:rsidRDefault="008D5436">
      <w:pPr>
        <w:widowControl w:val="0"/>
        <w:spacing w:line="240" w:lineRule="auto"/>
        <w:ind w:right="3983"/>
        <w:jc w:val="right"/>
        <w:rPr>
          <w:i/>
        </w:rPr>
      </w:pPr>
      <w:r>
        <w:rPr>
          <w:i/>
        </w:rPr>
        <w:t xml:space="preserve">processes). </w:t>
      </w:r>
    </w:p>
    <w:p w14:paraId="0000019F" w14:textId="77777777" w:rsidR="00D60918" w:rsidRDefault="00D60918">
      <w:pPr>
        <w:rPr>
          <w:highlight w:val="yellow"/>
        </w:rPr>
      </w:pPr>
    </w:p>
    <w:p w14:paraId="000001A0" w14:textId="77777777" w:rsidR="00D60918" w:rsidRPr="005A222C" w:rsidRDefault="008D5436">
      <w:pPr>
        <w:rPr>
          <w:highlight w:val="cyan"/>
        </w:rPr>
      </w:pPr>
      <w:r w:rsidRPr="005A222C">
        <w:rPr>
          <w:highlight w:val="cyan"/>
        </w:rPr>
        <w:t>ABPI COMMENTS: ABPI agrees with the recommendation for further analysis of this issue. However, it expresses reservations as to whether a Pan-Provider codification should be binding or merely serve as guidance. An initial attempt to codify or reconcile decisions across all providers may lead to inconsistencies and conflicting interpretations, which could undermine efforts to establish coherent and binding jurisprudence. Furthermore, such codification risks adding unnecessary complexity to the UDRP — a syste</w:t>
      </w:r>
      <w:r w:rsidRPr="005A222C">
        <w:rPr>
          <w:highlight w:val="cyan"/>
        </w:rPr>
        <w:t>m whose effectiveness is largely rooted in its simplicity and accessibility.</w:t>
      </w:r>
    </w:p>
    <w:p w14:paraId="000001A1" w14:textId="77777777" w:rsidR="00D60918" w:rsidRDefault="008D5436">
      <w:pPr>
        <w:pStyle w:val="Heading1"/>
        <w:widowControl w:val="0"/>
        <w:spacing w:before="500"/>
        <w:ind w:left="26"/>
      </w:pPr>
      <w:bookmarkStart w:id="37" w:name="_le3fm8bts79g" w:colFirst="0" w:colLast="0"/>
      <w:bookmarkEnd w:id="37"/>
      <w:r>
        <w:t xml:space="preserve">Free Speech </w:t>
      </w:r>
    </w:p>
    <w:p w14:paraId="000001A2" w14:textId="77777777" w:rsidR="00D60918" w:rsidRDefault="008D5436">
      <w:pPr>
        <w:widowControl w:val="0"/>
        <w:spacing w:before="249" w:line="228" w:lineRule="auto"/>
        <w:ind w:left="26" w:right="188" w:hanging="1"/>
      </w:pPr>
      <w:r>
        <w:t xml:space="preserve">Beginning with the Final Report of the First WIPO Internet Domain Name Process April 30,  1999, at Paragraph 172, protection of legitimate free speech rights has been addressed by the  UDRP:  </w:t>
      </w:r>
    </w:p>
    <w:p w14:paraId="000001A3" w14:textId="77777777" w:rsidR="00D60918" w:rsidRDefault="008D5436">
      <w:pPr>
        <w:widowControl w:val="0"/>
        <w:spacing w:before="259" w:line="229" w:lineRule="auto"/>
        <w:ind w:left="738" w:right="665"/>
      </w:pPr>
      <w:r>
        <w:t xml:space="preserve">“Domain name registrations that are justified by legitimate free speech rights or by  legitimate non-commercial considerations would likewise not be considered to be  abusive”.  </w:t>
      </w:r>
    </w:p>
    <w:p w14:paraId="000001A4" w14:textId="77777777" w:rsidR="00D60918" w:rsidRDefault="008D5436">
      <w:pPr>
        <w:widowControl w:val="0"/>
        <w:spacing w:before="258" w:line="228" w:lineRule="auto"/>
        <w:ind w:left="14" w:right="17" w:firstLine="1"/>
      </w:pPr>
      <w:r>
        <w:t>This is reflected by the intentional guardrails and limitations of the Policy – explicitly codifying  noncommercial fair use. As is further illustrated in the summary of consensus views set out in  the WIPO Overview, cases draw a distinction between instances of genuine free speech, versus  cases claiming to be engaged in free speech but which are determined to be a pretext for  cybersquatting. Therefore, while the term “free speech” does not appear in the UDRP itself,  legitimate free speech is protected n</w:t>
      </w:r>
      <w:r>
        <w:t xml:space="preserve">ot only at the level of the Policy insofar as it expressly  allows for noncommercial fair use, but also as a principle in the case jurisprudence. </w:t>
      </w:r>
    </w:p>
    <w:p w14:paraId="000001A5" w14:textId="77777777" w:rsidR="00D60918" w:rsidRDefault="008D5436">
      <w:pPr>
        <w:widowControl w:val="0"/>
        <w:spacing w:before="258" w:line="228" w:lineRule="auto"/>
        <w:ind w:left="12" w:right="15" w:firstLine="14"/>
      </w:pPr>
      <w:r>
        <w:t xml:space="preserve">Nevertheless, </w:t>
      </w:r>
      <w:r>
        <w:rPr>
          <w:color w:val="262627"/>
        </w:rPr>
        <w:t xml:space="preserve">free speech and its application to domain names has been an area where the  case jurisprudence historically saw some disagreement; this was expressed at the time of the  WIPO Overview 2.0 as a “view 1” and a “view 2” approach and was based on differences in  national law. Though there have been a number of cases which suggest a coalescence around  a uniform approach, it is nevertheless perceived by some observers that differences amongst  some panelists remain. </w:t>
      </w:r>
      <w:r>
        <w:t>WIPO Overview 3.0 suggests that a legitimate r</w:t>
      </w:r>
      <w:r>
        <w:t>ight to criticism “does  not necessarily extend to registering or using a domain name identical to a trademark” and  panels therefore support transfer of critical domain names when such domain names are  identical to a complainant’s trademark. The relevant cases have also tended to focus on a</w:t>
      </w:r>
      <w:r>
        <w:rPr>
          <w:sz w:val="18"/>
          <w:szCs w:val="18"/>
        </w:rPr>
        <w:t xml:space="preserve"> </w:t>
      </w:r>
      <w:r>
        <w:t xml:space="preserve">holistic test which looks to whether the claimed free speech is legitimate versus being a pretext  for cybersquatting. </w:t>
      </w:r>
    </w:p>
    <w:p w14:paraId="000001A6" w14:textId="77777777" w:rsidR="00D60918" w:rsidRDefault="008D5436">
      <w:pPr>
        <w:widowControl w:val="0"/>
        <w:spacing w:before="259" w:line="228" w:lineRule="auto"/>
        <w:ind w:left="9" w:right="88" w:hanging="1"/>
      </w:pPr>
      <w:r>
        <w:t xml:space="preserve">Although free speech does not arise very often in UDRP disputes, we recognize that it is an  important issue and – mindful that this is an area of law that can be very fact specific and cases  might lead to reasonable differences of opinion – that consistency in the approach of panels to  free speech is desirable.  </w:t>
      </w:r>
    </w:p>
    <w:p w14:paraId="000001A7" w14:textId="77777777" w:rsidR="00D60918" w:rsidRDefault="008D5436">
      <w:pPr>
        <w:widowControl w:val="0"/>
        <w:spacing w:before="258" w:line="230" w:lineRule="auto"/>
        <w:ind w:left="24" w:right="233" w:hanging="9"/>
      </w:pPr>
      <w:r>
        <w:lastRenderedPageBreak/>
        <w:t xml:space="preserve">The Project Team was unable to reach agreement on whether it was necessary to change the  language of the Policy when it comes to free speech.  </w:t>
      </w:r>
    </w:p>
    <w:p w14:paraId="000001A8" w14:textId="77777777" w:rsidR="00D60918" w:rsidRDefault="008D5436">
      <w:pPr>
        <w:widowControl w:val="0"/>
        <w:spacing w:before="255" w:line="240" w:lineRule="auto"/>
        <w:ind w:right="3119"/>
        <w:jc w:val="right"/>
        <w:rPr>
          <w:b/>
          <w:i/>
        </w:rPr>
      </w:pPr>
      <w:r>
        <w:rPr>
          <w:b/>
          <w:i/>
        </w:rPr>
        <w:t xml:space="preserve">Recommendation:  </w:t>
      </w:r>
    </w:p>
    <w:p w14:paraId="000001A9" w14:textId="77777777" w:rsidR="00D60918" w:rsidRDefault="008D5436">
      <w:pPr>
        <w:widowControl w:val="0"/>
        <w:spacing w:before="248" w:line="240" w:lineRule="auto"/>
        <w:ind w:right="514"/>
        <w:jc w:val="right"/>
        <w:rPr>
          <w:i/>
        </w:rPr>
      </w:pPr>
      <w:r>
        <w:rPr>
          <w:i/>
        </w:rPr>
        <w:t xml:space="preserve">We would recommend against a change in the  </w:t>
      </w:r>
    </w:p>
    <w:p w14:paraId="000001AA" w14:textId="77777777" w:rsidR="00D60918" w:rsidRDefault="008D5436">
      <w:pPr>
        <w:widowControl w:val="0"/>
        <w:spacing w:line="240" w:lineRule="auto"/>
        <w:ind w:right="185"/>
        <w:jc w:val="right"/>
        <w:rPr>
          <w:i/>
        </w:rPr>
      </w:pPr>
      <w:r>
        <w:rPr>
          <w:i/>
        </w:rPr>
        <w:t xml:space="preserve">language of the Policy with respect to free speech  </w:t>
      </w:r>
    </w:p>
    <w:p w14:paraId="000001AB" w14:textId="77777777" w:rsidR="00D60918" w:rsidRDefault="008D5436">
      <w:pPr>
        <w:widowControl w:val="0"/>
        <w:spacing w:line="240" w:lineRule="auto"/>
        <w:ind w:right="549"/>
        <w:jc w:val="right"/>
        <w:rPr>
          <w:i/>
        </w:rPr>
      </w:pPr>
      <w:r>
        <w:rPr>
          <w:i/>
        </w:rPr>
        <w:t xml:space="preserve">as the current language is adequate to protect  </w:t>
      </w:r>
    </w:p>
    <w:p w14:paraId="000001AC" w14:textId="77777777" w:rsidR="00D60918" w:rsidRDefault="008D5436">
      <w:pPr>
        <w:widowControl w:val="0"/>
        <w:spacing w:line="240" w:lineRule="auto"/>
        <w:ind w:right="1272"/>
        <w:jc w:val="right"/>
        <w:rPr>
          <w:i/>
        </w:rPr>
      </w:pPr>
      <w:r>
        <w:rPr>
          <w:i/>
        </w:rPr>
        <w:t xml:space="preserve">legitimate noncommercial free speech.  </w:t>
      </w:r>
    </w:p>
    <w:p w14:paraId="000001AD" w14:textId="77777777" w:rsidR="00D60918" w:rsidRDefault="008D5436">
      <w:pPr>
        <w:widowControl w:val="0"/>
        <w:spacing w:before="246" w:line="240" w:lineRule="auto"/>
        <w:ind w:right="74"/>
        <w:jc w:val="right"/>
        <w:rPr>
          <w:i/>
        </w:rPr>
      </w:pPr>
      <w:r>
        <w:rPr>
          <w:i/>
        </w:rPr>
        <w:t xml:space="preserve">Nevertheless, we believe that further discussion on  </w:t>
      </w:r>
    </w:p>
    <w:p w14:paraId="000001AE" w14:textId="77777777" w:rsidR="00D60918" w:rsidRDefault="008D5436">
      <w:pPr>
        <w:widowControl w:val="0"/>
        <w:spacing w:line="240" w:lineRule="auto"/>
        <w:ind w:right="62"/>
        <w:jc w:val="right"/>
        <w:rPr>
          <w:i/>
        </w:rPr>
      </w:pPr>
      <w:r>
        <w:rPr>
          <w:i/>
        </w:rPr>
        <w:t xml:space="preserve">the application of the Policy in such cases might be  </w:t>
      </w:r>
    </w:p>
    <w:p w14:paraId="000001AF" w14:textId="77777777" w:rsidR="00D60918" w:rsidRDefault="008D5436">
      <w:pPr>
        <w:widowControl w:val="0"/>
        <w:spacing w:line="240" w:lineRule="auto"/>
        <w:ind w:right="955"/>
        <w:jc w:val="right"/>
        <w:rPr>
          <w:i/>
        </w:rPr>
      </w:pPr>
      <w:r>
        <w:rPr>
          <w:i/>
        </w:rPr>
        <w:t xml:space="preserve">desirable in order to confirm the degree of  </w:t>
      </w:r>
    </w:p>
    <w:p w14:paraId="000001B0" w14:textId="77777777" w:rsidR="00D60918" w:rsidRDefault="008D5436">
      <w:pPr>
        <w:widowControl w:val="0"/>
        <w:spacing w:line="240" w:lineRule="auto"/>
        <w:ind w:right="2299"/>
        <w:jc w:val="right"/>
        <w:rPr>
          <w:i/>
        </w:rPr>
      </w:pPr>
      <w:r>
        <w:rPr>
          <w:i/>
        </w:rPr>
        <w:t xml:space="preserve">consistency amongst panels. </w:t>
      </w:r>
    </w:p>
    <w:p w14:paraId="000001B1" w14:textId="77777777" w:rsidR="00D60918" w:rsidRDefault="008D5436">
      <w:pPr>
        <w:widowControl w:val="0"/>
        <w:spacing w:before="246" w:line="240" w:lineRule="auto"/>
        <w:ind w:right="1173"/>
        <w:jc w:val="right"/>
        <w:rPr>
          <w:i/>
        </w:rPr>
      </w:pPr>
      <w:r>
        <w:rPr>
          <w:i/>
        </w:rPr>
        <w:t xml:space="preserve">We would therefore recommend that an  </w:t>
      </w:r>
    </w:p>
    <w:p w14:paraId="000001B2" w14:textId="77777777" w:rsidR="00D60918" w:rsidRDefault="008D5436">
      <w:pPr>
        <w:widowControl w:val="0"/>
        <w:spacing w:line="240" w:lineRule="auto"/>
        <w:ind w:right="184"/>
        <w:jc w:val="right"/>
        <w:rPr>
          <w:i/>
        </w:rPr>
      </w:pPr>
      <w:r>
        <w:rPr>
          <w:i/>
        </w:rPr>
        <w:t xml:space="preserve">examination of the application of the Policy to free  </w:t>
      </w:r>
    </w:p>
    <w:p w14:paraId="000001B3" w14:textId="77777777" w:rsidR="00D60918" w:rsidRDefault="008D5436">
      <w:pPr>
        <w:widowControl w:val="0"/>
        <w:spacing w:line="240" w:lineRule="auto"/>
        <w:ind w:right="573"/>
        <w:jc w:val="right"/>
        <w:rPr>
          <w:i/>
        </w:rPr>
      </w:pPr>
      <w:r>
        <w:rPr>
          <w:i/>
        </w:rPr>
        <w:t xml:space="preserve">speech issues and a possible codification and  </w:t>
      </w:r>
    </w:p>
    <w:p w14:paraId="000001B4" w14:textId="77777777" w:rsidR="00D60918" w:rsidRDefault="008D5436">
      <w:pPr>
        <w:widowControl w:val="0"/>
        <w:spacing w:line="240" w:lineRule="auto"/>
        <w:ind w:right="172"/>
        <w:jc w:val="right"/>
        <w:rPr>
          <w:i/>
        </w:rPr>
      </w:pPr>
      <w:r>
        <w:rPr>
          <w:i/>
        </w:rPr>
        <w:t xml:space="preserve">clarification of case jurisprudence be deferred to a  </w:t>
      </w:r>
    </w:p>
    <w:p w14:paraId="000001B5" w14:textId="77777777" w:rsidR="00D60918" w:rsidRDefault="008D5436">
      <w:pPr>
        <w:widowControl w:val="0"/>
        <w:spacing w:line="240" w:lineRule="auto"/>
        <w:ind w:right="2150"/>
        <w:jc w:val="right"/>
        <w:rPr>
          <w:i/>
        </w:rPr>
      </w:pPr>
      <w:r>
        <w:rPr>
          <w:i/>
        </w:rPr>
        <w:t xml:space="preserve">“Secondary Track” in Phase 2. </w:t>
      </w:r>
    </w:p>
    <w:p w14:paraId="000001B6" w14:textId="77777777" w:rsidR="00D60918" w:rsidRDefault="00D60918"/>
    <w:p w14:paraId="000001B7" w14:textId="77777777" w:rsidR="00D60918" w:rsidRDefault="008D5436">
      <w:r w:rsidRPr="005A222C">
        <w:rPr>
          <w:highlight w:val="cyan"/>
        </w:rPr>
        <w:t>ABPI COMMENTS: ABPI agrees with the recommendation.</w:t>
      </w:r>
    </w:p>
    <w:p w14:paraId="000001B9" w14:textId="77777777" w:rsidR="00D60918" w:rsidRDefault="008D5436">
      <w:pPr>
        <w:pStyle w:val="Heading1"/>
        <w:widowControl w:val="0"/>
        <w:spacing w:before="500"/>
        <w:ind w:left="26"/>
      </w:pPr>
      <w:bookmarkStart w:id="38" w:name="_ut7bej39txmd" w:colFirst="0" w:colLast="0"/>
      <w:bookmarkStart w:id="39" w:name="_v7cofn637p1g" w:colFirst="0" w:colLast="0"/>
      <w:bookmarkEnd w:id="38"/>
      <w:bookmarkEnd w:id="39"/>
      <w:r>
        <w:t xml:space="preserve">Decision Format </w:t>
      </w:r>
    </w:p>
    <w:p w14:paraId="000001BA" w14:textId="77777777" w:rsidR="00D60918" w:rsidRDefault="008D5436">
      <w:pPr>
        <w:widowControl w:val="0"/>
        <w:spacing w:before="250" w:line="228" w:lineRule="auto"/>
        <w:ind w:left="13" w:right="53" w:firstLine="1"/>
        <w:rPr>
          <w:color w:val="262627"/>
        </w:rPr>
      </w:pPr>
      <w:r>
        <w:rPr>
          <w:color w:val="262627"/>
        </w:rPr>
        <w:t xml:space="preserve">The Rules do not address the format of decisions, neither on a technical, nor on a structural  level. There is clear inconsistency between the readability of decisions amongst Providers. For  example, the decisions of some Providers are often criticized as being more difficult to follow  than others, WIPO being cited as a best practice in terms of structural readability.  </w:t>
      </w:r>
    </w:p>
    <w:p w14:paraId="000001BB" w14:textId="77777777" w:rsidR="00D60918" w:rsidRDefault="008D5436">
      <w:pPr>
        <w:widowControl w:val="0"/>
        <w:spacing w:before="258" w:line="240" w:lineRule="auto"/>
        <w:ind w:right="805"/>
        <w:jc w:val="right"/>
        <w:rPr>
          <w:i/>
        </w:rPr>
      </w:pPr>
      <w:r>
        <w:rPr>
          <w:b/>
          <w:i/>
        </w:rPr>
        <w:t xml:space="preserve">Recommendation: </w:t>
      </w:r>
      <w:r>
        <w:rPr>
          <w:i/>
        </w:rPr>
        <w:t xml:space="preserve">Although there was no  </w:t>
      </w:r>
    </w:p>
    <w:p w14:paraId="000001BC" w14:textId="77777777" w:rsidR="00D60918" w:rsidRDefault="008D5436">
      <w:pPr>
        <w:widowControl w:val="0"/>
        <w:spacing w:line="240" w:lineRule="auto"/>
        <w:ind w:right="249"/>
        <w:jc w:val="right"/>
        <w:rPr>
          <w:i/>
        </w:rPr>
      </w:pPr>
      <w:r>
        <w:rPr>
          <w:i/>
        </w:rPr>
        <w:t xml:space="preserve">agreement on the specifics of a technical decision </w:t>
      </w:r>
    </w:p>
    <w:p w14:paraId="000001BD" w14:textId="77777777" w:rsidR="00D60918" w:rsidRDefault="008D5436">
      <w:pPr>
        <w:widowControl w:val="0"/>
        <w:spacing w:line="240" w:lineRule="auto"/>
        <w:ind w:right="60"/>
        <w:jc w:val="right"/>
        <w:rPr>
          <w:i/>
        </w:rPr>
      </w:pPr>
      <w:r>
        <w:rPr>
          <w:i/>
        </w:rPr>
        <w:t xml:space="preserve">format, we recognize that readability and uniformity  </w:t>
      </w:r>
    </w:p>
    <w:p w14:paraId="000001BE" w14:textId="77777777" w:rsidR="00D60918" w:rsidRDefault="008D5436">
      <w:pPr>
        <w:widowControl w:val="0"/>
        <w:spacing w:line="240" w:lineRule="auto"/>
        <w:ind w:right="588"/>
        <w:jc w:val="right"/>
        <w:rPr>
          <w:i/>
        </w:rPr>
      </w:pPr>
      <w:r>
        <w:rPr>
          <w:i/>
        </w:rPr>
        <w:t xml:space="preserve">of form are desirable. While there was a view  </w:t>
      </w:r>
    </w:p>
    <w:p w14:paraId="000001BF" w14:textId="77777777" w:rsidR="00D60918" w:rsidRDefault="008D5436">
      <w:pPr>
        <w:widowControl w:val="0"/>
        <w:spacing w:line="240" w:lineRule="auto"/>
        <w:ind w:right="172"/>
        <w:jc w:val="right"/>
        <w:rPr>
          <w:i/>
        </w:rPr>
      </w:pPr>
      <w:r>
        <w:rPr>
          <w:i/>
        </w:rPr>
        <w:t xml:space="preserve">expressed that machine readability of decisions to  </w:t>
      </w:r>
    </w:p>
    <w:p w14:paraId="000001C0" w14:textId="77777777" w:rsidR="00D60918" w:rsidRDefault="008D5436">
      <w:pPr>
        <w:widowControl w:val="0"/>
        <w:spacing w:line="240" w:lineRule="auto"/>
        <w:ind w:right="477"/>
        <w:jc w:val="right"/>
        <w:rPr>
          <w:i/>
        </w:rPr>
      </w:pPr>
      <w:r>
        <w:rPr>
          <w:i/>
        </w:rPr>
        <w:t xml:space="preserve">search decisions across all Providers would be  </w:t>
      </w:r>
    </w:p>
    <w:p w14:paraId="000001C1" w14:textId="77777777" w:rsidR="00D60918" w:rsidRDefault="008D5436">
      <w:pPr>
        <w:widowControl w:val="0"/>
        <w:spacing w:line="240" w:lineRule="auto"/>
        <w:ind w:right="328"/>
        <w:jc w:val="right"/>
        <w:rPr>
          <w:i/>
        </w:rPr>
      </w:pPr>
      <w:r>
        <w:rPr>
          <w:i/>
        </w:rPr>
        <w:t xml:space="preserve">useful, the majority view was that this should not  </w:t>
      </w:r>
    </w:p>
    <w:p w14:paraId="000001C2" w14:textId="77777777" w:rsidR="00D60918" w:rsidRDefault="008D5436">
      <w:pPr>
        <w:widowControl w:val="0"/>
        <w:spacing w:line="240" w:lineRule="auto"/>
        <w:ind w:right="221"/>
        <w:jc w:val="right"/>
        <w:rPr>
          <w:i/>
        </w:rPr>
      </w:pPr>
      <w:r>
        <w:rPr>
          <w:i/>
        </w:rPr>
        <w:t xml:space="preserve">impose undue burdens on Providers, and that the  </w:t>
      </w:r>
    </w:p>
    <w:p w14:paraId="000001C3" w14:textId="77777777" w:rsidR="00D60918" w:rsidRDefault="008D5436">
      <w:pPr>
        <w:widowControl w:val="0"/>
        <w:spacing w:line="240" w:lineRule="auto"/>
        <w:ind w:right="453"/>
        <w:jc w:val="right"/>
        <w:rPr>
          <w:i/>
        </w:rPr>
      </w:pPr>
      <w:r>
        <w:rPr>
          <w:i/>
        </w:rPr>
        <w:t xml:space="preserve">idea of a section-by-section template as is e.g.,  </w:t>
      </w:r>
    </w:p>
    <w:p w14:paraId="000001C4" w14:textId="77777777" w:rsidR="00D60918" w:rsidRDefault="008D5436">
      <w:pPr>
        <w:widowControl w:val="0"/>
        <w:spacing w:line="240" w:lineRule="auto"/>
        <w:ind w:right="110"/>
        <w:jc w:val="right"/>
        <w:rPr>
          <w:i/>
        </w:rPr>
      </w:pPr>
      <w:r>
        <w:rPr>
          <w:i/>
        </w:rPr>
        <w:t xml:space="preserve">used by WIPO should be followed by all Providers. </w:t>
      </w:r>
    </w:p>
    <w:p w14:paraId="000001C5" w14:textId="77777777" w:rsidR="00D60918" w:rsidRDefault="00D60918"/>
    <w:p w14:paraId="000001C6" w14:textId="77777777" w:rsidR="00D60918" w:rsidRDefault="00D60918"/>
    <w:p w14:paraId="000001C7" w14:textId="77777777" w:rsidR="00D60918" w:rsidRDefault="008D5436">
      <w:r w:rsidRPr="005A222C">
        <w:rPr>
          <w:highlight w:val="cyan"/>
        </w:rPr>
        <w:t>ABPI COMMENTS: ABPI agrees with the recommendation.</w:t>
      </w:r>
    </w:p>
    <w:p w14:paraId="000001C8" w14:textId="77777777" w:rsidR="00D60918" w:rsidRDefault="00D60918"/>
    <w:p w14:paraId="000001C9" w14:textId="77777777" w:rsidR="00D60918" w:rsidRDefault="00D60918"/>
    <w:p w14:paraId="000001CB" w14:textId="77777777" w:rsidR="00D60918" w:rsidRPr="005A222C" w:rsidRDefault="008D5436">
      <w:pPr>
        <w:rPr>
          <w:b/>
          <w:highlight w:val="cyan"/>
        </w:rPr>
      </w:pPr>
      <w:r w:rsidRPr="005A222C">
        <w:rPr>
          <w:b/>
          <w:highlight w:val="cyan"/>
        </w:rPr>
        <w:t>Further ABPI Comments:</w:t>
      </w:r>
    </w:p>
    <w:p w14:paraId="000001CC" w14:textId="77777777" w:rsidR="00D60918" w:rsidRDefault="008D5436">
      <w:r w:rsidRPr="005A222C">
        <w:rPr>
          <w:highlight w:val="cyan"/>
        </w:rPr>
        <w:t>The issue of Reverse Domain Name Hijacking (RDNH) was not addressed in the current review and should be considered in future phases. At present, complainants who misuse the UDRP are merely given a symbolic reprimand, with no real consequences. It would be worth exploring the possibility of stronger deterrents, such as monetary sanctions or temporary suspension/bans from initiating UDRP proceedings, in order to discourage abuse of the system.</w:t>
      </w:r>
    </w:p>
    <w:sectPr w:rsidR="00D6091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85547"/>
    <w:multiLevelType w:val="multilevel"/>
    <w:tmpl w:val="99A61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775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18"/>
    <w:rsid w:val="000A639A"/>
    <w:rsid w:val="00522C25"/>
    <w:rsid w:val="00567F36"/>
    <w:rsid w:val="005A222C"/>
    <w:rsid w:val="00797939"/>
    <w:rsid w:val="008D5436"/>
    <w:rsid w:val="00D27236"/>
    <w:rsid w:val="00D60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609"/>
  <w15:docId w15:val="{AFE8A0B5-86B9-43BF-A755-92925EE3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511" w:line="240" w:lineRule="auto"/>
      <w:ind w:left="27"/>
      <w:outlineLvl w:val="0"/>
    </w:pPr>
    <w:rPr>
      <w:b/>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502" w:line="240" w:lineRule="auto"/>
      <w:ind w:left="14"/>
    </w:pPr>
    <w:rPr>
      <w:b/>
    </w:rPr>
  </w:style>
  <w:style w:type="paragraph" w:styleId="Subtitle">
    <w:name w:val="Subtitle"/>
    <w:basedOn w:val="Normal"/>
    <w:next w:val="Normal"/>
    <w:uiPriority w:val="11"/>
    <w:qFormat/>
    <w:pPr>
      <w:keepNext/>
      <w:keepLines/>
      <w:spacing w:before="511" w:line="240" w:lineRule="auto"/>
      <w:ind w:left="27"/>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wipo.int/contact/en/area.jsp?area=ica_udr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8881</Words>
  <Characters>50627</Characters>
  <Application>Microsoft Office Word</Application>
  <DocSecurity>4</DocSecurity>
  <Lines>421</Lines>
  <Paragraphs>118</Paragraphs>
  <ScaleCrop>false</ScaleCrop>
  <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HUTCHISON Tamara</dc:creator>
  <cp:lastModifiedBy>WIPO Center</cp:lastModifiedBy>
  <cp:revision>2</cp:revision>
  <dcterms:created xsi:type="dcterms:W3CDTF">2025-06-28T08:50:00Z</dcterms:created>
  <dcterms:modified xsi:type="dcterms:W3CDTF">2025-06-28T08:50:00Z</dcterms:modified>
</cp:coreProperties>
</file>