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D45" w:rsidRDefault="003C27A1" w:rsidP="00967EAE">
      <w:pPr>
        <w:pStyle w:val="ONUME"/>
        <w:numPr>
          <w:ilvl w:val="0"/>
          <w:numId w:val="0"/>
        </w:numPr>
      </w:pPr>
      <w:bookmarkStart w:id="0" w:name="_GoBack"/>
      <w:bookmarkEnd w:id="0"/>
      <w:r w:rsidRPr="003C27A1">
        <w:t xml:space="preserve">In adopting the modifications to the Directives of the PCT Assembly Relating to the Establishment of Equivalent Amounts of Certain PCT Fees, the Assembly noted that the Director General will establish equivalent amounts of the international filing fee </w:t>
      </w:r>
      <w:r w:rsidR="00EE7D45" w:rsidRPr="003C27A1">
        <w:t xml:space="preserve">in euro, Japanese yen and United States dollar </w:t>
      </w:r>
      <w:r w:rsidRPr="003C27A1">
        <w:t>under paragraphs 2(</w:t>
      </w:r>
      <w:proofErr w:type="spellStart"/>
      <w:r w:rsidRPr="003C27A1">
        <w:t>i</w:t>
      </w:r>
      <w:proofErr w:type="spellEnd"/>
      <w:r w:rsidRPr="003C27A1">
        <w:t>) and 6(</w:t>
      </w:r>
      <w:proofErr w:type="spellStart"/>
      <w:r w:rsidRPr="003C27A1">
        <w:t>i</w:t>
      </w:r>
      <w:proofErr w:type="spellEnd"/>
      <w:r w:rsidRPr="003C27A1">
        <w:t>) of the Directives according to the following process:</w:t>
      </w:r>
    </w:p>
    <w:p w:rsidR="00297AD0" w:rsidRDefault="00297AD0" w:rsidP="00967EAE">
      <w:pPr>
        <w:pStyle w:val="ONUME"/>
      </w:pPr>
      <w:r>
        <w:t xml:space="preserve">On the first Monday of October in a given year, the International Bureau will acquire, </w:t>
      </w:r>
      <w:r w:rsidR="00261EE8">
        <w:t>f</w:t>
      </w:r>
      <w:r w:rsidR="00006F0C">
        <w:t>or each month of the following year</w:t>
      </w:r>
      <w:r w:rsidR="000948FC">
        <w:t xml:space="preserve"> in which a currency inflow </w:t>
      </w:r>
      <w:r w:rsidR="00EE7D45">
        <w:t xml:space="preserve">in respect of </w:t>
      </w:r>
      <w:r w:rsidR="00EE7D45" w:rsidRPr="003C27A1">
        <w:t>international filing fee</w:t>
      </w:r>
      <w:r w:rsidR="00EE7D45">
        <w:t>s</w:t>
      </w:r>
      <w:r w:rsidR="00EE7D45" w:rsidRPr="003C27A1">
        <w:t xml:space="preserve"> </w:t>
      </w:r>
      <w:r w:rsidR="00EE7D45">
        <w:t xml:space="preserve">in </w:t>
      </w:r>
      <w:r w:rsidR="000948FC">
        <w:t>e</w:t>
      </w:r>
      <w:r w:rsidR="00006F0C">
        <w:t xml:space="preserve">uro, </w:t>
      </w:r>
      <w:r w:rsidR="000948FC">
        <w:t>Japanese yen or United States d</w:t>
      </w:r>
      <w:r w:rsidR="00B7798D">
        <w:t>ollar is anticipated, forward contracts for each of the currencies concerned.</w:t>
      </w:r>
    </w:p>
    <w:p w:rsidR="009607AA" w:rsidRDefault="009607AA" w:rsidP="00967EAE">
      <w:pPr>
        <w:pStyle w:val="ONUME"/>
        <w:numPr>
          <w:ilvl w:val="1"/>
          <w:numId w:val="3"/>
        </w:numPr>
      </w:pPr>
      <w:r>
        <w:t>Each forward contract will contain a forward (exchange) rate which represents the rate at which the hedged currency is to be sold and Swiss francs are to be purchased.</w:t>
      </w:r>
    </w:p>
    <w:p w:rsidR="00297AD0" w:rsidRDefault="000F316F" w:rsidP="00967EAE">
      <w:pPr>
        <w:pStyle w:val="ONUME"/>
        <w:numPr>
          <w:ilvl w:val="1"/>
          <w:numId w:val="3"/>
        </w:numPr>
      </w:pPr>
      <w:r>
        <w:t>The hedge cover provided by th</w:t>
      </w:r>
      <w:r w:rsidR="00297AD0">
        <w:t>ose forward</w:t>
      </w:r>
      <w:r>
        <w:t xml:space="preserve"> contracts will not be for the total of forecast currency inflows but will be established at a certain percentage level</w:t>
      </w:r>
      <w:r w:rsidR="00621682">
        <w:t xml:space="preserve"> </w:t>
      </w:r>
      <w:r w:rsidR="00EE7D45">
        <w:t xml:space="preserve">to be determined by the Director General </w:t>
      </w:r>
      <w:r w:rsidR="00621682">
        <w:t>(which could</w:t>
      </w:r>
      <w:r w:rsidR="00756F87">
        <w:t xml:space="preserve"> vary</w:t>
      </w:r>
      <w:r w:rsidR="00621682">
        <w:t xml:space="preserve"> by currency and/or month)</w:t>
      </w:r>
      <w:r>
        <w:t xml:space="preserve"> in order to allow for varia</w:t>
      </w:r>
      <w:r w:rsidR="00C94F37">
        <w:t>nces between income forecast an</w:t>
      </w:r>
      <w:r>
        <w:t>d</w:t>
      </w:r>
      <w:r w:rsidR="00C94F37">
        <w:t xml:space="preserve"> </w:t>
      </w:r>
      <w:r w:rsidR="003C27A1">
        <w:t>income actually received.</w:t>
      </w:r>
    </w:p>
    <w:p w:rsidR="000F5E56" w:rsidRDefault="00CA3724" w:rsidP="00EE14F1">
      <w:pPr>
        <w:pStyle w:val="ONUME"/>
        <w:numPr>
          <w:ilvl w:val="1"/>
          <w:numId w:val="3"/>
        </w:numPr>
      </w:pPr>
      <w:r>
        <w:t xml:space="preserve">The Director General may determine </w:t>
      </w:r>
      <w:r w:rsidR="00F5672A">
        <w:t xml:space="preserve">not </w:t>
      </w:r>
      <w:r>
        <w:t xml:space="preserve">to </w:t>
      </w:r>
      <w:r w:rsidR="00F5672A">
        <w:t>hedg</w:t>
      </w:r>
      <w:r>
        <w:t>e</w:t>
      </w:r>
      <w:r w:rsidR="00F5672A">
        <w:t xml:space="preserve"> the inflows of either one or more of the currencies</w:t>
      </w:r>
      <w:r>
        <w:t xml:space="preserve"> concerned</w:t>
      </w:r>
      <w:r w:rsidR="00F5672A">
        <w:t>, depending on market conditions and outlook at the time of entering into the contracts.</w:t>
      </w:r>
    </w:p>
    <w:p w:rsidR="009607AA" w:rsidRDefault="00CA3724" w:rsidP="00967EAE">
      <w:pPr>
        <w:pStyle w:val="ONUME"/>
      </w:pPr>
      <w:r>
        <w:t xml:space="preserve">Following the acquisition of the forward contracts, </w:t>
      </w:r>
      <w:r w:rsidR="00297AD0">
        <w:t xml:space="preserve">the International Bureau will </w:t>
      </w:r>
      <w:r w:rsidR="009607AA">
        <w:t>calculate, on that same first Monday of October, a weighted average forward rate (the “blended hedge rate”) for each of the currencies concerned by adding together the various amounts of the currency to be hedged during the year and dividing the resulting figure by the total amount of Swiss francs to be received during the same year.</w:t>
      </w:r>
    </w:p>
    <w:p w:rsidR="00297AD0" w:rsidRDefault="00695003" w:rsidP="00967EAE">
      <w:pPr>
        <w:pStyle w:val="ONUME"/>
      </w:pPr>
      <w:r>
        <w:t>The International Bureau will use that</w:t>
      </w:r>
      <w:r w:rsidR="00297AD0">
        <w:t xml:space="preserve"> “blended hedge rate”</w:t>
      </w:r>
      <w:r w:rsidR="00CA3724">
        <w:t xml:space="preserve"> </w:t>
      </w:r>
      <w:r w:rsidR="00297AD0">
        <w:t>to establish new equivalent amounts of the international filing fee for the three currencies concerned, to take effect as of January 1 of the following year.</w:t>
      </w:r>
    </w:p>
    <w:p w:rsidR="000F316F" w:rsidRDefault="00C94F37" w:rsidP="00967EAE">
      <w:pPr>
        <w:pStyle w:val="ONUME"/>
      </w:pPr>
      <w:r>
        <w:t>The following example illustrates this calculation:</w:t>
      </w:r>
    </w:p>
    <w:p w:rsidR="00261EE8" w:rsidRDefault="00695003" w:rsidP="00967EAE">
      <w:pPr>
        <w:pStyle w:val="ONUME"/>
        <w:numPr>
          <w:ilvl w:val="0"/>
          <w:numId w:val="0"/>
        </w:numPr>
        <w:ind w:left="567"/>
      </w:pPr>
      <w:r>
        <w:t>In year X, t</w:t>
      </w:r>
      <w:r w:rsidR="00261EE8" w:rsidRPr="00CD5785">
        <w:t xml:space="preserve">he </w:t>
      </w:r>
      <w:r w:rsidR="00261EE8">
        <w:t>I</w:t>
      </w:r>
      <w:r w:rsidR="00EE7D45">
        <w:t xml:space="preserve">nternational </w:t>
      </w:r>
      <w:r w:rsidR="00261EE8">
        <w:t>B</w:t>
      </w:r>
      <w:r w:rsidR="00EE7D45">
        <w:t>ureau</w:t>
      </w:r>
      <w:r w:rsidR="00261EE8" w:rsidRPr="00CD5785">
        <w:t xml:space="preserve"> expects three inflows of international </w:t>
      </w:r>
      <w:r w:rsidR="00261EE8">
        <w:t xml:space="preserve">filing </w:t>
      </w:r>
      <w:r w:rsidR="00261EE8" w:rsidRPr="00CD5785">
        <w:t xml:space="preserve">fees in </w:t>
      </w:r>
      <w:r w:rsidR="00EE7D45">
        <w:t>United States dollar (</w:t>
      </w:r>
      <w:r w:rsidR="00261EE8">
        <w:t>USD</w:t>
      </w:r>
      <w:r w:rsidR="00EE7D45">
        <w:t>)</w:t>
      </w:r>
      <w:r w:rsidR="00261EE8">
        <w:t xml:space="preserve"> </w:t>
      </w:r>
      <w:r w:rsidR="00261EE8" w:rsidRPr="00CD5785">
        <w:t xml:space="preserve">for </w:t>
      </w:r>
      <w:r w:rsidR="00261EE8">
        <w:t xml:space="preserve">international filing </w:t>
      </w:r>
      <w:r w:rsidR="00261EE8" w:rsidRPr="00CD5785">
        <w:t>fees</w:t>
      </w:r>
      <w:r w:rsidR="007729B6">
        <w:t xml:space="preserve"> (for simplicity of the example – in reality, inflows in USD would be expected every month)</w:t>
      </w:r>
      <w:r>
        <w:t>:</w:t>
      </w:r>
      <w:r w:rsidR="00261EE8" w:rsidRPr="00CD5785">
        <w:t xml:space="preserve">  10</w:t>
      </w:r>
      <w:r w:rsidR="00261EE8">
        <w:t> </w:t>
      </w:r>
      <w:r w:rsidR="00261EE8" w:rsidRPr="00CD5785">
        <w:t xml:space="preserve">million </w:t>
      </w:r>
      <w:r w:rsidR="00261EE8">
        <w:t>USD</w:t>
      </w:r>
      <w:r w:rsidR="00261EE8" w:rsidRPr="00CD5785">
        <w:t xml:space="preserve"> in March, 15 million </w:t>
      </w:r>
      <w:r w:rsidR="00261EE8">
        <w:t>USD</w:t>
      </w:r>
      <w:r w:rsidR="00261EE8" w:rsidRPr="00CD5785">
        <w:t xml:space="preserve"> in June and 20 million </w:t>
      </w:r>
      <w:r w:rsidR="00261EE8">
        <w:t>USD</w:t>
      </w:r>
      <w:r w:rsidR="00261EE8" w:rsidRPr="00CD5785">
        <w:t xml:space="preserve"> in September.  On </w:t>
      </w:r>
      <w:r>
        <w:t xml:space="preserve">the first Monday in October of the year before, </w:t>
      </w:r>
      <w:r w:rsidR="00261EE8" w:rsidRPr="00CD5785">
        <w:t xml:space="preserve">(spot rate:  </w:t>
      </w:r>
      <w:r w:rsidR="00261EE8">
        <w:t>USD</w:t>
      </w:r>
      <w:r w:rsidR="00261EE8" w:rsidRPr="00CD5785" w:rsidDel="00AF7FDC">
        <w:t xml:space="preserve"> </w:t>
      </w:r>
      <w:r w:rsidR="00261EE8" w:rsidRPr="00CD5785">
        <w:t>/</w:t>
      </w:r>
      <w:r w:rsidR="00261EE8">
        <w:t>CHF</w:t>
      </w:r>
      <w:r w:rsidR="00261EE8" w:rsidRPr="00CD5785">
        <w:t xml:space="preserve"> = 0.9690), it hedges 80 per cent of the</w:t>
      </w:r>
      <w:r>
        <w:t xml:space="preserve"> expected three </w:t>
      </w:r>
      <w:proofErr w:type="gramStart"/>
      <w:r>
        <w:t xml:space="preserve">inflows </w:t>
      </w:r>
      <w:r w:rsidR="00261EE8" w:rsidRPr="00CD5785">
        <w:t xml:space="preserve"> and</w:t>
      </w:r>
      <w:proofErr w:type="gramEnd"/>
      <w:r w:rsidR="00261EE8" w:rsidRPr="00CD5785">
        <w:t xml:space="preserve"> obtains forward contract rates as follows:</w:t>
      </w:r>
    </w:p>
    <w:tbl>
      <w:tblPr>
        <w:tblStyle w:val="TableGrid"/>
        <w:tblW w:w="0" w:type="auto"/>
        <w:tblInd w:w="738" w:type="dxa"/>
        <w:tblLook w:val="04A0" w:firstRow="1" w:lastRow="0" w:firstColumn="1" w:lastColumn="0" w:noHBand="0" w:noVBand="1"/>
      </w:tblPr>
      <w:tblGrid>
        <w:gridCol w:w="1440"/>
        <w:gridCol w:w="2250"/>
        <w:gridCol w:w="2250"/>
        <w:gridCol w:w="2250"/>
      </w:tblGrid>
      <w:tr w:rsidR="00C94F37" w:rsidRPr="00C94F37" w:rsidTr="00967EAE">
        <w:trPr>
          <w:trHeight w:val="277"/>
        </w:trPr>
        <w:tc>
          <w:tcPr>
            <w:tcW w:w="1440" w:type="dxa"/>
          </w:tcPr>
          <w:p w:rsidR="00C94F37" w:rsidRPr="00967EAE" w:rsidRDefault="00C94F37" w:rsidP="00967EAE">
            <w:pPr>
              <w:spacing w:before="40" w:after="40"/>
              <w:jc w:val="center"/>
              <w:rPr>
                <w:sz w:val="18"/>
                <w:szCs w:val="18"/>
              </w:rPr>
            </w:pPr>
          </w:p>
        </w:tc>
        <w:tc>
          <w:tcPr>
            <w:tcW w:w="2250" w:type="dxa"/>
            <w:vAlign w:val="center"/>
          </w:tcPr>
          <w:p w:rsidR="00C94F37" w:rsidRPr="00967EAE" w:rsidRDefault="00C94F37" w:rsidP="00967EAE">
            <w:pPr>
              <w:spacing w:before="40" w:after="40"/>
              <w:jc w:val="center"/>
              <w:rPr>
                <w:b/>
                <w:sz w:val="18"/>
                <w:szCs w:val="18"/>
              </w:rPr>
            </w:pPr>
            <w:r w:rsidRPr="00967EAE">
              <w:rPr>
                <w:b/>
                <w:sz w:val="18"/>
                <w:szCs w:val="18"/>
              </w:rPr>
              <w:t>Amount</w:t>
            </w:r>
            <w:r w:rsidR="00261EE8" w:rsidRPr="00967EAE">
              <w:rPr>
                <w:b/>
                <w:sz w:val="18"/>
                <w:szCs w:val="18"/>
              </w:rPr>
              <w:t xml:space="preserve"> of USD</w:t>
            </w:r>
            <w:r w:rsidRPr="00967EAE">
              <w:rPr>
                <w:b/>
                <w:sz w:val="18"/>
                <w:szCs w:val="18"/>
              </w:rPr>
              <w:t xml:space="preserve"> hedged</w:t>
            </w:r>
          </w:p>
        </w:tc>
        <w:tc>
          <w:tcPr>
            <w:tcW w:w="2250" w:type="dxa"/>
            <w:vAlign w:val="center"/>
          </w:tcPr>
          <w:p w:rsidR="00C94F37" w:rsidRPr="00967EAE" w:rsidRDefault="00C94F37" w:rsidP="00967EAE">
            <w:pPr>
              <w:spacing w:before="40" w:after="40"/>
              <w:jc w:val="center"/>
              <w:rPr>
                <w:b/>
                <w:sz w:val="18"/>
                <w:szCs w:val="18"/>
              </w:rPr>
            </w:pPr>
            <w:r w:rsidRPr="00967EAE">
              <w:rPr>
                <w:b/>
                <w:sz w:val="18"/>
                <w:szCs w:val="18"/>
              </w:rPr>
              <w:t>Rate</w:t>
            </w:r>
          </w:p>
        </w:tc>
        <w:tc>
          <w:tcPr>
            <w:tcW w:w="2250" w:type="dxa"/>
            <w:vAlign w:val="center"/>
          </w:tcPr>
          <w:p w:rsidR="00C94F37" w:rsidRPr="00967EAE" w:rsidRDefault="00C94F37" w:rsidP="00967EAE">
            <w:pPr>
              <w:spacing w:before="40" w:after="40"/>
              <w:jc w:val="center"/>
              <w:rPr>
                <w:b/>
                <w:sz w:val="18"/>
                <w:szCs w:val="18"/>
              </w:rPr>
            </w:pPr>
            <w:r w:rsidRPr="00967EAE">
              <w:rPr>
                <w:b/>
                <w:sz w:val="18"/>
                <w:szCs w:val="18"/>
              </w:rPr>
              <w:t>CHF to be received</w:t>
            </w:r>
          </w:p>
        </w:tc>
      </w:tr>
      <w:tr w:rsidR="00C94F37" w:rsidRPr="00C94F37" w:rsidTr="00967EAE">
        <w:trPr>
          <w:trHeight w:val="387"/>
        </w:trPr>
        <w:tc>
          <w:tcPr>
            <w:tcW w:w="1440" w:type="dxa"/>
          </w:tcPr>
          <w:p w:rsidR="00C94F37" w:rsidRPr="00967EAE" w:rsidRDefault="00C94F37" w:rsidP="00967EAE">
            <w:pPr>
              <w:spacing w:before="40" w:after="40"/>
              <w:jc w:val="center"/>
              <w:rPr>
                <w:b/>
                <w:sz w:val="18"/>
                <w:szCs w:val="18"/>
              </w:rPr>
            </w:pPr>
            <w:r w:rsidRPr="00967EAE">
              <w:rPr>
                <w:b/>
                <w:sz w:val="18"/>
                <w:szCs w:val="18"/>
              </w:rPr>
              <w:t>March</w:t>
            </w:r>
          </w:p>
        </w:tc>
        <w:tc>
          <w:tcPr>
            <w:tcW w:w="2250" w:type="dxa"/>
          </w:tcPr>
          <w:p w:rsidR="00C94F37" w:rsidRPr="00967EAE" w:rsidRDefault="00C94F37" w:rsidP="00967EAE">
            <w:pPr>
              <w:spacing w:before="40" w:after="40"/>
              <w:jc w:val="center"/>
              <w:rPr>
                <w:sz w:val="18"/>
                <w:szCs w:val="18"/>
              </w:rPr>
            </w:pPr>
            <w:r w:rsidRPr="00967EAE">
              <w:rPr>
                <w:sz w:val="18"/>
                <w:szCs w:val="18"/>
              </w:rPr>
              <w:t>8</w:t>
            </w:r>
            <w:r w:rsidR="00261EE8" w:rsidRPr="00967EAE">
              <w:rPr>
                <w:sz w:val="18"/>
                <w:szCs w:val="18"/>
              </w:rPr>
              <w:t>,000,000</w:t>
            </w:r>
          </w:p>
        </w:tc>
        <w:tc>
          <w:tcPr>
            <w:tcW w:w="2250" w:type="dxa"/>
          </w:tcPr>
          <w:p w:rsidR="00C94F37" w:rsidRPr="00967EAE" w:rsidRDefault="00C94F37" w:rsidP="00967EAE">
            <w:pPr>
              <w:spacing w:before="40" w:after="40"/>
              <w:jc w:val="center"/>
              <w:rPr>
                <w:sz w:val="18"/>
                <w:szCs w:val="18"/>
              </w:rPr>
            </w:pPr>
            <w:r w:rsidRPr="00967EAE">
              <w:rPr>
                <w:sz w:val="18"/>
                <w:szCs w:val="18"/>
              </w:rPr>
              <w:t>0.9672</w:t>
            </w:r>
          </w:p>
        </w:tc>
        <w:tc>
          <w:tcPr>
            <w:tcW w:w="2250" w:type="dxa"/>
          </w:tcPr>
          <w:p w:rsidR="00C94F37" w:rsidRPr="00967EAE" w:rsidRDefault="00C94F37" w:rsidP="00967EAE">
            <w:pPr>
              <w:spacing w:before="40" w:after="40"/>
              <w:jc w:val="center"/>
              <w:rPr>
                <w:sz w:val="18"/>
                <w:szCs w:val="18"/>
              </w:rPr>
            </w:pPr>
            <w:r w:rsidRPr="00967EAE">
              <w:rPr>
                <w:sz w:val="18"/>
                <w:szCs w:val="18"/>
              </w:rPr>
              <w:t>7,737,600</w:t>
            </w:r>
          </w:p>
        </w:tc>
      </w:tr>
      <w:tr w:rsidR="00C94F37" w:rsidRPr="00C94F37" w:rsidTr="00967EAE">
        <w:trPr>
          <w:trHeight w:val="337"/>
        </w:trPr>
        <w:tc>
          <w:tcPr>
            <w:tcW w:w="1440" w:type="dxa"/>
          </w:tcPr>
          <w:p w:rsidR="00C94F37" w:rsidRPr="00967EAE" w:rsidRDefault="00C94F37" w:rsidP="00967EAE">
            <w:pPr>
              <w:spacing w:before="40" w:after="40"/>
              <w:jc w:val="center"/>
              <w:rPr>
                <w:b/>
                <w:sz w:val="18"/>
                <w:szCs w:val="18"/>
              </w:rPr>
            </w:pPr>
            <w:r w:rsidRPr="00967EAE">
              <w:rPr>
                <w:b/>
                <w:sz w:val="18"/>
                <w:szCs w:val="18"/>
              </w:rPr>
              <w:t>June</w:t>
            </w:r>
          </w:p>
        </w:tc>
        <w:tc>
          <w:tcPr>
            <w:tcW w:w="2250" w:type="dxa"/>
          </w:tcPr>
          <w:p w:rsidR="00C94F37" w:rsidRPr="00967EAE" w:rsidRDefault="00C94F37" w:rsidP="00967EAE">
            <w:pPr>
              <w:spacing w:before="40" w:after="40"/>
              <w:jc w:val="center"/>
              <w:rPr>
                <w:sz w:val="18"/>
                <w:szCs w:val="18"/>
              </w:rPr>
            </w:pPr>
            <w:r w:rsidRPr="00967EAE">
              <w:rPr>
                <w:sz w:val="18"/>
                <w:szCs w:val="18"/>
              </w:rPr>
              <w:t>12</w:t>
            </w:r>
            <w:r w:rsidR="00261EE8" w:rsidRPr="00967EAE">
              <w:rPr>
                <w:sz w:val="18"/>
                <w:szCs w:val="18"/>
              </w:rPr>
              <w:t>,000,000</w:t>
            </w:r>
          </w:p>
        </w:tc>
        <w:tc>
          <w:tcPr>
            <w:tcW w:w="2250" w:type="dxa"/>
          </w:tcPr>
          <w:p w:rsidR="00C94F37" w:rsidRPr="00967EAE" w:rsidRDefault="00C94F37" w:rsidP="00967EAE">
            <w:pPr>
              <w:spacing w:before="40" w:after="40"/>
              <w:jc w:val="center"/>
              <w:rPr>
                <w:sz w:val="18"/>
                <w:szCs w:val="18"/>
              </w:rPr>
            </w:pPr>
            <w:r w:rsidRPr="00967EAE">
              <w:rPr>
                <w:sz w:val="18"/>
                <w:szCs w:val="18"/>
              </w:rPr>
              <w:t>0.9656</w:t>
            </w:r>
          </w:p>
        </w:tc>
        <w:tc>
          <w:tcPr>
            <w:tcW w:w="2250" w:type="dxa"/>
          </w:tcPr>
          <w:p w:rsidR="00C94F37" w:rsidRPr="00967EAE" w:rsidRDefault="00C94F37" w:rsidP="00967EAE">
            <w:pPr>
              <w:spacing w:before="40" w:after="40"/>
              <w:jc w:val="center"/>
              <w:rPr>
                <w:sz w:val="18"/>
                <w:szCs w:val="18"/>
              </w:rPr>
            </w:pPr>
            <w:r w:rsidRPr="00967EAE">
              <w:rPr>
                <w:sz w:val="18"/>
                <w:szCs w:val="18"/>
              </w:rPr>
              <w:t>11,587,200</w:t>
            </w:r>
          </w:p>
        </w:tc>
      </w:tr>
      <w:tr w:rsidR="00C94F37" w:rsidRPr="00C94F37" w:rsidTr="00967EAE">
        <w:tc>
          <w:tcPr>
            <w:tcW w:w="1440" w:type="dxa"/>
          </w:tcPr>
          <w:p w:rsidR="00C94F37" w:rsidRPr="00967EAE" w:rsidRDefault="00C94F37" w:rsidP="00967EAE">
            <w:pPr>
              <w:spacing w:before="40" w:after="40"/>
              <w:jc w:val="center"/>
              <w:rPr>
                <w:b/>
                <w:sz w:val="18"/>
                <w:szCs w:val="18"/>
              </w:rPr>
            </w:pPr>
            <w:r w:rsidRPr="00967EAE">
              <w:rPr>
                <w:b/>
                <w:sz w:val="18"/>
                <w:szCs w:val="18"/>
              </w:rPr>
              <w:t>September</w:t>
            </w:r>
          </w:p>
        </w:tc>
        <w:tc>
          <w:tcPr>
            <w:tcW w:w="2250" w:type="dxa"/>
          </w:tcPr>
          <w:p w:rsidR="00C94F37" w:rsidRPr="00967EAE" w:rsidRDefault="00C94F37" w:rsidP="00967EAE">
            <w:pPr>
              <w:spacing w:before="40" w:after="40"/>
              <w:jc w:val="center"/>
              <w:rPr>
                <w:sz w:val="18"/>
                <w:szCs w:val="18"/>
              </w:rPr>
            </w:pPr>
            <w:r w:rsidRPr="00967EAE">
              <w:rPr>
                <w:sz w:val="18"/>
                <w:szCs w:val="18"/>
              </w:rPr>
              <w:t>16</w:t>
            </w:r>
            <w:r w:rsidR="00261EE8" w:rsidRPr="00967EAE">
              <w:rPr>
                <w:sz w:val="18"/>
                <w:szCs w:val="18"/>
              </w:rPr>
              <w:t>,000,000</w:t>
            </w:r>
          </w:p>
        </w:tc>
        <w:tc>
          <w:tcPr>
            <w:tcW w:w="2250" w:type="dxa"/>
          </w:tcPr>
          <w:p w:rsidR="00C94F37" w:rsidRPr="00967EAE" w:rsidRDefault="00C94F37" w:rsidP="00967EAE">
            <w:pPr>
              <w:spacing w:before="40" w:after="40"/>
              <w:jc w:val="center"/>
              <w:rPr>
                <w:sz w:val="18"/>
                <w:szCs w:val="18"/>
              </w:rPr>
            </w:pPr>
            <w:r w:rsidRPr="00967EAE">
              <w:rPr>
                <w:sz w:val="18"/>
                <w:szCs w:val="18"/>
              </w:rPr>
              <w:t>0.9635</w:t>
            </w:r>
          </w:p>
        </w:tc>
        <w:tc>
          <w:tcPr>
            <w:tcW w:w="2250" w:type="dxa"/>
          </w:tcPr>
          <w:p w:rsidR="00C94F37" w:rsidRPr="00967EAE" w:rsidRDefault="00C94F37" w:rsidP="00967EAE">
            <w:pPr>
              <w:spacing w:before="40" w:after="40"/>
              <w:jc w:val="center"/>
              <w:rPr>
                <w:sz w:val="18"/>
                <w:szCs w:val="18"/>
              </w:rPr>
            </w:pPr>
            <w:r w:rsidRPr="00967EAE">
              <w:rPr>
                <w:sz w:val="18"/>
                <w:szCs w:val="18"/>
              </w:rPr>
              <w:t>15,416,000</w:t>
            </w:r>
          </w:p>
        </w:tc>
      </w:tr>
      <w:tr w:rsidR="00C94F37" w:rsidRPr="00C94F37" w:rsidTr="00967EAE">
        <w:tc>
          <w:tcPr>
            <w:tcW w:w="1440" w:type="dxa"/>
          </w:tcPr>
          <w:p w:rsidR="00C94F37" w:rsidRPr="00297AD0" w:rsidRDefault="00C94F37" w:rsidP="00967EAE">
            <w:pPr>
              <w:spacing w:before="40" w:after="40"/>
              <w:jc w:val="center"/>
              <w:rPr>
                <w:b/>
                <w:sz w:val="18"/>
                <w:szCs w:val="18"/>
              </w:rPr>
            </w:pPr>
            <w:r w:rsidRPr="00297AD0">
              <w:rPr>
                <w:b/>
                <w:sz w:val="18"/>
                <w:szCs w:val="18"/>
              </w:rPr>
              <w:t>Totals</w:t>
            </w:r>
          </w:p>
        </w:tc>
        <w:tc>
          <w:tcPr>
            <w:tcW w:w="2250" w:type="dxa"/>
          </w:tcPr>
          <w:p w:rsidR="00C94F37" w:rsidRPr="00297AD0" w:rsidRDefault="00C94F37" w:rsidP="00967EAE">
            <w:pPr>
              <w:spacing w:before="40" w:after="40"/>
              <w:jc w:val="center"/>
              <w:rPr>
                <w:sz w:val="18"/>
                <w:szCs w:val="18"/>
              </w:rPr>
            </w:pPr>
            <w:r w:rsidRPr="00297AD0">
              <w:rPr>
                <w:sz w:val="18"/>
                <w:szCs w:val="18"/>
              </w:rPr>
              <w:t>36</w:t>
            </w:r>
            <w:r w:rsidR="00261EE8" w:rsidRPr="00297AD0">
              <w:rPr>
                <w:sz w:val="18"/>
                <w:szCs w:val="18"/>
              </w:rPr>
              <w:t>,000,000</w:t>
            </w:r>
          </w:p>
        </w:tc>
        <w:tc>
          <w:tcPr>
            <w:tcW w:w="2250" w:type="dxa"/>
          </w:tcPr>
          <w:p w:rsidR="00C94F37" w:rsidRPr="00297AD0" w:rsidRDefault="00C94F37" w:rsidP="00967EAE">
            <w:pPr>
              <w:spacing w:before="40" w:after="40"/>
              <w:jc w:val="center"/>
              <w:rPr>
                <w:sz w:val="18"/>
                <w:szCs w:val="18"/>
              </w:rPr>
            </w:pPr>
          </w:p>
        </w:tc>
        <w:tc>
          <w:tcPr>
            <w:tcW w:w="2250" w:type="dxa"/>
          </w:tcPr>
          <w:p w:rsidR="00C94F37" w:rsidRPr="00297AD0" w:rsidRDefault="00C94F37" w:rsidP="00967EAE">
            <w:pPr>
              <w:spacing w:before="40" w:after="40"/>
              <w:jc w:val="center"/>
              <w:rPr>
                <w:sz w:val="18"/>
                <w:szCs w:val="18"/>
              </w:rPr>
            </w:pPr>
            <w:r w:rsidRPr="00297AD0">
              <w:rPr>
                <w:sz w:val="18"/>
                <w:szCs w:val="18"/>
              </w:rPr>
              <w:t>34,740,800</w:t>
            </w:r>
          </w:p>
        </w:tc>
      </w:tr>
    </w:tbl>
    <w:p w:rsidR="00B939B5" w:rsidRDefault="00B939B5" w:rsidP="007E4D67">
      <w:pPr>
        <w:ind w:left="567"/>
      </w:pPr>
    </w:p>
    <w:p w:rsidR="00B939B5" w:rsidRDefault="00B939B5" w:rsidP="00B939B5">
      <w:pPr>
        <w:ind w:left="567"/>
      </w:pPr>
      <w:r w:rsidRPr="000D36F9">
        <w:t>Weighted average forward rate is calculated as:</w:t>
      </w:r>
      <w:r>
        <w:t xml:space="preserve">  </w:t>
      </w:r>
      <m:oMath>
        <m:f>
          <m:fPr>
            <m:ctrlPr>
              <w:rPr>
                <w:rFonts w:ascii="Cambria Math" w:hAnsi="Cambria Math"/>
                <w:i/>
                <w:szCs w:val="22"/>
              </w:rPr>
            </m:ctrlPr>
          </m:fPr>
          <m:num>
            <m:r>
              <m:rPr>
                <m:sty m:val="p"/>
              </m:rPr>
              <w:rPr>
                <w:rFonts w:ascii="Cambria Math" w:hAnsi="Cambria Math"/>
                <w:szCs w:val="22"/>
              </w:rPr>
              <m:t>34,740,800</m:t>
            </m:r>
          </m:num>
          <m:den>
            <m:r>
              <w:rPr>
                <w:rFonts w:ascii="Cambria Math" w:hAnsi="Cambria Math"/>
                <w:szCs w:val="22"/>
              </w:rPr>
              <m:t>36,000,000</m:t>
            </m:r>
          </m:den>
        </m:f>
        <m:r>
          <w:rPr>
            <w:rFonts w:ascii="Cambria Math" w:hAnsi="Cambria Math"/>
            <w:szCs w:val="22"/>
          </w:rPr>
          <m:t>=0.96502</m:t>
        </m:r>
      </m:oMath>
    </w:p>
    <w:p w:rsidR="00B939B5" w:rsidRDefault="00B939B5" w:rsidP="007E4D67">
      <w:pPr>
        <w:ind w:left="567"/>
      </w:pPr>
    </w:p>
    <w:p w:rsidR="00B7798D" w:rsidRDefault="000561B1" w:rsidP="007E4D67">
      <w:pPr>
        <w:ind w:left="567"/>
      </w:pPr>
      <w:r>
        <w:t xml:space="preserve">In this example, the rate of 0.96502 would </w:t>
      </w:r>
      <w:r w:rsidR="00023F66">
        <w:t xml:space="preserve">be the “blended hedge rate” and therefore </w:t>
      </w:r>
      <w:r>
        <w:t>be used as the basis for establishing the equivalent amount</w:t>
      </w:r>
      <w:r w:rsidR="00261EE8">
        <w:t xml:space="preserve"> </w:t>
      </w:r>
      <w:r w:rsidR="00135D16">
        <w:t xml:space="preserve">of the international filing fee </w:t>
      </w:r>
      <w:r w:rsidR="00261EE8">
        <w:t>in United States dollars</w:t>
      </w:r>
      <w:r>
        <w:t>.</w:t>
      </w:r>
    </w:p>
    <w:sectPr w:rsidR="00B7798D" w:rsidSect="00804DB7">
      <w:pgSz w:w="11907" w:h="16840" w:code="9"/>
      <w:pgMar w:top="1417" w:right="1417" w:bottom="1417" w:left="1417"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6CD29E3"/>
    <w:multiLevelType w:val="multilevel"/>
    <w:tmpl w:val="D6448858"/>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nsid w:val="75D11C28"/>
    <w:multiLevelType w:val="multilevel"/>
    <w:tmpl w:val="52AAD39C"/>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
  </w:num>
  <w:num w:numId="2">
    <w:abstractNumId w:val="3"/>
  </w:num>
  <w:num w:numId="3">
    <w:abstractNumId w:val="7"/>
  </w:num>
  <w:num w:numId="4">
    <w:abstractNumId w:val="6"/>
  </w:num>
  <w:num w:numId="5">
    <w:abstractNumId w:val="0"/>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F0C"/>
    <w:rsid w:val="00006F0C"/>
    <w:rsid w:val="00023F66"/>
    <w:rsid w:val="000561B1"/>
    <w:rsid w:val="000948FC"/>
    <w:rsid w:val="000F316F"/>
    <w:rsid w:val="000F5E56"/>
    <w:rsid w:val="00135D16"/>
    <w:rsid w:val="00261EE8"/>
    <w:rsid w:val="00297AD0"/>
    <w:rsid w:val="003C27A1"/>
    <w:rsid w:val="00431118"/>
    <w:rsid w:val="00594FC4"/>
    <w:rsid w:val="00621682"/>
    <w:rsid w:val="006277F1"/>
    <w:rsid w:val="00695003"/>
    <w:rsid w:val="00736805"/>
    <w:rsid w:val="00756F87"/>
    <w:rsid w:val="007729B6"/>
    <w:rsid w:val="007B240C"/>
    <w:rsid w:val="007D53C7"/>
    <w:rsid w:val="007E4D67"/>
    <w:rsid w:val="00804DB7"/>
    <w:rsid w:val="009607AA"/>
    <w:rsid w:val="00967EAE"/>
    <w:rsid w:val="00992430"/>
    <w:rsid w:val="00B7798D"/>
    <w:rsid w:val="00B939B5"/>
    <w:rsid w:val="00C554EC"/>
    <w:rsid w:val="00C94F37"/>
    <w:rsid w:val="00CA3724"/>
    <w:rsid w:val="00CF09EB"/>
    <w:rsid w:val="00EE14F1"/>
    <w:rsid w:val="00EE7D45"/>
    <w:rsid w:val="00F15DA4"/>
    <w:rsid w:val="00F5672A"/>
    <w:rsid w:val="00F601C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link w:val="ONUMEChar"/>
    <w:uiPriority w:val="99"/>
    <w:rsid w:val="00804DB7"/>
    <w:pPr>
      <w:numPr>
        <w:numId w:val="3"/>
      </w:numPr>
    </w:pPr>
  </w:style>
  <w:style w:type="paragraph" w:styleId="ListNumber">
    <w:name w:val="List Number"/>
    <w:basedOn w:val="Normal"/>
    <w:semiHidden/>
    <w:rsid w:val="00804DB7"/>
    <w:pPr>
      <w:numPr>
        <w:numId w:val="6"/>
      </w:numPr>
    </w:pPr>
  </w:style>
  <w:style w:type="table" w:styleId="TableGrid">
    <w:name w:val="Table Grid"/>
    <w:basedOn w:val="TableNormal"/>
    <w:rsid w:val="00C94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948FC"/>
    <w:rPr>
      <w:rFonts w:ascii="Tahoma" w:hAnsi="Tahoma" w:cs="Tahoma"/>
      <w:sz w:val="16"/>
      <w:szCs w:val="16"/>
    </w:rPr>
  </w:style>
  <w:style w:type="character" w:customStyle="1" w:styleId="BalloonTextChar">
    <w:name w:val="Balloon Text Char"/>
    <w:basedOn w:val="DefaultParagraphFont"/>
    <w:link w:val="BalloonText"/>
    <w:rsid w:val="000948FC"/>
    <w:rPr>
      <w:rFonts w:ascii="Tahoma" w:hAnsi="Tahoma" w:cs="Tahoma"/>
      <w:sz w:val="16"/>
      <w:szCs w:val="16"/>
    </w:rPr>
  </w:style>
  <w:style w:type="character" w:customStyle="1" w:styleId="ONUMEChar">
    <w:name w:val="ONUM E Char"/>
    <w:link w:val="ONUME"/>
    <w:uiPriority w:val="99"/>
    <w:locked/>
    <w:rsid w:val="00261EE8"/>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link w:val="ONUMEChar"/>
    <w:uiPriority w:val="99"/>
    <w:rsid w:val="00804DB7"/>
    <w:pPr>
      <w:numPr>
        <w:numId w:val="3"/>
      </w:numPr>
    </w:pPr>
  </w:style>
  <w:style w:type="paragraph" w:styleId="ListNumber">
    <w:name w:val="List Number"/>
    <w:basedOn w:val="Normal"/>
    <w:semiHidden/>
    <w:rsid w:val="00804DB7"/>
    <w:pPr>
      <w:numPr>
        <w:numId w:val="6"/>
      </w:numPr>
    </w:pPr>
  </w:style>
  <w:style w:type="table" w:styleId="TableGrid">
    <w:name w:val="Table Grid"/>
    <w:basedOn w:val="TableNormal"/>
    <w:rsid w:val="00C94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948FC"/>
    <w:rPr>
      <w:rFonts w:ascii="Tahoma" w:hAnsi="Tahoma" w:cs="Tahoma"/>
      <w:sz w:val="16"/>
      <w:szCs w:val="16"/>
    </w:rPr>
  </w:style>
  <w:style w:type="character" w:customStyle="1" w:styleId="BalloonTextChar">
    <w:name w:val="Balloon Text Char"/>
    <w:basedOn w:val="DefaultParagraphFont"/>
    <w:link w:val="BalloonText"/>
    <w:rsid w:val="000948FC"/>
    <w:rPr>
      <w:rFonts w:ascii="Tahoma" w:hAnsi="Tahoma" w:cs="Tahoma"/>
      <w:sz w:val="16"/>
      <w:szCs w:val="16"/>
    </w:rPr>
  </w:style>
  <w:style w:type="character" w:customStyle="1" w:styleId="ONUMEChar">
    <w:name w:val="ONUM E Char"/>
    <w:link w:val="ONUME"/>
    <w:uiPriority w:val="99"/>
    <w:locked/>
    <w:rsid w:val="00261EE8"/>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412</Words>
  <Characters>2646</Characters>
  <Application>Microsoft Office Word</Application>
  <DocSecurity>0</DocSecurity>
  <Lines>661</Lines>
  <Paragraphs>179</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MITON GENOUD Anne</dc:creator>
  <cp:lastModifiedBy>RICHARDSON Michael</cp:lastModifiedBy>
  <cp:revision>2</cp:revision>
  <cp:lastPrinted>2015-06-05T16:22:00Z</cp:lastPrinted>
  <dcterms:created xsi:type="dcterms:W3CDTF">2015-06-08T12:56:00Z</dcterms:created>
  <dcterms:modified xsi:type="dcterms:W3CDTF">2015-06-08T12:56:00Z</dcterms:modified>
</cp:coreProperties>
</file>