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91" w:rsidRPr="001B04B1" w:rsidRDefault="00642E91" w:rsidP="00642E91">
      <w:pPr>
        <w:jc w:val="right"/>
      </w:pPr>
      <w:bookmarkStart w:id="0" w:name="_Toc385951031"/>
      <w:bookmarkStart w:id="1" w:name="_GoBack"/>
      <w:bookmarkEnd w:id="1"/>
      <w:r w:rsidRPr="00721351">
        <w:t>PCT/WG/</w:t>
      </w:r>
      <w:r>
        <w:t>7</w:t>
      </w:r>
    </w:p>
    <w:p w:rsidR="00642E91" w:rsidRDefault="00642E91" w:rsidP="00642E91">
      <w:pPr>
        <w:jc w:val="right"/>
      </w:pPr>
      <w:r>
        <w:t>Paper No. 2 (E)</w:t>
      </w:r>
    </w:p>
    <w:p w:rsidR="00642E91" w:rsidRDefault="00642E91" w:rsidP="00642E91">
      <w:pPr>
        <w:jc w:val="right"/>
      </w:pPr>
      <w:r>
        <w:t>June 1</w:t>
      </w:r>
      <w:r w:rsidR="00E36013">
        <w:t>1</w:t>
      </w:r>
      <w:r>
        <w:t>, 2014</w:t>
      </w:r>
    </w:p>
    <w:p w:rsidR="00E36013" w:rsidRDefault="00E36013" w:rsidP="00642E91">
      <w:pPr>
        <w:jc w:val="right"/>
      </w:pPr>
    </w:p>
    <w:bookmarkEnd w:id="0"/>
    <w:p w:rsidR="009D14CF" w:rsidRDefault="009D14CF" w:rsidP="008449BB">
      <w:pPr>
        <w:ind w:left="284"/>
        <w:jc w:val="center"/>
        <w:rPr>
          <w:szCs w:val="22"/>
        </w:rPr>
      </w:pPr>
    </w:p>
    <w:p w:rsidR="008449BB" w:rsidRPr="00E36013" w:rsidRDefault="008449BB" w:rsidP="008449BB">
      <w:pPr>
        <w:ind w:left="284"/>
        <w:jc w:val="center"/>
        <w:rPr>
          <w:szCs w:val="22"/>
        </w:rPr>
      </w:pPr>
      <w:r w:rsidRPr="00E36013">
        <w:rPr>
          <w:szCs w:val="22"/>
        </w:rPr>
        <w:t>PROPOSED AMENDMENT OF THE REGULATIONS UNDER THE PCT:</w:t>
      </w:r>
    </w:p>
    <w:p w:rsidR="008449BB" w:rsidRPr="00E36013" w:rsidRDefault="008449BB" w:rsidP="008449BB">
      <w:pPr>
        <w:ind w:left="284"/>
        <w:jc w:val="center"/>
        <w:rPr>
          <w:szCs w:val="22"/>
        </w:rPr>
      </w:pPr>
      <w:r w:rsidRPr="00E36013">
        <w:rPr>
          <w:szCs w:val="22"/>
        </w:rPr>
        <w:t xml:space="preserve">SCHEDULE OF </w:t>
      </w:r>
      <w:proofErr w:type="gramStart"/>
      <w:r w:rsidRPr="00E36013">
        <w:rPr>
          <w:szCs w:val="22"/>
        </w:rPr>
        <w:t>FEES</w:t>
      </w:r>
      <w:proofErr w:type="gramEnd"/>
      <w:r w:rsidRPr="00E36013">
        <w:rPr>
          <w:szCs w:val="22"/>
        </w:rPr>
        <w:br/>
      </w:r>
      <w:r w:rsidRPr="00E36013">
        <w:rPr>
          <w:i/>
          <w:szCs w:val="22"/>
        </w:rPr>
        <w:t>(as proposed to be amended with effect from [DATE])</w:t>
      </w:r>
    </w:p>
    <w:p w:rsidR="00E36013" w:rsidRPr="005377FE" w:rsidRDefault="00E36013" w:rsidP="008449BB">
      <w:pPr>
        <w:pStyle w:val="DecisionInvitingPara"/>
        <w:rPr>
          <w:i w:val="0"/>
          <w:szCs w:val="24"/>
        </w:rPr>
      </w:pPr>
    </w:p>
    <w:tbl>
      <w:tblPr>
        <w:tblW w:w="0" w:type="auto"/>
        <w:jc w:val="center"/>
        <w:tblLayout w:type="fixed"/>
        <w:tblCellMar>
          <w:left w:w="56" w:type="dxa"/>
          <w:right w:w="56" w:type="dxa"/>
        </w:tblCellMar>
        <w:tblLook w:val="0000" w:firstRow="0" w:lastRow="0" w:firstColumn="0" w:lastColumn="0" w:noHBand="0" w:noVBand="0"/>
      </w:tblPr>
      <w:tblGrid>
        <w:gridCol w:w="33"/>
        <w:gridCol w:w="583"/>
        <w:gridCol w:w="5496"/>
        <w:gridCol w:w="33"/>
        <w:gridCol w:w="855"/>
        <w:gridCol w:w="2113"/>
        <w:gridCol w:w="33"/>
      </w:tblGrid>
      <w:tr w:rsidR="008449BB" w:rsidRPr="009D14CF" w:rsidTr="00F90372">
        <w:trPr>
          <w:gridAfter w:val="1"/>
          <w:wAfter w:w="33" w:type="dxa"/>
          <w:jc w:val="center"/>
        </w:trPr>
        <w:tc>
          <w:tcPr>
            <w:tcW w:w="6112" w:type="dxa"/>
            <w:gridSpan w:val="3"/>
          </w:tcPr>
          <w:p w:rsidR="008449BB" w:rsidRPr="009D14CF" w:rsidRDefault="008449BB" w:rsidP="00F90372">
            <w:pPr>
              <w:pStyle w:val="Tabletext"/>
              <w:rPr>
                <w:rFonts w:cs="Arial"/>
                <w:b/>
                <w:sz w:val="20"/>
                <w:szCs w:val="20"/>
              </w:rPr>
            </w:pPr>
            <w:r w:rsidRPr="009D14CF">
              <w:rPr>
                <w:rFonts w:cs="Arial"/>
                <w:b/>
                <w:sz w:val="20"/>
                <w:szCs w:val="20"/>
              </w:rPr>
              <w:t>Fees</w:t>
            </w:r>
          </w:p>
          <w:p w:rsidR="008449BB" w:rsidRPr="009D14CF" w:rsidRDefault="008449BB" w:rsidP="00F90372">
            <w:pPr>
              <w:pStyle w:val="Tabletext"/>
              <w:rPr>
                <w:rFonts w:cs="Arial"/>
                <w:b/>
                <w:sz w:val="20"/>
                <w:szCs w:val="20"/>
              </w:rPr>
            </w:pPr>
          </w:p>
        </w:tc>
        <w:tc>
          <w:tcPr>
            <w:tcW w:w="3001" w:type="dxa"/>
            <w:gridSpan w:val="3"/>
          </w:tcPr>
          <w:p w:rsidR="008449BB" w:rsidRPr="009D14CF" w:rsidRDefault="008449BB" w:rsidP="00F90372">
            <w:pPr>
              <w:pStyle w:val="Tabletext"/>
              <w:rPr>
                <w:rFonts w:cs="Arial"/>
                <w:b/>
                <w:sz w:val="20"/>
                <w:szCs w:val="20"/>
              </w:rPr>
            </w:pPr>
            <w:r w:rsidRPr="009D14CF">
              <w:rPr>
                <w:rFonts w:cs="Arial"/>
                <w:b/>
                <w:sz w:val="20"/>
                <w:szCs w:val="20"/>
              </w:rPr>
              <w:t>Amounts</w:t>
            </w: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r w:rsidRPr="009D14CF">
              <w:rPr>
                <w:rFonts w:cs="Arial"/>
                <w:sz w:val="20"/>
                <w:szCs w:val="20"/>
              </w:rPr>
              <w:t>1.</w:t>
            </w:r>
          </w:p>
        </w:tc>
        <w:tc>
          <w:tcPr>
            <w:tcW w:w="5529" w:type="dxa"/>
            <w:gridSpan w:val="2"/>
          </w:tcPr>
          <w:p w:rsidR="008449BB" w:rsidRPr="009D14CF" w:rsidRDefault="008449BB" w:rsidP="00F90372">
            <w:pPr>
              <w:pStyle w:val="Tabletext"/>
              <w:rPr>
                <w:rFonts w:cs="Arial"/>
                <w:sz w:val="20"/>
                <w:szCs w:val="20"/>
              </w:rPr>
            </w:pPr>
            <w:r w:rsidRPr="009D14CF">
              <w:rPr>
                <w:rFonts w:cs="Arial"/>
                <w:sz w:val="20"/>
                <w:szCs w:val="20"/>
              </w:rPr>
              <w:t>International filing fee:</w:t>
            </w:r>
            <w:r w:rsidRPr="009D14CF">
              <w:rPr>
                <w:rFonts w:cs="Arial"/>
                <w:sz w:val="20"/>
                <w:szCs w:val="20"/>
              </w:rPr>
              <w:br/>
              <w:t>(Rule 15.2)</w:t>
            </w:r>
          </w:p>
        </w:tc>
        <w:tc>
          <w:tcPr>
            <w:tcW w:w="855" w:type="dxa"/>
          </w:tcPr>
          <w:p w:rsidR="008449BB" w:rsidRPr="009D14CF" w:rsidRDefault="008449BB" w:rsidP="00F90372">
            <w:pPr>
              <w:pStyle w:val="Tabletext"/>
              <w:tabs>
                <w:tab w:val="right" w:pos="658"/>
              </w:tabs>
              <w:rPr>
                <w:rFonts w:cs="Arial"/>
                <w:sz w:val="20"/>
                <w:szCs w:val="20"/>
              </w:rPr>
            </w:pPr>
            <w:r w:rsidRPr="009D14CF">
              <w:rPr>
                <w:rFonts w:cs="Arial"/>
                <w:sz w:val="20"/>
                <w:szCs w:val="20"/>
              </w:rPr>
              <w:tab/>
              <w:t>1,330</w:t>
            </w:r>
          </w:p>
          <w:p w:rsidR="008449BB" w:rsidRPr="009D14CF" w:rsidRDefault="008449BB" w:rsidP="00F90372">
            <w:pPr>
              <w:pStyle w:val="Tabletext"/>
              <w:tabs>
                <w:tab w:val="right" w:pos="658"/>
              </w:tabs>
              <w:rPr>
                <w:rFonts w:cs="Arial"/>
                <w:sz w:val="20"/>
                <w:szCs w:val="20"/>
              </w:rPr>
            </w:pPr>
            <w:r w:rsidRPr="009D14CF">
              <w:rPr>
                <w:rFonts w:cs="Arial"/>
                <w:sz w:val="20"/>
                <w:szCs w:val="20"/>
              </w:rPr>
              <w:tab/>
              <w:t>15</w:t>
            </w:r>
          </w:p>
        </w:tc>
        <w:tc>
          <w:tcPr>
            <w:tcW w:w="2146" w:type="dxa"/>
            <w:gridSpan w:val="2"/>
          </w:tcPr>
          <w:p w:rsidR="008449BB" w:rsidRPr="009D14CF" w:rsidRDefault="008449BB" w:rsidP="00F90372">
            <w:pPr>
              <w:pStyle w:val="Tabletext"/>
              <w:rPr>
                <w:rFonts w:cs="Arial"/>
                <w:sz w:val="20"/>
                <w:szCs w:val="20"/>
              </w:rPr>
            </w:pPr>
            <w:r w:rsidRPr="009D14CF">
              <w:rPr>
                <w:rFonts w:cs="Arial"/>
                <w:sz w:val="20"/>
                <w:szCs w:val="20"/>
              </w:rPr>
              <w:t>Swiss francs plus</w:t>
            </w:r>
          </w:p>
          <w:p w:rsidR="008449BB" w:rsidRPr="009D14CF" w:rsidRDefault="008449BB" w:rsidP="00F90372">
            <w:pPr>
              <w:pStyle w:val="Tabletext"/>
              <w:rPr>
                <w:rFonts w:cs="Arial"/>
                <w:sz w:val="20"/>
                <w:szCs w:val="20"/>
              </w:rPr>
            </w:pPr>
            <w:r w:rsidRPr="009D14CF">
              <w:rPr>
                <w:rFonts w:cs="Arial"/>
                <w:sz w:val="20"/>
                <w:szCs w:val="20"/>
              </w:rPr>
              <w:t>Swiss francs for each sheet of the international application in excess of 30 sheets</w:t>
            </w: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r w:rsidRPr="009D14CF">
              <w:rPr>
                <w:rFonts w:cs="Arial"/>
                <w:sz w:val="20"/>
                <w:szCs w:val="20"/>
              </w:rPr>
              <w:t>2.</w:t>
            </w:r>
          </w:p>
        </w:tc>
        <w:tc>
          <w:tcPr>
            <w:tcW w:w="5529" w:type="dxa"/>
            <w:gridSpan w:val="2"/>
          </w:tcPr>
          <w:p w:rsidR="008449BB" w:rsidRPr="009D14CF" w:rsidRDefault="008449BB" w:rsidP="00F90372">
            <w:pPr>
              <w:pStyle w:val="Tabletext"/>
              <w:rPr>
                <w:rFonts w:cs="Arial"/>
                <w:sz w:val="20"/>
                <w:szCs w:val="20"/>
              </w:rPr>
            </w:pPr>
            <w:r w:rsidRPr="009D14CF">
              <w:rPr>
                <w:rFonts w:cs="Arial"/>
                <w:sz w:val="20"/>
                <w:szCs w:val="20"/>
              </w:rPr>
              <w:t>Supplementary search handling fee:</w:t>
            </w:r>
            <w:r w:rsidRPr="009D14CF">
              <w:rPr>
                <w:rFonts w:cs="Arial"/>
                <w:sz w:val="20"/>
                <w:szCs w:val="20"/>
              </w:rPr>
              <w:br/>
              <w:t>(Rule 45</w:t>
            </w:r>
            <w:r w:rsidRPr="009D14CF">
              <w:rPr>
                <w:rFonts w:cs="Arial"/>
                <w:i/>
                <w:sz w:val="20"/>
                <w:szCs w:val="20"/>
              </w:rPr>
              <w:t>bis</w:t>
            </w:r>
            <w:r w:rsidRPr="009D14CF">
              <w:rPr>
                <w:rFonts w:cs="Arial"/>
                <w:sz w:val="20"/>
                <w:szCs w:val="20"/>
              </w:rPr>
              <w:t xml:space="preserve">.2) </w:t>
            </w:r>
          </w:p>
        </w:tc>
        <w:tc>
          <w:tcPr>
            <w:tcW w:w="855" w:type="dxa"/>
          </w:tcPr>
          <w:p w:rsidR="008449BB" w:rsidRPr="009D14CF" w:rsidRDefault="008449BB" w:rsidP="00F90372">
            <w:pPr>
              <w:pStyle w:val="Tabletext"/>
              <w:tabs>
                <w:tab w:val="right" w:pos="658"/>
              </w:tabs>
              <w:rPr>
                <w:rFonts w:cs="Arial"/>
                <w:sz w:val="20"/>
                <w:szCs w:val="20"/>
              </w:rPr>
            </w:pPr>
            <w:r w:rsidRPr="009D14CF">
              <w:rPr>
                <w:rFonts w:cs="Arial"/>
                <w:sz w:val="20"/>
                <w:szCs w:val="20"/>
              </w:rPr>
              <w:tab/>
              <w:t>200</w:t>
            </w:r>
          </w:p>
        </w:tc>
        <w:tc>
          <w:tcPr>
            <w:tcW w:w="2146" w:type="dxa"/>
            <w:gridSpan w:val="2"/>
          </w:tcPr>
          <w:p w:rsidR="008449BB" w:rsidRPr="009D14CF" w:rsidRDefault="008449BB" w:rsidP="00F90372">
            <w:pPr>
              <w:pStyle w:val="Tabletext"/>
              <w:rPr>
                <w:rFonts w:cs="Arial"/>
                <w:sz w:val="20"/>
                <w:szCs w:val="20"/>
              </w:rPr>
            </w:pPr>
            <w:r w:rsidRPr="009D14CF">
              <w:rPr>
                <w:rFonts w:cs="Arial"/>
                <w:sz w:val="20"/>
                <w:szCs w:val="20"/>
              </w:rPr>
              <w:t>Swiss francs</w:t>
            </w: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r w:rsidRPr="009D14CF">
              <w:rPr>
                <w:rFonts w:cs="Arial"/>
                <w:sz w:val="20"/>
                <w:szCs w:val="20"/>
              </w:rPr>
              <w:t>3.</w:t>
            </w:r>
          </w:p>
        </w:tc>
        <w:tc>
          <w:tcPr>
            <w:tcW w:w="5529" w:type="dxa"/>
            <w:gridSpan w:val="2"/>
          </w:tcPr>
          <w:p w:rsidR="008449BB" w:rsidRPr="009D14CF" w:rsidRDefault="008449BB" w:rsidP="00F90372">
            <w:pPr>
              <w:pStyle w:val="Tabletext"/>
              <w:rPr>
                <w:rFonts w:cs="Arial"/>
                <w:sz w:val="20"/>
                <w:szCs w:val="20"/>
              </w:rPr>
            </w:pPr>
            <w:r w:rsidRPr="009D14CF">
              <w:rPr>
                <w:rFonts w:cs="Arial"/>
                <w:sz w:val="20"/>
                <w:szCs w:val="20"/>
              </w:rPr>
              <w:t>Handling fee:</w:t>
            </w:r>
            <w:r w:rsidRPr="009D14CF">
              <w:rPr>
                <w:rFonts w:cs="Arial"/>
                <w:sz w:val="20"/>
                <w:szCs w:val="20"/>
              </w:rPr>
              <w:br/>
              <w:t>(Rule 57.2)</w:t>
            </w:r>
          </w:p>
          <w:p w:rsidR="008449BB" w:rsidRPr="009D14CF" w:rsidRDefault="008449BB" w:rsidP="00F90372">
            <w:pPr>
              <w:pStyle w:val="Tabletext"/>
              <w:rPr>
                <w:rFonts w:cs="Arial"/>
                <w:sz w:val="20"/>
                <w:szCs w:val="20"/>
              </w:rPr>
            </w:pPr>
          </w:p>
        </w:tc>
        <w:tc>
          <w:tcPr>
            <w:tcW w:w="855" w:type="dxa"/>
          </w:tcPr>
          <w:p w:rsidR="008449BB" w:rsidRPr="009D14CF" w:rsidRDefault="008449BB" w:rsidP="00F90372">
            <w:pPr>
              <w:pStyle w:val="Tabletext"/>
              <w:tabs>
                <w:tab w:val="right" w:pos="658"/>
              </w:tabs>
              <w:rPr>
                <w:rFonts w:cs="Arial"/>
                <w:sz w:val="20"/>
                <w:szCs w:val="20"/>
              </w:rPr>
            </w:pPr>
            <w:r w:rsidRPr="009D14CF">
              <w:rPr>
                <w:rFonts w:cs="Arial"/>
                <w:sz w:val="20"/>
                <w:szCs w:val="20"/>
              </w:rPr>
              <w:tab/>
              <w:t>200</w:t>
            </w:r>
          </w:p>
        </w:tc>
        <w:tc>
          <w:tcPr>
            <w:tcW w:w="2146" w:type="dxa"/>
            <w:gridSpan w:val="2"/>
          </w:tcPr>
          <w:p w:rsidR="008449BB" w:rsidRPr="009D14CF" w:rsidRDefault="008449BB" w:rsidP="00F90372">
            <w:pPr>
              <w:pStyle w:val="Tabletext"/>
              <w:rPr>
                <w:rFonts w:cs="Arial"/>
                <w:sz w:val="20"/>
                <w:szCs w:val="20"/>
              </w:rPr>
            </w:pPr>
            <w:r w:rsidRPr="009D14CF">
              <w:rPr>
                <w:rFonts w:cs="Arial"/>
                <w:sz w:val="20"/>
                <w:szCs w:val="20"/>
              </w:rPr>
              <w:t>Swiss francs</w:t>
            </w: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p>
        </w:tc>
        <w:tc>
          <w:tcPr>
            <w:tcW w:w="5529" w:type="dxa"/>
            <w:gridSpan w:val="2"/>
          </w:tcPr>
          <w:p w:rsidR="008449BB" w:rsidRPr="009D14CF" w:rsidRDefault="008449BB" w:rsidP="00F90372">
            <w:pPr>
              <w:pStyle w:val="Tabletext"/>
              <w:rPr>
                <w:rFonts w:cs="Arial"/>
                <w:sz w:val="20"/>
                <w:szCs w:val="20"/>
              </w:rPr>
            </w:pPr>
          </w:p>
        </w:tc>
        <w:tc>
          <w:tcPr>
            <w:tcW w:w="855" w:type="dxa"/>
          </w:tcPr>
          <w:p w:rsidR="008449BB" w:rsidRPr="009D14CF" w:rsidRDefault="008449BB" w:rsidP="00F90372">
            <w:pPr>
              <w:pStyle w:val="Tabletext"/>
              <w:tabs>
                <w:tab w:val="right" w:pos="658"/>
              </w:tabs>
              <w:rPr>
                <w:rFonts w:cs="Arial"/>
                <w:sz w:val="20"/>
                <w:szCs w:val="20"/>
              </w:rPr>
            </w:pPr>
          </w:p>
        </w:tc>
        <w:tc>
          <w:tcPr>
            <w:tcW w:w="2146" w:type="dxa"/>
            <w:gridSpan w:val="2"/>
          </w:tcPr>
          <w:p w:rsidR="008449BB" w:rsidRPr="009D14CF" w:rsidRDefault="008449BB" w:rsidP="00F90372">
            <w:pPr>
              <w:pStyle w:val="Tabletext"/>
              <w:rPr>
                <w:rFonts w:cs="Arial"/>
                <w:sz w:val="20"/>
                <w:szCs w:val="20"/>
              </w:rPr>
            </w:pPr>
          </w:p>
        </w:tc>
      </w:tr>
      <w:tr w:rsidR="008449BB" w:rsidRPr="009D14CF" w:rsidTr="00F90372">
        <w:trPr>
          <w:gridBefore w:val="1"/>
          <w:wBefore w:w="33" w:type="dxa"/>
          <w:cantSplit/>
          <w:jc w:val="center"/>
        </w:trPr>
        <w:tc>
          <w:tcPr>
            <w:tcW w:w="9113" w:type="dxa"/>
            <w:gridSpan w:val="6"/>
          </w:tcPr>
          <w:p w:rsidR="008449BB" w:rsidRPr="009D14CF" w:rsidRDefault="008449BB" w:rsidP="00F90372">
            <w:pPr>
              <w:pStyle w:val="Tabletext"/>
              <w:rPr>
                <w:rFonts w:cs="Arial"/>
                <w:b/>
                <w:sz w:val="20"/>
                <w:szCs w:val="20"/>
              </w:rPr>
            </w:pPr>
            <w:r w:rsidRPr="009D14CF">
              <w:rPr>
                <w:rFonts w:cs="Arial"/>
                <w:b/>
                <w:sz w:val="20"/>
                <w:szCs w:val="20"/>
              </w:rPr>
              <w:t>Reductions</w:t>
            </w:r>
          </w:p>
          <w:p w:rsidR="008449BB" w:rsidRPr="009D14CF" w:rsidRDefault="008449BB" w:rsidP="00F90372">
            <w:pPr>
              <w:pStyle w:val="Tabletext"/>
              <w:rPr>
                <w:rFonts w:cs="Arial"/>
                <w:b/>
                <w:sz w:val="20"/>
                <w:szCs w:val="20"/>
              </w:rPr>
            </w:pP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r w:rsidRPr="009D14CF">
              <w:rPr>
                <w:rFonts w:cs="Arial"/>
                <w:sz w:val="20"/>
                <w:szCs w:val="20"/>
              </w:rPr>
              <w:t>4.</w:t>
            </w:r>
          </w:p>
        </w:tc>
        <w:tc>
          <w:tcPr>
            <w:tcW w:w="8530" w:type="dxa"/>
            <w:gridSpan w:val="5"/>
          </w:tcPr>
          <w:p w:rsidR="008449BB" w:rsidRDefault="008449BB" w:rsidP="00F90372">
            <w:pPr>
              <w:pStyle w:val="Tabletext"/>
              <w:rPr>
                <w:rFonts w:cs="Arial"/>
                <w:sz w:val="20"/>
                <w:szCs w:val="20"/>
              </w:rPr>
            </w:pPr>
            <w:r w:rsidRPr="009D14CF">
              <w:rPr>
                <w:rFonts w:cs="Arial"/>
                <w:sz w:val="20"/>
                <w:szCs w:val="20"/>
              </w:rPr>
              <w:t>The international filing fee is reduced by the following amount if the international application is, as provided for in the Administrative Instructions, filed:</w:t>
            </w:r>
          </w:p>
          <w:p w:rsidR="00742F35" w:rsidRPr="009D14CF" w:rsidRDefault="00742F35" w:rsidP="00F90372">
            <w:pPr>
              <w:pStyle w:val="Tabletext"/>
              <w:rPr>
                <w:rFonts w:cs="Arial"/>
                <w:sz w:val="20"/>
                <w:szCs w:val="20"/>
              </w:rPr>
            </w:pP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p>
        </w:tc>
        <w:tc>
          <w:tcPr>
            <w:tcW w:w="5529" w:type="dxa"/>
            <w:gridSpan w:val="2"/>
          </w:tcPr>
          <w:p w:rsidR="008449BB" w:rsidRPr="009D14CF" w:rsidRDefault="008449BB" w:rsidP="00F90372">
            <w:pPr>
              <w:pStyle w:val="Tabletext"/>
              <w:ind w:left="567" w:hanging="567"/>
              <w:rPr>
                <w:rFonts w:cs="Arial"/>
                <w:sz w:val="20"/>
                <w:szCs w:val="20"/>
              </w:rPr>
            </w:pPr>
            <w:r w:rsidRPr="009D14CF">
              <w:rPr>
                <w:rFonts w:cs="Arial"/>
                <w:sz w:val="20"/>
                <w:szCs w:val="20"/>
              </w:rPr>
              <w:t>(a)</w:t>
            </w:r>
            <w:r w:rsidRPr="009D14CF">
              <w:rPr>
                <w:rFonts w:cs="Arial"/>
                <w:sz w:val="20"/>
                <w:szCs w:val="20"/>
              </w:rPr>
              <w:tab/>
              <w:t>on paper together with a copy in electronic form, in character coded format, of the request and the abstract:</w:t>
            </w:r>
          </w:p>
        </w:tc>
        <w:tc>
          <w:tcPr>
            <w:tcW w:w="855" w:type="dxa"/>
          </w:tcPr>
          <w:p w:rsidR="008449BB" w:rsidRPr="009D14CF" w:rsidRDefault="008449BB" w:rsidP="00F90372">
            <w:pPr>
              <w:pStyle w:val="Tabletext"/>
              <w:tabs>
                <w:tab w:val="right" w:pos="658"/>
              </w:tabs>
              <w:rPr>
                <w:rFonts w:cs="Arial"/>
                <w:sz w:val="20"/>
                <w:szCs w:val="20"/>
              </w:rPr>
            </w:pPr>
            <w:r w:rsidRPr="009D14CF">
              <w:rPr>
                <w:rFonts w:cs="Arial"/>
                <w:sz w:val="20"/>
                <w:szCs w:val="20"/>
                <w:u w:val="single"/>
              </w:rPr>
              <w:br/>
            </w:r>
            <w:r w:rsidRPr="009D14CF">
              <w:rPr>
                <w:rFonts w:cs="Arial"/>
                <w:sz w:val="20"/>
                <w:szCs w:val="20"/>
              </w:rPr>
              <w:tab/>
              <w:t xml:space="preserve">100 </w:t>
            </w:r>
          </w:p>
          <w:p w:rsidR="008449BB" w:rsidRPr="009D14CF" w:rsidRDefault="008449BB" w:rsidP="00F90372">
            <w:pPr>
              <w:pStyle w:val="Tabletext"/>
              <w:tabs>
                <w:tab w:val="right" w:pos="658"/>
              </w:tabs>
              <w:rPr>
                <w:rFonts w:cs="Arial"/>
                <w:sz w:val="20"/>
                <w:szCs w:val="20"/>
              </w:rPr>
            </w:pPr>
          </w:p>
        </w:tc>
        <w:tc>
          <w:tcPr>
            <w:tcW w:w="2146" w:type="dxa"/>
            <w:gridSpan w:val="2"/>
          </w:tcPr>
          <w:p w:rsidR="008449BB" w:rsidRPr="009D14CF" w:rsidRDefault="008449BB" w:rsidP="00F90372">
            <w:pPr>
              <w:pStyle w:val="Tabletext"/>
              <w:rPr>
                <w:rFonts w:cs="Arial"/>
                <w:sz w:val="20"/>
                <w:szCs w:val="20"/>
              </w:rPr>
            </w:pPr>
          </w:p>
          <w:p w:rsidR="008449BB" w:rsidRPr="009D14CF" w:rsidRDefault="008449BB" w:rsidP="00F90372">
            <w:pPr>
              <w:pStyle w:val="Tabletext"/>
              <w:rPr>
                <w:rFonts w:cs="Arial"/>
                <w:sz w:val="20"/>
                <w:szCs w:val="20"/>
              </w:rPr>
            </w:pPr>
            <w:r w:rsidRPr="009D14CF">
              <w:rPr>
                <w:rFonts w:cs="Arial"/>
                <w:sz w:val="20"/>
                <w:szCs w:val="20"/>
              </w:rPr>
              <w:t>Swiss francs</w:t>
            </w: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p>
        </w:tc>
        <w:tc>
          <w:tcPr>
            <w:tcW w:w="5529" w:type="dxa"/>
            <w:gridSpan w:val="2"/>
          </w:tcPr>
          <w:p w:rsidR="008449BB" w:rsidRPr="009D14CF" w:rsidRDefault="008449BB" w:rsidP="00F90372">
            <w:pPr>
              <w:pStyle w:val="Tabletext"/>
              <w:ind w:left="567" w:hanging="567"/>
              <w:rPr>
                <w:rFonts w:cs="Arial"/>
                <w:sz w:val="20"/>
                <w:szCs w:val="20"/>
              </w:rPr>
            </w:pPr>
            <w:r w:rsidRPr="009D14CF">
              <w:rPr>
                <w:rFonts w:cs="Arial"/>
                <w:sz w:val="20"/>
                <w:szCs w:val="20"/>
              </w:rPr>
              <w:t>(b)</w:t>
            </w:r>
            <w:r w:rsidRPr="009D14CF">
              <w:rPr>
                <w:rFonts w:cs="Arial"/>
                <w:sz w:val="20"/>
                <w:szCs w:val="20"/>
              </w:rPr>
              <w:tab/>
              <w:t>in electronic form, the request not being in character coded format:</w:t>
            </w:r>
          </w:p>
        </w:tc>
        <w:tc>
          <w:tcPr>
            <w:tcW w:w="855" w:type="dxa"/>
          </w:tcPr>
          <w:p w:rsidR="008449BB" w:rsidRPr="009D14CF" w:rsidRDefault="008449BB" w:rsidP="00F90372">
            <w:pPr>
              <w:pStyle w:val="Tabletext"/>
              <w:tabs>
                <w:tab w:val="right" w:pos="658"/>
              </w:tabs>
              <w:rPr>
                <w:rFonts w:cs="Arial"/>
                <w:sz w:val="20"/>
                <w:szCs w:val="20"/>
              </w:rPr>
            </w:pPr>
            <w:r w:rsidRPr="009D14CF">
              <w:rPr>
                <w:rFonts w:cs="Arial"/>
                <w:sz w:val="20"/>
                <w:szCs w:val="20"/>
              </w:rPr>
              <w:tab/>
              <w:t xml:space="preserve">100 </w:t>
            </w:r>
          </w:p>
          <w:p w:rsidR="008449BB" w:rsidRPr="009D14CF" w:rsidRDefault="008449BB" w:rsidP="00F90372">
            <w:pPr>
              <w:pStyle w:val="Tabletext"/>
              <w:tabs>
                <w:tab w:val="right" w:pos="658"/>
              </w:tabs>
              <w:rPr>
                <w:rFonts w:cs="Arial"/>
                <w:sz w:val="20"/>
                <w:szCs w:val="20"/>
              </w:rPr>
            </w:pPr>
          </w:p>
        </w:tc>
        <w:tc>
          <w:tcPr>
            <w:tcW w:w="2146" w:type="dxa"/>
            <w:gridSpan w:val="2"/>
          </w:tcPr>
          <w:p w:rsidR="008449BB" w:rsidRPr="009D14CF" w:rsidRDefault="008449BB" w:rsidP="00F90372">
            <w:pPr>
              <w:pStyle w:val="Tabletext"/>
              <w:rPr>
                <w:rFonts w:cs="Arial"/>
                <w:sz w:val="20"/>
                <w:szCs w:val="20"/>
              </w:rPr>
            </w:pPr>
            <w:r w:rsidRPr="009D14CF">
              <w:rPr>
                <w:rFonts w:cs="Arial"/>
                <w:sz w:val="20"/>
                <w:szCs w:val="20"/>
              </w:rPr>
              <w:t>Swiss francs</w:t>
            </w: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p>
        </w:tc>
        <w:tc>
          <w:tcPr>
            <w:tcW w:w="5529" w:type="dxa"/>
            <w:gridSpan w:val="2"/>
          </w:tcPr>
          <w:p w:rsidR="008449BB" w:rsidRPr="009D14CF" w:rsidRDefault="008449BB" w:rsidP="00F90372">
            <w:pPr>
              <w:pStyle w:val="Tabletext"/>
              <w:ind w:left="567" w:hanging="567"/>
              <w:rPr>
                <w:rFonts w:cs="Arial"/>
                <w:sz w:val="20"/>
                <w:szCs w:val="20"/>
              </w:rPr>
            </w:pPr>
            <w:r w:rsidRPr="009D14CF">
              <w:rPr>
                <w:rFonts w:cs="Arial"/>
                <w:sz w:val="20"/>
                <w:szCs w:val="20"/>
              </w:rPr>
              <w:t>(c)</w:t>
            </w:r>
            <w:r w:rsidRPr="009D14CF">
              <w:rPr>
                <w:rFonts w:cs="Arial"/>
                <w:sz w:val="20"/>
                <w:szCs w:val="20"/>
              </w:rPr>
              <w:tab/>
              <w:t>in electronic form, the request being in character coded format:</w:t>
            </w:r>
          </w:p>
        </w:tc>
        <w:tc>
          <w:tcPr>
            <w:tcW w:w="855" w:type="dxa"/>
          </w:tcPr>
          <w:p w:rsidR="008449BB" w:rsidRPr="009D14CF" w:rsidRDefault="008449BB" w:rsidP="00F90372">
            <w:pPr>
              <w:pStyle w:val="Tabletext"/>
              <w:tabs>
                <w:tab w:val="right" w:pos="658"/>
              </w:tabs>
              <w:rPr>
                <w:rFonts w:cs="Arial"/>
                <w:sz w:val="20"/>
                <w:szCs w:val="20"/>
              </w:rPr>
            </w:pPr>
            <w:r w:rsidRPr="009D14CF">
              <w:rPr>
                <w:rFonts w:cs="Arial"/>
                <w:sz w:val="20"/>
                <w:szCs w:val="20"/>
              </w:rPr>
              <w:tab/>
              <w:t xml:space="preserve">200 </w:t>
            </w:r>
          </w:p>
          <w:p w:rsidR="008449BB" w:rsidRPr="009D14CF" w:rsidRDefault="008449BB" w:rsidP="00F90372">
            <w:pPr>
              <w:pStyle w:val="Tabletext"/>
              <w:tabs>
                <w:tab w:val="right" w:pos="658"/>
              </w:tabs>
              <w:rPr>
                <w:rFonts w:cs="Arial"/>
                <w:sz w:val="20"/>
                <w:szCs w:val="20"/>
              </w:rPr>
            </w:pPr>
          </w:p>
        </w:tc>
        <w:tc>
          <w:tcPr>
            <w:tcW w:w="2146" w:type="dxa"/>
            <w:gridSpan w:val="2"/>
          </w:tcPr>
          <w:p w:rsidR="008449BB" w:rsidRPr="009D14CF" w:rsidRDefault="008449BB" w:rsidP="00F90372">
            <w:pPr>
              <w:pStyle w:val="Tabletext"/>
              <w:rPr>
                <w:rFonts w:cs="Arial"/>
                <w:sz w:val="20"/>
                <w:szCs w:val="20"/>
              </w:rPr>
            </w:pPr>
            <w:r w:rsidRPr="009D14CF">
              <w:rPr>
                <w:rFonts w:cs="Arial"/>
                <w:sz w:val="20"/>
                <w:szCs w:val="20"/>
              </w:rPr>
              <w:t>Swiss francs</w:t>
            </w: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p>
        </w:tc>
        <w:tc>
          <w:tcPr>
            <w:tcW w:w="5529" w:type="dxa"/>
            <w:gridSpan w:val="2"/>
          </w:tcPr>
          <w:p w:rsidR="008449BB" w:rsidRPr="009D14CF" w:rsidRDefault="008449BB" w:rsidP="00F90372">
            <w:pPr>
              <w:pStyle w:val="Tabletext"/>
              <w:ind w:left="567" w:hanging="567"/>
              <w:rPr>
                <w:rFonts w:cs="Arial"/>
                <w:sz w:val="20"/>
                <w:szCs w:val="20"/>
              </w:rPr>
            </w:pPr>
            <w:r w:rsidRPr="009D14CF">
              <w:rPr>
                <w:rFonts w:cs="Arial"/>
                <w:sz w:val="20"/>
                <w:szCs w:val="20"/>
              </w:rPr>
              <w:t>(d)</w:t>
            </w:r>
            <w:r w:rsidRPr="009D14CF">
              <w:rPr>
                <w:rFonts w:cs="Arial"/>
                <w:sz w:val="20"/>
                <w:szCs w:val="20"/>
              </w:rPr>
              <w:tab/>
              <w:t>in electronic form, the request, description, claims and abstract being in character coded format:</w:t>
            </w:r>
          </w:p>
          <w:p w:rsidR="008449BB" w:rsidRPr="009D14CF" w:rsidRDefault="008449BB" w:rsidP="00F90372">
            <w:pPr>
              <w:pStyle w:val="Tabletext"/>
              <w:ind w:left="567" w:hanging="567"/>
              <w:rPr>
                <w:rFonts w:cs="Arial"/>
                <w:sz w:val="20"/>
                <w:szCs w:val="20"/>
              </w:rPr>
            </w:pPr>
          </w:p>
        </w:tc>
        <w:tc>
          <w:tcPr>
            <w:tcW w:w="855" w:type="dxa"/>
          </w:tcPr>
          <w:p w:rsidR="008449BB" w:rsidRPr="009D14CF" w:rsidRDefault="008449BB" w:rsidP="00F90372">
            <w:pPr>
              <w:pStyle w:val="Tabletext"/>
              <w:tabs>
                <w:tab w:val="right" w:pos="658"/>
              </w:tabs>
              <w:rPr>
                <w:rFonts w:cs="Arial"/>
                <w:sz w:val="20"/>
                <w:szCs w:val="20"/>
              </w:rPr>
            </w:pPr>
            <w:r w:rsidRPr="009D14CF">
              <w:rPr>
                <w:rFonts w:cs="Arial"/>
                <w:sz w:val="20"/>
                <w:szCs w:val="20"/>
                <w:u w:val="single"/>
              </w:rPr>
              <w:br/>
            </w:r>
            <w:r w:rsidRPr="009D14CF">
              <w:rPr>
                <w:rFonts w:cs="Arial"/>
                <w:sz w:val="20"/>
                <w:szCs w:val="20"/>
              </w:rPr>
              <w:tab/>
              <w:t xml:space="preserve">300 </w:t>
            </w:r>
          </w:p>
        </w:tc>
        <w:tc>
          <w:tcPr>
            <w:tcW w:w="2146" w:type="dxa"/>
            <w:gridSpan w:val="2"/>
          </w:tcPr>
          <w:p w:rsidR="008449BB" w:rsidRPr="009D14CF" w:rsidRDefault="008449BB" w:rsidP="00F90372">
            <w:pPr>
              <w:pStyle w:val="Tabletext"/>
              <w:rPr>
                <w:rFonts w:cs="Arial"/>
                <w:sz w:val="20"/>
                <w:szCs w:val="20"/>
              </w:rPr>
            </w:pPr>
          </w:p>
          <w:p w:rsidR="008449BB" w:rsidRPr="009D14CF" w:rsidRDefault="008449BB" w:rsidP="00F90372">
            <w:pPr>
              <w:pStyle w:val="Tabletext"/>
              <w:rPr>
                <w:rFonts w:cs="Arial"/>
                <w:sz w:val="20"/>
                <w:szCs w:val="20"/>
              </w:rPr>
            </w:pPr>
            <w:r w:rsidRPr="009D14CF">
              <w:rPr>
                <w:rFonts w:cs="Arial"/>
                <w:sz w:val="20"/>
                <w:szCs w:val="20"/>
              </w:rPr>
              <w:t>Swiss francs</w:t>
            </w:r>
          </w:p>
        </w:tc>
      </w:tr>
      <w:tr w:rsidR="008449BB" w:rsidRPr="009D14CF" w:rsidTr="00F90372">
        <w:trPr>
          <w:gridBefore w:val="1"/>
          <w:wBefore w:w="33" w:type="dxa"/>
          <w:cantSplit/>
          <w:jc w:val="center"/>
        </w:trPr>
        <w:tc>
          <w:tcPr>
            <w:tcW w:w="583" w:type="dxa"/>
          </w:tcPr>
          <w:p w:rsidR="008449BB" w:rsidRPr="009D14CF" w:rsidRDefault="008449BB" w:rsidP="00F90372">
            <w:pPr>
              <w:pStyle w:val="Tabletext"/>
              <w:rPr>
                <w:rFonts w:cs="Arial"/>
                <w:sz w:val="20"/>
                <w:szCs w:val="20"/>
              </w:rPr>
            </w:pPr>
            <w:r w:rsidRPr="009D14CF">
              <w:rPr>
                <w:rFonts w:cs="Arial"/>
                <w:sz w:val="20"/>
                <w:szCs w:val="20"/>
              </w:rPr>
              <w:t>5.</w:t>
            </w:r>
          </w:p>
        </w:tc>
        <w:tc>
          <w:tcPr>
            <w:tcW w:w="8530" w:type="dxa"/>
            <w:gridSpan w:val="5"/>
            <w:shd w:val="clear" w:color="auto" w:fill="auto"/>
          </w:tcPr>
          <w:p w:rsidR="008449BB" w:rsidRPr="009D14CF" w:rsidRDefault="008449BB" w:rsidP="00F90372">
            <w:pPr>
              <w:pStyle w:val="Tabletext"/>
              <w:rPr>
                <w:rFonts w:cs="Arial"/>
                <w:sz w:val="20"/>
                <w:szCs w:val="20"/>
              </w:rPr>
            </w:pPr>
            <w:r w:rsidRPr="009D14CF">
              <w:rPr>
                <w:rFonts w:cs="Arial"/>
                <w:sz w:val="20"/>
                <w:szCs w:val="20"/>
              </w:rPr>
              <w:t>The international filing fee under item 1 (where applicable, as reduced under item 4), the supplementary search handling fee under item 2 and the handling fee under item 3 are reduced by 90% if the international application is filed by:</w:t>
            </w:r>
          </w:p>
          <w:p w:rsidR="008449BB" w:rsidRPr="009D14CF" w:rsidRDefault="008449BB" w:rsidP="00F90372">
            <w:pPr>
              <w:pStyle w:val="Tabletext"/>
              <w:rPr>
                <w:rFonts w:cs="Arial"/>
                <w:sz w:val="20"/>
                <w:szCs w:val="20"/>
              </w:rPr>
            </w:pPr>
          </w:p>
          <w:p w:rsidR="008449BB" w:rsidRPr="009D14CF" w:rsidRDefault="008449BB" w:rsidP="00F90372">
            <w:pPr>
              <w:pStyle w:val="Tabletext"/>
              <w:ind w:left="567" w:hanging="567"/>
              <w:rPr>
                <w:rFonts w:cs="Arial"/>
                <w:sz w:val="20"/>
                <w:szCs w:val="20"/>
              </w:rPr>
            </w:pPr>
            <w:r w:rsidRPr="009D14CF">
              <w:rPr>
                <w:rFonts w:cs="Arial"/>
                <w:sz w:val="20"/>
                <w:szCs w:val="20"/>
              </w:rPr>
              <w:t>(a)</w:t>
            </w:r>
            <w:r w:rsidRPr="009D14CF">
              <w:rPr>
                <w:rFonts w:cs="Arial"/>
                <w:sz w:val="20"/>
                <w:szCs w:val="20"/>
              </w:rPr>
              <w:tab/>
            </w:r>
            <w:r w:rsidRPr="009D14CF">
              <w:rPr>
                <w:sz w:val="20"/>
                <w:szCs w:val="20"/>
              </w:rPr>
              <w:t>an applicant who is a natural person and who is a national of and resides in a State that is listed as being a State whose per capita gross domestic product is below US$ 25,000 (according to the most recent ten</w:t>
            </w:r>
            <w:r w:rsidRPr="009D14CF">
              <w:rPr>
                <w:sz w:val="20"/>
                <w:szCs w:val="20"/>
              </w:rPr>
              <w:noBreakHyphen/>
              <w:t>year average per capita gross domestic product figures at constant 200</w:t>
            </w:r>
            <w:r w:rsidR="00E36013" w:rsidRPr="009D14CF">
              <w:rPr>
                <w:sz w:val="20"/>
                <w:szCs w:val="20"/>
              </w:rPr>
              <w:t>5</w:t>
            </w:r>
            <w:r w:rsidRPr="009D14CF">
              <w:rPr>
                <w:sz w:val="20"/>
                <w:szCs w:val="20"/>
              </w:rPr>
              <w:t xml:space="preserve"> US$ values published by the United Nations), and whose nationals and residents who are natural persons have filed less than 10 international applications per year (per million population) or 50 international applications per year (in absolute numbers) according to the most recent 5</w:t>
            </w:r>
            <w:r w:rsidRPr="009D14CF">
              <w:rPr>
                <w:sz w:val="20"/>
                <w:szCs w:val="20"/>
              </w:rPr>
              <w:noBreakHyphen/>
              <w:t xml:space="preserve">year average yearly filing figures published by the International Bureau;  </w:t>
            </w:r>
            <w:r w:rsidRPr="009D14CF">
              <w:rPr>
                <w:rFonts w:cs="Arial"/>
                <w:sz w:val="20"/>
                <w:szCs w:val="20"/>
              </w:rPr>
              <w:t>or</w:t>
            </w:r>
          </w:p>
          <w:p w:rsidR="008449BB" w:rsidRPr="009D14CF" w:rsidRDefault="008449BB" w:rsidP="00F90372">
            <w:pPr>
              <w:pStyle w:val="Tabletext"/>
              <w:ind w:left="567" w:hanging="567"/>
              <w:rPr>
                <w:rFonts w:cs="Arial"/>
                <w:sz w:val="20"/>
                <w:szCs w:val="20"/>
              </w:rPr>
            </w:pPr>
          </w:p>
          <w:p w:rsidR="008449BB" w:rsidRPr="009D14CF" w:rsidRDefault="008449BB" w:rsidP="00F90372">
            <w:pPr>
              <w:pStyle w:val="Tabletext"/>
              <w:ind w:left="567" w:hanging="567"/>
              <w:rPr>
                <w:rFonts w:cs="Arial"/>
                <w:sz w:val="20"/>
                <w:szCs w:val="20"/>
              </w:rPr>
            </w:pPr>
            <w:r w:rsidRPr="009D14CF">
              <w:rPr>
                <w:rFonts w:cs="Arial"/>
                <w:sz w:val="20"/>
                <w:szCs w:val="20"/>
              </w:rPr>
              <w:t>(b)</w:t>
            </w:r>
            <w:r w:rsidRPr="009D14CF">
              <w:rPr>
                <w:rFonts w:cs="Arial"/>
                <w:sz w:val="20"/>
                <w:szCs w:val="20"/>
              </w:rPr>
              <w:tab/>
            </w:r>
            <w:r w:rsidRPr="009D14CF">
              <w:rPr>
                <w:sz w:val="20"/>
                <w:szCs w:val="20"/>
              </w:rPr>
              <w:t>an applicant, whether a natural person or not, who is a national of and resides in a State that is listed as being classified by the United Nations as a least developed country</w:t>
            </w:r>
            <w:r w:rsidRPr="009D14CF">
              <w:rPr>
                <w:rFonts w:cs="Arial"/>
                <w:sz w:val="20"/>
                <w:szCs w:val="20"/>
              </w:rPr>
              <w:t>;</w:t>
            </w:r>
          </w:p>
          <w:p w:rsidR="008449BB" w:rsidRPr="009D14CF" w:rsidRDefault="008449BB" w:rsidP="00F90372">
            <w:pPr>
              <w:pStyle w:val="Tabletext"/>
              <w:ind w:left="567" w:hanging="567"/>
              <w:rPr>
                <w:rFonts w:cs="Arial"/>
                <w:sz w:val="20"/>
                <w:szCs w:val="20"/>
              </w:rPr>
            </w:pPr>
          </w:p>
          <w:p w:rsidR="008449BB" w:rsidRPr="00143991" w:rsidRDefault="008449BB" w:rsidP="00F90372">
            <w:pPr>
              <w:pStyle w:val="Tabletext"/>
              <w:rPr>
                <w:sz w:val="20"/>
                <w:szCs w:val="20"/>
              </w:rPr>
            </w:pPr>
            <w:proofErr w:type="gramStart"/>
            <w:r w:rsidRPr="009D14CF">
              <w:rPr>
                <w:rFonts w:cs="Arial"/>
                <w:sz w:val="20"/>
                <w:szCs w:val="20"/>
              </w:rPr>
              <w:t>provided</w:t>
            </w:r>
            <w:proofErr w:type="gramEnd"/>
            <w:r w:rsidRPr="009D14CF">
              <w:rPr>
                <w:rFonts w:cs="Arial"/>
                <w:sz w:val="20"/>
                <w:szCs w:val="20"/>
              </w:rPr>
              <w:t xml:space="preserve"> that, if there are several applicants, each must satisfy the criteria set out in either sub</w:t>
            </w:r>
            <w:r w:rsidRPr="009D14CF">
              <w:rPr>
                <w:rFonts w:cs="Arial"/>
                <w:sz w:val="20"/>
                <w:szCs w:val="20"/>
              </w:rPr>
              <w:noBreakHyphen/>
              <w:t xml:space="preserve">item (a) or (b).  </w:t>
            </w:r>
            <w:r w:rsidRPr="009D14CF">
              <w:rPr>
                <w:sz w:val="20"/>
                <w:szCs w:val="20"/>
              </w:rPr>
              <w:t>The lists of States referred to in sub</w:t>
            </w:r>
            <w:r w:rsidRPr="009D14CF">
              <w:rPr>
                <w:sz w:val="20"/>
                <w:szCs w:val="20"/>
              </w:rPr>
              <w:noBreakHyphen/>
              <w:t>items (a) and (b) shall be updated by the Director General at least every five years according to directives given by the Assembly</w:t>
            </w:r>
            <w:r w:rsidRPr="00143991">
              <w:rPr>
                <w:sz w:val="20"/>
                <w:szCs w:val="20"/>
              </w:rPr>
              <w:t>.</w:t>
            </w:r>
          </w:p>
          <w:p w:rsidR="00E36013" w:rsidRPr="009D14CF" w:rsidRDefault="00E36013" w:rsidP="00F90372">
            <w:pPr>
              <w:pStyle w:val="Tabletext"/>
              <w:rPr>
                <w:rFonts w:cs="Arial"/>
                <w:sz w:val="20"/>
                <w:szCs w:val="20"/>
              </w:rPr>
            </w:pPr>
          </w:p>
        </w:tc>
      </w:tr>
    </w:tbl>
    <w:p w:rsidR="008449BB" w:rsidRPr="005377FE" w:rsidRDefault="008449BB" w:rsidP="008449BB">
      <w:pPr>
        <w:pStyle w:val="Endofdocument"/>
        <w:sectPr w:rsidR="008449BB" w:rsidRPr="005377FE" w:rsidSect="002A652C">
          <w:headerReference w:type="default" r:id="rId9"/>
          <w:pgSz w:w="11907" w:h="16840" w:code="9"/>
          <w:pgMar w:top="567" w:right="851" w:bottom="1418" w:left="1418" w:header="510" w:footer="1021" w:gutter="0"/>
          <w:cols w:space="720"/>
          <w:titlePg/>
        </w:sectPr>
      </w:pPr>
    </w:p>
    <w:p w:rsidR="00E36013" w:rsidRDefault="00E36013" w:rsidP="008449BB">
      <w:pPr>
        <w:ind w:left="284"/>
        <w:jc w:val="center"/>
      </w:pPr>
    </w:p>
    <w:p w:rsidR="008449BB" w:rsidRPr="005377FE" w:rsidRDefault="008449BB" w:rsidP="008449BB">
      <w:pPr>
        <w:ind w:left="284"/>
        <w:jc w:val="center"/>
      </w:pPr>
      <w:r w:rsidRPr="005377FE">
        <w:t>PROPOSED DIRECTIVES FOR UPDATING THE LISTS OF STATES</w:t>
      </w:r>
      <w:r w:rsidRPr="005377FE">
        <w:br/>
        <w:t>MEETING THE CRITERIA FOR REDUCTION OF CERTAIN PCT FEES</w:t>
      </w:r>
    </w:p>
    <w:p w:rsidR="008449BB" w:rsidRPr="005377FE" w:rsidRDefault="008449BB" w:rsidP="008449BB"/>
    <w:p w:rsidR="008449BB" w:rsidRPr="005377FE" w:rsidRDefault="008449BB" w:rsidP="008449BB">
      <w:pPr>
        <w:pStyle w:val="ONUME"/>
        <w:numPr>
          <w:ilvl w:val="0"/>
          <w:numId w:val="0"/>
        </w:numPr>
      </w:pPr>
      <w:r w:rsidRPr="005377FE">
        <w:t>The Assembly establishes in the following terms the directives referred to in the Schedule of Fees, it being understood that, in the light of experience, the Assembly may at any time modify these directives:</w:t>
      </w:r>
    </w:p>
    <w:p w:rsidR="008449BB" w:rsidRPr="005377FE" w:rsidRDefault="008449BB" w:rsidP="008449BB">
      <w:pPr>
        <w:pStyle w:val="ONUME"/>
      </w:pPr>
      <w:r w:rsidRPr="005377FE">
        <w:t>Five years after the establishment of the first list of States which meet the criteria referred to in items 5(a) and (b) of the Schedule of Fees, and every five years thereafter, the Director General shall prepare draft lists of States which appear to meet the criteria referred to in:</w:t>
      </w:r>
    </w:p>
    <w:p w:rsidR="008449BB" w:rsidRPr="005377FE" w:rsidRDefault="008449BB" w:rsidP="008449BB">
      <w:pPr>
        <w:pStyle w:val="ONUME"/>
        <w:numPr>
          <w:ilvl w:val="0"/>
          <w:numId w:val="0"/>
        </w:numPr>
        <w:ind w:left="567"/>
      </w:pPr>
      <w:r w:rsidRPr="005377FE">
        <w:t>(</w:t>
      </w:r>
      <w:proofErr w:type="spellStart"/>
      <w:r w:rsidRPr="005377FE">
        <w:t>i</w:t>
      </w:r>
      <w:proofErr w:type="spellEnd"/>
      <w:r w:rsidRPr="005377FE">
        <w:t>)</w:t>
      </w:r>
      <w:r w:rsidRPr="005377FE">
        <w:tab/>
        <w:t>item 5(a) of the Schedule of Fees according to the most recent ten year average per capita gross domestic product figures from the United Nations published at least two weeks prior to the first day of that session of the Assembly;</w:t>
      </w:r>
    </w:p>
    <w:p w:rsidR="008449BB" w:rsidRPr="005377FE" w:rsidRDefault="008449BB" w:rsidP="00E36013">
      <w:pPr>
        <w:pStyle w:val="ONUME"/>
        <w:numPr>
          <w:ilvl w:val="0"/>
          <w:numId w:val="0"/>
        </w:numPr>
        <w:ind w:left="567"/>
      </w:pPr>
      <w:r w:rsidRPr="005377FE">
        <w:t>(ii)</w:t>
      </w:r>
      <w:r w:rsidRPr="005377FE">
        <w:tab/>
        <w:t>item 5(b) of the Schedule of Fees according to the most recent list of countries classified as least developed countries by the United Nations published at least two weeks prior to the first day of that session of the Assembly;</w:t>
      </w:r>
    </w:p>
    <w:p w:rsidR="008449BB" w:rsidRPr="005377FE" w:rsidRDefault="008449BB" w:rsidP="00E36013">
      <w:pPr>
        <w:pStyle w:val="ONUME"/>
        <w:numPr>
          <w:ilvl w:val="0"/>
          <w:numId w:val="0"/>
        </w:numPr>
      </w:pPr>
      <w:proofErr w:type="gramStart"/>
      <w:r w:rsidRPr="005377FE">
        <w:t>and</w:t>
      </w:r>
      <w:proofErr w:type="gramEnd"/>
      <w:r w:rsidRPr="005377FE">
        <w:t xml:space="preserve"> shall make those lists available to the PCT Contracting States and States entitled to observer status in the Assembly for comment before the end of that session of the Assembly.</w:t>
      </w:r>
    </w:p>
    <w:p w:rsidR="008449BB" w:rsidRPr="005377FE" w:rsidRDefault="008449BB" w:rsidP="008449BB">
      <w:pPr>
        <w:pStyle w:val="ONUME"/>
      </w:pPr>
      <w:r w:rsidRPr="005377FE">
        <w:t>Following the end of that session of the Assembly, the Director General shall establish new lists, taking into account any comments received.  The revised lists shall become applicable on the first day of the calendar year subsequent to that session and shall be used to determine, in accordance with Rules 15.4, 45</w:t>
      </w:r>
      <w:r w:rsidRPr="005377FE">
        <w:rPr>
          <w:i/>
        </w:rPr>
        <w:t>bis</w:t>
      </w:r>
      <w:r w:rsidRPr="005377FE">
        <w:t>.2(c) and 57.3(d), the eligibility for the fee reduction under items 5(a) and 5(b), respectively, of the Schedule of Fees of any relevant fee payable.  Any revised list shall be published in the Gazette.</w:t>
      </w:r>
    </w:p>
    <w:p w:rsidR="008449BB" w:rsidRDefault="008449BB" w:rsidP="008449BB">
      <w:pPr>
        <w:pStyle w:val="ONUME"/>
      </w:pPr>
      <w:r w:rsidRPr="005377FE">
        <w:t xml:space="preserve">Where any State is not included in a particular list but subsequently becomes eligible for inclusion in that list due to the publication, after the expiration of the period of two weeks prior to the first day of the ordinary session of the Assembly referred to in paragraph 1, above, of revised per capita national income figures by the United Nations or of a revised list of States that are being classified as least developed countries by the United Nations, that State may request the Director General to revise the relevant list of States.  Any such revised list shall become applicable on a date to be specified by the Director </w:t>
      </w:r>
      <w:proofErr w:type="gramStart"/>
      <w:r w:rsidRPr="005377FE">
        <w:t>General, that</w:t>
      </w:r>
      <w:proofErr w:type="gramEnd"/>
      <w:r w:rsidRPr="005377FE">
        <w:t xml:space="preserve"> date being no more than 3 months from the date of receipt of the request.  Any revised list shall be published in the Gazette.</w:t>
      </w:r>
    </w:p>
    <w:p w:rsidR="000B0C31" w:rsidRDefault="000B0C31" w:rsidP="000B0C31">
      <w:pPr>
        <w:pStyle w:val="ONUME"/>
        <w:numPr>
          <w:ilvl w:val="0"/>
          <w:numId w:val="0"/>
        </w:numPr>
      </w:pPr>
    </w:p>
    <w:p w:rsidR="00D4092A" w:rsidRDefault="00651267" w:rsidP="008449BB">
      <w:pPr>
        <w:pStyle w:val="Endofdocument-Annex"/>
      </w:pPr>
      <w:r>
        <w:t xml:space="preserve">[End of </w:t>
      </w:r>
      <w:r w:rsidR="00642E91">
        <w:t>paper</w:t>
      </w:r>
      <w:r>
        <w:t>]</w:t>
      </w:r>
    </w:p>
    <w:sectPr w:rsidR="00D4092A" w:rsidSect="0065126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07" w:rsidRDefault="00B24007">
      <w:r>
        <w:separator/>
      </w:r>
    </w:p>
  </w:endnote>
  <w:endnote w:type="continuationSeparator" w:id="0">
    <w:p w:rsidR="00B24007" w:rsidRDefault="00B24007" w:rsidP="003B38C1">
      <w:r>
        <w:separator/>
      </w:r>
    </w:p>
    <w:p w:rsidR="00B24007" w:rsidRPr="003B38C1" w:rsidRDefault="00B24007" w:rsidP="003B38C1">
      <w:pPr>
        <w:spacing w:after="60"/>
        <w:rPr>
          <w:sz w:val="17"/>
        </w:rPr>
      </w:pPr>
      <w:r>
        <w:rPr>
          <w:sz w:val="17"/>
        </w:rPr>
        <w:t>[Endnote continued from previous page]</w:t>
      </w:r>
    </w:p>
  </w:endnote>
  <w:endnote w:type="continuationNotice" w:id="1">
    <w:p w:rsidR="00B24007" w:rsidRPr="003B38C1" w:rsidRDefault="00B240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07" w:rsidRDefault="00B24007">
      <w:r>
        <w:separator/>
      </w:r>
    </w:p>
  </w:footnote>
  <w:footnote w:type="continuationSeparator" w:id="0">
    <w:p w:rsidR="00B24007" w:rsidRDefault="00B24007" w:rsidP="008B60B2">
      <w:r>
        <w:separator/>
      </w:r>
    </w:p>
    <w:p w:rsidR="00B24007" w:rsidRPr="00ED77FB" w:rsidRDefault="00B24007" w:rsidP="008B60B2">
      <w:pPr>
        <w:spacing w:after="60"/>
        <w:rPr>
          <w:sz w:val="17"/>
          <w:szCs w:val="17"/>
        </w:rPr>
      </w:pPr>
      <w:r w:rsidRPr="00ED77FB">
        <w:rPr>
          <w:sz w:val="17"/>
          <w:szCs w:val="17"/>
        </w:rPr>
        <w:t>[Footnote continued from previous page]</w:t>
      </w:r>
    </w:p>
  </w:footnote>
  <w:footnote w:type="continuationNotice" w:id="1">
    <w:p w:rsidR="00B24007" w:rsidRPr="00ED77FB" w:rsidRDefault="00B240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13" w:rsidRPr="001B04B1" w:rsidRDefault="00E36013" w:rsidP="00E36013">
    <w:pPr>
      <w:jc w:val="right"/>
    </w:pPr>
    <w:r w:rsidRPr="00721351">
      <w:t>PCT/WG/</w:t>
    </w:r>
    <w:r>
      <w:t>7</w:t>
    </w:r>
  </w:p>
  <w:p w:rsidR="00E36013" w:rsidRDefault="00E36013" w:rsidP="00E36013">
    <w:pPr>
      <w:jc w:val="right"/>
    </w:pPr>
    <w:r>
      <w:t>Paper No. 2 (E)</w:t>
    </w:r>
  </w:p>
  <w:p w:rsidR="00E36013" w:rsidRDefault="00E36013" w:rsidP="00E36013">
    <w:pPr>
      <w:jc w:val="right"/>
    </w:pPr>
    <w:proofErr w:type="gramStart"/>
    <w:r>
      <w:t>page</w:t>
    </w:r>
    <w:proofErr w:type="gramEnd"/>
    <w:r>
      <w:t xml:space="preserve"> 2</w:t>
    </w:r>
  </w:p>
  <w:p w:rsidR="009D14CF" w:rsidRDefault="009D14CF" w:rsidP="00E36013">
    <w:pPr>
      <w:jc w:val="right"/>
    </w:pPr>
  </w:p>
  <w:p w:rsidR="009D14CF" w:rsidRDefault="009D14CF" w:rsidP="00E36013">
    <w:pPr>
      <w:jc w:val="right"/>
    </w:pPr>
  </w:p>
  <w:p w:rsidR="008449BB" w:rsidRPr="00E36013" w:rsidRDefault="008449BB" w:rsidP="00E36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2A" w:rsidRPr="00D4092A" w:rsidRDefault="00642E91" w:rsidP="00D4092A">
    <w:pPr>
      <w:jc w:val="right"/>
      <w:rPr>
        <w:lang w:val="fr-CH"/>
      </w:rPr>
    </w:pPr>
    <w:proofErr w:type="spellStart"/>
    <w:r>
      <w:rPr>
        <w:lang w:val="fr-CH"/>
      </w:rPr>
      <w:t>Paper</w:t>
    </w:r>
    <w:proofErr w:type="spellEnd"/>
    <w:r>
      <w:rPr>
        <w:lang w:val="fr-CH"/>
      </w:rPr>
      <w:t xml:space="preserve"> No. 1 (E)</w:t>
    </w:r>
  </w:p>
  <w:p w:rsidR="00EC4E49" w:rsidRPr="00D4092A" w:rsidRDefault="00EC4E49" w:rsidP="00477D6B">
    <w:pPr>
      <w:jc w:val="right"/>
      <w:rPr>
        <w:lang w:val="fr-CH"/>
      </w:rPr>
    </w:pPr>
    <w:proofErr w:type="gramStart"/>
    <w:r w:rsidRPr="00D4092A">
      <w:rPr>
        <w:lang w:val="fr-CH"/>
      </w:rPr>
      <w:t>page</w:t>
    </w:r>
    <w:proofErr w:type="gramEnd"/>
    <w:r w:rsidRPr="00D4092A">
      <w:rPr>
        <w:lang w:val="fr-CH"/>
      </w:rPr>
      <w:t xml:space="preserve"> </w:t>
    </w:r>
    <w:r>
      <w:fldChar w:fldCharType="begin"/>
    </w:r>
    <w:r w:rsidRPr="00D4092A">
      <w:rPr>
        <w:lang w:val="fr-CH"/>
      </w:rPr>
      <w:instrText xml:space="preserve"> PAGE  \* MERGEFORMAT </w:instrText>
    </w:r>
    <w:r>
      <w:fldChar w:fldCharType="separate"/>
    </w:r>
    <w:r w:rsidR="009B08A4">
      <w:rPr>
        <w:noProof/>
        <w:lang w:val="fr-CH"/>
      </w:rPr>
      <w:t>1</w:t>
    </w:r>
    <w:r>
      <w:fldChar w:fldCharType="end"/>
    </w:r>
  </w:p>
  <w:p w:rsidR="00EC4E49" w:rsidRDefault="00EC4E49" w:rsidP="00477D6B">
    <w:pPr>
      <w:jc w:val="right"/>
      <w:rPr>
        <w:lang w:val="fr-CH"/>
      </w:rPr>
    </w:pPr>
  </w:p>
  <w:p w:rsidR="00113CE0" w:rsidRPr="00D4092A" w:rsidRDefault="00113CE0"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CF" w:rsidRPr="001B04B1" w:rsidRDefault="009D14CF" w:rsidP="009D14CF">
    <w:pPr>
      <w:jc w:val="right"/>
    </w:pPr>
    <w:r w:rsidRPr="00721351">
      <w:t>PCT/WG/</w:t>
    </w:r>
    <w:r>
      <w:t>7</w:t>
    </w:r>
  </w:p>
  <w:p w:rsidR="009D14CF" w:rsidRDefault="009D14CF" w:rsidP="009D14CF">
    <w:pPr>
      <w:jc w:val="right"/>
    </w:pPr>
    <w:r>
      <w:t>Paper No. 2 (E)</w:t>
    </w:r>
  </w:p>
  <w:p w:rsidR="009D14CF" w:rsidRDefault="009D14CF" w:rsidP="009D14CF">
    <w:pPr>
      <w:jc w:val="right"/>
    </w:pPr>
    <w:proofErr w:type="gramStart"/>
    <w:r>
      <w:t>page</w:t>
    </w:r>
    <w:proofErr w:type="gramEnd"/>
    <w:r w:rsidR="000B0C31">
      <w:t xml:space="preserve"> 2</w:t>
    </w:r>
  </w:p>
  <w:p w:rsidR="009D14CF" w:rsidRDefault="009D14CF" w:rsidP="009D14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7BA83E1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257BFE"/>
    <w:multiLevelType w:val="multilevel"/>
    <w:tmpl w:val="943E8BC6"/>
    <w:lvl w:ilvl="0">
      <w:start w:val="1"/>
      <w:numFmt w:val="decimal"/>
      <w:lvlText w:val="%1."/>
      <w:lvlJc w:val="left"/>
      <w:pPr>
        <w:tabs>
          <w:tab w:val="num" w:pos="35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4DED"/>
    <w:rsid w:val="00043CAA"/>
    <w:rsid w:val="00050628"/>
    <w:rsid w:val="0005099A"/>
    <w:rsid w:val="00073911"/>
    <w:rsid w:val="00075432"/>
    <w:rsid w:val="00081E17"/>
    <w:rsid w:val="000820E3"/>
    <w:rsid w:val="000871C7"/>
    <w:rsid w:val="000968ED"/>
    <w:rsid w:val="000A591D"/>
    <w:rsid w:val="000B0C31"/>
    <w:rsid w:val="000E1783"/>
    <w:rsid w:val="000F5E56"/>
    <w:rsid w:val="0010230A"/>
    <w:rsid w:val="00113688"/>
    <w:rsid w:val="00113CE0"/>
    <w:rsid w:val="001223C2"/>
    <w:rsid w:val="00125C70"/>
    <w:rsid w:val="001362EE"/>
    <w:rsid w:val="00143991"/>
    <w:rsid w:val="001832A6"/>
    <w:rsid w:val="001A4CBF"/>
    <w:rsid w:val="001E12F0"/>
    <w:rsid w:val="002312EC"/>
    <w:rsid w:val="002347D8"/>
    <w:rsid w:val="00242E6A"/>
    <w:rsid w:val="002634C4"/>
    <w:rsid w:val="002928D3"/>
    <w:rsid w:val="002F058A"/>
    <w:rsid w:val="002F1FE6"/>
    <w:rsid w:val="002F4E68"/>
    <w:rsid w:val="00312F7F"/>
    <w:rsid w:val="00346E7B"/>
    <w:rsid w:val="00361450"/>
    <w:rsid w:val="0036347E"/>
    <w:rsid w:val="003673CF"/>
    <w:rsid w:val="00370559"/>
    <w:rsid w:val="003845C1"/>
    <w:rsid w:val="00390F91"/>
    <w:rsid w:val="003A6F89"/>
    <w:rsid w:val="003B38C1"/>
    <w:rsid w:val="00423383"/>
    <w:rsid w:val="00423E3E"/>
    <w:rsid w:val="00427AF4"/>
    <w:rsid w:val="004523F9"/>
    <w:rsid w:val="004647DA"/>
    <w:rsid w:val="0046705F"/>
    <w:rsid w:val="00470616"/>
    <w:rsid w:val="00474062"/>
    <w:rsid w:val="00477D6B"/>
    <w:rsid w:val="004A4F00"/>
    <w:rsid w:val="004D64A7"/>
    <w:rsid w:val="004E0F9C"/>
    <w:rsid w:val="005019FF"/>
    <w:rsid w:val="00503F3B"/>
    <w:rsid w:val="0051761E"/>
    <w:rsid w:val="0053057A"/>
    <w:rsid w:val="00530AB6"/>
    <w:rsid w:val="005339DF"/>
    <w:rsid w:val="00560A29"/>
    <w:rsid w:val="00580E30"/>
    <w:rsid w:val="00595215"/>
    <w:rsid w:val="005C6649"/>
    <w:rsid w:val="005D2958"/>
    <w:rsid w:val="005D6C61"/>
    <w:rsid w:val="00605827"/>
    <w:rsid w:val="00620F61"/>
    <w:rsid w:val="00642E91"/>
    <w:rsid w:val="0064517A"/>
    <w:rsid w:val="00646050"/>
    <w:rsid w:val="006476DC"/>
    <w:rsid w:val="00651267"/>
    <w:rsid w:val="00651DB6"/>
    <w:rsid w:val="006713CA"/>
    <w:rsid w:val="00676C5C"/>
    <w:rsid w:val="00685AFE"/>
    <w:rsid w:val="006D0C71"/>
    <w:rsid w:val="007123D3"/>
    <w:rsid w:val="007376D7"/>
    <w:rsid w:val="00742F35"/>
    <w:rsid w:val="00750CA4"/>
    <w:rsid w:val="00762678"/>
    <w:rsid w:val="00764C07"/>
    <w:rsid w:val="00787F6C"/>
    <w:rsid w:val="007A2634"/>
    <w:rsid w:val="007B7A6E"/>
    <w:rsid w:val="007D1613"/>
    <w:rsid w:val="007F775C"/>
    <w:rsid w:val="0082384C"/>
    <w:rsid w:val="00826017"/>
    <w:rsid w:val="008449BB"/>
    <w:rsid w:val="00871F72"/>
    <w:rsid w:val="0088449E"/>
    <w:rsid w:val="008B2CC1"/>
    <w:rsid w:val="008B60B2"/>
    <w:rsid w:val="008D4F0C"/>
    <w:rsid w:val="008F09AE"/>
    <w:rsid w:val="0090731E"/>
    <w:rsid w:val="00916EE2"/>
    <w:rsid w:val="00966A22"/>
    <w:rsid w:val="0096722F"/>
    <w:rsid w:val="00980843"/>
    <w:rsid w:val="009B08A4"/>
    <w:rsid w:val="009D14CF"/>
    <w:rsid w:val="009E2791"/>
    <w:rsid w:val="009E3F6F"/>
    <w:rsid w:val="009F499F"/>
    <w:rsid w:val="00A02EF4"/>
    <w:rsid w:val="00A31F14"/>
    <w:rsid w:val="00A42DAF"/>
    <w:rsid w:val="00A45BD8"/>
    <w:rsid w:val="00A54DFB"/>
    <w:rsid w:val="00A631EA"/>
    <w:rsid w:val="00A823E4"/>
    <w:rsid w:val="00A869B7"/>
    <w:rsid w:val="00AA1B82"/>
    <w:rsid w:val="00AA5AD8"/>
    <w:rsid w:val="00AC205C"/>
    <w:rsid w:val="00AF0A6B"/>
    <w:rsid w:val="00AF5CB4"/>
    <w:rsid w:val="00B03E48"/>
    <w:rsid w:val="00B05A69"/>
    <w:rsid w:val="00B24007"/>
    <w:rsid w:val="00B73E1E"/>
    <w:rsid w:val="00B9734B"/>
    <w:rsid w:val="00BA50CB"/>
    <w:rsid w:val="00BE5A78"/>
    <w:rsid w:val="00BF5069"/>
    <w:rsid w:val="00BF7103"/>
    <w:rsid w:val="00C074EC"/>
    <w:rsid w:val="00C11BFE"/>
    <w:rsid w:val="00C24E07"/>
    <w:rsid w:val="00C27C65"/>
    <w:rsid w:val="00C342D9"/>
    <w:rsid w:val="00CB7BE4"/>
    <w:rsid w:val="00D25401"/>
    <w:rsid w:val="00D4092A"/>
    <w:rsid w:val="00D45252"/>
    <w:rsid w:val="00D53A7D"/>
    <w:rsid w:val="00D71B4D"/>
    <w:rsid w:val="00D8781B"/>
    <w:rsid w:val="00D93D55"/>
    <w:rsid w:val="00DD2FD8"/>
    <w:rsid w:val="00DE0ABB"/>
    <w:rsid w:val="00DF233A"/>
    <w:rsid w:val="00E1630A"/>
    <w:rsid w:val="00E335FE"/>
    <w:rsid w:val="00E36013"/>
    <w:rsid w:val="00E7268D"/>
    <w:rsid w:val="00E75A26"/>
    <w:rsid w:val="00E87346"/>
    <w:rsid w:val="00E979D1"/>
    <w:rsid w:val="00EC4E49"/>
    <w:rsid w:val="00ED77FB"/>
    <w:rsid w:val="00EE45FA"/>
    <w:rsid w:val="00EF346E"/>
    <w:rsid w:val="00EF7B61"/>
    <w:rsid w:val="00F1078D"/>
    <w:rsid w:val="00F37BE6"/>
    <w:rsid w:val="00F66152"/>
    <w:rsid w:val="00F9195C"/>
    <w:rsid w:val="00FB0F46"/>
    <w:rsid w:val="00FB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 w:type="paragraph" w:customStyle="1" w:styleId="Legai">
    <w:name w:val="Leg (a)(i)"/>
    <w:basedOn w:val="Legi"/>
    <w:qFormat/>
    <w:rsid w:val="00642E91"/>
  </w:style>
  <w:style w:type="character" w:customStyle="1" w:styleId="RDeletedText">
    <w:name w:val="RDeletedText"/>
    <w:basedOn w:val="DefaultParagraphFont"/>
    <w:rsid w:val="00503F3B"/>
    <w:rPr>
      <w:strike/>
      <w:color w:val="FF0000"/>
    </w:rPr>
  </w:style>
  <w:style w:type="paragraph" w:customStyle="1" w:styleId="Normala">
    <w:name w:val="Normal (a)"/>
    <w:basedOn w:val="Normal"/>
    <w:link w:val="NormalaChar"/>
    <w:rsid w:val="00503F3B"/>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503F3B"/>
    <w:rPr>
      <w:rFonts w:ascii="Arial" w:hAnsi="Arial"/>
    </w:rPr>
  </w:style>
  <w:style w:type="character" w:customStyle="1" w:styleId="RInsertedText">
    <w:name w:val="RInsertedText"/>
    <w:basedOn w:val="DefaultParagraphFont"/>
    <w:rsid w:val="00503F3B"/>
    <w:rPr>
      <w:color w:val="0000FF"/>
      <w:u w:val="single"/>
    </w:rPr>
  </w:style>
  <w:style w:type="paragraph" w:customStyle="1" w:styleId="DecisionInvitingPara">
    <w:name w:val="Decision Inviting Para."/>
    <w:basedOn w:val="Normal"/>
    <w:rsid w:val="008449BB"/>
    <w:pPr>
      <w:spacing w:after="120" w:line="260" w:lineRule="exact"/>
      <w:ind w:left="5534" w:hanging="567"/>
    </w:pPr>
    <w:rPr>
      <w:rFonts w:eastAsia="Times New Roman" w:cs="Times New Roman"/>
      <w:i/>
      <w:sz w:val="20"/>
      <w:lang w:eastAsia="en-US"/>
    </w:rPr>
  </w:style>
  <w:style w:type="paragraph" w:customStyle="1" w:styleId="Endofdocument">
    <w:name w:val="End of document"/>
    <w:basedOn w:val="Normal"/>
    <w:rsid w:val="008449BB"/>
    <w:pPr>
      <w:spacing w:after="120" w:line="260" w:lineRule="exact"/>
      <w:ind w:left="5534" w:hanging="567"/>
    </w:pPr>
    <w:rPr>
      <w:rFonts w:eastAsia="Times New Roman" w:cs="Times New Roman"/>
      <w:sz w:val="20"/>
      <w:lang w:eastAsia="en-US"/>
    </w:rPr>
  </w:style>
  <w:style w:type="paragraph" w:customStyle="1" w:styleId="Tabletext">
    <w:name w:val="Table text"/>
    <w:basedOn w:val="Normal"/>
    <w:rsid w:val="008449BB"/>
    <w:pPr>
      <w:keepNext/>
      <w:keepLines/>
    </w:pPr>
    <w:rPr>
      <w:rFonts w:eastAsia="Times New Roman" w:cs="Times New Roman"/>
      <w:snapToGrid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 w:type="paragraph" w:customStyle="1" w:styleId="Legai">
    <w:name w:val="Leg (a)(i)"/>
    <w:basedOn w:val="Legi"/>
    <w:qFormat/>
    <w:rsid w:val="00642E91"/>
  </w:style>
  <w:style w:type="character" w:customStyle="1" w:styleId="RDeletedText">
    <w:name w:val="RDeletedText"/>
    <w:basedOn w:val="DefaultParagraphFont"/>
    <w:rsid w:val="00503F3B"/>
    <w:rPr>
      <w:strike/>
      <w:color w:val="FF0000"/>
    </w:rPr>
  </w:style>
  <w:style w:type="paragraph" w:customStyle="1" w:styleId="Normala">
    <w:name w:val="Normal (a)"/>
    <w:basedOn w:val="Normal"/>
    <w:link w:val="NormalaChar"/>
    <w:rsid w:val="00503F3B"/>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503F3B"/>
    <w:rPr>
      <w:rFonts w:ascii="Arial" w:hAnsi="Arial"/>
    </w:rPr>
  </w:style>
  <w:style w:type="character" w:customStyle="1" w:styleId="RInsertedText">
    <w:name w:val="RInsertedText"/>
    <w:basedOn w:val="DefaultParagraphFont"/>
    <w:rsid w:val="00503F3B"/>
    <w:rPr>
      <w:color w:val="0000FF"/>
      <w:u w:val="single"/>
    </w:rPr>
  </w:style>
  <w:style w:type="paragraph" w:customStyle="1" w:styleId="DecisionInvitingPara">
    <w:name w:val="Decision Inviting Para."/>
    <w:basedOn w:val="Normal"/>
    <w:rsid w:val="008449BB"/>
    <w:pPr>
      <w:spacing w:after="120" w:line="260" w:lineRule="exact"/>
      <w:ind w:left="5534" w:hanging="567"/>
    </w:pPr>
    <w:rPr>
      <w:rFonts w:eastAsia="Times New Roman" w:cs="Times New Roman"/>
      <w:i/>
      <w:sz w:val="20"/>
      <w:lang w:eastAsia="en-US"/>
    </w:rPr>
  </w:style>
  <w:style w:type="paragraph" w:customStyle="1" w:styleId="Endofdocument">
    <w:name w:val="End of document"/>
    <w:basedOn w:val="Normal"/>
    <w:rsid w:val="008449BB"/>
    <w:pPr>
      <w:spacing w:after="120" w:line="260" w:lineRule="exact"/>
      <w:ind w:left="5534" w:hanging="567"/>
    </w:pPr>
    <w:rPr>
      <w:rFonts w:eastAsia="Times New Roman" w:cs="Times New Roman"/>
      <w:sz w:val="20"/>
      <w:lang w:eastAsia="en-US"/>
    </w:rPr>
  </w:style>
  <w:style w:type="paragraph" w:customStyle="1" w:styleId="Tabletext">
    <w:name w:val="Table text"/>
    <w:basedOn w:val="Normal"/>
    <w:rsid w:val="008449BB"/>
    <w:pPr>
      <w:keepNext/>
      <w:keepLines/>
    </w:pPr>
    <w:rPr>
      <w:rFonts w:eastAsia="Times New Roman" w:cs="Times New Roman"/>
      <w:snapToGrid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767E-2830-4948-8A12-232E2163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5</TotalTime>
  <Pages>2</Pages>
  <Words>840</Words>
  <Characters>4182</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Right to Practice Before the Receiving Office of the International Bureau</dc:subject>
  <dc:creator>MATTHES Claus</dc:creator>
  <cp:lastModifiedBy>MATTHES Claus</cp:lastModifiedBy>
  <cp:revision>8</cp:revision>
  <cp:lastPrinted>2014-06-11T12:17:00Z</cp:lastPrinted>
  <dcterms:created xsi:type="dcterms:W3CDTF">2014-06-11T11:49:00Z</dcterms:created>
  <dcterms:modified xsi:type="dcterms:W3CDTF">2014-06-11T12:18:00Z</dcterms:modified>
</cp:coreProperties>
</file>