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DD" w:rsidRPr="003D4D49" w:rsidRDefault="002766F6" w:rsidP="002766F6">
      <w:pPr>
        <w:spacing w:after="1800"/>
        <w:jc w:val="right"/>
        <w:rPr>
          <w:b/>
          <w:sz w:val="40"/>
          <w:szCs w:val="40"/>
          <w:lang w:val="es-419"/>
        </w:rPr>
      </w:pPr>
      <w:bookmarkStart w:id="0" w:name="_GoBack"/>
      <w:bookmarkEnd w:id="0"/>
      <w:r w:rsidRPr="008E5CDF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E06E230" wp14:editId="19204DF8">
            <wp:simplePos x="0" y="0"/>
            <wp:positionH relativeFrom="column">
              <wp:posOffset>2791894</wp:posOffset>
            </wp:positionH>
            <wp:positionV relativeFrom="paragraph">
              <wp:posOffset>1632</wp:posOffset>
            </wp:positionV>
            <wp:extent cx="1855470" cy="1326515"/>
            <wp:effectExtent l="0" t="0" r="0" b="6985"/>
            <wp:wrapNone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5E6" w:rsidRPr="003D4D49" w:rsidRDefault="002B4E04" w:rsidP="00070C1A">
      <w:pPr>
        <w:spacing w:before="240"/>
        <w:jc w:val="right"/>
        <w:rPr>
          <w:rFonts w:ascii="Arial Black" w:hAnsi="Arial Black"/>
          <w:caps/>
          <w:sz w:val="15"/>
          <w:lang w:val="es-419"/>
        </w:rPr>
      </w:pPr>
      <w:r>
        <w:rPr>
          <w:rFonts w:ascii="Arial Black" w:hAnsi="Arial Black"/>
          <w:sz w:val="15"/>
          <w:lang w:val="es-419"/>
        </w:rPr>
        <w:t>Aviso N.º 4</w:t>
      </w:r>
      <w:r w:rsidR="00070C1A" w:rsidRPr="003D4D49">
        <w:rPr>
          <w:rFonts w:ascii="Arial Black" w:hAnsi="Arial Black"/>
          <w:sz w:val="15"/>
          <w:lang w:val="es-419"/>
        </w:rPr>
        <w:t>/202</w:t>
      </w:r>
      <w:r>
        <w:rPr>
          <w:rFonts w:ascii="Arial Black" w:hAnsi="Arial Black"/>
          <w:sz w:val="15"/>
          <w:lang w:val="es-419"/>
        </w:rPr>
        <w:t>2</w:t>
      </w:r>
    </w:p>
    <w:p w:rsidR="00D903DD" w:rsidRPr="003D4D4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1" w:name="Original"/>
      <w:bookmarkEnd w:id="1"/>
      <w:r w:rsidRPr="003D4D49">
        <w:rPr>
          <w:b/>
          <w:sz w:val="28"/>
          <w:szCs w:val="28"/>
          <w:lang w:val="es-419"/>
        </w:rPr>
        <w:t xml:space="preserve">Acta </w:t>
      </w:r>
      <w:r w:rsidRPr="003D4D49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:rsidR="00D903DD" w:rsidRPr="00AC6530" w:rsidRDefault="00BE3DF8" w:rsidP="00616113">
      <w:pPr>
        <w:spacing w:before="720" w:after="360"/>
        <w:rPr>
          <w:b/>
          <w:sz w:val="24"/>
          <w:szCs w:val="24"/>
          <w:lang w:val="es-419"/>
        </w:rPr>
      </w:pPr>
      <w:r w:rsidRPr="00AC6530"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AC6530">
        <w:rPr>
          <w:b/>
          <w:sz w:val="24"/>
          <w:szCs w:val="24"/>
          <w:lang w:val="es-419"/>
        </w:rPr>
        <w:t>Adhesión de l</w:t>
      </w:r>
      <w:r w:rsidR="00AC6530" w:rsidRPr="00AC6530">
        <w:rPr>
          <w:b/>
          <w:sz w:val="24"/>
          <w:szCs w:val="24"/>
          <w:lang w:val="es-419"/>
        </w:rPr>
        <w:t>a República Checa</w:t>
      </w:r>
    </w:p>
    <w:p w:rsidR="00D903DD" w:rsidRPr="003D4D49" w:rsidRDefault="00D903DD" w:rsidP="00AF3E1E">
      <w:pPr>
        <w:pStyle w:val="ONUME"/>
        <w:rPr>
          <w:lang w:val="es-419"/>
        </w:rPr>
      </w:pPr>
      <w:r w:rsidRPr="003D4D49">
        <w:rPr>
          <w:lang w:val="es-419"/>
        </w:rPr>
        <w:t xml:space="preserve">El </w:t>
      </w:r>
      <w:r w:rsidR="00AF3E1E">
        <w:rPr>
          <w:lang w:val="es-419"/>
        </w:rPr>
        <w:t>2</w:t>
      </w:r>
      <w:r w:rsidRPr="003D4D49">
        <w:rPr>
          <w:lang w:val="es-419"/>
        </w:rPr>
        <w:t xml:space="preserve"> de </w:t>
      </w:r>
      <w:r w:rsidR="00673AA2" w:rsidRPr="003D4D49">
        <w:rPr>
          <w:lang w:val="es-419"/>
        </w:rPr>
        <w:t xml:space="preserve">junio </w:t>
      </w:r>
      <w:r w:rsidRPr="003D4D49">
        <w:rPr>
          <w:lang w:val="es-419"/>
        </w:rPr>
        <w:t>de 20</w:t>
      </w:r>
      <w:r w:rsidR="00673AA2" w:rsidRPr="003D4D49">
        <w:rPr>
          <w:lang w:val="es-419"/>
        </w:rPr>
        <w:t>2</w:t>
      </w:r>
      <w:r w:rsidR="00AF3E1E">
        <w:rPr>
          <w:lang w:val="es-419"/>
        </w:rPr>
        <w:t>2</w:t>
      </w:r>
      <w:r w:rsidRPr="003D4D49">
        <w:rPr>
          <w:lang w:val="es-419"/>
        </w:rPr>
        <w:t xml:space="preserve">, el Gobierno </w:t>
      </w:r>
      <w:r w:rsidR="00AF3E1E">
        <w:rPr>
          <w:lang w:val="es-419"/>
        </w:rPr>
        <w:t xml:space="preserve">de </w:t>
      </w:r>
      <w:r w:rsidR="00AF3E1E" w:rsidRPr="00AF3E1E">
        <w:rPr>
          <w:lang w:val="es-419"/>
        </w:rPr>
        <w:t xml:space="preserve">la República Checa </w:t>
      </w:r>
      <w:r w:rsidRPr="003D4D49">
        <w:rPr>
          <w:lang w:val="es-419"/>
        </w:rPr>
        <w:t xml:space="preserve">depositó en poder del director general de la Organización Mundial de la Propiedad Intelectual (OMPI) su instrumento de </w:t>
      </w:r>
      <w:r w:rsidR="00AF3E1E">
        <w:rPr>
          <w:lang w:val="es-419"/>
        </w:rPr>
        <w:t>adhesión</w:t>
      </w:r>
      <w:r w:rsidRPr="003D4D49">
        <w:rPr>
          <w:lang w:val="es-419"/>
        </w:rPr>
        <w:t xml:space="preserve"> al Acta de Ginebra del Arreglo de Lisboa relativo a las Denominaciones de Origen y las Indicaciones Geográficas (</w:t>
      </w:r>
      <w:r w:rsidR="001D0BD1">
        <w:rPr>
          <w:lang w:val="es-419"/>
        </w:rPr>
        <w:t>en adelante denominado “</w:t>
      </w:r>
      <w:r w:rsidRPr="003D4D49">
        <w:rPr>
          <w:lang w:val="es-419"/>
        </w:rPr>
        <w:t>el Acta de Ginebra del Arreglo de Lisboa</w:t>
      </w:r>
      <w:r w:rsidR="004F06C8" w:rsidRPr="003D4D49">
        <w:rPr>
          <w:lang w:val="es-419"/>
        </w:rPr>
        <w:t>”</w:t>
      </w:r>
      <w:r w:rsidRPr="003D4D49">
        <w:rPr>
          <w:lang w:val="es-419"/>
        </w:rPr>
        <w:t>), adoptada en Ginebra el 20 de mayo de 2015.</w:t>
      </w:r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>D</w:t>
      </w:r>
      <w:r w:rsidR="00AF3E1E">
        <w:rPr>
          <w:lang w:val="es-419"/>
        </w:rPr>
        <w:t>e conformidad con la R</w:t>
      </w:r>
      <w:r w:rsidRPr="003D4D49">
        <w:rPr>
          <w:lang w:val="es-419"/>
        </w:rPr>
        <w:t>egla 4.1) del Reglamento Común del Arreglo de Lisboa relativo a la Protección de las Denominaciones de Origen y su Registro Internacional y del Acta de Ginebra del Arreglo de Lisboa relativo a las Denominaciones de Origen y las Indicaciones Geográficas (</w:t>
      </w:r>
      <w:r w:rsidR="001D0BD1">
        <w:rPr>
          <w:lang w:val="es-419"/>
        </w:rPr>
        <w:t>en adelante denominado “</w:t>
      </w:r>
      <w:r w:rsidRPr="003D4D49">
        <w:rPr>
          <w:lang w:val="es-419"/>
        </w:rPr>
        <w:t xml:space="preserve">el Reglamento Común”), </w:t>
      </w:r>
      <w:r w:rsidR="00BC14A8" w:rsidRPr="003D4D49">
        <w:rPr>
          <w:lang w:val="es-419"/>
        </w:rPr>
        <w:t xml:space="preserve">el Gobierno de </w:t>
      </w:r>
      <w:r w:rsidR="00AF3E1E" w:rsidRPr="00AF3E1E">
        <w:rPr>
          <w:lang w:val="es-419"/>
        </w:rPr>
        <w:t>la</w:t>
      </w:r>
      <w:r w:rsidR="001D0BD1">
        <w:rPr>
          <w:lang w:val="es-419"/>
        </w:rPr>
        <w:t> </w:t>
      </w:r>
      <w:r w:rsidR="00AF3E1E" w:rsidRPr="00AF3E1E">
        <w:rPr>
          <w:lang w:val="es-419"/>
        </w:rPr>
        <w:t>República</w:t>
      </w:r>
      <w:r w:rsidR="001D0BD1">
        <w:rPr>
          <w:lang w:val="es-419"/>
        </w:rPr>
        <w:t> </w:t>
      </w:r>
      <w:r w:rsidR="00AF3E1E" w:rsidRPr="00AF3E1E">
        <w:rPr>
          <w:lang w:val="es-419"/>
        </w:rPr>
        <w:t xml:space="preserve">Checa </w:t>
      </w:r>
      <w:r w:rsidRPr="003D4D49">
        <w:rPr>
          <w:lang w:val="es-419"/>
        </w:rPr>
        <w:t xml:space="preserve">ha notificado el nombre y la dirección siguientes correspondientes a su Administración </w:t>
      </w:r>
      <w:r w:rsidR="007416C5">
        <w:rPr>
          <w:lang w:val="es-419"/>
        </w:rPr>
        <w:t>c</w:t>
      </w:r>
      <w:r w:rsidR="004677C3" w:rsidRPr="003D4D49">
        <w:rPr>
          <w:lang w:val="es-419"/>
        </w:rPr>
        <w:t>ompetente</w:t>
      </w:r>
      <w:r w:rsidR="00657254" w:rsidRPr="003D4D49">
        <w:rPr>
          <w:lang w:val="es-419"/>
        </w:rPr>
        <w:t xml:space="preserve"> a los fines de lo</w:t>
      </w:r>
      <w:r w:rsidR="00657254">
        <w:rPr>
          <w:lang w:val="es-419"/>
        </w:rPr>
        <w:t>s procedimientos en virtud del Acta de Ginebra del Arreglo de Lisboa</w:t>
      </w:r>
      <w:r w:rsidRPr="003D4D49">
        <w:rPr>
          <w:lang w:val="es-419"/>
        </w:rPr>
        <w:t>:</w:t>
      </w:r>
      <w:r w:rsidR="00070C1A" w:rsidRPr="003D4D49">
        <w:rPr>
          <w:lang w:val="es-419"/>
        </w:rPr>
        <w:t xml:space="preserve"> </w:t>
      </w:r>
      <w:r w:rsidR="007416C5">
        <w:rPr>
          <w:lang w:val="es-419"/>
        </w:rPr>
        <w:t xml:space="preserve"> 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Comisión Europea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Dirección General Agricultura y Desarrollo Rural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Dirección B</w:t>
      </w:r>
      <w:r w:rsidR="00432CEC">
        <w:rPr>
          <w:szCs w:val="22"/>
          <w:lang w:val="es-419"/>
        </w:rPr>
        <w:t>,</w:t>
      </w:r>
      <w:r w:rsidRPr="003D4D49">
        <w:rPr>
          <w:szCs w:val="22"/>
          <w:lang w:val="es-419"/>
        </w:rPr>
        <w:t xml:space="preserve"> Calidad, Investigación e Innovación, y Divulgación</w:t>
      </w:r>
    </w:p>
    <w:p w:rsidR="004F06C8" w:rsidRPr="0013373D" w:rsidRDefault="004F06C8" w:rsidP="004F06C8">
      <w:pPr>
        <w:tabs>
          <w:tab w:val="left" w:pos="2268"/>
        </w:tabs>
        <w:ind w:left="2275"/>
        <w:rPr>
          <w:szCs w:val="22"/>
        </w:rPr>
      </w:pPr>
      <w:r w:rsidRPr="0013373D">
        <w:rPr>
          <w:szCs w:val="22"/>
        </w:rPr>
        <w:t>Rue de la Loi / Wetstraat 130</w:t>
      </w:r>
    </w:p>
    <w:p w:rsidR="00D903DD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1040 Bruselas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Teléfono: </w:t>
      </w:r>
      <w:r w:rsidR="004B3D20">
        <w:rPr>
          <w:szCs w:val="22"/>
          <w:lang w:val="es-419"/>
        </w:rPr>
        <w:t xml:space="preserve"> </w:t>
      </w:r>
      <w:r w:rsidR="0071749E">
        <w:rPr>
          <w:szCs w:val="22"/>
          <w:lang w:val="es-419"/>
        </w:rPr>
        <w:t>+</w:t>
      </w:r>
      <w:r w:rsidRPr="003D4D49">
        <w:rPr>
          <w:szCs w:val="22"/>
          <w:lang w:val="es-419"/>
        </w:rPr>
        <w:t>32 2 299 11 11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Correo-e: </w:t>
      </w:r>
      <w:r w:rsidR="004B3D20">
        <w:rPr>
          <w:szCs w:val="22"/>
          <w:lang w:val="es-419"/>
        </w:rPr>
        <w:t xml:space="preserve"> </w:t>
      </w:r>
      <w:hyperlink r:id="rId8" w:history="1">
        <w:r w:rsidR="004B3D20" w:rsidRPr="00255E53">
          <w:rPr>
            <w:rStyle w:val="Hyperlink"/>
            <w:color w:val="auto"/>
            <w:szCs w:val="22"/>
            <w:lang w:val="es-ES"/>
          </w:rPr>
          <w:t>AGRI-B3-GENEVA@ec.europa.eu</w:t>
        </w:r>
      </w:hyperlink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Sitio web: </w:t>
      </w:r>
      <w:r w:rsidR="004B3D20">
        <w:rPr>
          <w:szCs w:val="22"/>
          <w:lang w:val="es-419"/>
        </w:rPr>
        <w:t xml:space="preserve"> </w:t>
      </w:r>
      <w:hyperlink r:id="rId9" w:history="1">
        <w:r w:rsidRPr="003D4D49">
          <w:rPr>
            <w:rStyle w:val="Hyperlink"/>
            <w:szCs w:val="22"/>
            <w:lang w:val="es-419"/>
          </w:rPr>
          <w:t>www.ec.europa.eu/agriculture/</w:t>
        </w:r>
      </w:hyperlink>
    </w:p>
    <w:p w:rsidR="004F06C8" w:rsidRPr="003D4D49" w:rsidRDefault="004F06C8" w:rsidP="004F06C8">
      <w:pPr>
        <w:tabs>
          <w:tab w:val="left" w:pos="2268"/>
        </w:tabs>
        <w:rPr>
          <w:szCs w:val="22"/>
          <w:lang w:val="es-419"/>
        </w:rPr>
      </w:pPr>
    </w:p>
    <w:p w:rsidR="004F06C8" w:rsidRPr="003D4D49" w:rsidRDefault="004F06C8" w:rsidP="004F06C8">
      <w:pPr>
        <w:pStyle w:val="ONUME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Por lo demás, el nombre y la dirección de la </w:t>
      </w:r>
      <w:r w:rsidR="004677C3" w:rsidRPr="003D4D49">
        <w:rPr>
          <w:szCs w:val="22"/>
          <w:lang w:val="es-419"/>
        </w:rPr>
        <w:t>Administración</w:t>
      </w:r>
      <w:r w:rsidRPr="003D4D49">
        <w:rPr>
          <w:szCs w:val="22"/>
          <w:lang w:val="es-419"/>
        </w:rPr>
        <w:t xml:space="preserve"> </w:t>
      </w:r>
      <w:r w:rsidR="0071749E">
        <w:rPr>
          <w:szCs w:val="22"/>
          <w:lang w:val="es-419"/>
        </w:rPr>
        <w:t>c</w:t>
      </w:r>
      <w:r w:rsidR="004677C3" w:rsidRPr="003D4D49">
        <w:rPr>
          <w:szCs w:val="22"/>
          <w:lang w:val="es-419"/>
        </w:rPr>
        <w:t xml:space="preserve">ompetente </w:t>
      </w:r>
      <w:r w:rsidRPr="003D4D49">
        <w:rPr>
          <w:szCs w:val="22"/>
          <w:lang w:val="es-419"/>
        </w:rPr>
        <w:t xml:space="preserve">designada por el Gobierno de </w:t>
      </w:r>
      <w:r w:rsidR="0071749E" w:rsidRPr="00AF3E1E">
        <w:rPr>
          <w:lang w:val="es-419"/>
        </w:rPr>
        <w:t>la República Checa</w:t>
      </w:r>
      <w:r w:rsidRPr="003D4D49">
        <w:rPr>
          <w:szCs w:val="22"/>
          <w:lang w:val="es-419"/>
        </w:rPr>
        <w:t xml:space="preserve"> a los fines de los procedimientos en virtud del Arreglo de Lisboa para la Protección de las Denominaciones de Origen y s</w:t>
      </w:r>
      <w:r w:rsidR="00335592">
        <w:rPr>
          <w:szCs w:val="22"/>
          <w:lang w:val="es-419"/>
        </w:rPr>
        <w:t>u Registro Internacional, de 31 </w:t>
      </w:r>
      <w:r w:rsidRPr="003D4D49">
        <w:rPr>
          <w:szCs w:val="22"/>
          <w:lang w:val="es-419"/>
        </w:rPr>
        <w:t>de octubre de 1958, permanecen sin cambios, a saber:</w:t>
      </w:r>
      <w:r w:rsidR="00335592">
        <w:rPr>
          <w:szCs w:val="22"/>
          <w:lang w:val="es-419"/>
        </w:rPr>
        <w:t xml:space="preserve">  </w:t>
      </w:r>
    </w:p>
    <w:p w:rsidR="00335592" w:rsidRPr="008D0EC4" w:rsidRDefault="00335592" w:rsidP="004F06C8">
      <w:pPr>
        <w:tabs>
          <w:tab w:val="left" w:pos="2268"/>
        </w:tabs>
        <w:ind w:left="2275"/>
        <w:rPr>
          <w:szCs w:val="22"/>
          <w:lang w:val="en-US"/>
        </w:rPr>
      </w:pPr>
      <w:r w:rsidRPr="008D0EC4">
        <w:rPr>
          <w:szCs w:val="22"/>
          <w:lang w:val="en-US"/>
        </w:rPr>
        <w:t>Industrial Property Office of the Czech Republic</w:t>
      </w:r>
    </w:p>
    <w:p w:rsidR="00335592" w:rsidRPr="004304CD" w:rsidRDefault="00335592" w:rsidP="00335592">
      <w:pPr>
        <w:tabs>
          <w:tab w:val="left" w:pos="2268"/>
        </w:tabs>
        <w:ind w:left="2268"/>
        <w:rPr>
          <w:rStyle w:val="Hyperlink"/>
          <w:color w:val="auto"/>
          <w:szCs w:val="22"/>
          <w:u w:val="none"/>
          <w:lang w:val="pt-PT"/>
        </w:rPr>
      </w:pPr>
      <w:r w:rsidRPr="004304CD">
        <w:rPr>
          <w:rStyle w:val="Hyperlink"/>
          <w:color w:val="auto"/>
          <w:szCs w:val="22"/>
          <w:u w:val="none"/>
          <w:lang w:val="pt-PT"/>
        </w:rPr>
        <w:t>Antonína Čermáka 2a</w:t>
      </w:r>
    </w:p>
    <w:p w:rsidR="00335592" w:rsidRPr="004304CD" w:rsidRDefault="00335592" w:rsidP="00335592">
      <w:pPr>
        <w:tabs>
          <w:tab w:val="left" w:pos="2268"/>
        </w:tabs>
        <w:ind w:left="2268"/>
        <w:rPr>
          <w:rStyle w:val="Hyperlink"/>
          <w:color w:val="auto"/>
          <w:szCs w:val="22"/>
          <w:u w:val="none"/>
          <w:lang w:val="pt-PT"/>
        </w:rPr>
      </w:pPr>
      <w:r w:rsidRPr="004304CD">
        <w:rPr>
          <w:rStyle w:val="Hyperlink"/>
          <w:color w:val="auto"/>
          <w:szCs w:val="22"/>
          <w:u w:val="none"/>
          <w:lang w:val="pt-PT"/>
        </w:rPr>
        <w:t>160 68 Prague 6</w:t>
      </w:r>
    </w:p>
    <w:p w:rsidR="00335592" w:rsidRDefault="00335592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AF3E1E">
        <w:rPr>
          <w:lang w:val="es-419"/>
        </w:rPr>
        <w:t>República Checa</w:t>
      </w:r>
      <w:r w:rsidRPr="003D4D49">
        <w:rPr>
          <w:szCs w:val="22"/>
          <w:lang w:val="es-419"/>
        </w:rPr>
        <w:t xml:space="preserve"> 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Tel: </w:t>
      </w:r>
      <w:r w:rsidR="00335592">
        <w:rPr>
          <w:szCs w:val="22"/>
          <w:lang w:val="es-419"/>
        </w:rPr>
        <w:t xml:space="preserve"> </w:t>
      </w:r>
      <w:r w:rsidR="008D0EC4" w:rsidRPr="008D0EC4">
        <w:rPr>
          <w:rStyle w:val="Hyperlink"/>
          <w:color w:val="auto"/>
          <w:szCs w:val="22"/>
          <w:u w:val="none"/>
          <w:lang w:val="es-ES"/>
        </w:rPr>
        <w:t>+420 220 383 111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Fax: </w:t>
      </w:r>
      <w:r w:rsidR="00335592">
        <w:rPr>
          <w:szCs w:val="22"/>
          <w:lang w:val="es-419"/>
        </w:rPr>
        <w:t xml:space="preserve"> </w:t>
      </w:r>
      <w:r w:rsidR="008D0EC4" w:rsidRPr="008D0EC4">
        <w:rPr>
          <w:rStyle w:val="Hyperlink"/>
          <w:color w:val="auto"/>
          <w:szCs w:val="22"/>
          <w:u w:val="none"/>
          <w:lang w:val="es-ES"/>
        </w:rPr>
        <w:t>+420 224 324 718</w:t>
      </w:r>
    </w:p>
    <w:p w:rsidR="004F06C8" w:rsidRPr="001D0BD1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Correo-e: </w:t>
      </w:r>
      <w:r w:rsidR="00335592">
        <w:rPr>
          <w:szCs w:val="22"/>
          <w:lang w:val="es-419"/>
        </w:rPr>
        <w:t xml:space="preserve"> </w:t>
      </w:r>
      <w:hyperlink r:id="rId10" w:history="1">
        <w:r w:rsidR="005E10F9" w:rsidRPr="005D0F86">
          <w:rPr>
            <w:rStyle w:val="Hyperlink"/>
            <w:color w:val="auto"/>
            <w:szCs w:val="22"/>
            <w:lang w:val="de-CH"/>
          </w:rPr>
          <w:t>posta@upv.gov.cz</w:t>
        </w:r>
      </w:hyperlink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Sitio web: </w:t>
      </w:r>
      <w:r w:rsidR="00335592">
        <w:rPr>
          <w:szCs w:val="22"/>
          <w:lang w:val="es-419"/>
        </w:rPr>
        <w:t xml:space="preserve"> </w:t>
      </w:r>
      <w:hyperlink r:id="rId11" w:tgtFrame="_blank" w:history="1">
        <w:r w:rsidR="008D0EC4" w:rsidRPr="00257C17">
          <w:rPr>
            <w:rStyle w:val="Hyperlink"/>
            <w:lang w:val="es-ES"/>
          </w:rPr>
          <w:t>https://upv.gov.cz/</w:t>
        </w:r>
      </w:hyperlink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lastRenderedPageBreak/>
        <w:t>De conformidad con la Regla 4.3) del Regla</w:t>
      </w:r>
      <w:r w:rsidR="008D0EC4">
        <w:rPr>
          <w:lang w:val="es-419"/>
        </w:rPr>
        <w:t>mento Común, la Administración c</w:t>
      </w:r>
      <w:r w:rsidRPr="003D4D49">
        <w:rPr>
          <w:lang w:val="es-419"/>
        </w:rPr>
        <w:t>ompetente mencionada en el párrafo 2 pondrá a disposición información sobre los procedimientos vigentes en su territorio para la impugnación y la observancia de derechos sobre denominaciones de origen e indicaciones geográficas.</w:t>
      </w:r>
      <w:r w:rsidR="00616113" w:rsidRPr="003D4D49">
        <w:rPr>
          <w:lang w:val="es-419"/>
        </w:rPr>
        <w:t xml:space="preserve"> </w:t>
      </w:r>
      <w:r w:rsidR="008D0EC4">
        <w:rPr>
          <w:lang w:val="es-419"/>
        </w:rPr>
        <w:t xml:space="preserve"> </w:t>
      </w:r>
      <w:r w:rsidRPr="003D4D49">
        <w:rPr>
          <w:lang w:val="es-419"/>
        </w:rPr>
        <w:t>Esa información será publicada en</w:t>
      </w:r>
      <w:r w:rsidR="00432CEC">
        <w:rPr>
          <w:lang w:val="es-419"/>
        </w:rPr>
        <w:t>:</w:t>
      </w:r>
      <w:r w:rsidRPr="003D4D49">
        <w:rPr>
          <w:color w:val="FF00FF"/>
          <w:lang w:val="es-419"/>
        </w:rPr>
        <w:t xml:space="preserve"> </w:t>
      </w:r>
      <w:hyperlink r:id="rId12" w:history="1">
        <w:r w:rsidR="00BC14A8" w:rsidRPr="003D4D49">
          <w:rPr>
            <w:rStyle w:val="Hyperlink"/>
            <w:lang w:val="es-419"/>
          </w:rPr>
          <w:t>https://www.wipo.int/lisbon/es/applicable_procedures.html</w:t>
        </w:r>
      </w:hyperlink>
      <w:r w:rsidR="00BC14A8" w:rsidRPr="003D4D49">
        <w:rPr>
          <w:color w:val="FF00FF"/>
          <w:lang w:val="es-419"/>
        </w:rPr>
        <w:t xml:space="preserve"> </w:t>
      </w:r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>El Acta de Gin</w:t>
      </w:r>
      <w:r w:rsidR="008D0EC4">
        <w:rPr>
          <w:lang w:val="es-419"/>
        </w:rPr>
        <w:t>ebra del Arreglo de Lisboa entrará</w:t>
      </w:r>
      <w:r w:rsidRPr="003D4D49">
        <w:rPr>
          <w:lang w:val="es-419"/>
        </w:rPr>
        <w:t xml:space="preserve"> en vigor, con respecto a </w:t>
      </w:r>
      <w:r w:rsidR="008D0EC4" w:rsidRPr="00AF3E1E">
        <w:rPr>
          <w:lang w:val="es-419"/>
        </w:rPr>
        <w:t>la</w:t>
      </w:r>
      <w:r w:rsidR="001D0BD1">
        <w:rPr>
          <w:lang w:val="es-419"/>
        </w:rPr>
        <w:t> </w:t>
      </w:r>
      <w:r w:rsidR="008D0EC4" w:rsidRPr="00AF3E1E">
        <w:rPr>
          <w:lang w:val="es-419"/>
        </w:rPr>
        <w:t>República</w:t>
      </w:r>
      <w:r w:rsidR="001D0BD1">
        <w:rPr>
          <w:lang w:val="es-419"/>
        </w:rPr>
        <w:t> </w:t>
      </w:r>
      <w:r w:rsidR="008D0EC4" w:rsidRPr="00AF3E1E">
        <w:rPr>
          <w:lang w:val="es-419"/>
        </w:rPr>
        <w:t>Checa</w:t>
      </w:r>
      <w:r w:rsidR="004677C3" w:rsidRPr="003D4D49">
        <w:rPr>
          <w:lang w:val="es-419"/>
        </w:rPr>
        <w:t>, el </w:t>
      </w:r>
      <w:r w:rsidR="008D0EC4">
        <w:rPr>
          <w:lang w:val="es-419"/>
        </w:rPr>
        <w:t>2 de septiembre de 2022</w:t>
      </w:r>
      <w:r w:rsidRPr="003D4D49">
        <w:rPr>
          <w:lang w:val="es-419"/>
        </w:rPr>
        <w:t>.</w:t>
      </w:r>
    </w:p>
    <w:p w:rsidR="00070C1A" w:rsidRPr="003D4D49" w:rsidRDefault="00255E53" w:rsidP="00070C1A">
      <w:pPr>
        <w:spacing w:before="600"/>
        <w:ind w:left="5530"/>
        <w:rPr>
          <w:szCs w:val="22"/>
          <w:lang w:val="es-419"/>
        </w:rPr>
      </w:pPr>
      <w:r>
        <w:rPr>
          <w:szCs w:val="22"/>
          <w:lang w:val="es-419"/>
        </w:rPr>
        <w:t>23</w:t>
      </w:r>
      <w:r w:rsidR="00D903DD" w:rsidRPr="003D4D49">
        <w:rPr>
          <w:szCs w:val="22"/>
          <w:lang w:val="es-419"/>
        </w:rPr>
        <w:t xml:space="preserve"> de </w:t>
      </w:r>
      <w:r w:rsidR="008D0EC4">
        <w:rPr>
          <w:szCs w:val="22"/>
          <w:lang w:val="es-419"/>
        </w:rPr>
        <w:t>agosto</w:t>
      </w:r>
      <w:r w:rsidR="004677C3" w:rsidRPr="003D4D49">
        <w:rPr>
          <w:szCs w:val="22"/>
          <w:lang w:val="es-419"/>
        </w:rPr>
        <w:t xml:space="preserve"> </w:t>
      </w:r>
      <w:r w:rsidR="008D0EC4">
        <w:rPr>
          <w:szCs w:val="22"/>
          <w:lang w:val="es-419"/>
        </w:rPr>
        <w:t>de 2022</w:t>
      </w:r>
    </w:p>
    <w:sectPr w:rsidR="00070C1A" w:rsidRPr="003D4D49" w:rsidSect="00255E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F8" w:rsidRDefault="00BE3DF8">
      <w:r>
        <w:separator/>
      </w:r>
    </w:p>
  </w:endnote>
  <w:endnote w:type="continuationSeparator" w:id="0">
    <w:p w:rsidR="00BE3DF8" w:rsidRPr="009D30E6" w:rsidRDefault="00BE3DF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3DF8" w:rsidRPr="009D30E6" w:rsidRDefault="00BE3DF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E3DF8" w:rsidRPr="009D30E6" w:rsidRDefault="00BE3DF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7" w:rsidRDefault="00257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F8" w:rsidRDefault="00BE3DF8">
      <w:r>
        <w:separator/>
      </w:r>
    </w:p>
  </w:footnote>
  <w:footnote w:type="continuationSeparator" w:id="0">
    <w:p w:rsidR="00BE3DF8" w:rsidRDefault="00BE3DF8" w:rsidP="007461F1">
      <w:r>
        <w:separator/>
      </w:r>
    </w:p>
    <w:p w:rsidR="00BE3DF8" w:rsidRPr="009D30E6" w:rsidRDefault="00BE3DF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E3DF8" w:rsidRPr="009D30E6" w:rsidRDefault="00BE3DF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BE62EC">
      <w:rPr>
        <w:noProof/>
      </w:rPr>
      <w:t>2</w:t>
    </w:r>
    <w:r w:rsidR="00830E45">
      <w:fldChar w:fldCharType="end"/>
    </w:r>
  </w:p>
  <w:p w:rsidR="00830E45" w:rsidRDefault="00830E45" w:rsidP="00830E45">
    <w:pPr>
      <w:jc w:val="right"/>
    </w:pPr>
  </w:p>
  <w:p w:rsidR="008D0EC4" w:rsidRDefault="008D0EC4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802C4A">
      <w:rPr>
        <w:noProof/>
      </w:rPr>
      <w:t>2</w:t>
    </w:r>
    <w:r w:rsidR="001A646F">
      <w:fldChar w:fldCharType="end"/>
    </w:r>
  </w:p>
  <w:p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7" w:rsidRDefault="00257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910F5"/>
    <w:multiLevelType w:val="hybridMultilevel"/>
    <w:tmpl w:val="57326FAA"/>
    <w:lvl w:ilvl="0" w:tplc="040A000F">
      <w:start w:val="1"/>
      <w:numFmt w:val="decimal"/>
      <w:lvlText w:val="%1."/>
      <w:lvlJc w:val="left"/>
      <w:pPr>
        <w:ind w:left="1290" w:hanging="360"/>
      </w:pPr>
    </w:lvl>
    <w:lvl w:ilvl="1" w:tplc="040A0019" w:tentative="1">
      <w:start w:val="1"/>
      <w:numFmt w:val="lowerLetter"/>
      <w:lvlText w:val="%2."/>
      <w:lvlJc w:val="left"/>
      <w:pPr>
        <w:ind w:left="2010" w:hanging="360"/>
      </w:pPr>
    </w:lvl>
    <w:lvl w:ilvl="2" w:tplc="040A001B" w:tentative="1">
      <w:start w:val="1"/>
      <w:numFmt w:val="lowerRoman"/>
      <w:lvlText w:val="%3."/>
      <w:lvlJc w:val="right"/>
      <w:pPr>
        <w:ind w:left="2730" w:hanging="180"/>
      </w:pPr>
    </w:lvl>
    <w:lvl w:ilvl="3" w:tplc="040A000F" w:tentative="1">
      <w:start w:val="1"/>
      <w:numFmt w:val="decimal"/>
      <w:lvlText w:val="%4."/>
      <w:lvlJc w:val="left"/>
      <w:pPr>
        <w:ind w:left="3450" w:hanging="360"/>
      </w:pPr>
    </w:lvl>
    <w:lvl w:ilvl="4" w:tplc="040A0019" w:tentative="1">
      <w:start w:val="1"/>
      <w:numFmt w:val="lowerLetter"/>
      <w:lvlText w:val="%5."/>
      <w:lvlJc w:val="left"/>
      <w:pPr>
        <w:ind w:left="4170" w:hanging="360"/>
      </w:pPr>
    </w:lvl>
    <w:lvl w:ilvl="5" w:tplc="040A001B" w:tentative="1">
      <w:start w:val="1"/>
      <w:numFmt w:val="lowerRoman"/>
      <w:lvlText w:val="%6."/>
      <w:lvlJc w:val="right"/>
      <w:pPr>
        <w:ind w:left="4890" w:hanging="180"/>
      </w:pPr>
    </w:lvl>
    <w:lvl w:ilvl="6" w:tplc="040A000F" w:tentative="1">
      <w:start w:val="1"/>
      <w:numFmt w:val="decimal"/>
      <w:lvlText w:val="%7."/>
      <w:lvlJc w:val="left"/>
      <w:pPr>
        <w:ind w:left="5610" w:hanging="360"/>
      </w:pPr>
    </w:lvl>
    <w:lvl w:ilvl="7" w:tplc="040A0019" w:tentative="1">
      <w:start w:val="1"/>
      <w:numFmt w:val="lowerLetter"/>
      <w:lvlText w:val="%8."/>
      <w:lvlJc w:val="left"/>
      <w:pPr>
        <w:ind w:left="6330" w:hanging="360"/>
      </w:pPr>
    </w:lvl>
    <w:lvl w:ilvl="8" w:tplc="0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9FB"/>
    <w:rsid w:val="00011B7D"/>
    <w:rsid w:val="00044AF8"/>
    <w:rsid w:val="00070C1A"/>
    <w:rsid w:val="00075432"/>
    <w:rsid w:val="00086833"/>
    <w:rsid w:val="000C480D"/>
    <w:rsid w:val="000F5E56"/>
    <w:rsid w:val="000F7495"/>
    <w:rsid w:val="001313A9"/>
    <w:rsid w:val="0013373D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0BD1"/>
    <w:rsid w:val="001D3D56"/>
    <w:rsid w:val="001D74CD"/>
    <w:rsid w:val="00202977"/>
    <w:rsid w:val="002118B5"/>
    <w:rsid w:val="002265AC"/>
    <w:rsid w:val="00240654"/>
    <w:rsid w:val="00242CC7"/>
    <w:rsid w:val="00255E53"/>
    <w:rsid w:val="00257C17"/>
    <w:rsid w:val="002634C4"/>
    <w:rsid w:val="00263F10"/>
    <w:rsid w:val="002766F6"/>
    <w:rsid w:val="00283278"/>
    <w:rsid w:val="002A5967"/>
    <w:rsid w:val="002A7703"/>
    <w:rsid w:val="002B4E04"/>
    <w:rsid w:val="002C54AE"/>
    <w:rsid w:val="002E4D1A"/>
    <w:rsid w:val="002F16BC"/>
    <w:rsid w:val="002F1E84"/>
    <w:rsid w:val="002F4E68"/>
    <w:rsid w:val="00310EE3"/>
    <w:rsid w:val="00312350"/>
    <w:rsid w:val="00312C13"/>
    <w:rsid w:val="00335592"/>
    <w:rsid w:val="003404CC"/>
    <w:rsid w:val="00350042"/>
    <w:rsid w:val="003650C4"/>
    <w:rsid w:val="0038447C"/>
    <w:rsid w:val="003845C1"/>
    <w:rsid w:val="00393AC4"/>
    <w:rsid w:val="003C0529"/>
    <w:rsid w:val="003D4D49"/>
    <w:rsid w:val="004008A2"/>
    <w:rsid w:val="004025DF"/>
    <w:rsid w:val="00423E3E"/>
    <w:rsid w:val="00427A98"/>
    <w:rsid w:val="00427AF4"/>
    <w:rsid w:val="00432CEC"/>
    <w:rsid w:val="00445EEC"/>
    <w:rsid w:val="004647DA"/>
    <w:rsid w:val="00466D6B"/>
    <w:rsid w:val="004677C3"/>
    <w:rsid w:val="00477D6B"/>
    <w:rsid w:val="00492CAE"/>
    <w:rsid w:val="004A12E1"/>
    <w:rsid w:val="004B3D20"/>
    <w:rsid w:val="004B6189"/>
    <w:rsid w:val="004C4CE6"/>
    <w:rsid w:val="004D6471"/>
    <w:rsid w:val="004F06C8"/>
    <w:rsid w:val="00525B63"/>
    <w:rsid w:val="005411D9"/>
    <w:rsid w:val="00557F9C"/>
    <w:rsid w:val="00567A4C"/>
    <w:rsid w:val="005700BB"/>
    <w:rsid w:val="00595F07"/>
    <w:rsid w:val="00597185"/>
    <w:rsid w:val="005A5CFC"/>
    <w:rsid w:val="005B36FD"/>
    <w:rsid w:val="005B4647"/>
    <w:rsid w:val="005B55CF"/>
    <w:rsid w:val="005C60A1"/>
    <w:rsid w:val="005E10F9"/>
    <w:rsid w:val="005E6516"/>
    <w:rsid w:val="005F1E16"/>
    <w:rsid w:val="005F735F"/>
    <w:rsid w:val="00605827"/>
    <w:rsid w:val="0061350D"/>
    <w:rsid w:val="00616113"/>
    <w:rsid w:val="00626D08"/>
    <w:rsid w:val="00640857"/>
    <w:rsid w:val="00657254"/>
    <w:rsid w:val="00673AA2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1749E"/>
    <w:rsid w:val="00740CCA"/>
    <w:rsid w:val="007416C5"/>
    <w:rsid w:val="00741CC4"/>
    <w:rsid w:val="007461F1"/>
    <w:rsid w:val="00774B14"/>
    <w:rsid w:val="00785717"/>
    <w:rsid w:val="007C2D86"/>
    <w:rsid w:val="007D6961"/>
    <w:rsid w:val="007F07CB"/>
    <w:rsid w:val="00802C4A"/>
    <w:rsid w:val="008057F6"/>
    <w:rsid w:val="00810A10"/>
    <w:rsid w:val="00810CEF"/>
    <w:rsid w:val="0081208D"/>
    <w:rsid w:val="00830E45"/>
    <w:rsid w:val="00840684"/>
    <w:rsid w:val="00860485"/>
    <w:rsid w:val="00863705"/>
    <w:rsid w:val="008823E6"/>
    <w:rsid w:val="00887901"/>
    <w:rsid w:val="008B2A78"/>
    <w:rsid w:val="008B2CC1"/>
    <w:rsid w:val="008B67CF"/>
    <w:rsid w:val="008D0EC4"/>
    <w:rsid w:val="008E7930"/>
    <w:rsid w:val="008F1912"/>
    <w:rsid w:val="008F44BB"/>
    <w:rsid w:val="008F60E7"/>
    <w:rsid w:val="0090731E"/>
    <w:rsid w:val="00932CC4"/>
    <w:rsid w:val="009436C7"/>
    <w:rsid w:val="00951A60"/>
    <w:rsid w:val="00966A22"/>
    <w:rsid w:val="00974CD6"/>
    <w:rsid w:val="009869FF"/>
    <w:rsid w:val="009925B7"/>
    <w:rsid w:val="009940E6"/>
    <w:rsid w:val="009B1323"/>
    <w:rsid w:val="009D30E6"/>
    <w:rsid w:val="009E001C"/>
    <w:rsid w:val="009E3F6F"/>
    <w:rsid w:val="009F499F"/>
    <w:rsid w:val="00A7203D"/>
    <w:rsid w:val="00A9115B"/>
    <w:rsid w:val="00A94EA1"/>
    <w:rsid w:val="00AB08B5"/>
    <w:rsid w:val="00AB2701"/>
    <w:rsid w:val="00AC0AE4"/>
    <w:rsid w:val="00AC5513"/>
    <w:rsid w:val="00AC6530"/>
    <w:rsid w:val="00AD297D"/>
    <w:rsid w:val="00AD61DB"/>
    <w:rsid w:val="00AF1C6C"/>
    <w:rsid w:val="00AF3E1E"/>
    <w:rsid w:val="00B14AE3"/>
    <w:rsid w:val="00B42D20"/>
    <w:rsid w:val="00B53D68"/>
    <w:rsid w:val="00B57988"/>
    <w:rsid w:val="00B64AAD"/>
    <w:rsid w:val="00B84C3F"/>
    <w:rsid w:val="00BB328D"/>
    <w:rsid w:val="00BC14A8"/>
    <w:rsid w:val="00BE3DF8"/>
    <w:rsid w:val="00BE62EC"/>
    <w:rsid w:val="00C34781"/>
    <w:rsid w:val="00C47009"/>
    <w:rsid w:val="00C664C8"/>
    <w:rsid w:val="00C741BC"/>
    <w:rsid w:val="00CF00E0"/>
    <w:rsid w:val="00CF0460"/>
    <w:rsid w:val="00D11791"/>
    <w:rsid w:val="00D16C22"/>
    <w:rsid w:val="00D35FD4"/>
    <w:rsid w:val="00D43E0F"/>
    <w:rsid w:val="00D45252"/>
    <w:rsid w:val="00D71B4D"/>
    <w:rsid w:val="00D75C1E"/>
    <w:rsid w:val="00D903DD"/>
    <w:rsid w:val="00D93D55"/>
    <w:rsid w:val="00DA11A5"/>
    <w:rsid w:val="00DD6A16"/>
    <w:rsid w:val="00E0091A"/>
    <w:rsid w:val="00E203AA"/>
    <w:rsid w:val="00E23D73"/>
    <w:rsid w:val="00E34318"/>
    <w:rsid w:val="00E44F10"/>
    <w:rsid w:val="00E515E6"/>
    <w:rsid w:val="00E527A5"/>
    <w:rsid w:val="00E647DC"/>
    <w:rsid w:val="00E74646"/>
    <w:rsid w:val="00E76456"/>
    <w:rsid w:val="00E854EB"/>
    <w:rsid w:val="00E85A95"/>
    <w:rsid w:val="00EA2F18"/>
    <w:rsid w:val="00EA37E7"/>
    <w:rsid w:val="00EB22BE"/>
    <w:rsid w:val="00EC1F14"/>
    <w:rsid w:val="00ED2803"/>
    <w:rsid w:val="00EE36DB"/>
    <w:rsid w:val="00EE71CB"/>
    <w:rsid w:val="00F1623C"/>
    <w:rsid w:val="00F16314"/>
    <w:rsid w:val="00F16975"/>
    <w:rsid w:val="00F31E91"/>
    <w:rsid w:val="00F32F5E"/>
    <w:rsid w:val="00F36E40"/>
    <w:rsid w:val="00F46AF9"/>
    <w:rsid w:val="00F4775A"/>
    <w:rsid w:val="00F66152"/>
    <w:rsid w:val="00F82E5E"/>
    <w:rsid w:val="00FA0C38"/>
    <w:rsid w:val="00FA2E4F"/>
    <w:rsid w:val="00FD5109"/>
    <w:rsid w:val="00FF437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,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06C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2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C4A"/>
    <w:rPr>
      <w:rFonts w:ascii="Segoe UI" w:eastAsia="SimSun" w:hAnsi="Segoe UI" w:cs="Segoe UI"/>
      <w:sz w:val="18"/>
      <w:szCs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-B3-GENEVA@ec.europa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ipo.int/lisbon/es/applicable_procedures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v.gov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osta@upv.gov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.europa.eu/agriculture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3</TotalTime>
  <Pages>2</Pages>
  <Words>384</Words>
  <Characters>2085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4/2022</vt:lpstr>
    </vt:vector>
  </TitlesOfParts>
  <Company>WIPO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4/2022</dc:title>
  <dc:creator>ROURE Cécile</dc:creator>
  <cp:keywords>FOR OFFICIAL USE ONLY</cp:keywords>
  <cp:lastModifiedBy>JEZEQUEL Anouck</cp:lastModifiedBy>
  <cp:revision>6</cp:revision>
  <cp:lastPrinted>2022-08-22T14:14:00Z</cp:lastPrinted>
  <dcterms:created xsi:type="dcterms:W3CDTF">2022-08-23T09:44:00Z</dcterms:created>
  <dcterms:modified xsi:type="dcterms:W3CDTF">2022-08-23T10:05:00Z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