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D" w:rsidRPr="003D4D49" w:rsidRDefault="00741CC4" w:rsidP="006F24B5">
      <w:pPr>
        <w:spacing w:after="120"/>
        <w:jc w:val="right"/>
        <w:rPr>
          <w:b/>
          <w:sz w:val="40"/>
          <w:szCs w:val="40"/>
          <w:lang w:val="es-419"/>
        </w:rPr>
      </w:pPr>
      <w:bookmarkStart w:id="0" w:name="_GoBack"/>
      <w:bookmarkEnd w:id="0"/>
      <w:r w:rsidRPr="003D4D49">
        <w:rPr>
          <w:noProof/>
          <w:lang w:val="en-US" w:eastAsia="en-US"/>
        </w:rPr>
        <w:drawing>
          <wp:inline distT="0" distB="0" distL="0" distR="0" wp14:anchorId="7DF5A7DD" wp14:editId="5435C66A">
            <wp:extent cx="3147729" cy="1353054"/>
            <wp:effectExtent l="0" t="0" r="0" b="0"/>
            <wp:docPr id="6" name="Picture 6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3D4D49" w:rsidRDefault="002265AC" w:rsidP="00070C1A">
      <w:pPr>
        <w:spacing w:before="240"/>
        <w:jc w:val="right"/>
        <w:rPr>
          <w:rFonts w:ascii="Arial Black" w:hAnsi="Arial Black"/>
          <w:caps/>
          <w:sz w:val="15"/>
          <w:lang w:val="es-419"/>
        </w:rPr>
      </w:pPr>
      <w:r w:rsidRPr="003D4D49">
        <w:rPr>
          <w:rFonts w:ascii="Arial Black" w:hAnsi="Arial Black"/>
          <w:sz w:val="15"/>
          <w:lang w:val="es-419"/>
        </w:rPr>
        <w:t>Aviso N.º 7</w:t>
      </w:r>
      <w:r w:rsidR="00070C1A" w:rsidRPr="003D4D49">
        <w:rPr>
          <w:rFonts w:ascii="Arial Black" w:hAnsi="Arial Black"/>
          <w:sz w:val="15"/>
          <w:lang w:val="es-419"/>
        </w:rPr>
        <w:t>/2021</w:t>
      </w:r>
    </w:p>
    <w:p w:rsidR="00D903DD" w:rsidRPr="003D4D4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1" w:name="Original"/>
      <w:bookmarkEnd w:id="1"/>
      <w:r w:rsidRPr="003D4D49">
        <w:rPr>
          <w:b/>
          <w:sz w:val="28"/>
          <w:szCs w:val="28"/>
          <w:lang w:val="es-419"/>
        </w:rPr>
        <w:t xml:space="preserve">Acta </w:t>
      </w:r>
      <w:r w:rsidRPr="003D4D49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:rsidR="00D903DD" w:rsidRPr="003D4D49" w:rsidRDefault="00BE3DF8" w:rsidP="00616113">
      <w:pPr>
        <w:spacing w:before="720" w:after="360"/>
        <w:rPr>
          <w:b/>
          <w:szCs w:val="22"/>
          <w:lang w:val="es-419"/>
        </w:rPr>
      </w:pPr>
      <w:r w:rsidRPr="003D4D49">
        <w:rPr>
          <w:b/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="002265AC" w:rsidRPr="003D4D49">
        <w:rPr>
          <w:b/>
          <w:noProof/>
          <w:szCs w:val="22"/>
          <w:lang w:val="es-419" w:eastAsia="es-ES_tradnl"/>
        </w:rPr>
        <w:t>RATIFICACIÓN</w:t>
      </w:r>
      <w:r w:rsidR="001C7B69" w:rsidRPr="003D4D49">
        <w:rPr>
          <w:b/>
          <w:szCs w:val="22"/>
          <w:lang w:val="es-419"/>
        </w:rPr>
        <w:t xml:space="preserve"> DE </w:t>
      </w:r>
      <w:r w:rsidR="002265AC" w:rsidRPr="003D4D49">
        <w:rPr>
          <w:b/>
          <w:szCs w:val="22"/>
          <w:lang w:val="es-419"/>
        </w:rPr>
        <w:t>HUNGRÍA</w:t>
      </w: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 xml:space="preserve">El </w:t>
      </w:r>
      <w:r w:rsidR="00673AA2" w:rsidRPr="003D4D49">
        <w:rPr>
          <w:lang w:val="es-419"/>
        </w:rPr>
        <w:t>10</w:t>
      </w:r>
      <w:r w:rsidRPr="003D4D49">
        <w:rPr>
          <w:lang w:val="es-419"/>
        </w:rPr>
        <w:t xml:space="preserve"> de </w:t>
      </w:r>
      <w:r w:rsidR="00673AA2" w:rsidRPr="003D4D49">
        <w:rPr>
          <w:lang w:val="es-419"/>
        </w:rPr>
        <w:t xml:space="preserve">junio </w:t>
      </w:r>
      <w:r w:rsidRPr="003D4D49">
        <w:rPr>
          <w:lang w:val="es-419"/>
        </w:rPr>
        <w:t>de 20</w:t>
      </w:r>
      <w:r w:rsidR="00673AA2" w:rsidRPr="003D4D49">
        <w:rPr>
          <w:lang w:val="es-419"/>
        </w:rPr>
        <w:t>2</w:t>
      </w:r>
      <w:r w:rsidRPr="003D4D49">
        <w:rPr>
          <w:lang w:val="es-419"/>
        </w:rPr>
        <w:t xml:space="preserve">1, el Gobierno de </w:t>
      </w:r>
      <w:r w:rsidR="00673AA2" w:rsidRPr="003D4D49">
        <w:rPr>
          <w:lang w:val="es-419"/>
        </w:rPr>
        <w:t>Hungría</w:t>
      </w:r>
      <w:r w:rsidR="00ED2803" w:rsidRPr="003D4D49">
        <w:rPr>
          <w:lang w:val="es-419"/>
        </w:rPr>
        <w:t xml:space="preserve"> </w:t>
      </w:r>
      <w:r w:rsidRPr="003D4D49">
        <w:rPr>
          <w:lang w:val="es-419"/>
        </w:rPr>
        <w:t xml:space="preserve">depositó en poder del director general de la Organización Mundial de la Propiedad Intelectual (OMPI) su instrumento de </w:t>
      </w:r>
      <w:r w:rsidR="004F06C8" w:rsidRPr="003D4D49">
        <w:rPr>
          <w:lang w:val="es-419"/>
        </w:rPr>
        <w:t>ratificac</w:t>
      </w:r>
      <w:r w:rsidRPr="003D4D49">
        <w:rPr>
          <w:lang w:val="es-419"/>
        </w:rPr>
        <w:t xml:space="preserve">ión al Acta de Ginebra del Arreglo de Lisboa relativo a las Denominaciones de Origen y las Indicaciones Geográficas (el </w:t>
      </w:r>
      <w:r w:rsidR="004F06C8" w:rsidRPr="003D4D49">
        <w:rPr>
          <w:lang w:val="es-419"/>
        </w:rPr>
        <w:t>“</w:t>
      </w:r>
      <w:r w:rsidRPr="003D4D49">
        <w:rPr>
          <w:lang w:val="es-419"/>
        </w:rPr>
        <w:t>Acta de Ginebra del Arreglo de Lisboa</w:t>
      </w:r>
      <w:r w:rsidR="004F06C8" w:rsidRPr="003D4D49">
        <w:rPr>
          <w:lang w:val="es-419"/>
        </w:rPr>
        <w:t>”</w:t>
      </w:r>
      <w:r w:rsidRPr="003D4D49">
        <w:rPr>
          <w:lang w:val="es-419"/>
        </w:rPr>
        <w:t>), adoptada en Ginebra el 20 de mayo de 2015.</w:t>
      </w: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 xml:space="preserve">De conformidad con la regla 4.1) del Reglamento Común del Arreglo de Lisboa relativo a la Protección de las Denominaciones de Origen y su Registro Internacional y del Acta de Ginebra del Arreglo de Lisboa relativo a las Denominaciones de Origen y las Indicaciones Geográficas (el “Reglamento Común”), </w:t>
      </w:r>
      <w:r w:rsidR="00BC14A8" w:rsidRPr="003D4D49">
        <w:rPr>
          <w:lang w:val="es-419"/>
        </w:rPr>
        <w:t xml:space="preserve">el Gobierno de </w:t>
      </w:r>
      <w:r w:rsidR="004F06C8" w:rsidRPr="003D4D49">
        <w:rPr>
          <w:lang w:val="es-419"/>
        </w:rPr>
        <w:t>Hungría</w:t>
      </w:r>
      <w:r w:rsidRPr="003D4D49">
        <w:rPr>
          <w:lang w:val="es-419"/>
        </w:rPr>
        <w:t xml:space="preserve"> ha notificado el nombre y la dirección siguientes correspondientes a su Administración </w:t>
      </w:r>
      <w:r w:rsidR="004677C3" w:rsidRPr="003D4D49">
        <w:rPr>
          <w:lang w:val="es-419"/>
        </w:rPr>
        <w:t>Competente</w:t>
      </w:r>
      <w:r w:rsidR="00657254" w:rsidRPr="003D4D49">
        <w:rPr>
          <w:lang w:val="es-419"/>
        </w:rPr>
        <w:t xml:space="preserve"> a los fines de lo</w:t>
      </w:r>
      <w:r w:rsidR="00657254">
        <w:rPr>
          <w:lang w:val="es-419"/>
        </w:rPr>
        <w:t>s procedimientos en virtud del Acta de Ginebra del Arreglo de Lisboa</w:t>
      </w:r>
      <w:r w:rsidRPr="003D4D49">
        <w:rPr>
          <w:lang w:val="es-419"/>
        </w:rPr>
        <w:t>:</w:t>
      </w:r>
      <w:r w:rsidR="00070C1A" w:rsidRPr="003D4D49">
        <w:rPr>
          <w:lang w:val="es-419"/>
        </w:rPr>
        <w:t xml:space="preserve"> 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Comisión Europea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Dirección General Agricultura y Desarrollo Rural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Dirección B. Calidad, Investigación e Innovación, y Divulgación</w:t>
      </w:r>
    </w:p>
    <w:p w:rsidR="004F06C8" w:rsidRPr="0013373D" w:rsidRDefault="004F06C8" w:rsidP="004F06C8">
      <w:pPr>
        <w:tabs>
          <w:tab w:val="left" w:pos="2268"/>
        </w:tabs>
        <w:ind w:left="2275"/>
        <w:rPr>
          <w:szCs w:val="22"/>
        </w:rPr>
      </w:pPr>
      <w:r w:rsidRPr="0013373D">
        <w:rPr>
          <w:szCs w:val="22"/>
        </w:rPr>
        <w:t>Rue de la Loi / Wetstraat 130</w:t>
      </w:r>
    </w:p>
    <w:p w:rsidR="00D903DD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1040 Bruselas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Teléfono: 32 2 299 11 11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Correo-e: Agri-b3@ec.europa.eu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Sitio web: </w:t>
      </w:r>
      <w:hyperlink r:id="rId8" w:history="1">
        <w:r w:rsidRPr="003D4D49">
          <w:rPr>
            <w:rStyle w:val="Hyperlink"/>
            <w:szCs w:val="22"/>
            <w:lang w:val="es-419"/>
          </w:rPr>
          <w:t>www.ec.europa.eu/agriculture/</w:t>
        </w:r>
      </w:hyperlink>
    </w:p>
    <w:p w:rsidR="004F06C8" w:rsidRPr="003D4D49" w:rsidRDefault="004F06C8" w:rsidP="004F06C8">
      <w:pPr>
        <w:tabs>
          <w:tab w:val="left" w:pos="2268"/>
        </w:tabs>
        <w:rPr>
          <w:szCs w:val="22"/>
          <w:lang w:val="es-419"/>
        </w:rPr>
      </w:pPr>
    </w:p>
    <w:p w:rsidR="004F06C8" w:rsidRPr="003D4D49" w:rsidRDefault="004F06C8" w:rsidP="004F06C8">
      <w:pPr>
        <w:pStyle w:val="ONUME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Por lo demás, el nombre y la dirección de la </w:t>
      </w:r>
      <w:r w:rsidR="004677C3" w:rsidRPr="003D4D49">
        <w:rPr>
          <w:szCs w:val="22"/>
          <w:lang w:val="es-419"/>
        </w:rPr>
        <w:t>Administración</w:t>
      </w:r>
      <w:r w:rsidRPr="003D4D49">
        <w:rPr>
          <w:szCs w:val="22"/>
          <w:lang w:val="es-419"/>
        </w:rPr>
        <w:t xml:space="preserve"> </w:t>
      </w:r>
      <w:r w:rsidR="004677C3" w:rsidRPr="003D4D49">
        <w:rPr>
          <w:szCs w:val="22"/>
          <w:lang w:val="es-419"/>
        </w:rPr>
        <w:t xml:space="preserve">Competente </w:t>
      </w:r>
      <w:r w:rsidRPr="003D4D49">
        <w:rPr>
          <w:szCs w:val="22"/>
          <w:lang w:val="es-419"/>
        </w:rPr>
        <w:t>designada por el Gobierno de Hungría a los fines de los procedimientos en virtud del Arreglo de Lisboa para la Protección de las Denominaciones de Origen y su Registro Internacional, de 31 de octubre de 1958, permanecen sin cambios, a saber: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Oficina de Propiedad Intelectual de Hungría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PO Box 415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1438 Budapest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Hun</w:t>
      </w:r>
      <w:r w:rsidR="004677C3" w:rsidRPr="003D4D49">
        <w:rPr>
          <w:szCs w:val="22"/>
          <w:lang w:val="es-419"/>
        </w:rPr>
        <w:t>g</w:t>
      </w:r>
      <w:r w:rsidRPr="003D4D49">
        <w:rPr>
          <w:szCs w:val="22"/>
          <w:lang w:val="es-419"/>
        </w:rPr>
        <w:t>ría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Tel: +36 1 312 4400 / +36 1 474 5775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Fax: +36 1 474 5534 / 5936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 xml:space="preserve">Correo-e: hipo@hipo.gov.hu </w:t>
      </w:r>
    </w:p>
    <w:p w:rsidR="004F06C8" w:rsidRPr="003D4D49" w:rsidRDefault="004F06C8" w:rsidP="004F06C8">
      <w:pPr>
        <w:tabs>
          <w:tab w:val="left" w:pos="2268"/>
        </w:tabs>
        <w:ind w:left="2275"/>
        <w:rPr>
          <w:szCs w:val="22"/>
          <w:lang w:val="es-419"/>
        </w:rPr>
      </w:pPr>
      <w:r w:rsidRPr="003D4D49">
        <w:rPr>
          <w:szCs w:val="22"/>
          <w:lang w:val="es-419"/>
        </w:rPr>
        <w:t>Sitio web: http://www.hipo.gov.hu</w:t>
      </w:r>
    </w:p>
    <w:p w:rsidR="004F06C8" w:rsidRPr="003D4D49" w:rsidRDefault="004F06C8" w:rsidP="004F06C8">
      <w:pPr>
        <w:tabs>
          <w:tab w:val="left" w:pos="2268"/>
        </w:tabs>
        <w:rPr>
          <w:szCs w:val="22"/>
          <w:lang w:val="es-419"/>
        </w:rPr>
      </w:pP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lastRenderedPageBreak/>
        <w:t>De conformidad con la Regla 4.3) del Reglamento Común, la Administración Competente mencionada en el párrafo 2 pondrá a disposición información sobre los procedimientos vigentes en su territorio para la impugnación y la observancia de derechos sobre denominaciones de origen e indicaciones geográficas.</w:t>
      </w:r>
      <w:r w:rsidR="00616113" w:rsidRPr="003D4D49">
        <w:rPr>
          <w:lang w:val="es-419"/>
        </w:rPr>
        <w:t xml:space="preserve"> </w:t>
      </w:r>
      <w:r w:rsidRPr="003D4D49">
        <w:rPr>
          <w:lang w:val="es-419"/>
        </w:rPr>
        <w:t>Esa información será publicada en</w:t>
      </w:r>
      <w:r w:rsidRPr="003D4D49">
        <w:rPr>
          <w:color w:val="FF00FF"/>
          <w:lang w:val="es-419"/>
        </w:rPr>
        <w:t xml:space="preserve"> </w:t>
      </w:r>
      <w:hyperlink r:id="rId9" w:history="1">
        <w:r w:rsidR="00BC14A8" w:rsidRPr="003D4D49">
          <w:rPr>
            <w:rStyle w:val="Hyperlink"/>
            <w:lang w:val="es-419"/>
          </w:rPr>
          <w:t>https://www.wipo.int/lisbon/es/applicable_procedures.html</w:t>
        </w:r>
      </w:hyperlink>
      <w:r w:rsidR="00BC14A8" w:rsidRPr="003D4D49">
        <w:rPr>
          <w:color w:val="FF00FF"/>
          <w:lang w:val="es-419"/>
        </w:rPr>
        <w:t xml:space="preserve"> </w:t>
      </w:r>
    </w:p>
    <w:p w:rsidR="00D903DD" w:rsidRPr="003D4D49" w:rsidRDefault="00D903DD" w:rsidP="00D903DD">
      <w:pPr>
        <w:pStyle w:val="ONUME"/>
        <w:rPr>
          <w:lang w:val="es-419"/>
        </w:rPr>
      </w:pPr>
      <w:r w:rsidRPr="003D4D49">
        <w:rPr>
          <w:lang w:val="es-419"/>
        </w:rPr>
        <w:t xml:space="preserve">El Acta de Ginebra del Arreglo de Lisboa entró en vigor, con respecto a </w:t>
      </w:r>
      <w:r w:rsidR="004677C3" w:rsidRPr="003D4D49">
        <w:rPr>
          <w:lang w:val="es-419"/>
        </w:rPr>
        <w:t>Hungría, el 10 de septiembre de 2021</w:t>
      </w:r>
      <w:r w:rsidRPr="003D4D49">
        <w:rPr>
          <w:lang w:val="es-419"/>
        </w:rPr>
        <w:t>.</w:t>
      </w:r>
    </w:p>
    <w:p w:rsidR="00070C1A" w:rsidRPr="003D4D49" w:rsidRDefault="0013373D" w:rsidP="00070C1A">
      <w:pPr>
        <w:spacing w:before="600"/>
        <w:ind w:left="5530"/>
        <w:rPr>
          <w:szCs w:val="22"/>
          <w:lang w:val="es-419"/>
        </w:rPr>
      </w:pPr>
      <w:r>
        <w:rPr>
          <w:szCs w:val="22"/>
          <w:lang w:val="es-419"/>
        </w:rPr>
        <w:t>22</w:t>
      </w:r>
      <w:r w:rsidR="00D903DD" w:rsidRPr="003D4D49">
        <w:rPr>
          <w:szCs w:val="22"/>
          <w:lang w:val="es-419"/>
        </w:rPr>
        <w:t xml:space="preserve"> de </w:t>
      </w:r>
      <w:r w:rsidR="004677C3" w:rsidRPr="003D4D49">
        <w:rPr>
          <w:szCs w:val="22"/>
          <w:lang w:val="es-419"/>
        </w:rPr>
        <w:t xml:space="preserve">diciembre </w:t>
      </w:r>
      <w:r w:rsidR="00D903DD" w:rsidRPr="003D4D49">
        <w:rPr>
          <w:szCs w:val="22"/>
          <w:lang w:val="es-419"/>
        </w:rPr>
        <w:t>de 2021</w:t>
      </w:r>
    </w:p>
    <w:sectPr w:rsidR="00070C1A" w:rsidRPr="003D4D49" w:rsidSect="00830E45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F8" w:rsidRDefault="00BE3DF8">
      <w:r>
        <w:separator/>
      </w:r>
    </w:p>
  </w:endnote>
  <w:endnote w:type="continuationSeparator" w:id="0">
    <w:p w:rsidR="00BE3DF8" w:rsidRPr="009D30E6" w:rsidRDefault="00BE3D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3DF8" w:rsidRPr="009D30E6" w:rsidRDefault="00BE3D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E3DF8" w:rsidRPr="009D30E6" w:rsidRDefault="00BE3D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F8" w:rsidRDefault="00BE3DF8">
      <w:r>
        <w:separator/>
      </w:r>
    </w:p>
  </w:footnote>
  <w:footnote w:type="continuationSeparator" w:id="0">
    <w:p w:rsidR="00BE3DF8" w:rsidRDefault="00BE3DF8" w:rsidP="007461F1">
      <w:r>
        <w:separator/>
      </w:r>
    </w:p>
    <w:p w:rsidR="00BE3DF8" w:rsidRPr="009D30E6" w:rsidRDefault="00BE3D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E3DF8" w:rsidRPr="009D30E6" w:rsidRDefault="00BE3D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5B36FD">
      <w:rPr>
        <w:noProof/>
      </w:rPr>
      <w:t>2</w:t>
    </w:r>
    <w:r w:rsidR="00830E45"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BE3DF8">
      <w:rPr>
        <w:noProof/>
      </w:rPr>
      <w:t>2</w:t>
    </w:r>
    <w:r w:rsidR="001A646F">
      <w:fldChar w:fldCharType="end"/>
    </w:r>
  </w:p>
  <w:p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6910F5"/>
    <w:multiLevelType w:val="hybridMultilevel"/>
    <w:tmpl w:val="57326FAA"/>
    <w:lvl w:ilvl="0" w:tplc="040A000F">
      <w:start w:val="1"/>
      <w:numFmt w:val="decimal"/>
      <w:lvlText w:val="%1."/>
      <w:lvlJc w:val="left"/>
      <w:pPr>
        <w:ind w:left="1290" w:hanging="360"/>
      </w:pPr>
    </w:lvl>
    <w:lvl w:ilvl="1" w:tplc="040A0019" w:tentative="1">
      <w:start w:val="1"/>
      <w:numFmt w:val="lowerLetter"/>
      <w:lvlText w:val="%2."/>
      <w:lvlJc w:val="left"/>
      <w:pPr>
        <w:ind w:left="2010" w:hanging="360"/>
      </w:pPr>
    </w:lvl>
    <w:lvl w:ilvl="2" w:tplc="040A001B" w:tentative="1">
      <w:start w:val="1"/>
      <w:numFmt w:val="lowerRoman"/>
      <w:lvlText w:val="%3."/>
      <w:lvlJc w:val="right"/>
      <w:pPr>
        <w:ind w:left="2730" w:hanging="180"/>
      </w:pPr>
    </w:lvl>
    <w:lvl w:ilvl="3" w:tplc="040A000F" w:tentative="1">
      <w:start w:val="1"/>
      <w:numFmt w:val="decimal"/>
      <w:lvlText w:val="%4."/>
      <w:lvlJc w:val="left"/>
      <w:pPr>
        <w:ind w:left="3450" w:hanging="360"/>
      </w:pPr>
    </w:lvl>
    <w:lvl w:ilvl="4" w:tplc="040A0019" w:tentative="1">
      <w:start w:val="1"/>
      <w:numFmt w:val="lowerLetter"/>
      <w:lvlText w:val="%5."/>
      <w:lvlJc w:val="left"/>
      <w:pPr>
        <w:ind w:left="4170" w:hanging="360"/>
      </w:pPr>
    </w:lvl>
    <w:lvl w:ilvl="5" w:tplc="040A001B" w:tentative="1">
      <w:start w:val="1"/>
      <w:numFmt w:val="lowerRoman"/>
      <w:lvlText w:val="%6."/>
      <w:lvlJc w:val="right"/>
      <w:pPr>
        <w:ind w:left="4890" w:hanging="180"/>
      </w:pPr>
    </w:lvl>
    <w:lvl w:ilvl="6" w:tplc="040A000F" w:tentative="1">
      <w:start w:val="1"/>
      <w:numFmt w:val="decimal"/>
      <w:lvlText w:val="%7."/>
      <w:lvlJc w:val="left"/>
      <w:pPr>
        <w:ind w:left="5610" w:hanging="360"/>
      </w:pPr>
    </w:lvl>
    <w:lvl w:ilvl="7" w:tplc="040A0019" w:tentative="1">
      <w:start w:val="1"/>
      <w:numFmt w:val="lowerLetter"/>
      <w:lvlText w:val="%8."/>
      <w:lvlJc w:val="left"/>
      <w:pPr>
        <w:ind w:left="6330" w:hanging="360"/>
      </w:pPr>
    </w:lvl>
    <w:lvl w:ilvl="8" w:tplc="0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44AF8"/>
    <w:rsid w:val="00070C1A"/>
    <w:rsid w:val="00075432"/>
    <w:rsid w:val="00086833"/>
    <w:rsid w:val="000C480D"/>
    <w:rsid w:val="000F5E56"/>
    <w:rsid w:val="000F7495"/>
    <w:rsid w:val="001313A9"/>
    <w:rsid w:val="0013373D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3D56"/>
    <w:rsid w:val="001D74CD"/>
    <w:rsid w:val="00202977"/>
    <w:rsid w:val="002118B5"/>
    <w:rsid w:val="002265AC"/>
    <w:rsid w:val="00240654"/>
    <w:rsid w:val="00242CC7"/>
    <w:rsid w:val="002634C4"/>
    <w:rsid w:val="00263F10"/>
    <w:rsid w:val="00283278"/>
    <w:rsid w:val="002A5967"/>
    <w:rsid w:val="002A7703"/>
    <w:rsid w:val="002C54AE"/>
    <w:rsid w:val="002E4D1A"/>
    <w:rsid w:val="002F16BC"/>
    <w:rsid w:val="002F1E84"/>
    <w:rsid w:val="002F4E68"/>
    <w:rsid w:val="00310EE3"/>
    <w:rsid w:val="00312350"/>
    <w:rsid w:val="00312C13"/>
    <w:rsid w:val="003404CC"/>
    <w:rsid w:val="00350042"/>
    <w:rsid w:val="003650C4"/>
    <w:rsid w:val="0038447C"/>
    <w:rsid w:val="003845C1"/>
    <w:rsid w:val="00393AC4"/>
    <w:rsid w:val="003C0529"/>
    <w:rsid w:val="003D4D49"/>
    <w:rsid w:val="004008A2"/>
    <w:rsid w:val="004025DF"/>
    <w:rsid w:val="00423E3E"/>
    <w:rsid w:val="00427A98"/>
    <w:rsid w:val="00427AF4"/>
    <w:rsid w:val="00445EEC"/>
    <w:rsid w:val="004647DA"/>
    <w:rsid w:val="004677C3"/>
    <w:rsid w:val="00477D6B"/>
    <w:rsid w:val="00492CAE"/>
    <w:rsid w:val="004A12E1"/>
    <w:rsid w:val="004B6189"/>
    <w:rsid w:val="004C4CE6"/>
    <w:rsid w:val="004D6471"/>
    <w:rsid w:val="004F06C8"/>
    <w:rsid w:val="00525B63"/>
    <w:rsid w:val="005411D9"/>
    <w:rsid w:val="00557F9C"/>
    <w:rsid w:val="00567A4C"/>
    <w:rsid w:val="005700BB"/>
    <w:rsid w:val="00595F07"/>
    <w:rsid w:val="00597185"/>
    <w:rsid w:val="005A5CFC"/>
    <w:rsid w:val="005B36FD"/>
    <w:rsid w:val="005B4647"/>
    <w:rsid w:val="005B55CF"/>
    <w:rsid w:val="005C60A1"/>
    <w:rsid w:val="005E6516"/>
    <w:rsid w:val="005F1E16"/>
    <w:rsid w:val="005F735F"/>
    <w:rsid w:val="00605827"/>
    <w:rsid w:val="0061350D"/>
    <w:rsid w:val="00616113"/>
    <w:rsid w:val="00626D08"/>
    <w:rsid w:val="00640857"/>
    <w:rsid w:val="00657254"/>
    <w:rsid w:val="00673AA2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40CCA"/>
    <w:rsid w:val="00741CC4"/>
    <w:rsid w:val="007461F1"/>
    <w:rsid w:val="00774B14"/>
    <w:rsid w:val="00785717"/>
    <w:rsid w:val="007C2D86"/>
    <w:rsid w:val="007D6961"/>
    <w:rsid w:val="007F07CB"/>
    <w:rsid w:val="008057F6"/>
    <w:rsid w:val="00810A10"/>
    <w:rsid w:val="00810CEF"/>
    <w:rsid w:val="0081208D"/>
    <w:rsid w:val="00830E45"/>
    <w:rsid w:val="00840684"/>
    <w:rsid w:val="00860485"/>
    <w:rsid w:val="00863705"/>
    <w:rsid w:val="008823E6"/>
    <w:rsid w:val="00887901"/>
    <w:rsid w:val="008B2A78"/>
    <w:rsid w:val="008B2CC1"/>
    <w:rsid w:val="008B67CF"/>
    <w:rsid w:val="008E7930"/>
    <w:rsid w:val="008F1912"/>
    <w:rsid w:val="008F44BB"/>
    <w:rsid w:val="008F60E7"/>
    <w:rsid w:val="0090731E"/>
    <w:rsid w:val="00932CC4"/>
    <w:rsid w:val="009436C7"/>
    <w:rsid w:val="00951A60"/>
    <w:rsid w:val="00966A22"/>
    <w:rsid w:val="00974CD6"/>
    <w:rsid w:val="009869FF"/>
    <w:rsid w:val="009925B7"/>
    <w:rsid w:val="009940E6"/>
    <w:rsid w:val="009B1323"/>
    <w:rsid w:val="009D30E6"/>
    <w:rsid w:val="009E001C"/>
    <w:rsid w:val="009E3F6F"/>
    <w:rsid w:val="009F499F"/>
    <w:rsid w:val="00A7203D"/>
    <w:rsid w:val="00A9115B"/>
    <w:rsid w:val="00A94EA1"/>
    <w:rsid w:val="00AB08B5"/>
    <w:rsid w:val="00AB2701"/>
    <w:rsid w:val="00AC0AE4"/>
    <w:rsid w:val="00AC5513"/>
    <w:rsid w:val="00AD297D"/>
    <w:rsid w:val="00AD61DB"/>
    <w:rsid w:val="00AF1C6C"/>
    <w:rsid w:val="00B14AE3"/>
    <w:rsid w:val="00B42D20"/>
    <w:rsid w:val="00B53D68"/>
    <w:rsid w:val="00B57988"/>
    <w:rsid w:val="00B64AAD"/>
    <w:rsid w:val="00B84C3F"/>
    <w:rsid w:val="00BB328D"/>
    <w:rsid w:val="00BC14A8"/>
    <w:rsid w:val="00BE3DF8"/>
    <w:rsid w:val="00C34781"/>
    <w:rsid w:val="00C47009"/>
    <w:rsid w:val="00C664C8"/>
    <w:rsid w:val="00C741BC"/>
    <w:rsid w:val="00CF00E0"/>
    <w:rsid w:val="00CF0460"/>
    <w:rsid w:val="00D11791"/>
    <w:rsid w:val="00D16C22"/>
    <w:rsid w:val="00D35FD4"/>
    <w:rsid w:val="00D43E0F"/>
    <w:rsid w:val="00D45252"/>
    <w:rsid w:val="00D71B4D"/>
    <w:rsid w:val="00D75C1E"/>
    <w:rsid w:val="00D903DD"/>
    <w:rsid w:val="00D93D55"/>
    <w:rsid w:val="00DA11A5"/>
    <w:rsid w:val="00DD6A16"/>
    <w:rsid w:val="00E0091A"/>
    <w:rsid w:val="00E203AA"/>
    <w:rsid w:val="00E23D73"/>
    <w:rsid w:val="00E34318"/>
    <w:rsid w:val="00E44F10"/>
    <w:rsid w:val="00E515E6"/>
    <w:rsid w:val="00E527A5"/>
    <w:rsid w:val="00E647DC"/>
    <w:rsid w:val="00E74646"/>
    <w:rsid w:val="00E76456"/>
    <w:rsid w:val="00E854EB"/>
    <w:rsid w:val="00EA2F18"/>
    <w:rsid w:val="00EA37E7"/>
    <w:rsid w:val="00EB22BE"/>
    <w:rsid w:val="00EC1F14"/>
    <w:rsid w:val="00ED2803"/>
    <w:rsid w:val="00EE36DB"/>
    <w:rsid w:val="00EE71CB"/>
    <w:rsid w:val="00F1623C"/>
    <w:rsid w:val="00F16314"/>
    <w:rsid w:val="00F16975"/>
    <w:rsid w:val="00F31E91"/>
    <w:rsid w:val="00F32F5E"/>
    <w:rsid w:val="00F46AF9"/>
    <w:rsid w:val="00F4775A"/>
    <w:rsid w:val="00F66152"/>
    <w:rsid w:val="00F82E5E"/>
    <w:rsid w:val="00FA0C38"/>
    <w:rsid w:val="00FA2E4F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0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.europa.eu/agriculture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lisbon/es/applicable_procedures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6</TotalTime>
  <Pages>2</Pages>
  <Words>371</Words>
  <Characters>1998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Lisbon Information Notice No. 7/2021</dc:title>
  <dc:creator>ROURE Cécile</dc:creator>
  <cp:keywords>FOR OFFICIAL USE ONLY</cp:keywords>
  <cp:lastModifiedBy>VINCENT Anouck</cp:lastModifiedBy>
  <cp:revision>6</cp:revision>
  <cp:lastPrinted>2021-12-22T10:57:00Z</cp:lastPrinted>
  <dcterms:created xsi:type="dcterms:W3CDTF">2021-12-22T07:20:00Z</dcterms:created>
  <dcterms:modified xsi:type="dcterms:W3CDTF">2022-01-11T13:46:00Z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