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CC" w:rsidRPr="00775016" w:rsidRDefault="00775016" w:rsidP="00775016">
      <w:pPr>
        <w:spacing w:after="120"/>
        <w:ind w:firstLine="3780"/>
        <w:jc w:val="center"/>
        <w:rPr>
          <w:lang w:val="es-ES_tradnl"/>
        </w:rPr>
      </w:pPr>
      <w:r w:rsidRPr="00775016">
        <w:rPr>
          <w:noProof/>
          <w:lang w:val="en-US"/>
        </w:rPr>
        <w:drawing>
          <wp:inline distT="0" distB="0" distL="0" distR="0" wp14:anchorId="4520C957">
            <wp:extent cx="1859280" cy="13227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pic:spPr>
                </pic:pic>
              </a:graphicData>
            </a:graphic>
          </wp:inline>
        </w:drawing>
      </w:r>
      <w:r w:rsidR="00307787" w:rsidRPr="00775016">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37565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1A47BF" w:rsidRPr="00775016" w:rsidRDefault="00816D00" w:rsidP="001A47BF">
      <w:pPr>
        <w:spacing w:after="600"/>
        <w:jc w:val="right"/>
        <w:rPr>
          <w:rFonts w:ascii="Arial Black" w:hAnsi="Arial Black"/>
          <w:sz w:val="15"/>
          <w:lang w:val="es-ES_tradnl"/>
        </w:rPr>
      </w:pPr>
      <w:r w:rsidRPr="00775016">
        <w:rPr>
          <w:rFonts w:ascii="Arial Black" w:hAnsi="Arial Black"/>
          <w:sz w:val="15"/>
          <w:lang w:val="es-ES_tradnl"/>
        </w:rPr>
        <w:t xml:space="preserve">AVISO </w:t>
      </w:r>
      <w:r w:rsidR="001A47BF" w:rsidRPr="00775016">
        <w:rPr>
          <w:rFonts w:ascii="Arial Black" w:hAnsi="Arial Black"/>
          <w:sz w:val="15"/>
          <w:lang w:val="es-ES_tradnl"/>
        </w:rPr>
        <w:t>N.º 5/2021</w:t>
      </w:r>
    </w:p>
    <w:p w:rsidR="001A47BF" w:rsidRPr="00775016" w:rsidRDefault="001A47BF" w:rsidP="008B14EA">
      <w:pPr>
        <w:spacing w:after="600"/>
        <w:rPr>
          <w:b/>
          <w:sz w:val="28"/>
          <w:lang w:val="es-ES_tradnl"/>
        </w:rPr>
      </w:pPr>
      <w:r w:rsidRPr="00775016">
        <w:rPr>
          <w:b/>
          <w:sz w:val="28"/>
          <w:lang w:val="es-ES_tradnl"/>
        </w:rPr>
        <w:t xml:space="preserve">Sistema de </w:t>
      </w:r>
      <w:r w:rsidRPr="00775016">
        <w:rPr>
          <w:b/>
          <w:sz w:val="28"/>
          <w:szCs w:val="28"/>
          <w:lang w:val="es-ES_tradnl"/>
        </w:rPr>
        <w:t>Lisboa para el Registro Internacional de las Denominaciones de Origen y las Indicaciones Geográficas</w:t>
      </w:r>
    </w:p>
    <w:p w:rsidR="007505CC" w:rsidRPr="00971C1D" w:rsidRDefault="00775016" w:rsidP="008B14EA">
      <w:pPr>
        <w:spacing w:after="600"/>
        <w:rPr>
          <w:b/>
          <w:sz w:val="24"/>
          <w:szCs w:val="24"/>
          <w:lang w:val="es-ES_tradnl"/>
        </w:rPr>
      </w:pPr>
      <w:r w:rsidRPr="00971C1D">
        <w:rPr>
          <w:b/>
          <w:sz w:val="24"/>
          <w:szCs w:val="24"/>
          <w:lang w:val="es-ES_tradnl"/>
        </w:rPr>
        <w:t xml:space="preserve">Modificación del </w:t>
      </w:r>
      <w:r w:rsidR="00A21276" w:rsidRPr="00971C1D">
        <w:rPr>
          <w:b/>
          <w:sz w:val="24"/>
          <w:szCs w:val="24"/>
          <w:lang w:val="es-ES_tradnl"/>
        </w:rPr>
        <w:t>Reglamento Común del Arreglo de Lisboa relativo a la Protección de las Denominaciones de Origen y su</w:t>
      </w:r>
      <w:r w:rsidR="0058269D" w:rsidRPr="00971C1D">
        <w:rPr>
          <w:b/>
          <w:sz w:val="24"/>
          <w:szCs w:val="24"/>
          <w:lang w:val="es-ES_tradnl"/>
        </w:rPr>
        <w:t xml:space="preserve"> </w:t>
      </w:r>
      <w:r w:rsidR="00A21276" w:rsidRPr="00971C1D">
        <w:rPr>
          <w:b/>
          <w:sz w:val="24"/>
          <w:szCs w:val="24"/>
          <w:lang w:val="es-ES_tradnl"/>
        </w:rPr>
        <w:t>Registro Internacional y del Acta de Ginebra del Arreglo de Lisboa relativo a las Denominaciones de Origen y las Indicaciones Geográficas (en vigor el 26 de febrero de 2020)</w:t>
      </w:r>
      <w:bookmarkStart w:id="0" w:name="_GoBack"/>
      <w:bookmarkEnd w:id="0"/>
    </w:p>
    <w:p w:rsidR="007505CC" w:rsidRPr="007758C7" w:rsidRDefault="00A66275" w:rsidP="00A21276">
      <w:pPr>
        <w:pStyle w:val="ONUMFS"/>
        <w:rPr>
          <w:lang w:val="es-ES_tradnl"/>
        </w:rPr>
      </w:pPr>
      <w:r w:rsidRPr="00775016">
        <w:rPr>
          <w:lang w:val="es-ES_tradnl"/>
        </w:rPr>
        <w:t xml:space="preserve">En su </w:t>
      </w:r>
      <w:r w:rsidR="00A67914" w:rsidRPr="00775016">
        <w:rPr>
          <w:lang w:val="es-ES_tradnl"/>
        </w:rPr>
        <w:t>trigésima octava sesión (24.ª ordinaria)</w:t>
      </w:r>
      <w:r w:rsidRPr="00775016">
        <w:rPr>
          <w:lang w:val="es-ES_tradnl"/>
        </w:rPr>
        <w:t xml:space="preserve">, celebrada </w:t>
      </w:r>
      <w:r w:rsidR="00A21276" w:rsidRPr="00775016">
        <w:rPr>
          <w:lang w:val="es-ES_tradnl"/>
        </w:rPr>
        <w:t xml:space="preserve">en Ginebra del 4 al 8 de octubre de 2021, </w:t>
      </w:r>
      <w:r w:rsidRPr="00775016">
        <w:rPr>
          <w:lang w:val="es-ES_tradnl"/>
        </w:rPr>
        <w:t xml:space="preserve">la Asamblea de la Unión de Lisboa </w:t>
      </w:r>
      <w:r w:rsidR="00232A88" w:rsidRPr="00775016">
        <w:rPr>
          <w:lang w:val="es-ES_tradnl"/>
        </w:rPr>
        <w:t>adoptó</w:t>
      </w:r>
      <w:r w:rsidR="00A21276" w:rsidRPr="00775016">
        <w:rPr>
          <w:lang w:val="es-ES_tradnl"/>
        </w:rPr>
        <w:t xml:space="preserve"> </w:t>
      </w:r>
      <w:r w:rsidRPr="00775016">
        <w:rPr>
          <w:lang w:val="es-ES_tradnl"/>
        </w:rPr>
        <w:t>las modificaciones del Reglamento Común del Arreglo de Lisboa relativo a la Protección de las Denominaciones de Origen y su Registro Internacional y del Acta de Ginebra del Arreglo de Lisboa relativo a las Denominaciones de Origen y las Indicaciones Geográfica</w:t>
      </w:r>
      <w:r w:rsidR="007758C7">
        <w:rPr>
          <w:lang w:val="es-ES_tradnl"/>
        </w:rPr>
        <w:t>s</w:t>
      </w:r>
      <w:r w:rsidRPr="00775016">
        <w:rPr>
          <w:lang w:val="es-ES_tradnl"/>
        </w:rPr>
        <w:t xml:space="preserve"> (en lo sucesivo, </w:t>
      </w:r>
      <w:r w:rsidR="004C544B" w:rsidRPr="00775016">
        <w:rPr>
          <w:lang w:val="es-ES_tradnl"/>
        </w:rPr>
        <w:t>“</w:t>
      </w:r>
      <w:r w:rsidRPr="00775016">
        <w:rPr>
          <w:lang w:val="es-ES_tradnl"/>
        </w:rPr>
        <w:t>el Reglamento Común</w:t>
      </w:r>
      <w:r w:rsidR="004C544B" w:rsidRPr="00775016">
        <w:rPr>
          <w:lang w:val="es-ES_tradnl"/>
        </w:rPr>
        <w:t>”</w:t>
      </w:r>
      <w:r w:rsidRPr="00775016">
        <w:rPr>
          <w:lang w:val="es-ES_tradnl"/>
        </w:rPr>
        <w:t>) en lo que respecta a la inclusión de una nueva Regla 2</w:t>
      </w:r>
      <w:r w:rsidRPr="00775016">
        <w:rPr>
          <w:i/>
          <w:lang w:val="es-ES_tradnl"/>
        </w:rPr>
        <w:t xml:space="preserve">bis </w:t>
      </w:r>
      <w:r w:rsidRPr="00775016">
        <w:rPr>
          <w:lang w:val="es-ES_tradnl"/>
        </w:rPr>
        <w:t xml:space="preserve">(véase el párrafo </w:t>
      </w:r>
      <w:r w:rsidR="00A21276" w:rsidRPr="00775016">
        <w:rPr>
          <w:lang w:val="es-ES_tradnl"/>
        </w:rPr>
        <w:t>22</w:t>
      </w:r>
      <w:r w:rsidRPr="00775016">
        <w:rPr>
          <w:lang w:val="es-ES_tradnl"/>
        </w:rPr>
        <w:t xml:space="preserve"> del documento LI/</w:t>
      </w:r>
      <w:r w:rsidR="00A21276" w:rsidRPr="00775016">
        <w:rPr>
          <w:lang w:val="es-ES_tradnl"/>
        </w:rPr>
        <w:t xml:space="preserve">A/38/3/Prov., disponible en la dirección siguiente: </w:t>
      </w:r>
      <w:hyperlink r:id="rId9" w:history="1">
        <w:r w:rsidR="00A21276" w:rsidRPr="007758C7">
          <w:rPr>
            <w:rStyle w:val="Hyperlink"/>
            <w:color w:val="auto"/>
            <w:u w:val="none"/>
            <w:lang w:val="es-ES_tradnl"/>
          </w:rPr>
          <w:t>https://www.wipo.int/edocs/mdocs/govbody/es/li_a_38/li_a_38_3_prov.pdf</w:t>
        </w:r>
      </w:hyperlink>
      <w:r w:rsidR="00A21276" w:rsidRPr="007758C7">
        <w:rPr>
          <w:lang w:val="es-ES_tradnl"/>
        </w:rPr>
        <w:t>).</w:t>
      </w:r>
    </w:p>
    <w:p w:rsidR="007505CC" w:rsidRPr="00775016" w:rsidRDefault="00A66275" w:rsidP="00A21276">
      <w:pPr>
        <w:pStyle w:val="ONUMFS"/>
        <w:rPr>
          <w:lang w:val="es-ES_tradnl"/>
        </w:rPr>
      </w:pPr>
      <w:r w:rsidRPr="00775016">
        <w:rPr>
          <w:lang w:val="es-ES_tradnl"/>
        </w:rPr>
        <w:t>La Regla 2</w:t>
      </w:r>
      <w:r w:rsidRPr="00775016">
        <w:rPr>
          <w:i/>
          <w:lang w:val="es-ES_tradnl"/>
        </w:rPr>
        <w:t>bis</w:t>
      </w:r>
      <w:r w:rsidRPr="00775016">
        <w:rPr>
          <w:lang w:val="es-ES_tradnl"/>
        </w:rPr>
        <w:t xml:space="preserve"> </w:t>
      </w:r>
      <w:r w:rsidR="00A21276" w:rsidRPr="00775016">
        <w:rPr>
          <w:lang w:val="es-ES_tradnl"/>
        </w:rPr>
        <w:t>se introdujo para excusar retrasos en el cumplimiento de un plazo para efectuar un trámite ante la OMPI debido a un acontecimiento de fuerza mayor, por ejemplo, la pandemia de COVID-19. La disposición modificada se reprod</w:t>
      </w:r>
      <w:r w:rsidR="007758C7">
        <w:rPr>
          <w:lang w:val="es-ES_tradnl"/>
        </w:rPr>
        <w:t>uce en la página 2 del presente </w:t>
      </w:r>
      <w:r w:rsidR="00A21276" w:rsidRPr="00775016">
        <w:rPr>
          <w:lang w:val="es-ES_tradnl"/>
        </w:rPr>
        <w:t>Aviso</w:t>
      </w:r>
      <w:r w:rsidR="00DD001A" w:rsidRPr="00775016">
        <w:rPr>
          <w:szCs w:val="22"/>
          <w:lang w:val="es-ES_tradnl"/>
        </w:rPr>
        <w:t>.</w:t>
      </w:r>
    </w:p>
    <w:p w:rsidR="00232A88" w:rsidRPr="003C6E05" w:rsidRDefault="00232A88" w:rsidP="00232A88">
      <w:pPr>
        <w:pStyle w:val="ONUMFS"/>
        <w:rPr>
          <w:lang w:val="es-ES_tradnl"/>
        </w:rPr>
      </w:pPr>
      <w:r w:rsidRPr="00775016">
        <w:rPr>
          <w:lang w:val="es-ES_tradnl"/>
        </w:rPr>
        <w:t xml:space="preserve">La modificación </w:t>
      </w:r>
      <w:r w:rsidR="001C2BC8" w:rsidRPr="00775016">
        <w:rPr>
          <w:lang w:val="es-ES_tradnl"/>
        </w:rPr>
        <w:t xml:space="preserve">del Reglamento Común </w:t>
      </w:r>
      <w:r w:rsidRPr="00775016">
        <w:rPr>
          <w:lang w:val="es-ES_tradnl"/>
        </w:rPr>
        <w:t xml:space="preserve">adoptada por </w:t>
      </w:r>
      <w:r w:rsidR="001C2BC8" w:rsidRPr="00775016">
        <w:rPr>
          <w:lang w:val="es-ES_tradnl"/>
        </w:rPr>
        <w:t>la</w:t>
      </w:r>
      <w:r w:rsidR="00FD5E49">
        <w:rPr>
          <w:lang w:val="es-ES_tradnl"/>
        </w:rPr>
        <w:t xml:space="preserve"> Asamblea de la Unión de Lisboa</w:t>
      </w:r>
      <w:r w:rsidR="001C2BC8" w:rsidRPr="00775016">
        <w:rPr>
          <w:lang w:val="es-ES_tradnl"/>
        </w:rPr>
        <w:t xml:space="preserve"> e</w:t>
      </w:r>
      <w:r w:rsidRPr="00775016">
        <w:rPr>
          <w:lang w:val="es-ES_tradnl"/>
        </w:rPr>
        <w:t>ntrará en vigor</w:t>
      </w:r>
      <w:r w:rsidR="001C2BC8" w:rsidRPr="00775016">
        <w:rPr>
          <w:lang w:val="es-ES_tradnl"/>
        </w:rPr>
        <w:t xml:space="preserve"> </w:t>
      </w:r>
      <w:r w:rsidRPr="00775016">
        <w:rPr>
          <w:lang w:val="es-ES_tradnl"/>
        </w:rPr>
        <w:t>a partir d</w:t>
      </w:r>
      <w:r w:rsidR="001C2BC8" w:rsidRPr="00775016">
        <w:rPr>
          <w:lang w:val="es-ES_tradnl"/>
        </w:rPr>
        <w:t xml:space="preserve">el 8 de diciembre de 2021 </w:t>
      </w:r>
      <w:r w:rsidR="00746D95" w:rsidRPr="00775016">
        <w:rPr>
          <w:lang w:val="es-ES_tradnl"/>
        </w:rPr>
        <w:t>(véase el párrafo 14 del documento LI/WG/DEV-SYS/3/4</w:t>
      </w:r>
      <w:r w:rsidR="00746D95">
        <w:rPr>
          <w:lang w:val="es-ES_tradnl"/>
        </w:rPr>
        <w:t xml:space="preserve">, disponible en la dirección siguiente: </w:t>
      </w:r>
      <w:hyperlink r:id="rId10" w:history="1">
        <w:r w:rsidR="003C6E05" w:rsidRPr="003C6E05">
          <w:rPr>
            <w:rStyle w:val="Hyperlink"/>
            <w:color w:val="auto"/>
            <w:u w:val="none"/>
            <w:lang w:val="es-ES_tradnl"/>
          </w:rPr>
          <w:t>https://www.wipo.int/meetings/en/doc_details.jsp?doc_id=522136</w:t>
        </w:r>
      </w:hyperlink>
      <w:r w:rsidR="00746D95" w:rsidRPr="003C6E05">
        <w:rPr>
          <w:lang w:val="es-ES_tradnl"/>
        </w:rPr>
        <w:t>)</w:t>
      </w:r>
      <w:r w:rsidR="003C6E05" w:rsidRPr="003C6E05">
        <w:rPr>
          <w:lang w:val="es-ES_tradnl"/>
        </w:rPr>
        <w:t>.</w:t>
      </w:r>
    </w:p>
    <w:p w:rsidR="00232A88" w:rsidRPr="003C6E05" w:rsidRDefault="00232A88" w:rsidP="00971C1D">
      <w:pPr>
        <w:pStyle w:val="ONUMFS"/>
        <w:spacing w:after="480"/>
        <w:rPr>
          <w:lang w:val="es-ES_tradnl"/>
        </w:rPr>
      </w:pPr>
      <w:r w:rsidRPr="00775016">
        <w:rPr>
          <w:lang w:val="es-ES_tradnl"/>
        </w:rPr>
        <w:t xml:space="preserve">La información retrospectiva detallada sobre la modificación mencionada más arriba puede consultarse en </w:t>
      </w:r>
      <w:r w:rsidR="00FD5E49">
        <w:rPr>
          <w:lang w:val="es-ES_tradnl"/>
        </w:rPr>
        <w:t xml:space="preserve">el </w:t>
      </w:r>
      <w:r w:rsidRPr="00775016">
        <w:rPr>
          <w:lang w:val="es-ES_tradnl"/>
        </w:rPr>
        <w:t>document</w:t>
      </w:r>
      <w:r w:rsidR="00FD5E49">
        <w:rPr>
          <w:lang w:val="es-ES_tradnl"/>
        </w:rPr>
        <w:t>o</w:t>
      </w:r>
      <w:r w:rsidRPr="00775016">
        <w:rPr>
          <w:lang w:val="es-ES_tradnl"/>
        </w:rPr>
        <w:t xml:space="preserve"> LI/A/38/2, disponible en la dirección siguiente: </w:t>
      </w:r>
      <w:hyperlink r:id="rId11" w:history="1">
        <w:r w:rsidR="003C6E05" w:rsidRPr="003C6E05">
          <w:rPr>
            <w:rStyle w:val="Hyperlink"/>
            <w:color w:val="auto"/>
            <w:u w:val="none"/>
            <w:lang w:val="es-ES_tradnl"/>
          </w:rPr>
          <w:t>https://www.wipo.int/meetings/es/doc_details.jsp?doc_id=544231</w:t>
        </w:r>
      </w:hyperlink>
      <w:r w:rsidR="003C6E05" w:rsidRPr="003C6E05">
        <w:rPr>
          <w:lang w:val="es-ES_tradnl"/>
        </w:rPr>
        <w:t xml:space="preserve">. </w:t>
      </w:r>
    </w:p>
    <w:p w:rsidR="00232A88" w:rsidRPr="00775016" w:rsidRDefault="006B5E63" w:rsidP="00232A88">
      <w:pPr>
        <w:pStyle w:val="ONUMFS"/>
        <w:numPr>
          <w:ilvl w:val="0"/>
          <w:numId w:val="0"/>
        </w:numPr>
        <w:ind w:left="5580"/>
        <w:rPr>
          <w:lang w:val="es-ES_tradnl"/>
        </w:rPr>
      </w:pPr>
      <w:r>
        <w:rPr>
          <w:lang w:val="es-ES_tradnl"/>
        </w:rPr>
        <w:t>3</w:t>
      </w:r>
      <w:r w:rsidR="00232A88" w:rsidRPr="00775016">
        <w:rPr>
          <w:lang w:val="es-ES_tradnl"/>
        </w:rPr>
        <w:t xml:space="preserve"> de diciembre de 2021</w:t>
      </w:r>
    </w:p>
    <w:p w:rsidR="00232A88" w:rsidRPr="00775016" w:rsidRDefault="00232A88" w:rsidP="00232A88">
      <w:pPr>
        <w:pStyle w:val="ONUMFS"/>
        <w:numPr>
          <w:ilvl w:val="0"/>
          <w:numId w:val="0"/>
        </w:numPr>
        <w:rPr>
          <w:lang w:val="es-ES_tradnl"/>
        </w:rPr>
      </w:pPr>
    </w:p>
    <w:p w:rsidR="007505CC" w:rsidRPr="00775016" w:rsidRDefault="007505CC" w:rsidP="00C4673A">
      <w:pPr>
        <w:ind w:left="5534"/>
        <w:rPr>
          <w:lang w:val="es-ES_tradnl"/>
        </w:rPr>
        <w:sectPr w:rsidR="007505CC" w:rsidRPr="00775016" w:rsidSect="00A265A6">
          <w:headerReference w:type="default" r:id="rId12"/>
          <w:endnotePr>
            <w:numFmt w:val="decimal"/>
          </w:endnotePr>
          <w:pgSz w:w="11907" w:h="16840" w:code="9"/>
          <w:pgMar w:top="567" w:right="1134" w:bottom="1418" w:left="1418" w:header="510" w:footer="1021" w:gutter="0"/>
          <w:cols w:space="720"/>
          <w:titlePg/>
          <w:docGrid w:linePitch="299"/>
        </w:sectPr>
      </w:pPr>
    </w:p>
    <w:p w:rsidR="007505CC" w:rsidRPr="00775016" w:rsidRDefault="001C2BC8" w:rsidP="001C2BC8">
      <w:pPr>
        <w:jc w:val="center"/>
        <w:rPr>
          <w:rFonts w:eastAsia="MS Mincho"/>
          <w:b/>
          <w:bCs/>
          <w:szCs w:val="22"/>
          <w:lang w:val="es-ES_tradnl" w:eastAsia="en-US"/>
        </w:rPr>
      </w:pPr>
      <w:r w:rsidRPr="00775016">
        <w:rPr>
          <w:rFonts w:eastAsia="MS Mincho"/>
          <w:b/>
          <w:bCs/>
          <w:szCs w:val="22"/>
          <w:lang w:val="es-ES_tradnl" w:eastAsia="en-US"/>
        </w:rPr>
        <w:lastRenderedPageBreak/>
        <w:t>Reglamento Común</w:t>
      </w:r>
    </w:p>
    <w:p w:rsidR="007505CC" w:rsidRPr="00775016" w:rsidRDefault="001C2BC8" w:rsidP="001C2BC8">
      <w:pPr>
        <w:autoSpaceDE w:val="0"/>
        <w:autoSpaceDN w:val="0"/>
        <w:adjustRightInd w:val="0"/>
        <w:jc w:val="center"/>
        <w:rPr>
          <w:rFonts w:eastAsia="MS Mincho"/>
          <w:b/>
          <w:bCs/>
          <w:szCs w:val="22"/>
          <w:lang w:val="es-ES_tradnl" w:eastAsia="en-US"/>
        </w:rPr>
      </w:pPr>
      <w:r w:rsidRPr="00775016">
        <w:rPr>
          <w:rFonts w:eastAsia="MS Mincho"/>
          <w:b/>
          <w:bCs/>
          <w:szCs w:val="22"/>
          <w:lang w:val="es-ES_tradnl" w:eastAsia="en-US"/>
        </w:rPr>
        <w:t>del Arreglo de Lisboa relativo a la Protección de las Denominaciones de Origen y su Registro Internacional y del Acta de Ginebra del Arreglo de Lisboa relativo a las Denominaciones de Origen y las Indicaciones Geográficas</w:t>
      </w:r>
    </w:p>
    <w:p w:rsidR="007505CC" w:rsidRPr="00775016" w:rsidRDefault="007505CC" w:rsidP="007505CC">
      <w:pPr>
        <w:spacing w:before="240"/>
        <w:jc w:val="center"/>
        <w:rPr>
          <w:rFonts w:eastAsia="MS Mincho"/>
          <w:szCs w:val="22"/>
          <w:lang w:val="es-ES_tradnl" w:eastAsia="en-US"/>
        </w:rPr>
      </w:pPr>
      <w:r w:rsidRPr="00775016">
        <w:rPr>
          <w:rFonts w:eastAsia="MS Mincho"/>
          <w:szCs w:val="22"/>
          <w:lang w:val="es-ES_tradnl" w:eastAsia="en-US"/>
        </w:rPr>
        <w:t>(</w:t>
      </w:r>
      <w:r w:rsidR="001C2BC8" w:rsidRPr="00775016">
        <w:rPr>
          <w:rFonts w:eastAsia="MS Mincho"/>
          <w:szCs w:val="22"/>
          <w:lang w:val="es-ES_tradnl" w:eastAsia="en-US"/>
        </w:rPr>
        <w:t xml:space="preserve">en vigor a partir del </w:t>
      </w:r>
      <w:r w:rsidRPr="00775016">
        <w:rPr>
          <w:color w:val="1F497D" w:themeColor="text2"/>
          <w:sz w:val="20"/>
          <w:szCs w:val="22"/>
          <w:lang w:val="es-ES_tradnl"/>
        </w:rPr>
        <w:t>[</w:t>
      </w:r>
      <w:r w:rsidR="001C2BC8" w:rsidRPr="00775016">
        <w:rPr>
          <w:color w:val="0070C0"/>
          <w:szCs w:val="22"/>
          <w:u w:val="single"/>
          <w:lang w:val="es-ES_tradnl"/>
        </w:rPr>
        <w:t xml:space="preserve">8 de diciembre de </w:t>
      </w:r>
      <w:r w:rsidRPr="00775016">
        <w:rPr>
          <w:color w:val="0070C0"/>
          <w:szCs w:val="22"/>
          <w:u w:val="single"/>
          <w:lang w:val="es-ES_tradnl"/>
        </w:rPr>
        <w:t>2021]</w:t>
      </w:r>
      <w:r w:rsidRPr="00775016">
        <w:rPr>
          <w:rFonts w:eastAsia="MS Mincho"/>
          <w:szCs w:val="22"/>
          <w:lang w:val="es-ES_tradnl" w:eastAsia="en-US"/>
        </w:rPr>
        <w:t>)</w:t>
      </w:r>
    </w:p>
    <w:p w:rsidR="007505CC" w:rsidRPr="00775016" w:rsidRDefault="007505CC" w:rsidP="007505CC">
      <w:pPr>
        <w:spacing w:before="240"/>
        <w:jc w:val="center"/>
        <w:rPr>
          <w:rFonts w:eastAsia="Times New Roman"/>
          <w:szCs w:val="22"/>
          <w:lang w:val="es-ES_tradnl" w:eastAsia="ja-JP"/>
        </w:rPr>
      </w:pPr>
      <w:r w:rsidRPr="00775016">
        <w:rPr>
          <w:rFonts w:eastAsia="Times New Roman"/>
          <w:szCs w:val="22"/>
          <w:lang w:val="es-ES_tradnl" w:eastAsia="ja-JP"/>
        </w:rPr>
        <w:t>[…]</w:t>
      </w:r>
    </w:p>
    <w:p w:rsidR="007505CC" w:rsidRPr="00775016" w:rsidRDefault="007505CC" w:rsidP="007505CC">
      <w:pPr>
        <w:spacing w:before="240"/>
        <w:jc w:val="center"/>
        <w:rPr>
          <w:rFonts w:eastAsia="MS Mincho"/>
          <w:b/>
          <w:bCs/>
          <w:szCs w:val="22"/>
          <w:lang w:val="es-ES_tradnl" w:eastAsia="en-US"/>
        </w:rPr>
      </w:pPr>
      <w:r w:rsidRPr="00775016">
        <w:rPr>
          <w:rFonts w:eastAsia="MS Mincho"/>
          <w:b/>
          <w:bCs/>
          <w:szCs w:val="22"/>
          <w:lang w:val="es-ES_tradnl" w:eastAsia="en-US"/>
        </w:rPr>
        <w:t>C</w:t>
      </w:r>
      <w:r w:rsidR="001C2BC8" w:rsidRPr="00775016">
        <w:rPr>
          <w:rFonts w:eastAsia="MS Mincho"/>
          <w:b/>
          <w:bCs/>
          <w:szCs w:val="22"/>
          <w:lang w:val="es-ES_tradnl" w:eastAsia="en-US"/>
        </w:rPr>
        <w:t xml:space="preserve">APÍTULO </w:t>
      </w:r>
      <w:r w:rsidRPr="00775016">
        <w:rPr>
          <w:rFonts w:eastAsia="MS Mincho"/>
          <w:b/>
          <w:bCs/>
          <w:szCs w:val="22"/>
          <w:lang w:val="es-ES_tradnl" w:eastAsia="en-US"/>
        </w:rPr>
        <w:t>I</w:t>
      </w:r>
    </w:p>
    <w:p w:rsidR="007505CC" w:rsidRPr="00775016" w:rsidRDefault="001C2BC8" w:rsidP="007505CC">
      <w:pPr>
        <w:jc w:val="center"/>
        <w:rPr>
          <w:rFonts w:eastAsia="MS Mincho"/>
          <w:b/>
          <w:bCs/>
          <w:szCs w:val="22"/>
          <w:lang w:val="es-ES_tradnl" w:eastAsia="en-US"/>
        </w:rPr>
      </w:pPr>
      <w:r w:rsidRPr="00775016">
        <w:rPr>
          <w:rFonts w:eastAsia="MS Mincho"/>
          <w:b/>
          <w:bCs/>
          <w:szCs w:val="22"/>
          <w:lang w:val="es-ES_tradnl" w:eastAsia="en-US"/>
        </w:rPr>
        <w:t xml:space="preserve">Disposiciones </w:t>
      </w:r>
      <w:r w:rsidR="007F19BD" w:rsidRPr="00775016">
        <w:rPr>
          <w:rFonts w:eastAsia="MS Mincho"/>
          <w:b/>
          <w:bCs/>
          <w:szCs w:val="22"/>
          <w:lang w:val="es-ES_tradnl" w:eastAsia="en-US"/>
        </w:rPr>
        <w:t>preliminares</w:t>
      </w:r>
      <w:r w:rsidRPr="00775016">
        <w:rPr>
          <w:rFonts w:eastAsia="MS Mincho"/>
          <w:b/>
          <w:bCs/>
          <w:szCs w:val="22"/>
          <w:lang w:val="es-ES_tradnl" w:eastAsia="en-US"/>
        </w:rPr>
        <w:t xml:space="preserve"> y generales</w:t>
      </w:r>
    </w:p>
    <w:p w:rsidR="007505CC" w:rsidRPr="00775016" w:rsidRDefault="007505CC" w:rsidP="007505CC">
      <w:pPr>
        <w:spacing w:before="240"/>
        <w:jc w:val="center"/>
        <w:rPr>
          <w:rFonts w:eastAsia="Times New Roman"/>
          <w:szCs w:val="22"/>
          <w:lang w:val="es-ES_tradnl" w:eastAsia="ja-JP"/>
        </w:rPr>
      </w:pPr>
      <w:r w:rsidRPr="00775016">
        <w:rPr>
          <w:rFonts w:eastAsia="Times New Roman"/>
          <w:szCs w:val="22"/>
          <w:lang w:val="es-ES_tradnl" w:eastAsia="ja-JP"/>
        </w:rPr>
        <w:t>[…]</w:t>
      </w:r>
    </w:p>
    <w:p w:rsidR="007505CC" w:rsidRPr="00775016" w:rsidRDefault="007505CC" w:rsidP="007505CC">
      <w:pPr>
        <w:spacing w:before="480" w:after="240"/>
        <w:jc w:val="center"/>
        <w:outlineLvl w:val="3"/>
        <w:rPr>
          <w:bCs/>
          <w:i/>
          <w:color w:val="0070C0"/>
          <w:szCs w:val="28"/>
          <w:u w:val="single"/>
          <w:lang w:val="es-ES_tradnl"/>
        </w:rPr>
      </w:pPr>
      <w:r w:rsidRPr="00775016">
        <w:rPr>
          <w:b/>
          <w:bCs/>
          <w:color w:val="0070C0"/>
          <w:szCs w:val="28"/>
          <w:u w:val="single"/>
          <w:lang w:val="es-ES_tradnl"/>
        </w:rPr>
        <w:t>R</w:t>
      </w:r>
      <w:r w:rsidR="001C2BC8" w:rsidRPr="00775016">
        <w:rPr>
          <w:b/>
          <w:bCs/>
          <w:color w:val="0070C0"/>
          <w:szCs w:val="28"/>
          <w:u w:val="single"/>
          <w:lang w:val="es-ES_tradnl"/>
        </w:rPr>
        <w:t>egla</w:t>
      </w:r>
      <w:r w:rsidRPr="00775016">
        <w:rPr>
          <w:b/>
          <w:bCs/>
          <w:color w:val="0070C0"/>
          <w:szCs w:val="28"/>
          <w:u w:val="single"/>
          <w:lang w:val="es-ES_tradnl"/>
        </w:rPr>
        <w:t xml:space="preserve"> 2</w:t>
      </w:r>
      <w:r w:rsidRPr="00775016">
        <w:rPr>
          <w:b/>
          <w:bCs/>
          <w:i/>
          <w:color w:val="0070C0"/>
          <w:szCs w:val="28"/>
          <w:u w:val="single"/>
          <w:lang w:val="es-ES_tradnl"/>
        </w:rPr>
        <w:t>bis</w:t>
      </w:r>
      <w:r w:rsidRPr="00775016">
        <w:rPr>
          <w:b/>
          <w:bCs/>
          <w:i/>
          <w:color w:val="0070C0"/>
          <w:szCs w:val="28"/>
          <w:u w:val="single"/>
          <w:lang w:val="es-ES_tradnl"/>
        </w:rPr>
        <w:br/>
      </w:r>
      <w:r w:rsidRPr="00775016">
        <w:rPr>
          <w:bCs/>
          <w:color w:val="0070C0"/>
          <w:szCs w:val="28"/>
          <w:u w:val="single"/>
          <w:lang w:val="es-ES_tradnl"/>
        </w:rPr>
        <w:t>Ex</w:t>
      </w:r>
      <w:r w:rsidR="001C2BC8" w:rsidRPr="00775016">
        <w:rPr>
          <w:bCs/>
          <w:color w:val="0070C0"/>
          <w:szCs w:val="28"/>
          <w:u w:val="single"/>
          <w:lang w:val="es-ES_tradnl"/>
        </w:rPr>
        <w:t>cusa de los retrasos en el cumplimiento de los plazos</w:t>
      </w:r>
    </w:p>
    <w:p w:rsidR="00693E17" w:rsidRPr="00775016" w:rsidRDefault="007505CC" w:rsidP="00693E17">
      <w:pPr>
        <w:spacing w:before="240" w:after="240"/>
        <w:outlineLvl w:val="3"/>
        <w:rPr>
          <w:color w:val="0070C0"/>
          <w:u w:val="single"/>
          <w:lang w:val="es-ES_tradnl"/>
        </w:rPr>
      </w:pPr>
      <w:r w:rsidRPr="00775016">
        <w:rPr>
          <w:color w:val="0070C0"/>
          <w:u w:val="single"/>
          <w:lang w:val="es-ES_tradnl"/>
        </w:rPr>
        <w:t>1)</w:t>
      </w:r>
      <w:r w:rsidRPr="00775016">
        <w:rPr>
          <w:color w:val="0070C0"/>
          <w:u w:val="single"/>
          <w:lang w:val="es-ES_tradnl"/>
        </w:rPr>
        <w:tab/>
      </w:r>
      <w:r w:rsidRPr="00775016">
        <w:rPr>
          <w:i/>
          <w:color w:val="0070C0"/>
          <w:u w:val="single"/>
          <w:lang w:val="es-ES_tradnl"/>
        </w:rPr>
        <w:t>[</w:t>
      </w:r>
      <w:r w:rsidR="00693E17" w:rsidRPr="00775016">
        <w:rPr>
          <w:i/>
          <w:color w:val="0070C0"/>
          <w:u w:val="single"/>
          <w:lang w:val="es-ES_tradnl"/>
        </w:rPr>
        <w:t>Excusa de los retrasos en el cumplimiento de los plazos por motivos de fuerza mayor</w:t>
      </w:r>
      <w:r w:rsidRPr="00775016">
        <w:rPr>
          <w:i/>
          <w:color w:val="0070C0"/>
          <w:u w:val="single"/>
          <w:lang w:val="es-ES_tradnl"/>
        </w:rPr>
        <w:t>]</w:t>
      </w:r>
      <w:r w:rsidR="00693E17" w:rsidRPr="00775016">
        <w:rPr>
          <w:color w:val="0070C0"/>
          <w:u w:val="single"/>
          <w:lang w:val="es-ES_tradnl"/>
        </w:rPr>
        <w:t xml:space="preserve"> El incumplimiento por parte de una Administración competente o, en el caso del Artículo 5.3) del Acta de Ginebra, de los beneficiarios o de una persona física o jurídica mencionada en el Artículo 5.2)ii) de esa Acta, respecto de un plazo establecido en el Reglamento para efectuar un trámite ante la Oficina Internacional, se excusará si la Administración competente o, en el caso del Artículo 5.3) del Acta de Ginebra, los beneficiarios o la persona física o jurídica mencionada en el Artículo 5.2)ii) de esa Acta, demuestran, de manera satisfactoria para la Oficina Internacional, que el incumplimiento fue debido a una situación de guerra, revolución, agitación social, huelga, desastre natural, irregularidades en los servicios postal, de distribución o de comunicación electrónica debidas a circunstancias ajenas al control de una Administración competente o, en el caso del Artículo 5.3) del Acta de Ginebra, de los beneficiarios o de una persona física o jurídica mencionada en el Artículo 5.2)ii) de esa Acta, u otro motivo de fuerza mayor.</w:t>
      </w:r>
    </w:p>
    <w:p w:rsidR="007505CC" w:rsidRPr="00775016" w:rsidRDefault="007505CC" w:rsidP="007505CC">
      <w:pPr>
        <w:spacing w:before="240"/>
        <w:rPr>
          <w:color w:val="0070C0"/>
          <w:szCs w:val="24"/>
          <w:u w:val="single"/>
          <w:lang w:val="es-ES_tradnl"/>
        </w:rPr>
      </w:pPr>
      <w:r w:rsidRPr="00775016">
        <w:rPr>
          <w:color w:val="0070C0"/>
          <w:u w:val="single"/>
          <w:lang w:val="es-ES_tradnl"/>
        </w:rPr>
        <w:t xml:space="preserve">2) </w:t>
      </w:r>
      <w:r w:rsidRPr="00775016">
        <w:rPr>
          <w:color w:val="0070C0"/>
          <w:u w:val="single"/>
          <w:lang w:val="es-ES_tradnl"/>
        </w:rPr>
        <w:tab/>
      </w:r>
      <w:r w:rsidRPr="00775016">
        <w:rPr>
          <w:i/>
          <w:color w:val="0070C0"/>
          <w:u w:val="single"/>
          <w:lang w:val="es-ES_tradnl"/>
        </w:rPr>
        <w:t>[</w:t>
      </w:r>
      <w:r w:rsidR="00693E17" w:rsidRPr="00775016">
        <w:rPr>
          <w:i/>
          <w:color w:val="0070C0"/>
          <w:u w:val="single"/>
          <w:lang w:val="es-ES_tradnl"/>
        </w:rPr>
        <w:t>Limitación de la justificación]</w:t>
      </w:r>
      <w:r w:rsidR="00693E17" w:rsidRPr="00775016">
        <w:rPr>
          <w:color w:val="0070C0"/>
          <w:u w:val="single"/>
          <w:lang w:val="es-ES_tradnl"/>
        </w:rPr>
        <w:t xml:space="preserve"> El incumplimiento de un plazo solo se excusará en virtud de la presente Regla si las pruebas mencionadas en el párrafo 1) son recibidas por la Oficina Internacional, y el trámite pertinente se efectúa ante ella, lo antes posible y, a más tardar, seis meses después del vencimiento del plazo en cuestión</w:t>
      </w:r>
      <w:r w:rsidR="007F19BD" w:rsidRPr="00775016">
        <w:rPr>
          <w:color w:val="0070C0"/>
          <w:u w:val="single"/>
          <w:lang w:val="es-ES_tradnl"/>
        </w:rPr>
        <w:t>.</w:t>
      </w:r>
    </w:p>
    <w:p w:rsidR="007505CC" w:rsidRPr="00775016" w:rsidRDefault="007505CC" w:rsidP="00971C1D">
      <w:pPr>
        <w:spacing w:before="240" w:after="600"/>
        <w:ind w:firstLine="567"/>
        <w:jc w:val="both"/>
        <w:rPr>
          <w:rFonts w:eastAsia="Times New Roman"/>
          <w:szCs w:val="22"/>
          <w:lang w:val="es-ES_tradnl" w:eastAsia="ja-JP"/>
        </w:rPr>
      </w:pPr>
      <w:r w:rsidRPr="00775016">
        <w:rPr>
          <w:rFonts w:eastAsia="Times New Roman"/>
          <w:szCs w:val="22"/>
          <w:lang w:val="es-ES_tradnl" w:eastAsia="ja-JP"/>
        </w:rPr>
        <w:t>[...]</w:t>
      </w:r>
    </w:p>
    <w:p w:rsidR="007505CC" w:rsidRPr="00A43A5C" w:rsidRDefault="007505CC" w:rsidP="00971C1D">
      <w:pPr>
        <w:pStyle w:val="Endofdocument-Annex"/>
        <w:rPr>
          <w:lang w:val="es-ES"/>
        </w:rPr>
      </w:pPr>
      <w:r w:rsidRPr="00A43A5C">
        <w:rPr>
          <w:lang w:val="es-ES"/>
        </w:rPr>
        <w:t>[</w:t>
      </w:r>
      <w:r w:rsidR="007F19BD" w:rsidRPr="00A43A5C">
        <w:rPr>
          <w:lang w:val="es-ES"/>
        </w:rPr>
        <w:t>Fin del Anexo</w:t>
      </w:r>
      <w:r w:rsidR="003D4DFF" w:rsidRPr="00A43A5C">
        <w:rPr>
          <w:lang w:val="es-ES"/>
        </w:rPr>
        <w:t xml:space="preserve"> y del documento</w:t>
      </w:r>
      <w:r w:rsidRPr="00A43A5C">
        <w:rPr>
          <w:lang w:val="es-ES"/>
        </w:rPr>
        <w:t>]</w:t>
      </w:r>
    </w:p>
    <w:sectPr w:rsidR="007505CC" w:rsidRPr="00A43A5C" w:rsidSect="00065D8B">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3F0" w:rsidRDefault="00B443F0">
      <w:r>
        <w:separator/>
      </w:r>
    </w:p>
  </w:endnote>
  <w:endnote w:type="continuationSeparator" w:id="0">
    <w:p w:rsidR="00B443F0" w:rsidRPr="009D30E6" w:rsidRDefault="00B443F0" w:rsidP="007E663E">
      <w:pPr>
        <w:rPr>
          <w:sz w:val="17"/>
          <w:szCs w:val="17"/>
        </w:rPr>
      </w:pPr>
      <w:r w:rsidRPr="009D30E6">
        <w:rPr>
          <w:sz w:val="17"/>
          <w:szCs w:val="17"/>
        </w:rPr>
        <w:separator/>
      </w:r>
    </w:p>
    <w:p w:rsidR="00B443F0" w:rsidRPr="007E663E" w:rsidRDefault="00B443F0" w:rsidP="007E663E">
      <w:pPr>
        <w:spacing w:after="60"/>
        <w:rPr>
          <w:sz w:val="17"/>
          <w:szCs w:val="17"/>
        </w:rPr>
      </w:pPr>
      <w:r>
        <w:rPr>
          <w:sz w:val="17"/>
        </w:rPr>
        <w:t>[Continuación de la nota de la página anterior]</w:t>
      </w:r>
    </w:p>
  </w:endnote>
  <w:endnote w:type="continuationNotice" w:id="1">
    <w:p w:rsidR="00B443F0" w:rsidRPr="007E663E" w:rsidRDefault="00B443F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3F0" w:rsidRDefault="00B443F0">
      <w:r>
        <w:separator/>
      </w:r>
    </w:p>
  </w:footnote>
  <w:footnote w:type="continuationSeparator" w:id="0">
    <w:p w:rsidR="00B443F0" w:rsidRPr="009D30E6" w:rsidRDefault="00B443F0" w:rsidP="007E663E">
      <w:pPr>
        <w:rPr>
          <w:sz w:val="17"/>
          <w:szCs w:val="17"/>
        </w:rPr>
      </w:pPr>
      <w:r w:rsidRPr="009D30E6">
        <w:rPr>
          <w:sz w:val="17"/>
          <w:szCs w:val="17"/>
        </w:rPr>
        <w:separator/>
      </w:r>
    </w:p>
    <w:p w:rsidR="00B443F0" w:rsidRPr="007E663E" w:rsidRDefault="00B443F0" w:rsidP="007E663E">
      <w:pPr>
        <w:spacing w:after="60"/>
        <w:rPr>
          <w:sz w:val="17"/>
          <w:szCs w:val="17"/>
        </w:rPr>
      </w:pPr>
      <w:r>
        <w:rPr>
          <w:sz w:val="17"/>
        </w:rPr>
        <w:t>[Continuación de la nota de la página anterior]</w:t>
      </w:r>
    </w:p>
  </w:footnote>
  <w:footnote w:type="continuationNotice" w:id="1">
    <w:p w:rsidR="00B443F0" w:rsidRPr="007E663E" w:rsidRDefault="00B443F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CC" w:rsidRDefault="007505CC" w:rsidP="00A265A6">
    <w:pPr>
      <w:jc w:val="right"/>
    </w:pPr>
    <w:r>
      <w:t>LI/A/38/2</w:t>
    </w:r>
  </w:p>
  <w:p w:rsidR="007505CC" w:rsidRPr="00BA0078" w:rsidRDefault="007505CC" w:rsidP="00A265A6">
    <w:pPr>
      <w:pStyle w:val="Header"/>
      <w:spacing w:after="480"/>
      <w:jc w:val="right"/>
    </w:pPr>
    <w:r>
      <w:t>p</w:t>
    </w:r>
    <w:r w:rsidR="00B4553E">
      <w:t>ágina</w:t>
    </w:r>
    <w: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065D8B" w:rsidP="00477D6B">
    <w:pPr>
      <w:jc w:val="right"/>
    </w:pPr>
    <w:bookmarkStart w:id="1" w:name="Code2"/>
    <w:bookmarkEnd w:id="1"/>
    <w:r>
      <w:t>LI/A/38/2</w:t>
    </w:r>
  </w:p>
  <w:p w:rsidR="00F84474" w:rsidRDefault="00F84474" w:rsidP="00477D6B">
    <w:pPr>
      <w:jc w:val="right"/>
    </w:pPr>
    <w:r>
      <w:t xml:space="preserve">página </w:t>
    </w:r>
    <w:r>
      <w:fldChar w:fldCharType="begin"/>
    </w:r>
    <w:r>
      <w:instrText xml:space="preserve"> PAGE  \* MERGEFORMAT </w:instrText>
    </w:r>
    <w:r>
      <w:fldChar w:fldCharType="separate"/>
    </w:r>
    <w:r w:rsidR="00011302">
      <w:rPr>
        <w:noProof/>
      </w:rPr>
      <w:t>3</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3F" w:rsidRDefault="00540C92" w:rsidP="00540C92">
    <w:pPr>
      <w:pStyle w:val="Header"/>
      <w:jc w:val="right"/>
    </w:pPr>
    <w:r>
      <w:t>Anexo</w:t>
    </w:r>
  </w:p>
  <w:p w:rsidR="00540C92" w:rsidRDefault="00540C92" w:rsidP="00540C92">
    <w:pPr>
      <w:pStyle w:val="Header"/>
      <w:jc w:val="right"/>
    </w:pPr>
  </w:p>
  <w:p w:rsidR="00232A88" w:rsidRPr="00232A88" w:rsidRDefault="00232A88" w:rsidP="00232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Lisbon|TextBase TMs\WorkspaceSTS\Brands, Designs &amp; DN\L Instruments|TextBase TMs\WorkspaceSTS\Ad-hoc\Auxiliar_Pool_STS|Team Server TMs\Spanish|TextBase TMs\WorkspaceSTS\Administration &amp; Finance\Current Budget|TextBase TMs\WorkspaceSTS\Administration &amp; Finance\FAB Main|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Trademarks|TextBase TMs\WorkspaceSTS\Brands, Designs &amp; DN\T Instruments|TextBase TMs\WorkspaceSTS\Brands, Designs &amp; DN\Hague|TextBase TMs\WorkspaceSTS\Brands, Designs &amp; DN\H Instruments|TextBase TMs\WorkspaceSTS\Copyright\Copyright|TextBase TMs\WorkspaceSTS\Copyright\C Instruments|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Brands, Designs &amp; DN\Arb_Med_Center"/>
    <w:docVar w:name="TextBaseURL" w:val="empty"/>
    <w:docVar w:name="UILng" w:val="en"/>
  </w:docVars>
  <w:rsids>
    <w:rsidRoot w:val="00065D8B"/>
    <w:rsid w:val="00011302"/>
    <w:rsid w:val="00034109"/>
    <w:rsid w:val="00065D8B"/>
    <w:rsid w:val="000E3BB3"/>
    <w:rsid w:val="000F5E56"/>
    <w:rsid w:val="001362EE"/>
    <w:rsid w:val="00145596"/>
    <w:rsid w:val="00152CEA"/>
    <w:rsid w:val="001832A6"/>
    <w:rsid w:val="001A47BF"/>
    <w:rsid w:val="001C2BC8"/>
    <w:rsid w:val="001C4DD3"/>
    <w:rsid w:val="00232A88"/>
    <w:rsid w:val="002634C4"/>
    <w:rsid w:val="002A075A"/>
    <w:rsid w:val="002F4E68"/>
    <w:rsid w:val="00306D37"/>
    <w:rsid w:val="00307787"/>
    <w:rsid w:val="00354647"/>
    <w:rsid w:val="00377273"/>
    <w:rsid w:val="003845C1"/>
    <w:rsid w:val="00387287"/>
    <w:rsid w:val="003C6E05"/>
    <w:rsid w:val="003D41D4"/>
    <w:rsid w:val="003D4DFF"/>
    <w:rsid w:val="003F6A5B"/>
    <w:rsid w:val="00423E3E"/>
    <w:rsid w:val="00427AF4"/>
    <w:rsid w:val="0045231F"/>
    <w:rsid w:val="004607C5"/>
    <w:rsid w:val="004647DA"/>
    <w:rsid w:val="00477D6B"/>
    <w:rsid w:val="004A5433"/>
    <w:rsid w:val="004A6C37"/>
    <w:rsid w:val="004B4DA9"/>
    <w:rsid w:val="004C544B"/>
    <w:rsid w:val="004D16C1"/>
    <w:rsid w:val="004F7418"/>
    <w:rsid w:val="00540C92"/>
    <w:rsid w:val="005441D9"/>
    <w:rsid w:val="0055013B"/>
    <w:rsid w:val="0056224D"/>
    <w:rsid w:val="00571B99"/>
    <w:rsid w:val="0058269D"/>
    <w:rsid w:val="00583E68"/>
    <w:rsid w:val="005D64EC"/>
    <w:rsid w:val="00605827"/>
    <w:rsid w:val="00675021"/>
    <w:rsid w:val="00693E17"/>
    <w:rsid w:val="006A06C6"/>
    <w:rsid w:val="006B5E63"/>
    <w:rsid w:val="006F63AC"/>
    <w:rsid w:val="00746D95"/>
    <w:rsid w:val="007505CC"/>
    <w:rsid w:val="00775016"/>
    <w:rsid w:val="007758C7"/>
    <w:rsid w:val="007A6F6C"/>
    <w:rsid w:val="007E63AC"/>
    <w:rsid w:val="007E663E"/>
    <w:rsid w:val="007F19BD"/>
    <w:rsid w:val="00815082"/>
    <w:rsid w:val="00816D00"/>
    <w:rsid w:val="00823F15"/>
    <w:rsid w:val="00843582"/>
    <w:rsid w:val="008B14EA"/>
    <w:rsid w:val="008B2CC1"/>
    <w:rsid w:val="0090731E"/>
    <w:rsid w:val="00966A22"/>
    <w:rsid w:val="00971C1D"/>
    <w:rsid w:val="00972F03"/>
    <w:rsid w:val="009A0C8B"/>
    <w:rsid w:val="009B6241"/>
    <w:rsid w:val="00A05327"/>
    <w:rsid w:val="00A152B5"/>
    <w:rsid w:val="00A16FC0"/>
    <w:rsid w:val="00A21276"/>
    <w:rsid w:val="00A265A6"/>
    <w:rsid w:val="00A32C9E"/>
    <w:rsid w:val="00A43A5C"/>
    <w:rsid w:val="00A66275"/>
    <w:rsid w:val="00A67914"/>
    <w:rsid w:val="00A7453D"/>
    <w:rsid w:val="00AA2088"/>
    <w:rsid w:val="00AB613D"/>
    <w:rsid w:val="00B1485E"/>
    <w:rsid w:val="00B443F0"/>
    <w:rsid w:val="00B4553E"/>
    <w:rsid w:val="00B65A0A"/>
    <w:rsid w:val="00B72D36"/>
    <w:rsid w:val="00BC4164"/>
    <w:rsid w:val="00BD2DCC"/>
    <w:rsid w:val="00BD4416"/>
    <w:rsid w:val="00BE1A8C"/>
    <w:rsid w:val="00C06472"/>
    <w:rsid w:val="00C10642"/>
    <w:rsid w:val="00C4673A"/>
    <w:rsid w:val="00C90559"/>
    <w:rsid w:val="00CA7B2B"/>
    <w:rsid w:val="00D1673A"/>
    <w:rsid w:val="00D36B79"/>
    <w:rsid w:val="00D40CF0"/>
    <w:rsid w:val="00D56C7C"/>
    <w:rsid w:val="00D64887"/>
    <w:rsid w:val="00D71B4D"/>
    <w:rsid w:val="00D90289"/>
    <w:rsid w:val="00D93D55"/>
    <w:rsid w:val="00DD001A"/>
    <w:rsid w:val="00E45C84"/>
    <w:rsid w:val="00E504E5"/>
    <w:rsid w:val="00E73ABF"/>
    <w:rsid w:val="00EB7A3E"/>
    <w:rsid w:val="00EC401A"/>
    <w:rsid w:val="00EF530A"/>
    <w:rsid w:val="00EF6622"/>
    <w:rsid w:val="00F55408"/>
    <w:rsid w:val="00F66152"/>
    <w:rsid w:val="00F80845"/>
    <w:rsid w:val="00F82A3F"/>
    <w:rsid w:val="00F84474"/>
    <w:rsid w:val="00FC532D"/>
    <w:rsid w:val="00FD5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A3965CF8-48A2-43EC-B38B-38065350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7505CC"/>
    <w:rPr>
      <w:rFonts w:ascii="Arial" w:eastAsia="SimSun" w:hAnsi="Arial" w:cs="Arial"/>
      <w:sz w:val="22"/>
      <w:lang w:val="es-ES" w:eastAsia="zh-CN"/>
    </w:rPr>
  </w:style>
  <w:style w:type="character" w:customStyle="1" w:styleId="HeaderChar">
    <w:name w:val="Header Char"/>
    <w:basedOn w:val="DefaultParagraphFont"/>
    <w:link w:val="Header"/>
    <w:uiPriority w:val="99"/>
    <w:rsid w:val="007505CC"/>
    <w:rPr>
      <w:rFonts w:ascii="Arial" w:eastAsia="SimSun" w:hAnsi="Arial" w:cs="Arial"/>
      <w:sz w:val="22"/>
      <w:lang w:val="es-ES" w:eastAsia="zh-CN"/>
    </w:rPr>
  </w:style>
  <w:style w:type="paragraph" w:styleId="BalloonText">
    <w:name w:val="Balloon Text"/>
    <w:basedOn w:val="Normal"/>
    <w:link w:val="BalloonTextChar"/>
    <w:semiHidden/>
    <w:unhideWhenUsed/>
    <w:rsid w:val="00011302"/>
    <w:rPr>
      <w:rFonts w:ascii="Segoe UI" w:hAnsi="Segoe UI" w:cs="Segoe UI"/>
      <w:sz w:val="18"/>
      <w:szCs w:val="18"/>
    </w:rPr>
  </w:style>
  <w:style w:type="character" w:customStyle="1" w:styleId="BalloonTextChar">
    <w:name w:val="Balloon Text Char"/>
    <w:basedOn w:val="DefaultParagraphFont"/>
    <w:link w:val="BalloonText"/>
    <w:semiHidden/>
    <w:rsid w:val="00011302"/>
    <w:rPr>
      <w:rFonts w:ascii="Segoe UI" w:eastAsia="SimSun" w:hAnsi="Segoe UI" w:cs="Segoe UI"/>
      <w:sz w:val="18"/>
      <w:szCs w:val="18"/>
      <w:lang w:val="es-ES" w:eastAsia="zh-CN"/>
    </w:rPr>
  </w:style>
  <w:style w:type="character" w:styleId="Hyperlink">
    <w:name w:val="Hyperlink"/>
    <w:basedOn w:val="DefaultParagraphFont"/>
    <w:unhideWhenUsed/>
    <w:rsid w:val="00FD5E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5442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meetings/en/doc_details.jsp?doc_id=522136" TargetMode="External"/><Relationship Id="rId4" Type="http://schemas.openxmlformats.org/officeDocument/2006/relationships/settings" Target="settings.xml"/><Relationship Id="rId9" Type="http://schemas.openxmlformats.org/officeDocument/2006/relationships/hyperlink" Target="https://www.wipo.int/edocs/mdocs/govbody/es/li_a_38/li_a_38_3_prov.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3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F0D9-81D0-44FE-81F7-DA7604A9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LI_A_38 (S)</Template>
  <TotalTime>26</TotalTime>
  <Pages>2</Pages>
  <Words>594</Words>
  <Characters>3253</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Lisbon Information Notice No. 5/2021</vt:lpstr>
    </vt:vector>
  </TitlesOfParts>
  <Company>WIPO</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5/2021</dc:title>
  <dc:subject/>
  <dc:creator>MATEOS CLERIGUÉ Roberto</dc:creator>
  <cp:keywords>FOR OFFICIAL USE ONLY</cp:keywords>
  <dc:description/>
  <cp:lastModifiedBy>PLA DIAZ Katia</cp:lastModifiedBy>
  <cp:revision>12</cp:revision>
  <cp:lastPrinted>2021-06-15T08:10:00Z</cp:lastPrinted>
  <dcterms:created xsi:type="dcterms:W3CDTF">2021-12-01T15:28:00Z</dcterms:created>
  <dcterms:modified xsi:type="dcterms:W3CDTF">2021-12-08T09:50:00Z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7fead035-539a-40b2-ad90-9625cabee8ed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