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9"/>
        <w:gridCol w:w="4841"/>
      </w:tblGrid>
      <w:tr w:rsidR="00575075" w:rsidRPr="00575075" w14:paraId="1DCD6BE6" w14:textId="77777777" w:rsidTr="005F48B3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D17F9" w14:textId="77777777" w:rsidR="00575075" w:rsidRPr="00575075" w:rsidRDefault="00575075" w:rsidP="00575075">
            <w:pPr>
              <w:jc w:val="right"/>
              <w:rPr>
                <w:b/>
                <w:sz w:val="40"/>
                <w:szCs w:val="40"/>
              </w:rPr>
            </w:pPr>
            <w:r w:rsidRPr="00575075">
              <w:rPr>
                <w:b/>
                <w:sz w:val="40"/>
                <w:szCs w:val="40"/>
              </w:rPr>
              <w:t>C</w:t>
            </w:r>
          </w:p>
        </w:tc>
      </w:tr>
      <w:tr w:rsidR="00575075" w:rsidRPr="00575075" w14:paraId="0AEA0180" w14:textId="77777777" w:rsidTr="005F48B3"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CB1121F" w14:textId="77777777" w:rsidR="00575075" w:rsidRPr="00575075" w:rsidRDefault="00575075" w:rsidP="00575075"/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1189C" w14:textId="77777777" w:rsidR="00575075" w:rsidRPr="00575075" w:rsidRDefault="00575075" w:rsidP="00575075">
            <w:r w:rsidRPr="00575075">
              <w:rPr>
                <w:noProof/>
              </w:rPr>
              <w:drawing>
                <wp:inline distT="0" distB="0" distL="0" distR="0" wp14:anchorId="3FFD01D0" wp14:editId="683B6852">
                  <wp:extent cx="869950" cy="1327150"/>
                  <wp:effectExtent l="0" t="0" r="6350" b="6350"/>
                  <wp:docPr id="2" name="图片 2" descr="New Logo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075" w:rsidRPr="00575075" w14:paraId="454E66DD" w14:textId="77777777" w:rsidTr="005F48B3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E484365" w14:textId="3B540546" w:rsidR="00575075" w:rsidRPr="00575075" w:rsidRDefault="00575075" w:rsidP="007D1D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75075">
              <w:rPr>
                <w:rFonts w:ascii="Arial Black" w:hAnsi="Arial Black"/>
                <w:caps/>
                <w:sz w:val="15"/>
              </w:rPr>
              <w:t>WIPO/</w:t>
            </w:r>
            <w:r w:rsidRPr="00575075">
              <w:rPr>
                <w:rFonts w:ascii="Arial Black" w:hAnsi="Arial Black" w:hint="eastAsia"/>
                <w:caps/>
                <w:sz w:val="15"/>
              </w:rPr>
              <w:t>IPTK</w:t>
            </w:r>
            <w:r w:rsidRPr="00575075">
              <w:rPr>
                <w:rFonts w:ascii="Arial Black" w:hAnsi="Arial Black"/>
                <w:caps/>
                <w:sz w:val="15"/>
              </w:rPr>
              <w:t>/GE/</w:t>
            </w:r>
            <w:r>
              <w:rPr>
                <w:rFonts w:ascii="Arial Black" w:hAnsi="Arial Black" w:hint="eastAsia"/>
                <w:caps/>
                <w:sz w:val="15"/>
              </w:rPr>
              <w:t>2/</w:t>
            </w:r>
            <w:r w:rsidRPr="00575075">
              <w:rPr>
                <w:rFonts w:ascii="Arial Black" w:hAnsi="Arial Black"/>
                <w:caps/>
                <w:sz w:val="15"/>
              </w:rPr>
              <w:t>1</w:t>
            </w:r>
            <w:r w:rsidRPr="00575075">
              <w:rPr>
                <w:rFonts w:ascii="Arial Black" w:hAnsi="Arial Black" w:hint="eastAsia"/>
                <w:caps/>
                <w:sz w:val="15"/>
              </w:rPr>
              <w:t>6</w:t>
            </w:r>
            <w:r w:rsidRPr="00575075">
              <w:rPr>
                <w:rFonts w:ascii="Arial Black" w:hAnsi="Arial Black"/>
                <w:caps/>
                <w:sz w:val="15"/>
              </w:rPr>
              <w:t>/</w:t>
            </w:r>
            <w:r w:rsidRPr="00575075">
              <w:rPr>
                <w:rFonts w:ascii="Arial Black" w:hAnsi="Arial Black" w:hint="eastAsia"/>
                <w:caps/>
                <w:sz w:val="15"/>
              </w:rPr>
              <w:t>INF/</w:t>
            </w:r>
            <w:bookmarkStart w:id="0" w:name="Code"/>
            <w:bookmarkEnd w:id="0"/>
            <w:r w:rsidR="007D1D1E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575075" w:rsidRPr="00575075" w14:paraId="316E4273" w14:textId="77777777" w:rsidTr="005F48B3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BCCF8B6" w14:textId="77777777" w:rsidR="00575075" w:rsidRPr="00575075" w:rsidRDefault="00575075" w:rsidP="00575075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原文：</w:t>
            </w:r>
            <w:bookmarkStart w:id="1" w:name="Original"/>
            <w:bookmarkEnd w:id="1"/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英文</w:t>
            </w:r>
          </w:p>
        </w:tc>
      </w:tr>
      <w:tr w:rsidR="00575075" w:rsidRPr="00575075" w14:paraId="5BFE25CD" w14:textId="77777777" w:rsidTr="005F48B3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6DF7F1A4" w14:textId="240CC208" w:rsidR="00575075" w:rsidRPr="00575075" w:rsidRDefault="00575075" w:rsidP="007D1D1E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Pr="00575075">
              <w:rPr>
                <w:rFonts w:ascii="Arial Black" w:hAnsi="Arial Black" w:hint="eastAsia"/>
                <w:b/>
                <w:caps/>
                <w:sz w:val="15"/>
              </w:rPr>
              <w:t>2016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>
              <w:rPr>
                <w:rFonts w:ascii="Arial Black" w:hAnsi="Arial Black" w:hint="eastAsia"/>
                <w:b/>
                <w:caps/>
                <w:sz w:val="15"/>
              </w:rPr>
              <w:t>1</w:t>
            </w:r>
            <w:r w:rsidR="007D1D1E">
              <w:rPr>
                <w:rFonts w:ascii="Arial Black" w:hAnsi="Arial Black" w:hint="eastAsia"/>
                <w:b/>
                <w:caps/>
                <w:sz w:val="15"/>
              </w:rPr>
              <w:t>1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>
              <w:rPr>
                <w:rFonts w:ascii="Arial Black" w:hAnsi="Arial Black" w:hint="eastAsia"/>
                <w:b/>
                <w:caps/>
                <w:sz w:val="15"/>
              </w:rPr>
              <w:t>1</w:t>
            </w:r>
            <w:r w:rsidR="007D1D1E">
              <w:rPr>
                <w:rFonts w:ascii="Arial Black" w:hAnsi="Arial Black" w:hint="eastAsia"/>
                <w:b/>
                <w:caps/>
                <w:sz w:val="15"/>
              </w:rPr>
              <w:t>1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3F8350D6" w:rsidR="00361597" w:rsidRPr="00575075" w:rsidRDefault="009F3D87" w:rsidP="004A2604">
      <w:pPr>
        <w:rPr>
          <w:rFonts w:ascii="SimHei" w:eastAsia="SimHei" w:hAnsi="SimHei"/>
          <w:sz w:val="28"/>
          <w:szCs w:val="28"/>
        </w:rPr>
      </w:pPr>
      <w:r w:rsidRPr="00575075">
        <w:rPr>
          <w:rFonts w:ascii="SimHei" w:eastAsia="SimHei" w:hAnsi="SimHei" w:hint="eastAsia"/>
          <w:sz w:val="28"/>
          <w:szCs w:val="28"/>
        </w:rPr>
        <w:t>知识产权与传统知识研讨会</w:t>
      </w:r>
    </w:p>
    <w:p w14:paraId="16714C2F" w14:textId="77777777" w:rsidR="00361597" w:rsidRPr="00295DDC" w:rsidRDefault="00361597" w:rsidP="004A2604"/>
    <w:p w14:paraId="138454EF" w14:textId="77777777" w:rsidR="00361597" w:rsidRDefault="00361597" w:rsidP="004A2604"/>
    <w:p w14:paraId="56BB0E98" w14:textId="31E80540" w:rsidR="00361597" w:rsidRPr="00575075" w:rsidRDefault="00F90679" w:rsidP="00575075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575075">
        <w:rPr>
          <w:rFonts w:ascii="SimSun" w:hAnsi="SimSun" w:hint="eastAsia"/>
          <w:sz w:val="21"/>
          <w:szCs w:val="24"/>
        </w:rPr>
        <w:t>世界知识产权组织</w:t>
      </w:r>
      <w:r w:rsidR="00B060B3" w:rsidRPr="00575075">
        <w:rPr>
          <w:rFonts w:ascii="SimSun" w:hAnsi="SimSun" w:hint="eastAsia"/>
          <w:sz w:val="21"/>
          <w:szCs w:val="24"/>
        </w:rPr>
        <w:t>（</w:t>
      </w:r>
      <w:r w:rsidRPr="00575075">
        <w:rPr>
          <w:rFonts w:ascii="SimSun" w:hAnsi="SimSun" w:hint="eastAsia"/>
          <w:sz w:val="21"/>
          <w:szCs w:val="24"/>
        </w:rPr>
        <w:t>WIPO</w:t>
      </w:r>
      <w:r w:rsidR="00B060B3" w:rsidRPr="00575075">
        <w:rPr>
          <w:rFonts w:ascii="SimSun" w:hAnsi="SimSun" w:hint="eastAsia"/>
          <w:sz w:val="21"/>
          <w:szCs w:val="24"/>
        </w:rPr>
        <w:t>）</w:t>
      </w:r>
      <w:r w:rsidRPr="00575075">
        <w:rPr>
          <w:rFonts w:ascii="SimSun" w:hAnsi="SimSun" w:hint="eastAsia"/>
          <w:sz w:val="21"/>
          <w:szCs w:val="24"/>
        </w:rPr>
        <w:t>主办</w:t>
      </w:r>
    </w:p>
    <w:p w14:paraId="11BD1C10" w14:textId="77777777" w:rsidR="0078155E" w:rsidRPr="009F3D87" w:rsidRDefault="0078155E" w:rsidP="004A2604"/>
    <w:p w14:paraId="655CA925" w14:textId="77777777" w:rsidR="00361597" w:rsidRDefault="00361597" w:rsidP="004A2604">
      <w:pPr>
        <w:rPr>
          <w:b/>
          <w:sz w:val="24"/>
          <w:szCs w:val="24"/>
        </w:rPr>
      </w:pPr>
    </w:p>
    <w:p w14:paraId="2ED1DE23" w14:textId="5B927C4C" w:rsidR="00361597" w:rsidRPr="00575075" w:rsidRDefault="00646E9D" w:rsidP="00575075">
      <w:pPr>
        <w:rPr>
          <w:rFonts w:ascii="KaiTi" w:eastAsia="KaiTi" w:hAnsi="KaiTi"/>
          <w:sz w:val="24"/>
          <w:szCs w:val="24"/>
        </w:rPr>
      </w:pPr>
      <w:r w:rsidRPr="00575075">
        <w:rPr>
          <w:rFonts w:ascii="KaiTi" w:eastAsia="KaiTi" w:hAnsi="KaiTi"/>
          <w:sz w:val="24"/>
          <w:szCs w:val="24"/>
        </w:rPr>
        <w:t>2016</w:t>
      </w:r>
      <w:r w:rsidR="009F3D87" w:rsidRPr="00575075">
        <w:rPr>
          <w:rFonts w:ascii="KaiTi" w:eastAsia="KaiTi" w:hAnsi="KaiTi" w:hint="eastAsia"/>
          <w:b/>
          <w:sz w:val="24"/>
          <w:szCs w:val="24"/>
        </w:rPr>
        <w:t>年</w:t>
      </w:r>
      <w:r w:rsidR="009F3D87" w:rsidRPr="00575075">
        <w:rPr>
          <w:rFonts w:ascii="KaiTi" w:eastAsia="KaiTi" w:hAnsi="KaiTi" w:hint="eastAsia"/>
          <w:sz w:val="24"/>
          <w:szCs w:val="24"/>
        </w:rPr>
        <w:t>11</w:t>
      </w:r>
      <w:r w:rsidR="009F3D87" w:rsidRPr="00575075">
        <w:rPr>
          <w:rFonts w:ascii="KaiTi" w:eastAsia="KaiTi" w:hAnsi="KaiTi" w:hint="eastAsia"/>
          <w:b/>
          <w:sz w:val="24"/>
          <w:szCs w:val="24"/>
        </w:rPr>
        <w:t>月</w:t>
      </w:r>
      <w:r w:rsidR="009F3D87" w:rsidRPr="00575075">
        <w:rPr>
          <w:rFonts w:ascii="KaiTi" w:eastAsia="KaiTi" w:hAnsi="KaiTi" w:hint="eastAsia"/>
          <w:sz w:val="24"/>
          <w:szCs w:val="24"/>
        </w:rPr>
        <w:t>24</w:t>
      </w:r>
      <w:r w:rsidR="009F3D87" w:rsidRPr="00575075">
        <w:rPr>
          <w:rFonts w:ascii="KaiTi" w:eastAsia="KaiTi" w:hAnsi="KaiTi" w:hint="eastAsia"/>
          <w:b/>
          <w:sz w:val="24"/>
          <w:szCs w:val="24"/>
        </w:rPr>
        <w:t>日和</w:t>
      </w:r>
      <w:r w:rsidR="009F3D87" w:rsidRPr="00575075">
        <w:rPr>
          <w:rFonts w:ascii="KaiTi" w:eastAsia="KaiTi" w:hAnsi="KaiTi" w:hint="eastAsia"/>
          <w:sz w:val="24"/>
          <w:szCs w:val="24"/>
        </w:rPr>
        <w:t>25</w:t>
      </w:r>
      <w:r w:rsidR="009F3D87" w:rsidRPr="00575075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4443BB8F" w14:textId="77777777" w:rsidR="00361597" w:rsidRDefault="00361597" w:rsidP="004A2604"/>
    <w:p w14:paraId="757F246E" w14:textId="77777777" w:rsidR="00361597" w:rsidRPr="008B2CC1" w:rsidRDefault="00361597" w:rsidP="004A2604"/>
    <w:p w14:paraId="29A574BE" w14:textId="77777777" w:rsidR="00361597" w:rsidRPr="008B2CC1" w:rsidRDefault="00361597" w:rsidP="004A2604"/>
    <w:p w14:paraId="4B7C5C56" w14:textId="77F19A44" w:rsidR="00361597" w:rsidRPr="00575075" w:rsidRDefault="007D1D1E" w:rsidP="004A2604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sz w:val="24"/>
        </w:rPr>
        <w:t>信息说明</w:t>
      </w:r>
    </w:p>
    <w:p w14:paraId="7CEF3BBC" w14:textId="77777777" w:rsidR="00361597" w:rsidRPr="008B2CC1" w:rsidRDefault="00361597" w:rsidP="004A2604"/>
    <w:p w14:paraId="00D39C1A" w14:textId="07AB3450" w:rsidR="00361597" w:rsidRPr="00575075" w:rsidRDefault="00361597" w:rsidP="004A2604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575075">
        <w:rPr>
          <w:rFonts w:ascii="KaiTi" w:eastAsia="KaiTi" w:hAnsi="KaiTi"/>
          <w:sz w:val="21"/>
          <w:szCs w:val="21"/>
        </w:rPr>
        <w:t>WIPO</w:t>
      </w:r>
      <w:r w:rsidR="00295DDC" w:rsidRPr="00575075">
        <w:rPr>
          <w:rFonts w:ascii="KaiTi" w:eastAsia="KaiTi" w:hAnsi="KaiTi" w:hint="eastAsia"/>
          <w:sz w:val="21"/>
          <w:szCs w:val="21"/>
        </w:rPr>
        <w:t>国际局编拟</w:t>
      </w:r>
    </w:p>
    <w:p w14:paraId="51184E36" w14:textId="77777777" w:rsidR="00361597" w:rsidRDefault="00361597" w:rsidP="004A2604"/>
    <w:p w14:paraId="2C7D535F" w14:textId="77777777" w:rsidR="00361597" w:rsidRDefault="00361597" w:rsidP="004A2604"/>
    <w:p w14:paraId="5EF43C13" w14:textId="77777777" w:rsidR="00361597" w:rsidRDefault="00361597" w:rsidP="004A2604"/>
    <w:p w14:paraId="5AB19990" w14:textId="77777777" w:rsidR="00361597" w:rsidRDefault="00361597" w:rsidP="004A2604"/>
    <w:p w14:paraId="6A5D2265" w14:textId="77777777" w:rsidR="00361597" w:rsidRDefault="00361597" w:rsidP="004A2604"/>
    <w:p w14:paraId="36CD43C0" w14:textId="6722564D" w:rsidR="00FD7D95" w:rsidRPr="00471EB6" w:rsidRDefault="00361597" w:rsidP="00471EB6">
      <w:r>
        <w:br w:type="page"/>
      </w:r>
    </w:p>
    <w:p w14:paraId="04958674" w14:textId="7B47A411" w:rsidR="003753D5" w:rsidRPr="003753D5" w:rsidRDefault="00E716FC" w:rsidP="00B032C8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bookmarkStart w:id="5" w:name="_GoBack"/>
      <w:bookmarkEnd w:id="5"/>
      <w:r>
        <w:rPr>
          <w:rFonts w:ascii="SimSun" w:hAnsi="SimSun"/>
          <w:sz w:val="21"/>
          <w:szCs w:val="22"/>
        </w:rPr>
        <w:lastRenderedPageBreak/>
        <w:t>“</w:t>
      </w:r>
      <w:r w:rsidRPr="003753D5">
        <w:rPr>
          <w:rFonts w:ascii="SimSun" w:hAnsi="SimSun" w:hint="eastAsia"/>
          <w:sz w:val="21"/>
          <w:szCs w:val="22"/>
        </w:rPr>
        <w:t>知识产权与传统知识研讨会</w:t>
      </w:r>
      <w:r>
        <w:rPr>
          <w:rFonts w:ascii="SimSun" w:hAnsi="SimSun"/>
          <w:sz w:val="21"/>
          <w:szCs w:val="22"/>
        </w:rPr>
        <w:t>”</w:t>
      </w:r>
      <w:r w:rsidRPr="003753D5">
        <w:rPr>
          <w:rFonts w:ascii="SimSun" w:hAnsi="SimSun" w:hint="eastAsia"/>
          <w:sz w:val="21"/>
          <w:szCs w:val="22"/>
        </w:rPr>
        <w:t>（“研讨会”）的总体目标</w:t>
      </w:r>
      <w:r>
        <w:rPr>
          <w:rFonts w:ascii="SimSun" w:hAnsi="SimSun" w:hint="eastAsia"/>
          <w:sz w:val="21"/>
          <w:szCs w:val="22"/>
        </w:rPr>
        <w:t>，</w:t>
      </w:r>
      <w:r w:rsidR="00BC42DC">
        <w:rPr>
          <w:rFonts w:ascii="SimSun" w:hAnsi="SimSun" w:hint="eastAsia"/>
          <w:sz w:val="21"/>
          <w:szCs w:val="22"/>
        </w:rPr>
        <w:t>正如知识产权与遗传资源、传统知识和民间文学艺术政府间委员会（</w:t>
      </w:r>
      <w:r w:rsidR="003753D5" w:rsidRPr="003753D5">
        <w:rPr>
          <w:rFonts w:ascii="SimSun" w:hAnsi="SimSun" w:hint="eastAsia"/>
          <w:sz w:val="21"/>
          <w:szCs w:val="22"/>
        </w:rPr>
        <w:t>IGC）的任务</w:t>
      </w:r>
      <w:r w:rsidR="00BC42DC">
        <w:rPr>
          <w:rFonts w:ascii="SimSun" w:hAnsi="SimSun" w:hint="eastAsia"/>
          <w:sz w:val="21"/>
          <w:szCs w:val="22"/>
        </w:rPr>
        <w:t>授权</w:t>
      </w:r>
      <w:r w:rsidR="003753D5" w:rsidRPr="003753D5">
        <w:rPr>
          <w:rFonts w:ascii="SimSun" w:hAnsi="SimSun" w:hint="eastAsia"/>
          <w:sz w:val="21"/>
          <w:szCs w:val="22"/>
        </w:rPr>
        <w:t>所述，是</w:t>
      </w:r>
      <w:r w:rsidR="00700BD2">
        <w:rPr>
          <w:rFonts w:ascii="SimSun" w:hAnsi="SimSun" w:hint="eastAsia"/>
          <w:sz w:val="21"/>
          <w:szCs w:val="22"/>
        </w:rPr>
        <w:t>就</w:t>
      </w:r>
      <w:r w:rsidR="003753D5" w:rsidRPr="003753D5">
        <w:rPr>
          <w:rFonts w:ascii="SimSun" w:hAnsi="SimSun" w:hint="eastAsia"/>
          <w:sz w:val="21"/>
          <w:szCs w:val="22"/>
        </w:rPr>
        <w:t>[</w:t>
      </w:r>
      <w:r w:rsidR="00BC42DC">
        <w:rPr>
          <w:rFonts w:ascii="SimSun" w:hAnsi="SimSun" w:hint="eastAsia"/>
          <w:sz w:val="21"/>
          <w:szCs w:val="22"/>
        </w:rPr>
        <w:t>知识产权</w:t>
      </w:r>
      <w:r w:rsidR="003753D5" w:rsidRPr="003753D5">
        <w:rPr>
          <w:rFonts w:ascii="SimSun" w:hAnsi="SimSun" w:hint="eastAsia"/>
          <w:sz w:val="21"/>
          <w:szCs w:val="22"/>
        </w:rPr>
        <w:t>和传统知识（</w:t>
      </w:r>
      <w:r w:rsidR="00BC42DC">
        <w:rPr>
          <w:rFonts w:ascii="SimSun" w:hAnsi="SimSun" w:hint="eastAsia"/>
          <w:sz w:val="21"/>
          <w:szCs w:val="22"/>
        </w:rPr>
        <w:t>TK</w:t>
      </w:r>
      <w:r w:rsidR="003753D5" w:rsidRPr="003753D5">
        <w:rPr>
          <w:rFonts w:ascii="SimSun" w:hAnsi="SimSun" w:hint="eastAsia"/>
          <w:sz w:val="21"/>
          <w:szCs w:val="22"/>
        </w:rPr>
        <w:t>）相关问题]</w:t>
      </w:r>
      <w:r w:rsidR="00700BD2">
        <w:rPr>
          <w:rFonts w:ascii="SimSun" w:hAnsi="SimSun" w:hint="eastAsia"/>
          <w:sz w:val="21"/>
          <w:szCs w:val="22"/>
        </w:rPr>
        <w:t>达成</w:t>
      </w:r>
      <w:r w:rsidR="002555E0">
        <w:rPr>
          <w:rFonts w:ascii="SimSun" w:hAnsi="SimSun" w:hint="eastAsia"/>
          <w:sz w:val="21"/>
          <w:szCs w:val="22"/>
        </w:rPr>
        <w:t>“</w:t>
      </w:r>
      <w:r w:rsidR="00BC42DC">
        <w:rPr>
          <w:rFonts w:ascii="SimSun" w:hAnsi="SimSun" w:hint="eastAsia"/>
          <w:sz w:val="21"/>
          <w:szCs w:val="22"/>
        </w:rPr>
        <w:t>区域</w:t>
      </w:r>
      <w:r w:rsidR="00700BD2">
        <w:rPr>
          <w:rFonts w:ascii="SimSun" w:hAnsi="SimSun" w:hint="eastAsia"/>
          <w:sz w:val="21"/>
          <w:szCs w:val="22"/>
        </w:rPr>
        <w:t>性</w:t>
      </w:r>
      <w:r w:rsidR="00BC42DC">
        <w:rPr>
          <w:rFonts w:ascii="SimSun" w:hAnsi="SimSun" w:hint="eastAsia"/>
          <w:sz w:val="21"/>
          <w:szCs w:val="22"/>
        </w:rPr>
        <w:t>和跨区域</w:t>
      </w:r>
      <w:r w:rsidR="00700BD2">
        <w:rPr>
          <w:rFonts w:ascii="SimSun" w:hAnsi="SimSun" w:hint="eastAsia"/>
          <w:sz w:val="21"/>
          <w:szCs w:val="22"/>
        </w:rPr>
        <w:t>性理解</w:t>
      </w:r>
      <w:r w:rsidR="003753D5" w:rsidRPr="003753D5">
        <w:rPr>
          <w:rFonts w:ascii="SimSun" w:hAnsi="SimSun" w:hint="eastAsia"/>
          <w:sz w:val="21"/>
          <w:szCs w:val="22"/>
        </w:rPr>
        <w:t>和共识”，</w:t>
      </w:r>
      <w:r w:rsidR="00BC42DC">
        <w:rPr>
          <w:rFonts w:ascii="SimSun" w:hAnsi="SimSun" w:hint="eastAsia"/>
          <w:sz w:val="21"/>
          <w:szCs w:val="22"/>
        </w:rPr>
        <w:t>“重点是未</w:t>
      </w:r>
      <w:r w:rsidR="002555E0">
        <w:rPr>
          <w:rFonts w:ascii="SimSun" w:hAnsi="SimSun" w:hint="eastAsia"/>
          <w:sz w:val="21"/>
          <w:szCs w:val="22"/>
        </w:rPr>
        <w:t>解决的</w:t>
      </w:r>
      <w:r w:rsidR="00BC42DC">
        <w:rPr>
          <w:rFonts w:ascii="SimSun" w:hAnsi="SimSun" w:hint="eastAsia"/>
          <w:sz w:val="21"/>
          <w:szCs w:val="22"/>
        </w:rPr>
        <w:t>问题”</w:t>
      </w:r>
      <w:r w:rsidR="003753D5" w:rsidRPr="003753D5">
        <w:rPr>
          <w:rFonts w:ascii="SimSun" w:hAnsi="SimSun" w:hint="eastAsia"/>
          <w:sz w:val="21"/>
          <w:szCs w:val="22"/>
        </w:rPr>
        <w:t>。</w:t>
      </w:r>
    </w:p>
    <w:p w14:paraId="4688DA93" w14:textId="141F9278" w:rsidR="008A0BB0" w:rsidRDefault="003753D5" w:rsidP="002C11A8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3753D5">
        <w:rPr>
          <w:rFonts w:ascii="SimSun" w:hAnsi="SimSun" w:hint="eastAsia"/>
          <w:sz w:val="21"/>
          <w:szCs w:val="22"/>
        </w:rPr>
        <w:t>在2016年9月19日至23日举行的第三十一届会议上，</w:t>
      </w:r>
      <w:r w:rsidR="00ED17A9">
        <w:rPr>
          <w:rFonts w:ascii="SimSun" w:hAnsi="SimSun" w:hint="eastAsia"/>
          <w:sz w:val="21"/>
          <w:szCs w:val="22"/>
        </w:rPr>
        <w:t>IGC</w:t>
      </w:r>
      <w:r w:rsidRPr="003753D5">
        <w:rPr>
          <w:rFonts w:ascii="SimSun" w:hAnsi="SimSun" w:hint="eastAsia"/>
          <w:sz w:val="21"/>
          <w:szCs w:val="22"/>
        </w:rPr>
        <w:t>决定向其第三十二届会议转</w:t>
      </w:r>
      <w:r w:rsidR="00ED17A9">
        <w:rPr>
          <w:rFonts w:ascii="SimSun" w:hAnsi="SimSun" w:hint="eastAsia"/>
          <w:sz w:val="21"/>
          <w:szCs w:val="22"/>
        </w:rPr>
        <w:t>送</w:t>
      </w:r>
      <w:r w:rsidR="002C11A8" w:rsidRPr="002C11A8">
        <w:rPr>
          <w:rFonts w:ascii="SimSun" w:hAnsi="SimSun" w:hint="eastAsia"/>
          <w:sz w:val="21"/>
          <w:szCs w:val="22"/>
        </w:rPr>
        <w:t>一份“下届会议需要处理/解决的待办/未决问题指示性清单”</w:t>
      </w:r>
      <w:r w:rsidR="00ED17A9" w:rsidRPr="00ED17A9">
        <w:rPr>
          <w:rStyle w:val="ac"/>
          <w:rFonts w:asciiTheme="minorEastAsia" w:eastAsiaTheme="minorEastAsia" w:hAnsiTheme="minorEastAsia"/>
          <w:sz w:val="21"/>
          <w:szCs w:val="21"/>
        </w:rPr>
        <w:footnoteReference w:id="2"/>
      </w:r>
      <w:r w:rsidR="002C11A8" w:rsidRPr="002C11A8">
        <w:rPr>
          <w:rFonts w:ascii="SimSun" w:hAnsi="SimSun" w:hint="eastAsia"/>
          <w:sz w:val="21"/>
          <w:szCs w:val="22"/>
        </w:rPr>
        <w:t>。</w:t>
      </w:r>
    </w:p>
    <w:p w14:paraId="71817DA0" w14:textId="77777777" w:rsidR="00263357" w:rsidRDefault="00B77132" w:rsidP="00263357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本信息说明就研讨会的每场圆桌会议和主旨发言提供背景信息。</w:t>
      </w:r>
    </w:p>
    <w:p w14:paraId="3A148723" w14:textId="0FBD5086" w:rsidR="00263357" w:rsidRPr="00DA5246" w:rsidRDefault="00263357" w:rsidP="00263357">
      <w:pPr>
        <w:pStyle w:val="aa"/>
        <w:spacing w:beforeLines="100" w:before="240" w:afterLines="50" w:after="120" w:line="340" w:lineRule="atLeast"/>
        <w:ind w:left="0"/>
        <w:contextualSpacing w:val="0"/>
        <w:jc w:val="both"/>
        <w:rPr>
          <w:rFonts w:ascii="SimHei" w:eastAsia="SimHei" w:hAnsi="SimHei"/>
          <w:sz w:val="21"/>
          <w:szCs w:val="22"/>
        </w:rPr>
      </w:pPr>
      <w:r w:rsidRPr="00DA5246">
        <w:rPr>
          <w:rFonts w:ascii="SimHei" w:eastAsia="SimHei" w:hAnsi="SimHei" w:hint="eastAsia"/>
          <w:bCs/>
          <w:sz w:val="21"/>
          <w:szCs w:val="22"/>
        </w:rPr>
        <w:t>圆桌会议1：与在国际层面识别“可保护传统知识”有关的</w:t>
      </w:r>
      <w:r w:rsidRPr="00DA5246">
        <w:rPr>
          <w:rFonts w:ascii="SimHei" w:eastAsia="SimHei" w:hAnsi="SimHei" w:hint="eastAsia"/>
          <w:sz w:val="21"/>
          <w:szCs w:val="22"/>
        </w:rPr>
        <w:t>区域、国家和社区经验</w:t>
      </w:r>
    </w:p>
    <w:p w14:paraId="7A3C5B57" w14:textId="066E1A17" w:rsidR="00B77132" w:rsidRDefault="00747869" w:rsidP="00054114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47869">
        <w:rPr>
          <w:rFonts w:ascii="SimSun" w:hAnsi="SimSun" w:hint="eastAsia"/>
          <w:sz w:val="21"/>
          <w:szCs w:val="22"/>
        </w:rPr>
        <w:t>预计本</w:t>
      </w:r>
      <w:r w:rsidR="00E716FC">
        <w:rPr>
          <w:rFonts w:ascii="SimSun" w:hAnsi="SimSun" w:hint="eastAsia"/>
          <w:sz w:val="21"/>
          <w:szCs w:val="22"/>
        </w:rPr>
        <w:t>场</w:t>
      </w:r>
      <w:r w:rsidRPr="00747869">
        <w:rPr>
          <w:rFonts w:ascii="SimSun" w:hAnsi="SimSun" w:hint="eastAsia"/>
          <w:sz w:val="21"/>
          <w:szCs w:val="22"/>
        </w:rPr>
        <w:t>圆桌会议将讨论</w:t>
      </w:r>
      <w:r w:rsidR="00056895">
        <w:rPr>
          <w:rFonts w:ascii="SimSun" w:hAnsi="SimSun" w:hint="eastAsia"/>
          <w:sz w:val="21"/>
          <w:szCs w:val="22"/>
        </w:rPr>
        <w:t>客体</w:t>
      </w:r>
      <w:r w:rsidRPr="00747869">
        <w:rPr>
          <w:rFonts w:ascii="SimSun" w:hAnsi="SimSun" w:hint="eastAsia"/>
          <w:sz w:val="21"/>
          <w:szCs w:val="22"/>
        </w:rPr>
        <w:t>（包括资格标准）的问题，并间接</w:t>
      </w:r>
      <w:r w:rsidR="00056895">
        <w:rPr>
          <w:rFonts w:ascii="SimSun" w:hAnsi="SimSun" w:hint="eastAsia"/>
          <w:sz w:val="21"/>
          <w:szCs w:val="22"/>
        </w:rPr>
        <w:t>讨论</w:t>
      </w:r>
      <w:r w:rsidRPr="00747869">
        <w:rPr>
          <w:rFonts w:ascii="SimSun" w:hAnsi="SimSun" w:hint="eastAsia"/>
          <w:sz w:val="21"/>
          <w:szCs w:val="22"/>
        </w:rPr>
        <w:t>受益人问题。这些问题与另一个</w:t>
      </w:r>
      <w:r w:rsidR="008471AD">
        <w:rPr>
          <w:rFonts w:ascii="SimSun" w:hAnsi="SimSun" w:hint="eastAsia"/>
          <w:sz w:val="21"/>
          <w:szCs w:val="22"/>
        </w:rPr>
        <w:t>待办</w:t>
      </w:r>
      <w:r w:rsidRPr="00747869">
        <w:rPr>
          <w:rFonts w:ascii="SimSun" w:hAnsi="SimSun" w:hint="eastAsia"/>
          <w:sz w:val="21"/>
          <w:szCs w:val="22"/>
        </w:rPr>
        <w:t>/未决问题有关，</w:t>
      </w:r>
      <w:r w:rsidR="008471AD">
        <w:rPr>
          <w:rFonts w:ascii="SimSun" w:hAnsi="SimSun" w:hint="eastAsia"/>
          <w:sz w:val="21"/>
          <w:szCs w:val="22"/>
        </w:rPr>
        <w:t>即若干</w:t>
      </w:r>
      <w:r w:rsidRPr="00747869">
        <w:rPr>
          <w:rFonts w:ascii="SimSun" w:hAnsi="SimSun" w:hint="eastAsia"/>
          <w:sz w:val="21"/>
          <w:szCs w:val="22"/>
        </w:rPr>
        <w:t>术语和概念的使用和含义，</w:t>
      </w:r>
      <w:r w:rsidR="008471AD">
        <w:rPr>
          <w:rFonts w:ascii="SimSun" w:hAnsi="SimSun" w:hint="eastAsia"/>
          <w:sz w:val="21"/>
          <w:szCs w:val="22"/>
        </w:rPr>
        <w:t>除其他外，</w:t>
      </w:r>
      <w:r w:rsidRPr="00747869">
        <w:rPr>
          <w:rFonts w:ascii="SimSun" w:hAnsi="SimSun" w:hint="eastAsia"/>
          <w:sz w:val="21"/>
          <w:szCs w:val="22"/>
        </w:rPr>
        <w:t>其中</w:t>
      </w:r>
      <w:r w:rsidR="008471AD">
        <w:rPr>
          <w:rFonts w:ascii="SimSun" w:hAnsi="SimSun" w:hint="eastAsia"/>
          <w:sz w:val="21"/>
          <w:szCs w:val="22"/>
        </w:rPr>
        <w:t>提及</w:t>
      </w:r>
      <w:r w:rsidRPr="00747869">
        <w:rPr>
          <w:rFonts w:ascii="SimSun" w:hAnsi="SimSun" w:hint="eastAsia"/>
          <w:sz w:val="21"/>
          <w:szCs w:val="22"/>
        </w:rPr>
        <w:t>“保护”和“受保护</w:t>
      </w:r>
      <w:r w:rsidR="008471AD">
        <w:rPr>
          <w:rFonts w:ascii="SimSun" w:hAnsi="SimSun" w:hint="eastAsia"/>
          <w:sz w:val="21"/>
          <w:szCs w:val="22"/>
        </w:rPr>
        <w:t>的</w:t>
      </w:r>
      <w:r w:rsidRPr="00747869">
        <w:rPr>
          <w:rFonts w:ascii="SimSun" w:hAnsi="SimSun" w:hint="eastAsia"/>
          <w:sz w:val="21"/>
          <w:szCs w:val="22"/>
        </w:rPr>
        <w:t>”</w:t>
      </w:r>
      <w:r w:rsidR="00E94BA7">
        <w:rPr>
          <w:rFonts w:ascii="SimSun" w:hAnsi="SimSun" w:hint="eastAsia"/>
          <w:sz w:val="21"/>
          <w:szCs w:val="22"/>
        </w:rPr>
        <w:t>传统知识。</w:t>
      </w:r>
    </w:p>
    <w:p w14:paraId="3A3A97E1" w14:textId="5A696A18" w:rsidR="00747869" w:rsidRDefault="005212AB" w:rsidP="00054114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预计</w:t>
      </w:r>
      <w:r w:rsidR="00E716FC">
        <w:rPr>
          <w:rFonts w:ascii="SimSun" w:hAnsi="SimSun" w:hint="eastAsia"/>
          <w:sz w:val="21"/>
          <w:szCs w:val="22"/>
        </w:rPr>
        <w:t>本场圆桌会议</w:t>
      </w:r>
      <w:r w:rsidR="00747869" w:rsidRPr="00747869">
        <w:rPr>
          <w:rFonts w:ascii="SimSun" w:hAnsi="SimSun" w:hint="eastAsia"/>
          <w:sz w:val="21"/>
          <w:szCs w:val="22"/>
        </w:rPr>
        <w:t>将提供</w:t>
      </w:r>
      <w:r>
        <w:rPr>
          <w:rFonts w:ascii="SimSun" w:hAnsi="SimSun" w:hint="eastAsia"/>
          <w:sz w:val="21"/>
          <w:szCs w:val="22"/>
        </w:rPr>
        <w:t>实例，</w:t>
      </w:r>
      <w:r w:rsidR="00747869" w:rsidRPr="00747869">
        <w:rPr>
          <w:rFonts w:ascii="SimSun" w:hAnsi="SimSun" w:hint="eastAsia"/>
          <w:sz w:val="21"/>
          <w:szCs w:val="22"/>
        </w:rPr>
        <w:t>说明在世界各地可以找到</w:t>
      </w:r>
      <w:r>
        <w:rPr>
          <w:rFonts w:ascii="SimSun" w:hAnsi="SimSun" w:hint="eastAsia"/>
          <w:sz w:val="21"/>
          <w:szCs w:val="22"/>
        </w:rPr>
        <w:t>的传统知识</w:t>
      </w:r>
      <w:r w:rsidR="00747869" w:rsidRPr="00747869">
        <w:rPr>
          <w:rFonts w:ascii="SimSun" w:hAnsi="SimSun" w:hint="eastAsia"/>
          <w:sz w:val="21"/>
          <w:szCs w:val="22"/>
        </w:rPr>
        <w:t>形式</w:t>
      </w:r>
      <w:r>
        <w:rPr>
          <w:rFonts w:ascii="SimSun" w:hAnsi="SimSun" w:hint="eastAsia"/>
          <w:sz w:val="21"/>
          <w:szCs w:val="22"/>
        </w:rPr>
        <w:t>的多样性（和</w:t>
      </w:r>
      <w:r w:rsidR="00747869" w:rsidRPr="00747869">
        <w:rPr>
          <w:rFonts w:ascii="SimSun" w:hAnsi="SimSun" w:hint="eastAsia"/>
          <w:sz w:val="21"/>
          <w:szCs w:val="22"/>
        </w:rPr>
        <w:t>全世界传统知识持有人的多样性），以及传统知识如何在实践中得到保护，</w:t>
      </w:r>
      <w:r>
        <w:rPr>
          <w:rFonts w:ascii="SimSun" w:hAnsi="SimSun" w:hint="eastAsia"/>
          <w:sz w:val="21"/>
          <w:szCs w:val="22"/>
        </w:rPr>
        <w:t>还将提取</w:t>
      </w:r>
      <w:r w:rsidR="00943689">
        <w:rPr>
          <w:rFonts w:ascii="SimSun" w:hAnsi="SimSun" w:hint="eastAsia"/>
          <w:sz w:val="21"/>
          <w:szCs w:val="22"/>
        </w:rPr>
        <w:t>可以反映在</w:t>
      </w:r>
      <w:r w:rsidR="00943689" w:rsidRPr="00747869">
        <w:rPr>
          <w:rFonts w:ascii="SimSun" w:hAnsi="SimSun" w:hint="eastAsia"/>
          <w:sz w:val="21"/>
          <w:szCs w:val="22"/>
        </w:rPr>
        <w:t>国际文书</w:t>
      </w:r>
      <w:r w:rsidR="00943689">
        <w:rPr>
          <w:rFonts w:ascii="SimSun" w:hAnsi="SimSun" w:hint="eastAsia"/>
          <w:sz w:val="21"/>
          <w:szCs w:val="22"/>
        </w:rPr>
        <w:t>对客体</w:t>
      </w:r>
      <w:r w:rsidR="00943689" w:rsidRPr="00747869">
        <w:rPr>
          <w:rFonts w:ascii="SimSun" w:hAnsi="SimSun" w:hint="eastAsia"/>
          <w:sz w:val="21"/>
          <w:szCs w:val="22"/>
        </w:rPr>
        <w:t>的定义</w:t>
      </w:r>
      <w:r w:rsidR="00943689">
        <w:rPr>
          <w:rFonts w:ascii="SimSun" w:hAnsi="SimSun" w:hint="eastAsia"/>
          <w:sz w:val="21"/>
          <w:szCs w:val="22"/>
        </w:rPr>
        <w:t>中的</w:t>
      </w:r>
      <w:r w:rsidR="00747869" w:rsidRPr="00747869">
        <w:rPr>
          <w:rFonts w:ascii="SimSun" w:hAnsi="SimSun" w:hint="eastAsia"/>
          <w:sz w:val="21"/>
          <w:szCs w:val="22"/>
        </w:rPr>
        <w:t>传统知识</w:t>
      </w:r>
      <w:r>
        <w:rPr>
          <w:rFonts w:ascii="SimSun" w:hAnsi="SimSun" w:hint="eastAsia"/>
          <w:sz w:val="21"/>
          <w:szCs w:val="22"/>
        </w:rPr>
        <w:t>根本</w:t>
      </w:r>
      <w:r w:rsidR="00747869" w:rsidRPr="00747869">
        <w:rPr>
          <w:rFonts w:ascii="SimSun" w:hAnsi="SimSun" w:hint="eastAsia"/>
          <w:sz w:val="21"/>
          <w:szCs w:val="22"/>
        </w:rPr>
        <w:t>特征。</w:t>
      </w:r>
    </w:p>
    <w:p w14:paraId="635535C3" w14:textId="647BDF0C" w:rsidR="00747869" w:rsidRPr="00DA5246" w:rsidRDefault="00747869" w:rsidP="00747869">
      <w:pPr>
        <w:pStyle w:val="aa"/>
        <w:spacing w:beforeLines="100" w:before="240" w:afterLines="50" w:after="120" w:line="340" w:lineRule="atLeast"/>
        <w:ind w:left="0"/>
        <w:contextualSpacing w:val="0"/>
        <w:jc w:val="both"/>
        <w:rPr>
          <w:rFonts w:ascii="SimHei" w:eastAsia="SimHei" w:hAnsi="SimHei"/>
          <w:bCs/>
          <w:sz w:val="21"/>
          <w:szCs w:val="22"/>
        </w:rPr>
      </w:pPr>
      <w:r w:rsidRPr="00DA5246">
        <w:rPr>
          <w:rFonts w:ascii="SimHei" w:eastAsia="SimHei" w:hAnsi="SimHei" w:hint="eastAsia"/>
          <w:bCs/>
          <w:sz w:val="21"/>
          <w:szCs w:val="22"/>
        </w:rPr>
        <w:t>圆桌会议2：对用“分层法”保护传统知识的看法和经验——保护范围及例外与限制</w:t>
      </w:r>
    </w:p>
    <w:p w14:paraId="7F28C2F8" w14:textId="4ADF37A6" w:rsidR="00747869" w:rsidRPr="002311D4" w:rsidRDefault="002311D4" w:rsidP="00054114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054114">
        <w:rPr>
          <w:rFonts w:ascii="SimSun" w:hAnsi="SimSun" w:hint="eastAsia"/>
          <w:sz w:val="21"/>
          <w:szCs w:val="22"/>
        </w:rPr>
        <w:t>预计</w:t>
      </w:r>
      <w:r w:rsidR="00E716FC">
        <w:rPr>
          <w:rFonts w:ascii="SimSun" w:hAnsi="SimSun" w:hint="eastAsia"/>
          <w:sz w:val="21"/>
          <w:szCs w:val="22"/>
        </w:rPr>
        <w:t>本场圆桌会议</w:t>
      </w:r>
      <w:r w:rsidRPr="00054114">
        <w:rPr>
          <w:rFonts w:ascii="SimSun" w:hAnsi="SimSun" w:hint="eastAsia"/>
          <w:sz w:val="21"/>
          <w:szCs w:val="22"/>
        </w:rPr>
        <w:t>将讨论保护范围和例外与限制的问题，</w:t>
      </w:r>
      <w:r w:rsidR="0003348B">
        <w:rPr>
          <w:rFonts w:ascii="SimSun" w:hAnsi="SimSun" w:hint="eastAsia"/>
          <w:sz w:val="21"/>
          <w:szCs w:val="22"/>
        </w:rPr>
        <w:t>侧重</w:t>
      </w:r>
      <w:r w:rsidRPr="00054114">
        <w:rPr>
          <w:rFonts w:ascii="SimSun" w:hAnsi="SimSun" w:hint="eastAsia"/>
          <w:sz w:val="21"/>
          <w:szCs w:val="22"/>
        </w:rPr>
        <w:t>点是“分层法”。这些问题还涉及另一个</w:t>
      </w:r>
      <w:r w:rsidR="0003348B">
        <w:rPr>
          <w:rFonts w:ascii="SimSun" w:hAnsi="SimSun" w:hint="eastAsia"/>
          <w:sz w:val="21"/>
          <w:szCs w:val="22"/>
        </w:rPr>
        <w:t>待办</w:t>
      </w:r>
      <w:r w:rsidRPr="00054114">
        <w:rPr>
          <w:rFonts w:ascii="SimSun" w:hAnsi="SimSun" w:hint="eastAsia"/>
          <w:sz w:val="21"/>
          <w:szCs w:val="22"/>
        </w:rPr>
        <w:t>/未决问题，即“公有领域”的概念。</w:t>
      </w:r>
    </w:p>
    <w:p w14:paraId="646C7ECF" w14:textId="3003FFBA" w:rsidR="002311D4" w:rsidRPr="002311D4" w:rsidRDefault="002311D4" w:rsidP="0003348B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054114">
        <w:rPr>
          <w:rFonts w:ascii="SimSun" w:hAnsi="SimSun" w:hint="eastAsia"/>
          <w:sz w:val="21"/>
          <w:szCs w:val="22"/>
        </w:rPr>
        <w:t>如IGC第</w:t>
      </w:r>
      <w:r w:rsidR="0003348B">
        <w:rPr>
          <w:rFonts w:ascii="SimSun" w:hAnsi="SimSun" w:hint="eastAsia"/>
          <w:sz w:val="21"/>
          <w:szCs w:val="22"/>
        </w:rPr>
        <w:t>三十二届会议</w:t>
      </w:r>
      <w:r w:rsidR="005F0F33" w:rsidRPr="005F0F33">
        <w:rPr>
          <w:rStyle w:val="ac"/>
          <w:rFonts w:ascii="SimSun" w:hAnsi="SimSun"/>
          <w:sz w:val="21"/>
          <w:szCs w:val="21"/>
        </w:rPr>
        <w:footnoteReference w:id="3"/>
      </w:r>
      <w:r w:rsidRPr="00054114">
        <w:rPr>
          <w:rFonts w:ascii="SimSun" w:hAnsi="SimSun" w:hint="eastAsia"/>
          <w:sz w:val="21"/>
          <w:szCs w:val="22"/>
        </w:rPr>
        <w:t>主席的信息说明</w:t>
      </w:r>
      <w:r w:rsidR="0003348B">
        <w:rPr>
          <w:rFonts w:ascii="SimSun" w:hAnsi="SimSun" w:hint="eastAsia"/>
          <w:sz w:val="21"/>
          <w:szCs w:val="22"/>
        </w:rPr>
        <w:t>中</w:t>
      </w:r>
      <w:r w:rsidRPr="00054114">
        <w:rPr>
          <w:rFonts w:ascii="SimSun" w:hAnsi="SimSun" w:hint="eastAsia"/>
          <w:sz w:val="21"/>
          <w:szCs w:val="22"/>
        </w:rPr>
        <w:t>所述，“分层法”</w:t>
      </w:r>
      <w:r w:rsidR="0003348B">
        <w:rPr>
          <w:rFonts w:ascii="SimSun" w:hAnsi="SimSun" w:hint="eastAsia"/>
          <w:sz w:val="21"/>
          <w:szCs w:val="22"/>
        </w:rPr>
        <w:t>建议</w:t>
      </w:r>
      <w:r w:rsidR="00E716FC">
        <w:rPr>
          <w:rFonts w:ascii="SimSun" w:hAnsi="SimSun" w:hint="eastAsia"/>
          <w:sz w:val="21"/>
          <w:szCs w:val="22"/>
        </w:rPr>
        <w:t>针对各种传统知识，从</w:t>
      </w:r>
      <w:r w:rsidR="0003348B" w:rsidRPr="0003348B">
        <w:rPr>
          <w:rFonts w:ascii="SimSun" w:hAnsi="SimSun" w:hint="eastAsia"/>
          <w:sz w:val="21"/>
          <w:szCs w:val="22"/>
        </w:rPr>
        <w:t>已向一般大众公开的</w:t>
      </w:r>
      <w:r w:rsidR="00E716FC">
        <w:rPr>
          <w:rFonts w:ascii="SimSun" w:hAnsi="SimSun" w:hint="eastAsia"/>
          <w:sz w:val="21"/>
          <w:szCs w:val="22"/>
        </w:rPr>
        <w:t>传统知识</w:t>
      </w:r>
      <w:r w:rsidR="009C614A">
        <w:rPr>
          <w:rFonts w:ascii="SimSun" w:hAnsi="SimSun" w:hint="eastAsia"/>
          <w:sz w:val="21"/>
          <w:szCs w:val="22"/>
        </w:rPr>
        <w:t>，</w:t>
      </w:r>
      <w:r w:rsidR="00E716FC">
        <w:rPr>
          <w:rFonts w:ascii="SimSun" w:hAnsi="SimSun" w:hint="eastAsia"/>
          <w:sz w:val="21"/>
          <w:szCs w:val="22"/>
        </w:rPr>
        <w:t>到</w:t>
      </w:r>
      <w:r w:rsidR="0003348B" w:rsidRPr="0003348B">
        <w:rPr>
          <w:rFonts w:ascii="SimSun" w:hAnsi="SimSun" w:hint="eastAsia"/>
          <w:sz w:val="21"/>
          <w:szCs w:val="22"/>
        </w:rPr>
        <w:t>秘密的/不为社区外人员所知的、仅由受益人掌握的传统知识</w:t>
      </w:r>
      <w:r w:rsidR="00E716FC">
        <w:rPr>
          <w:rFonts w:ascii="SimSun" w:hAnsi="SimSun" w:hint="eastAsia"/>
          <w:sz w:val="21"/>
          <w:szCs w:val="22"/>
        </w:rPr>
        <w:t>，提供</w:t>
      </w:r>
      <w:r w:rsidR="0003348B" w:rsidRPr="0003348B">
        <w:rPr>
          <w:rFonts w:ascii="SimSun" w:hAnsi="SimSun" w:hint="eastAsia"/>
          <w:sz w:val="21"/>
          <w:szCs w:val="22"/>
        </w:rPr>
        <w:t>不同</w:t>
      </w:r>
      <w:r w:rsidR="00EB4A24">
        <w:rPr>
          <w:rFonts w:ascii="SimSun" w:hAnsi="SimSun" w:hint="eastAsia"/>
          <w:sz w:val="21"/>
          <w:szCs w:val="22"/>
        </w:rPr>
        <w:t>水平</w:t>
      </w:r>
      <w:r w:rsidR="0003348B" w:rsidRPr="0003348B">
        <w:rPr>
          <w:rFonts w:ascii="SimSun" w:hAnsi="SimSun" w:hint="eastAsia"/>
          <w:sz w:val="21"/>
          <w:szCs w:val="22"/>
        </w:rPr>
        <w:t>的保护</w:t>
      </w:r>
      <w:r w:rsidR="0003348B">
        <w:rPr>
          <w:rFonts w:ascii="SimSun" w:hAnsi="SimSun" w:hint="eastAsia"/>
          <w:sz w:val="21"/>
          <w:szCs w:val="22"/>
        </w:rPr>
        <w:t>。</w:t>
      </w:r>
    </w:p>
    <w:p w14:paraId="1FFA05B2" w14:textId="31EC3F56" w:rsidR="002311D4" w:rsidRPr="002311D4" w:rsidRDefault="00E716FC" w:rsidP="00054114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本场圆桌会议</w:t>
      </w:r>
      <w:r w:rsidR="002311D4" w:rsidRPr="00054114">
        <w:rPr>
          <w:rFonts w:ascii="SimSun" w:hAnsi="SimSun" w:hint="eastAsia"/>
          <w:sz w:val="21"/>
          <w:szCs w:val="22"/>
        </w:rPr>
        <w:t>还将讨论描述传统知识</w:t>
      </w:r>
      <w:r w:rsidR="00C74CE5">
        <w:rPr>
          <w:rFonts w:ascii="SimSun" w:hAnsi="SimSun" w:hint="eastAsia"/>
          <w:sz w:val="21"/>
          <w:szCs w:val="22"/>
        </w:rPr>
        <w:t>的传播</w:t>
      </w:r>
      <w:r w:rsidR="002311D4" w:rsidRPr="00054114">
        <w:rPr>
          <w:rFonts w:ascii="SimSun" w:hAnsi="SimSun" w:hint="eastAsia"/>
          <w:sz w:val="21"/>
          <w:szCs w:val="22"/>
        </w:rPr>
        <w:t>程度</w:t>
      </w:r>
      <w:r w:rsidR="00C74CE5">
        <w:rPr>
          <w:rFonts w:ascii="SimSun" w:hAnsi="SimSun" w:hint="eastAsia"/>
          <w:sz w:val="21"/>
          <w:szCs w:val="22"/>
        </w:rPr>
        <w:t>或与其相关</w:t>
      </w:r>
      <w:r w:rsidR="002311D4" w:rsidRPr="00054114">
        <w:rPr>
          <w:rFonts w:ascii="SimSun" w:hAnsi="SimSun" w:hint="eastAsia"/>
          <w:sz w:val="21"/>
          <w:szCs w:val="22"/>
        </w:rPr>
        <w:t>的术语，例如“公有领域”</w:t>
      </w:r>
      <w:r w:rsidR="00C74CE5">
        <w:rPr>
          <w:rFonts w:ascii="SimSun" w:hAnsi="SimSun" w:hint="eastAsia"/>
          <w:sz w:val="21"/>
          <w:szCs w:val="22"/>
        </w:rPr>
        <w:t>、</w:t>
      </w:r>
      <w:r w:rsidR="002311D4" w:rsidRPr="00054114">
        <w:rPr>
          <w:rFonts w:ascii="SimSun" w:hAnsi="SimSun" w:hint="eastAsia"/>
          <w:sz w:val="21"/>
          <w:szCs w:val="22"/>
        </w:rPr>
        <w:t>“公开可用”</w:t>
      </w:r>
      <w:r w:rsidR="00C74CE5">
        <w:rPr>
          <w:rFonts w:ascii="SimSun" w:hAnsi="SimSun" w:hint="eastAsia"/>
          <w:sz w:val="21"/>
          <w:szCs w:val="22"/>
        </w:rPr>
        <w:t>、“秘密”、“神圣”、“局部传播</w:t>
      </w:r>
      <w:r w:rsidR="002311D4" w:rsidRPr="00054114">
        <w:rPr>
          <w:rFonts w:ascii="SimSun" w:hAnsi="SimSun" w:hint="eastAsia"/>
          <w:sz w:val="21"/>
          <w:szCs w:val="22"/>
        </w:rPr>
        <w:t>”</w:t>
      </w:r>
      <w:r w:rsidR="00C74CE5">
        <w:rPr>
          <w:rFonts w:ascii="SimSun" w:hAnsi="SimSun" w:hint="eastAsia"/>
          <w:sz w:val="21"/>
          <w:szCs w:val="22"/>
        </w:rPr>
        <w:t>和“广泛传播</w:t>
      </w:r>
      <w:r w:rsidR="002311D4" w:rsidRPr="00054114">
        <w:rPr>
          <w:rFonts w:ascii="SimSun" w:hAnsi="SimSun" w:hint="eastAsia"/>
          <w:sz w:val="21"/>
          <w:szCs w:val="22"/>
        </w:rPr>
        <w:t>”。</w:t>
      </w:r>
    </w:p>
    <w:p w14:paraId="0385ED68" w14:textId="262C2800" w:rsidR="002311D4" w:rsidRPr="00DA5246" w:rsidRDefault="002311D4" w:rsidP="004A0423">
      <w:pPr>
        <w:pStyle w:val="aa"/>
        <w:spacing w:beforeLines="100" w:before="240" w:afterLines="50" w:after="120" w:line="340" w:lineRule="atLeast"/>
        <w:ind w:left="0"/>
        <w:contextualSpacing w:val="0"/>
        <w:jc w:val="both"/>
        <w:rPr>
          <w:rFonts w:ascii="SimHei" w:eastAsia="SimHei" w:hAnsi="SimHei"/>
          <w:bCs/>
          <w:sz w:val="21"/>
          <w:szCs w:val="22"/>
        </w:rPr>
      </w:pPr>
      <w:r w:rsidRPr="00DA5246">
        <w:rPr>
          <w:rFonts w:ascii="SimHei" w:eastAsia="SimHei" w:hAnsi="SimHei" w:hint="eastAsia"/>
          <w:bCs/>
          <w:sz w:val="21"/>
          <w:szCs w:val="22"/>
        </w:rPr>
        <w:t>主旨发言：为什么以及如何在国际上保护传统知识？</w:t>
      </w:r>
    </w:p>
    <w:p w14:paraId="6E8D431B" w14:textId="77777777" w:rsidR="004A0423" w:rsidRDefault="002311D4" w:rsidP="00054114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054114">
        <w:rPr>
          <w:rFonts w:ascii="SimSun" w:hAnsi="SimSun" w:hint="eastAsia"/>
          <w:sz w:val="21"/>
          <w:szCs w:val="22"/>
        </w:rPr>
        <w:t>预计主旨发言将：</w:t>
      </w:r>
    </w:p>
    <w:p w14:paraId="1C1826DD" w14:textId="69B031BD" w:rsidR="00A7188D" w:rsidRDefault="00D21ABF" w:rsidP="00C8720A">
      <w:pPr>
        <w:pStyle w:val="aa"/>
        <w:numPr>
          <w:ilvl w:val="0"/>
          <w:numId w:val="3"/>
        </w:numPr>
        <w:spacing w:afterLines="50" w:after="120" w:line="340" w:lineRule="atLeast"/>
        <w:ind w:left="437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促使</w:t>
      </w:r>
      <w:r w:rsidR="002311D4" w:rsidRPr="00054114">
        <w:rPr>
          <w:rFonts w:ascii="SimSun" w:hAnsi="SimSun" w:hint="eastAsia"/>
          <w:sz w:val="21"/>
          <w:szCs w:val="22"/>
        </w:rPr>
        <w:t>与会者</w:t>
      </w:r>
      <w:r>
        <w:rPr>
          <w:rFonts w:ascii="SimSun" w:hAnsi="SimSun" w:hint="eastAsia"/>
          <w:sz w:val="21"/>
          <w:szCs w:val="22"/>
        </w:rPr>
        <w:t>思考</w:t>
      </w:r>
      <w:r w:rsidR="002311D4" w:rsidRPr="00054114">
        <w:rPr>
          <w:rFonts w:ascii="SimSun" w:hAnsi="SimSun" w:hint="eastAsia"/>
          <w:sz w:val="21"/>
          <w:szCs w:val="22"/>
        </w:rPr>
        <w:t>在国际</w:t>
      </w:r>
      <w:r>
        <w:rPr>
          <w:rFonts w:ascii="SimSun" w:hAnsi="SimSun" w:hint="eastAsia"/>
          <w:sz w:val="21"/>
          <w:szCs w:val="22"/>
        </w:rPr>
        <w:t>层面</w:t>
      </w:r>
      <w:r w:rsidR="002311D4" w:rsidRPr="00054114">
        <w:rPr>
          <w:rFonts w:ascii="SimSun" w:hAnsi="SimSun" w:hint="eastAsia"/>
          <w:sz w:val="21"/>
          <w:szCs w:val="22"/>
        </w:rPr>
        <w:t>保护传统知识</w:t>
      </w:r>
      <w:r>
        <w:rPr>
          <w:rFonts w:ascii="SimSun" w:hAnsi="SimSun" w:hint="eastAsia"/>
          <w:sz w:val="21"/>
          <w:szCs w:val="22"/>
        </w:rPr>
        <w:t>是否重要，为什么重要，并思考</w:t>
      </w:r>
      <w:r w:rsidR="002311D4" w:rsidRPr="00054114">
        <w:rPr>
          <w:rFonts w:ascii="SimSun" w:hAnsi="SimSun" w:hint="eastAsia"/>
          <w:sz w:val="21"/>
          <w:szCs w:val="22"/>
        </w:rPr>
        <w:t>保护传统知识的国际文书可以</w:t>
      </w:r>
      <w:r w:rsidR="0001022A">
        <w:rPr>
          <w:rFonts w:ascii="SimSun" w:hAnsi="SimSun" w:hint="eastAsia"/>
          <w:sz w:val="21"/>
          <w:szCs w:val="22"/>
        </w:rPr>
        <w:t>努力实现</w:t>
      </w:r>
      <w:r w:rsidR="009C614A">
        <w:rPr>
          <w:rFonts w:ascii="SimSun" w:hAnsi="SimSun" w:hint="eastAsia"/>
          <w:sz w:val="21"/>
          <w:szCs w:val="22"/>
        </w:rPr>
        <w:t>哪些</w:t>
      </w:r>
      <w:r w:rsidR="002311D4" w:rsidRPr="00054114">
        <w:rPr>
          <w:rFonts w:ascii="SimSun" w:hAnsi="SimSun" w:hint="eastAsia"/>
          <w:sz w:val="21"/>
          <w:szCs w:val="22"/>
        </w:rPr>
        <w:t>目标</w:t>
      </w:r>
      <w:r w:rsidR="00A7188D">
        <w:rPr>
          <w:rFonts w:ascii="SimSun" w:hAnsi="SimSun" w:hint="eastAsia"/>
          <w:sz w:val="21"/>
          <w:szCs w:val="22"/>
        </w:rPr>
        <w:t>；</w:t>
      </w:r>
      <w:r w:rsidR="002311D4" w:rsidRPr="00054114">
        <w:rPr>
          <w:rFonts w:ascii="SimSun" w:hAnsi="SimSun" w:hint="eastAsia"/>
          <w:sz w:val="21"/>
          <w:szCs w:val="22"/>
        </w:rPr>
        <w:t>和</w:t>
      </w:r>
    </w:p>
    <w:p w14:paraId="07074991" w14:textId="6EE5E47E" w:rsidR="002311D4" w:rsidRPr="002311D4" w:rsidRDefault="002311D4" w:rsidP="00C8720A">
      <w:pPr>
        <w:pStyle w:val="aa"/>
        <w:numPr>
          <w:ilvl w:val="0"/>
          <w:numId w:val="3"/>
        </w:numPr>
        <w:spacing w:afterLines="50" w:after="120" w:line="340" w:lineRule="atLeast"/>
        <w:contextualSpacing w:val="0"/>
        <w:jc w:val="both"/>
        <w:rPr>
          <w:rFonts w:ascii="SimSun" w:hAnsi="SimSun"/>
          <w:sz w:val="21"/>
          <w:szCs w:val="22"/>
        </w:rPr>
      </w:pPr>
      <w:r w:rsidRPr="00054114">
        <w:rPr>
          <w:rFonts w:ascii="SimSun" w:hAnsi="SimSun" w:hint="eastAsia"/>
          <w:sz w:val="21"/>
          <w:szCs w:val="22"/>
        </w:rPr>
        <w:t>澄清在国际层面实现传统知识保护所需的主要</w:t>
      </w:r>
      <w:r w:rsidR="0001022A">
        <w:rPr>
          <w:rFonts w:ascii="SimSun" w:hAnsi="SimSun" w:hint="eastAsia"/>
          <w:sz w:val="21"/>
          <w:szCs w:val="22"/>
        </w:rPr>
        <w:t>条款</w:t>
      </w:r>
      <w:r w:rsidRPr="00054114">
        <w:rPr>
          <w:rFonts w:ascii="SimSun" w:hAnsi="SimSun" w:hint="eastAsia"/>
          <w:sz w:val="21"/>
          <w:szCs w:val="22"/>
        </w:rPr>
        <w:t>/措施，如国民待遇和互惠</w:t>
      </w:r>
      <w:r w:rsidR="004A5673">
        <w:rPr>
          <w:rFonts w:ascii="SimSun" w:hAnsi="SimSun" w:hint="eastAsia"/>
          <w:sz w:val="21"/>
          <w:szCs w:val="22"/>
        </w:rPr>
        <w:t>性</w:t>
      </w:r>
      <w:r w:rsidRPr="00054114">
        <w:rPr>
          <w:rFonts w:ascii="SimSun" w:hAnsi="SimSun" w:hint="eastAsia"/>
          <w:sz w:val="21"/>
          <w:szCs w:val="22"/>
        </w:rPr>
        <w:t>。</w:t>
      </w:r>
    </w:p>
    <w:p w14:paraId="600C3343" w14:textId="77777777" w:rsidR="002311D4" w:rsidRPr="00DA5246" w:rsidRDefault="002311D4" w:rsidP="002311D4">
      <w:pPr>
        <w:pStyle w:val="aa"/>
        <w:spacing w:beforeLines="100" w:before="240" w:afterLines="50" w:after="120" w:line="340" w:lineRule="atLeast"/>
        <w:ind w:left="0"/>
        <w:contextualSpacing w:val="0"/>
        <w:jc w:val="both"/>
        <w:rPr>
          <w:rFonts w:ascii="SimHei" w:eastAsia="SimHei" w:hAnsi="SimHei"/>
          <w:bCs/>
          <w:sz w:val="21"/>
          <w:szCs w:val="22"/>
        </w:rPr>
      </w:pPr>
      <w:r w:rsidRPr="00DA5246">
        <w:rPr>
          <w:rFonts w:ascii="SimHei" w:eastAsia="SimHei" w:hAnsi="SimHei" w:hint="eastAsia"/>
          <w:bCs/>
          <w:sz w:val="21"/>
          <w:szCs w:val="22"/>
        </w:rPr>
        <w:t>圆桌会议3：保护传统知识的补充措施和习惯法：实例和经验教训</w:t>
      </w:r>
    </w:p>
    <w:p w14:paraId="2FD6E75A" w14:textId="60253D94" w:rsidR="002311D4" w:rsidRPr="002311D4" w:rsidRDefault="002311D4" w:rsidP="009D611B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054114">
        <w:rPr>
          <w:rFonts w:ascii="SimSun" w:hAnsi="SimSun" w:hint="eastAsia"/>
          <w:sz w:val="21"/>
          <w:szCs w:val="22"/>
        </w:rPr>
        <w:t>预</w:t>
      </w:r>
      <w:r w:rsidR="009D611B">
        <w:rPr>
          <w:rFonts w:ascii="SimSun" w:hAnsi="SimSun" w:hint="eastAsia"/>
          <w:sz w:val="21"/>
          <w:szCs w:val="22"/>
        </w:rPr>
        <w:t>计</w:t>
      </w:r>
      <w:r w:rsidR="00E716FC">
        <w:rPr>
          <w:rFonts w:ascii="SimSun" w:hAnsi="SimSun" w:hint="eastAsia"/>
          <w:sz w:val="21"/>
          <w:szCs w:val="22"/>
        </w:rPr>
        <w:t>本场圆桌会议</w:t>
      </w:r>
      <w:r w:rsidRPr="00054114">
        <w:rPr>
          <w:rFonts w:ascii="SimSun" w:hAnsi="SimSun" w:hint="eastAsia"/>
          <w:sz w:val="21"/>
          <w:szCs w:val="22"/>
        </w:rPr>
        <w:t>将</w:t>
      </w:r>
      <w:r w:rsidR="009D611B">
        <w:rPr>
          <w:rFonts w:ascii="SimSun" w:hAnsi="SimSun" w:hint="eastAsia"/>
          <w:sz w:val="21"/>
          <w:szCs w:val="22"/>
        </w:rPr>
        <w:t>讨论</w:t>
      </w:r>
      <w:r w:rsidR="009D611B" w:rsidRPr="00054114">
        <w:rPr>
          <w:rFonts w:ascii="SimSun" w:hAnsi="SimSun" w:hint="eastAsia"/>
          <w:sz w:val="21"/>
          <w:szCs w:val="22"/>
        </w:rPr>
        <w:t>的未决问题</w:t>
      </w:r>
      <w:r w:rsidR="009D611B">
        <w:rPr>
          <w:rFonts w:ascii="SimSun" w:hAnsi="SimSun" w:hint="eastAsia"/>
          <w:sz w:val="21"/>
          <w:szCs w:val="22"/>
        </w:rPr>
        <w:t>是</w:t>
      </w:r>
      <w:r w:rsidRPr="00054114">
        <w:rPr>
          <w:rFonts w:ascii="SimSun" w:hAnsi="SimSun" w:hint="eastAsia"/>
          <w:sz w:val="21"/>
          <w:szCs w:val="22"/>
        </w:rPr>
        <w:t>“补充措施”的作用</w:t>
      </w:r>
      <w:r w:rsidR="009D611B">
        <w:rPr>
          <w:rFonts w:ascii="SimSun" w:hAnsi="SimSun" w:hint="eastAsia"/>
          <w:sz w:val="21"/>
          <w:szCs w:val="22"/>
        </w:rPr>
        <w:t>、</w:t>
      </w:r>
      <w:r w:rsidRPr="00054114">
        <w:rPr>
          <w:rFonts w:ascii="SimSun" w:hAnsi="SimSun" w:hint="eastAsia"/>
          <w:sz w:val="21"/>
          <w:szCs w:val="22"/>
        </w:rPr>
        <w:t>性质和设计，包括数据库</w:t>
      </w:r>
      <w:r w:rsidR="009D611B">
        <w:rPr>
          <w:rFonts w:ascii="SimSun" w:hAnsi="SimSun" w:hint="eastAsia"/>
          <w:sz w:val="21"/>
          <w:szCs w:val="22"/>
        </w:rPr>
        <w:t>、异议</w:t>
      </w:r>
      <w:r w:rsidRPr="00054114">
        <w:rPr>
          <w:rFonts w:ascii="SimSun" w:hAnsi="SimSun" w:hint="eastAsia"/>
          <w:sz w:val="21"/>
          <w:szCs w:val="22"/>
        </w:rPr>
        <w:t>措施</w:t>
      </w:r>
      <w:r w:rsidR="009D611B">
        <w:rPr>
          <w:rFonts w:ascii="SimSun" w:hAnsi="SimSun" w:hint="eastAsia"/>
          <w:sz w:val="21"/>
          <w:szCs w:val="22"/>
        </w:rPr>
        <w:t>、</w:t>
      </w:r>
      <w:r w:rsidRPr="00054114">
        <w:rPr>
          <w:rFonts w:ascii="SimSun" w:hAnsi="SimSun" w:hint="eastAsia"/>
          <w:sz w:val="21"/>
          <w:szCs w:val="22"/>
        </w:rPr>
        <w:t>自愿行为守则</w:t>
      </w:r>
      <w:r w:rsidR="009D611B">
        <w:rPr>
          <w:rFonts w:ascii="SimSun" w:hAnsi="SimSun" w:hint="eastAsia"/>
          <w:sz w:val="21"/>
          <w:szCs w:val="22"/>
        </w:rPr>
        <w:t>，</w:t>
      </w:r>
      <w:r w:rsidRPr="00054114">
        <w:rPr>
          <w:rFonts w:ascii="SimSun" w:hAnsi="SimSun" w:hint="eastAsia"/>
          <w:sz w:val="21"/>
          <w:szCs w:val="22"/>
        </w:rPr>
        <w:t>以及</w:t>
      </w:r>
      <w:r w:rsidR="009D611B" w:rsidRPr="009D611B">
        <w:rPr>
          <w:rFonts w:ascii="SimSun" w:hAnsi="SimSun" w:hint="eastAsia"/>
          <w:sz w:val="21"/>
          <w:szCs w:val="22"/>
        </w:rPr>
        <w:t>各专利局就有关传统知识的专利申请进行检索和审查</w:t>
      </w:r>
      <w:r w:rsidR="00FF27A2">
        <w:rPr>
          <w:rFonts w:ascii="SimSun" w:hAnsi="SimSun" w:hint="eastAsia"/>
          <w:sz w:val="21"/>
          <w:szCs w:val="22"/>
        </w:rPr>
        <w:t>的指导原则</w:t>
      </w:r>
      <w:r w:rsidRPr="00054114">
        <w:rPr>
          <w:rFonts w:ascii="SimSun" w:hAnsi="SimSun" w:hint="eastAsia"/>
          <w:sz w:val="21"/>
          <w:szCs w:val="22"/>
        </w:rPr>
        <w:t>。</w:t>
      </w:r>
    </w:p>
    <w:p w14:paraId="35646BC5" w14:textId="2CB107FE" w:rsidR="002311D4" w:rsidRPr="002311D4" w:rsidRDefault="00E716FC" w:rsidP="00054114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本场圆桌会议</w:t>
      </w:r>
      <w:r w:rsidR="002311D4" w:rsidRPr="00054114">
        <w:rPr>
          <w:rFonts w:ascii="SimSun" w:hAnsi="SimSun" w:hint="eastAsia"/>
          <w:sz w:val="21"/>
          <w:szCs w:val="22"/>
        </w:rPr>
        <w:t>将</w:t>
      </w:r>
      <w:r w:rsidR="0064035E">
        <w:rPr>
          <w:rFonts w:ascii="SimSun" w:hAnsi="SimSun" w:hint="eastAsia"/>
          <w:sz w:val="21"/>
          <w:szCs w:val="22"/>
        </w:rPr>
        <w:t>总体上</w:t>
      </w:r>
      <w:r w:rsidR="002311D4" w:rsidRPr="00054114">
        <w:rPr>
          <w:rFonts w:ascii="SimSun" w:hAnsi="SimSun" w:hint="eastAsia"/>
          <w:sz w:val="21"/>
          <w:szCs w:val="22"/>
        </w:rPr>
        <w:t>阐明“基于措施”的做法，</w:t>
      </w:r>
      <w:r w:rsidR="00630882">
        <w:rPr>
          <w:rFonts w:ascii="SimSun" w:hAnsi="SimSun" w:hint="eastAsia"/>
          <w:sz w:val="21"/>
          <w:szCs w:val="22"/>
        </w:rPr>
        <w:t>与</w:t>
      </w:r>
      <w:r w:rsidR="002311D4" w:rsidRPr="00054114">
        <w:rPr>
          <w:rFonts w:ascii="SimSun" w:hAnsi="SimSun" w:hint="eastAsia"/>
          <w:sz w:val="21"/>
          <w:szCs w:val="22"/>
        </w:rPr>
        <w:t>“基于权利”的做法</w:t>
      </w:r>
      <w:r w:rsidR="00630882">
        <w:rPr>
          <w:rFonts w:ascii="SimSun" w:hAnsi="SimSun" w:hint="eastAsia"/>
          <w:sz w:val="21"/>
          <w:szCs w:val="22"/>
        </w:rPr>
        <w:t>相对比</w:t>
      </w:r>
      <w:r w:rsidR="002311D4" w:rsidRPr="00054114">
        <w:rPr>
          <w:rFonts w:ascii="SimSun" w:hAnsi="SimSun" w:hint="eastAsia"/>
          <w:sz w:val="21"/>
          <w:szCs w:val="22"/>
        </w:rPr>
        <w:t>。</w:t>
      </w:r>
    </w:p>
    <w:p w14:paraId="6D0BB3A1" w14:textId="6B153EA2" w:rsidR="002311D4" w:rsidRPr="002311D4" w:rsidRDefault="002311D4" w:rsidP="00054114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054114">
        <w:rPr>
          <w:rFonts w:ascii="SimSun" w:hAnsi="SimSun" w:hint="eastAsia"/>
          <w:sz w:val="21"/>
          <w:szCs w:val="22"/>
        </w:rPr>
        <w:t>预计</w:t>
      </w:r>
      <w:r w:rsidR="00E716FC">
        <w:rPr>
          <w:rFonts w:ascii="SimSun" w:hAnsi="SimSun" w:hint="eastAsia"/>
          <w:sz w:val="21"/>
          <w:szCs w:val="22"/>
        </w:rPr>
        <w:t>本场圆桌会议</w:t>
      </w:r>
      <w:r w:rsidR="00EC1114">
        <w:rPr>
          <w:rFonts w:ascii="SimSun" w:hAnsi="SimSun" w:hint="eastAsia"/>
          <w:sz w:val="21"/>
          <w:szCs w:val="22"/>
        </w:rPr>
        <w:t>还</w:t>
      </w:r>
      <w:r w:rsidRPr="00054114">
        <w:rPr>
          <w:rFonts w:ascii="SimSun" w:hAnsi="SimSun" w:hint="eastAsia"/>
          <w:sz w:val="21"/>
          <w:szCs w:val="22"/>
        </w:rPr>
        <w:t>将讨论一个跨领域问题，即习惯法在保护传统知识方面可以发挥的作用。</w:t>
      </w:r>
    </w:p>
    <w:p w14:paraId="0B639E96" w14:textId="07C78789" w:rsidR="002311D4" w:rsidRPr="00DA5246" w:rsidRDefault="002311D4" w:rsidP="002311D4">
      <w:pPr>
        <w:pStyle w:val="aa"/>
        <w:spacing w:beforeLines="100" w:before="240" w:afterLines="50" w:after="120" w:line="340" w:lineRule="atLeast"/>
        <w:ind w:left="0"/>
        <w:contextualSpacing w:val="0"/>
        <w:jc w:val="both"/>
        <w:rPr>
          <w:rFonts w:ascii="SimHei" w:eastAsia="SimHei" w:hAnsi="SimHei"/>
          <w:bCs/>
          <w:sz w:val="21"/>
          <w:szCs w:val="22"/>
        </w:rPr>
      </w:pPr>
      <w:r w:rsidRPr="00DA5246">
        <w:rPr>
          <w:rFonts w:ascii="SimHei" w:eastAsia="SimHei" w:hAnsi="SimHei" w:hint="eastAsia"/>
          <w:bCs/>
          <w:sz w:val="21"/>
          <w:szCs w:val="22"/>
        </w:rPr>
        <w:lastRenderedPageBreak/>
        <w:t>圆桌会议4：对其他问题的看法和经验：制裁和救济、权利管理、保护期限、形式、过渡措施、与其他国际协定的关系、国民待遇和跨境合作</w:t>
      </w:r>
    </w:p>
    <w:p w14:paraId="58AF16E1" w14:textId="3E0BD062" w:rsidR="002311D4" w:rsidRPr="00B956A0" w:rsidRDefault="001065E0" w:rsidP="00572FC8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B956A0">
        <w:rPr>
          <w:rFonts w:ascii="SimSun" w:hAnsi="SimSun" w:hint="eastAsia"/>
          <w:sz w:val="21"/>
          <w:szCs w:val="22"/>
        </w:rPr>
        <w:t>IGC一直围绕着</w:t>
      </w:r>
      <w:r w:rsidR="002311D4" w:rsidRPr="00B956A0">
        <w:rPr>
          <w:rFonts w:ascii="SimSun" w:hAnsi="SimSun" w:hint="eastAsia"/>
          <w:sz w:val="21"/>
          <w:szCs w:val="22"/>
        </w:rPr>
        <w:t>所谓的关键条款</w:t>
      </w:r>
      <w:r w:rsidRPr="00B956A0">
        <w:rPr>
          <w:rFonts w:ascii="SimSun" w:hAnsi="SimSun" w:hint="eastAsia"/>
          <w:sz w:val="21"/>
          <w:szCs w:val="22"/>
        </w:rPr>
        <w:t>、</w:t>
      </w:r>
      <w:r w:rsidR="002311D4" w:rsidRPr="00B956A0">
        <w:rPr>
          <w:rFonts w:ascii="SimSun" w:hAnsi="SimSun" w:hint="eastAsia"/>
          <w:sz w:val="21"/>
          <w:szCs w:val="22"/>
        </w:rPr>
        <w:t>关键问题</w:t>
      </w:r>
      <w:r w:rsidRPr="00B956A0">
        <w:rPr>
          <w:rFonts w:ascii="SimSun" w:hAnsi="SimSun" w:hint="eastAsia"/>
          <w:sz w:val="21"/>
          <w:szCs w:val="22"/>
        </w:rPr>
        <w:t>以及</w:t>
      </w:r>
      <w:r w:rsidR="002311D4" w:rsidRPr="00B956A0">
        <w:rPr>
          <w:rFonts w:ascii="SimSun" w:hAnsi="SimSun" w:hint="eastAsia"/>
          <w:sz w:val="21"/>
          <w:szCs w:val="22"/>
        </w:rPr>
        <w:t>最近</w:t>
      </w:r>
      <w:r w:rsidRPr="00B956A0">
        <w:rPr>
          <w:rFonts w:ascii="SimSun" w:hAnsi="SimSun" w:hint="eastAsia"/>
          <w:sz w:val="21"/>
          <w:szCs w:val="22"/>
        </w:rPr>
        <w:t>所称</w:t>
      </w:r>
      <w:r w:rsidR="002311D4" w:rsidRPr="00B956A0">
        <w:rPr>
          <w:rFonts w:ascii="SimSun" w:hAnsi="SimSun" w:hint="eastAsia"/>
          <w:sz w:val="21"/>
          <w:szCs w:val="22"/>
        </w:rPr>
        <w:t>的核心问题（如</w:t>
      </w:r>
      <w:r w:rsidR="004D25AD" w:rsidRPr="00B956A0">
        <w:rPr>
          <w:rFonts w:ascii="SimSun" w:hAnsi="SimSun" w:hint="eastAsia"/>
          <w:sz w:val="21"/>
          <w:szCs w:val="22"/>
        </w:rPr>
        <w:t>IGC</w:t>
      </w:r>
      <w:r w:rsidR="002311D4" w:rsidRPr="00B956A0">
        <w:rPr>
          <w:rFonts w:ascii="SimSun" w:hAnsi="SimSun" w:hint="eastAsia"/>
          <w:sz w:val="21"/>
          <w:szCs w:val="22"/>
        </w:rPr>
        <w:t>目前的任务</w:t>
      </w:r>
      <w:r w:rsidRPr="00B956A0">
        <w:rPr>
          <w:rFonts w:ascii="SimSun" w:hAnsi="SimSun" w:hint="eastAsia"/>
          <w:sz w:val="21"/>
          <w:szCs w:val="22"/>
        </w:rPr>
        <w:t>授权</w:t>
      </w:r>
      <w:r w:rsidR="002311D4" w:rsidRPr="00B956A0">
        <w:rPr>
          <w:rFonts w:ascii="SimSun" w:hAnsi="SimSun" w:hint="eastAsia"/>
          <w:sz w:val="21"/>
          <w:szCs w:val="22"/>
        </w:rPr>
        <w:t>所</w:t>
      </w:r>
      <w:r w:rsidRPr="00B956A0">
        <w:rPr>
          <w:rFonts w:ascii="SimSun" w:hAnsi="SimSun" w:hint="eastAsia"/>
          <w:sz w:val="21"/>
          <w:szCs w:val="22"/>
        </w:rPr>
        <w:t>述</w:t>
      </w:r>
      <w:r w:rsidR="002311D4" w:rsidRPr="00B956A0">
        <w:rPr>
          <w:rFonts w:ascii="SimSun" w:hAnsi="SimSun" w:hint="eastAsia"/>
          <w:sz w:val="21"/>
          <w:szCs w:val="22"/>
        </w:rPr>
        <w:t>，包括“</w:t>
      </w:r>
      <w:r w:rsidR="00572FC8" w:rsidRPr="00572FC8">
        <w:rPr>
          <w:rFonts w:ascii="SimSun" w:hAnsi="SimSun" w:hint="eastAsia"/>
          <w:sz w:val="21"/>
          <w:szCs w:val="22"/>
        </w:rPr>
        <w:t>盗用、受益人、客体、目标的定义以及何种传统知识/传统文化表现形式客体有权在国际层面上得到保护，包括审议例外和限制及与公共领域的关系</w:t>
      </w:r>
      <w:r w:rsidRPr="00B956A0">
        <w:rPr>
          <w:rFonts w:ascii="SimSun" w:hAnsi="SimSun" w:hint="eastAsia"/>
          <w:sz w:val="21"/>
          <w:szCs w:val="22"/>
        </w:rPr>
        <w:t>”</w:t>
      </w:r>
      <w:r w:rsidR="002311D4" w:rsidRPr="00B956A0">
        <w:rPr>
          <w:rFonts w:ascii="SimSun" w:hAnsi="SimSun" w:hint="eastAsia"/>
          <w:sz w:val="21"/>
          <w:szCs w:val="22"/>
        </w:rPr>
        <w:t>）</w:t>
      </w:r>
      <w:r w:rsidRPr="00B956A0">
        <w:rPr>
          <w:rFonts w:ascii="SimSun" w:hAnsi="SimSun" w:hint="eastAsia"/>
          <w:sz w:val="21"/>
          <w:szCs w:val="22"/>
        </w:rPr>
        <w:t>进行谈判</w:t>
      </w:r>
      <w:r w:rsidR="002311D4" w:rsidRPr="00B956A0">
        <w:rPr>
          <w:rFonts w:ascii="SimSun" w:hAnsi="SimSun" w:hint="eastAsia"/>
          <w:sz w:val="21"/>
          <w:szCs w:val="22"/>
        </w:rPr>
        <w:t>。其他问题，如</w:t>
      </w:r>
      <w:r w:rsidR="004D25AD" w:rsidRPr="00B956A0">
        <w:rPr>
          <w:rFonts w:ascii="SimSun" w:hAnsi="SimSun" w:hint="eastAsia"/>
          <w:sz w:val="21"/>
          <w:szCs w:val="22"/>
        </w:rPr>
        <w:t>制裁和救济、权利管理、保护期限、形式、过渡措施、与其他国际协定的关系、国民待遇和跨境合</w:t>
      </w:r>
      <w:r w:rsidR="00B956A0" w:rsidRPr="00B956A0">
        <w:rPr>
          <w:rFonts w:ascii="SimSun" w:hAnsi="SimSun" w:hint="eastAsia"/>
          <w:sz w:val="21"/>
          <w:szCs w:val="22"/>
        </w:rPr>
        <w:t>作</w:t>
      </w:r>
      <w:r w:rsidR="00F240CA">
        <w:rPr>
          <w:rFonts w:ascii="SimSun" w:hAnsi="SimSun" w:hint="eastAsia"/>
          <w:sz w:val="21"/>
          <w:szCs w:val="22"/>
        </w:rPr>
        <w:t>等</w:t>
      </w:r>
      <w:r w:rsidR="002311D4" w:rsidRPr="00B956A0">
        <w:rPr>
          <w:rFonts w:ascii="SimSun" w:hAnsi="SimSun" w:hint="eastAsia"/>
          <w:sz w:val="21"/>
          <w:szCs w:val="22"/>
        </w:rPr>
        <w:t>，自2011年以来</w:t>
      </w:r>
      <w:r w:rsidR="00A94C17">
        <w:rPr>
          <w:rFonts w:ascii="SimSun" w:hAnsi="SimSun" w:hint="eastAsia"/>
          <w:sz w:val="21"/>
          <w:szCs w:val="22"/>
        </w:rPr>
        <w:t>就</w:t>
      </w:r>
      <w:r w:rsidR="002311D4" w:rsidRPr="00B956A0">
        <w:rPr>
          <w:rFonts w:ascii="SimSun" w:hAnsi="SimSun" w:hint="eastAsia"/>
          <w:sz w:val="21"/>
          <w:szCs w:val="22"/>
        </w:rPr>
        <w:t>没有直接或详细讨论</w:t>
      </w:r>
      <w:r w:rsidR="00B956A0">
        <w:rPr>
          <w:rFonts w:ascii="SimSun" w:hAnsi="SimSun" w:hint="eastAsia"/>
          <w:sz w:val="21"/>
          <w:szCs w:val="22"/>
        </w:rPr>
        <w:t>过</w:t>
      </w:r>
      <w:r w:rsidR="002311D4" w:rsidRPr="00B956A0">
        <w:rPr>
          <w:rFonts w:ascii="SimSun" w:hAnsi="SimSun" w:hint="eastAsia"/>
          <w:sz w:val="21"/>
          <w:szCs w:val="22"/>
        </w:rPr>
        <w:t>。</w:t>
      </w:r>
    </w:p>
    <w:p w14:paraId="3A0AAF21" w14:textId="4381D8E4" w:rsidR="002311D4" w:rsidRDefault="002311D4" w:rsidP="00054114">
      <w:pPr>
        <w:pStyle w:val="aa"/>
        <w:numPr>
          <w:ilvl w:val="0"/>
          <w:numId w:val="2"/>
        </w:numPr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054114">
        <w:rPr>
          <w:rFonts w:ascii="SimSun" w:hAnsi="SimSun" w:hint="eastAsia"/>
          <w:sz w:val="21"/>
          <w:szCs w:val="22"/>
        </w:rPr>
        <w:t>预计</w:t>
      </w:r>
      <w:r w:rsidR="00E716FC">
        <w:rPr>
          <w:rFonts w:ascii="SimSun" w:hAnsi="SimSun" w:hint="eastAsia"/>
          <w:sz w:val="21"/>
          <w:szCs w:val="22"/>
        </w:rPr>
        <w:t>本场圆桌会议</w:t>
      </w:r>
      <w:r w:rsidRPr="00054114">
        <w:rPr>
          <w:rFonts w:ascii="SimSun" w:hAnsi="SimSun" w:hint="eastAsia"/>
          <w:sz w:val="21"/>
          <w:szCs w:val="22"/>
        </w:rPr>
        <w:t>将简要讨论所有</w:t>
      </w:r>
      <w:r w:rsidR="0051576A">
        <w:rPr>
          <w:rFonts w:ascii="SimSun" w:hAnsi="SimSun" w:hint="eastAsia"/>
          <w:sz w:val="21"/>
          <w:szCs w:val="22"/>
        </w:rPr>
        <w:t>待办</w:t>
      </w:r>
      <w:r w:rsidRPr="00054114">
        <w:rPr>
          <w:rFonts w:ascii="SimSun" w:hAnsi="SimSun" w:hint="eastAsia"/>
          <w:sz w:val="21"/>
          <w:szCs w:val="22"/>
        </w:rPr>
        <w:t>/未决问题（</w:t>
      </w:r>
      <w:r w:rsidR="0051576A" w:rsidRPr="00B956A0">
        <w:rPr>
          <w:rFonts w:ascii="SimSun" w:hAnsi="SimSun" w:hint="eastAsia"/>
          <w:sz w:val="21"/>
          <w:szCs w:val="22"/>
        </w:rPr>
        <w:t>制裁和救济、权利管理、保护期限、形式、过渡措施、与其他国际协定的关系、国民待遇和跨境合作</w:t>
      </w:r>
      <w:r w:rsidRPr="00054114">
        <w:rPr>
          <w:rFonts w:ascii="SimSun" w:hAnsi="SimSun" w:hint="eastAsia"/>
          <w:sz w:val="21"/>
          <w:szCs w:val="22"/>
        </w:rPr>
        <w:t>），以便在IGC第三十二届会议之前</w:t>
      </w:r>
      <w:r w:rsidR="0051576A">
        <w:rPr>
          <w:rFonts w:ascii="SimSun" w:hAnsi="SimSun" w:hint="eastAsia"/>
          <w:sz w:val="21"/>
          <w:szCs w:val="22"/>
        </w:rPr>
        <w:t>更新与会</w:t>
      </w:r>
      <w:r w:rsidRPr="00054114">
        <w:rPr>
          <w:rFonts w:ascii="SimSun" w:hAnsi="SimSun" w:hint="eastAsia"/>
          <w:sz w:val="21"/>
          <w:szCs w:val="22"/>
        </w:rPr>
        <w:t>者</w:t>
      </w:r>
      <w:r w:rsidR="0051576A">
        <w:rPr>
          <w:rFonts w:ascii="SimSun" w:hAnsi="SimSun" w:hint="eastAsia"/>
          <w:sz w:val="21"/>
          <w:szCs w:val="22"/>
        </w:rPr>
        <w:t>的记忆</w:t>
      </w:r>
      <w:r w:rsidRPr="00054114">
        <w:rPr>
          <w:rFonts w:ascii="SimSun" w:hAnsi="SimSun" w:hint="eastAsia"/>
          <w:sz w:val="21"/>
          <w:szCs w:val="22"/>
        </w:rPr>
        <w:t>。</w:t>
      </w:r>
    </w:p>
    <w:p w14:paraId="5800CCA6" w14:textId="77777777" w:rsidR="00EB6D38" w:rsidRPr="00471EB6" w:rsidRDefault="00EB6D38" w:rsidP="006A0775">
      <w:pPr>
        <w:pStyle w:val="Endofdocument-Annex"/>
        <w:spacing w:afterLines="50" w:after="120" w:line="340" w:lineRule="atLeast"/>
        <w:rPr>
          <w:rFonts w:ascii="SimSun" w:hAnsi="SimSun"/>
          <w:sz w:val="21"/>
          <w:szCs w:val="22"/>
        </w:rPr>
      </w:pPr>
    </w:p>
    <w:p w14:paraId="11D59160" w14:textId="2D34E2A9" w:rsidR="00361597" w:rsidRPr="001E32E3" w:rsidRDefault="00361597" w:rsidP="001E32E3">
      <w:pPr>
        <w:ind w:left="5534"/>
        <w:rPr>
          <w:rFonts w:ascii="KaiTi" w:eastAsia="KaiTi" w:hAnsi="KaiTi"/>
          <w:sz w:val="21"/>
        </w:rPr>
      </w:pPr>
      <w:r w:rsidRPr="001E32E3">
        <w:rPr>
          <w:rFonts w:ascii="KaiTi" w:eastAsia="KaiTi" w:hAnsi="KaiTi"/>
          <w:sz w:val="21"/>
        </w:rPr>
        <w:t>[</w:t>
      </w:r>
      <w:r w:rsidR="0021257E" w:rsidRPr="001E32E3">
        <w:rPr>
          <w:rFonts w:ascii="KaiTi" w:eastAsia="KaiTi" w:hAnsi="KaiTi" w:hint="eastAsia"/>
          <w:sz w:val="21"/>
        </w:rPr>
        <w:t>文件完</w:t>
      </w:r>
      <w:r w:rsidRPr="001E32E3">
        <w:rPr>
          <w:rFonts w:ascii="KaiTi" w:eastAsia="KaiTi" w:hAnsi="KaiTi"/>
          <w:sz w:val="21"/>
        </w:rPr>
        <w:t>]</w:t>
      </w:r>
    </w:p>
    <w:sectPr w:rsidR="00361597" w:rsidRPr="001E32E3" w:rsidSect="001E32E3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52AA" w14:textId="77777777" w:rsidR="00607B04" w:rsidRDefault="00607B04">
      <w:r>
        <w:separator/>
      </w:r>
    </w:p>
  </w:endnote>
  <w:endnote w:type="continuationSeparator" w:id="0">
    <w:p w14:paraId="28416548" w14:textId="77777777" w:rsidR="00607B04" w:rsidRDefault="00607B04">
      <w:r>
        <w:continuationSeparator/>
      </w:r>
    </w:p>
  </w:endnote>
  <w:endnote w:type="continuationNotice" w:id="1">
    <w:p w14:paraId="301E8C41" w14:textId="77777777" w:rsidR="00607B04" w:rsidRDefault="00607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7C3FD" w14:textId="77777777" w:rsidR="00607B04" w:rsidRDefault="00607B04">
      <w:r>
        <w:separator/>
      </w:r>
    </w:p>
  </w:footnote>
  <w:footnote w:type="continuationSeparator" w:id="0">
    <w:p w14:paraId="7F1D5153" w14:textId="77777777" w:rsidR="00607B04" w:rsidRDefault="00607B04">
      <w:r>
        <w:continuationSeparator/>
      </w:r>
    </w:p>
  </w:footnote>
  <w:footnote w:type="continuationNotice" w:id="1">
    <w:p w14:paraId="1A2610B1" w14:textId="77777777" w:rsidR="00607B04" w:rsidRDefault="00607B04"/>
  </w:footnote>
  <w:footnote w:id="2">
    <w:p w14:paraId="49BB6744" w14:textId="6C0632BB" w:rsidR="00ED17A9" w:rsidRPr="00D26D74" w:rsidRDefault="00ED17A9" w:rsidP="00ED17A9">
      <w:pPr>
        <w:pStyle w:val="ab"/>
        <w:rPr>
          <w:sz w:val="18"/>
          <w:szCs w:val="18"/>
        </w:rPr>
      </w:pPr>
      <w:r w:rsidRPr="00D26D74">
        <w:rPr>
          <w:rStyle w:val="ac"/>
          <w:sz w:val="18"/>
          <w:szCs w:val="18"/>
        </w:rPr>
        <w:footnoteRef/>
      </w:r>
      <w:r>
        <w:rPr>
          <w:rFonts w:hint="eastAsia"/>
          <w:sz w:val="18"/>
          <w:szCs w:val="18"/>
        </w:rPr>
        <w:tab/>
      </w:r>
      <w:r w:rsidRPr="00EB5D6B">
        <w:rPr>
          <w:rFonts w:asciiTheme="minorEastAsia" w:eastAsiaTheme="minorEastAsia" w:hAnsiTheme="minorEastAsia" w:hint="eastAsia"/>
          <w:sz w:val="18"/>
          <w:szCs w:val="18"/>
        </w:rPr>
        <w:t>见</w:t>
      </w:r>
      <w:r w:rsidRPr="00EB5D6B">
        <w:rPr>
          <w:rFonts w:asciiTheme="minorEastAsia" w:eastAsiaTheme="minorEastAsia" w:hAnsiTheme="minorEastAsia"/>
          <w:sz w:val="18"/>
          <w:szCs w:val="18"/>
        </w:rPr>
        <w:t>WIPO/GRTKF/IC/32/5</w:t>
      </w:r>
      <w:r w:rsidRPr="00EB5D6B">
        <w:rPr>
          <w:rFonts w:asciiTheme="minorEastAsia" w:eastAsiaTheme="minorEastAsia" w:hAnsiTheme="minorEastAsia" w:hint="eastAsia"/>
          <w:sz w:val="18"/>
          <w:szCs w:val="18"/>
        </w:rPr>
        <w:t>：</w:t>
      </w:r>
      <w:hyperlink r:id="rId1" w:history="1">
        <w:r w:rsidRPr="00EB5D6B">
          <w:rPr>
            <w:rStyle w:val="ad"/>
            <w:rFonts w:asciiTheme="minorEastAsia" w:eastAsiaTheme="minorEastAsia" w:hAnsiTheme="minorEastAsia"/>
            <w:sz w:val="18"/>
            <w:szCs w:val="18"/>
          </w:rPr>
          <w:t>http://www.wipo.int/tk/en/igc/preparation/</w:t>
        </w:r>
      </w:hyperlink>
      <w:r>
        <w:rPr>
          <w:rFonts w:hint="eastAsia"/>
          <w:sz w:val="18"/>
          <w:szCs w:val="18"/>
        </w:rPr>
        <w:t>。</w:t>
      </w:r>
    </w:p>
  </w:footnote>
  <w:footnote w:id="3">
    <w:p w14:paraId="23A086A2" w14:textId="0DFE2FBA" w:rsidR="005F0F33" w:rsidRPr="006C065E" w:rsidRDefault="005F0F33" w:rsidP="005F0F33">
      <w:pPr>
        <w:pStyle w:val="ab"/>
      </w:pPr>
      <w:r w:rsidRPr="005F0F33">
        <w:rPr>
          <w:rFonts w:asciiTheme="minorEastAsia" w:eastAsiaTheme="minorEastAsia" w:hAnsiTheme="minorEastAsia"/>
          <w:sz w:val="18"/>
          <w:szCs w:val="18"/>
        </w:rPr>
        <w:footnoteRef/>
      </w:r>
      <w:r>
        <w:rPr>
          <w:rFonts w:asciiTheme="minorEastAsia" w:eastAsiaTheme="minorEastAsia" w:hAnsiTheme="minorEastAsia" w:hint="eastAsia"/>
          <w:sz w:val="18"/>
          <w:szCs w:val="18"/>
        </w:rPr>
        <w:tab/>
        <w:t>见：</w:t>
      </w:r>
      <w:hyperlink r:id="rId2" w:history="1">
        <w:r w:rsidR="00D87DEE" w:rsidRPr="00EB5D6B">
          <w:rPr>
            <w:rStyle w:val="ad"/>
            <w:rFonts w:asciiTheme="minorEastAsia" w:eastAsiaTheme="minorEastAsia" w:hAnsiTheme="minorEastAsia"/>
            <w:sz w:val="18"/>
            <w:szCs w:val="18"/>
          </w:rPr>
          <w:t>http://www.wipo.int/tk/en/igc/preparation/</w:t>
        </w:r>
      </w:hyperlink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2AAF8791" w:rsidR="00B0315A" w:rsidRPr="001E32E3" w:rsidRDefault="00646E9D" w:rsidP="00A3645C">
    <w:pPr>
      <w:jc w:val="right"/>
      <w:rPr>
        <w:rFonts w:ascii="SimSun" w:hAnsi="SimSun"/>
        <w:sz w:val="21"/>
        <w:szCs w:val="21"/>
      </w:rPr>
    </w:pPr>
    <w:r w:rsidRPr="001E32E3">
      <w:rPr>
        <w:rFonts w:ascii="SimSun" w:hAnsi="SimSun"/>
        <w:sz w:val="21"/>
        <w:szCs w:val="21"/>
      </w:rPr>
      <w:t>WIPO/IPTK/GE/</w:t>
    </w:r>
    <w:r w:rsidR="00104077" w:rsidRPr="001E32E3">
      <w:rPr>
        <w:rFonts w:ascii="SimSun" w:hAnsi="SimSun"/>
        <w:sz w:val="21"/>
        <w:szCs w:val="21"/>
      </w:rPr>
      <w:t>2/</w:t>
    </w:r>
    <w:r w:rsidRPr="001E32E3">
      <w:rPr>
        <w:rFonts w:ascii="SimSun" w:hAnsi="SimSun"/>
        <w:sz w:val="21"/>
        <w:szCs w:val="21"/>
      </w:rPr>
      <w:t>16</w:t>
    </w:r>
    <w:r w:rsidR="00271DDE" w:rsidRPr="001E32E3">
      <w:rPr>
        <w:rFonts w:ascii="SimSun" w:hAnsi="SimSun"/>
        <w:sz w:val="21"/>
        <w:szCs w:val="21"/>
      </w:rPr>
      <w:t>/</w:t>
    </w:r>
    <w:r w:rsidRPr="001E32E3">
      <w:rPr>
        <w:rFonts w:ascii="SimSun" w:hAnsi="SimSun"/>
        <w:sz w:val="21"/>
        <w:szCs w:val="21"/>
      </w:rPr>
      <w:t>INF/</w:t>
    </w:r>
    <w:r w:rsidR="00471EB6">
      <w:rPr>
        <w:rFonts w:ascii="SimSun" w:hAnsi="SimSun" w:hint="eastAsia"/>
        <w:sz w:val="21"/>
        <w:szCs w:val="21"/>
      </w:rPr>
      <w:t>2</w:t>
    </w:r>
  </w:p>
  <w:p w14:paraId="57F0AE56" w14:textId="454B37BB" w:rsidR="00361597" w:rsidRPr="001E32E3" w:rsidRDefault="001E32E3" w:rsidP="00A3645C">
    <w:pPr>
      <w:jc w:val="right"/>
      <w:rPr>
        <w:rFonts w:ascii="SimSun" w:hAnsi="SimSun"/>
        <w:sz w:val="21"/>
        <w:szCs w:val="21"/>
        <w:lang w:val="fr-FR"/>
      </w:rPr>
    </w:pPr>
    <w:r>
      <w:rPr>
        <w:rFonts w:ascii="SimSun" w:hAnsi="SimSun" w:hint="eastAsia"/>
        <w:sz w:val="21"/>
        <w:szCs w:val="21"/>
        <w:lang w:val="fr-FR"/>
      </w:rPr>
      <w:t>第</w:t>
    </w:r>
    <w:r w:rsidR="00E561F5" w:rsidRPr="001E32E3">
      <w:rPr>
        <w:rFonts w:ascii="SimSun" w:hAnsi="SimSun"/>
        <w:sz w:val="21"/>
        <w:szCs w:val="21"/>
      </w:rPr>
      <w:fldChar w:fldCharType="begin"/>
    </w:r>
    <w:r w:rsidR="00E561F5" w:rsidRPr="001E32E3">
      <w:rPr>
        <w:rFonts w:ascii="SimSun" w:hAnsi="SimSun"/>
        <w:sz w:val="21"/>
        <w:szCs w:val="21"/>
        <w:lang w:val="fr-FR"/>
      </w:rPr>
      <w:instrText xml:space="preserve"> PAGE  \* MERGEFORMAT </w:instrText>
    </w:r>
    <w:r w:rsidR="00E561F5" w:rsidRPr="001E32E3">
      <w:rPr>
        <w:rFonts w:ascii="SimSun" w:hAnsi="SimSun"/>
        <w:sz w:val="21"/>
        <w:szCs w:val="21"/>
      </w:rPr>
      <w:fldChar w:fldCharType="separate"/>
    </w:r>
    <w:r w:rsidR="00B3139D">
      <w:rPr>
        <w:rFonts w:ascii="SimSun" w:hAnsi="SimSun"/>
        <w:noProof/>
        <w:sz w:val="21"/>
        <w:szCs w:val="21"/>
        <w:lang w:val="fr-FR"/>
      </w:rPr>
      <w:t>2</w:t>
    </w:r>
    <w:r w:rsidR="00E561F5" w:rsidRPr="001E32E3">
      <w:rPr>
        <w:rFonts w:ascii="SimSun" w:hAnsi="SimSun"/>
        <w:noProof/>
        <w:sz w:val="21"/>
        <w:szCs w:val="21"/>
      </w:rPr>
      <w:fldChar w:fldCharType="end"/>
    </w:r>
    <w:r>
      <w:rPr>
        <w:rFonts w:ascii="SimSun" w:hAnsi="SimSun" w:hint="eastAsia"/>
        <w:noProof/>
        <w:sz w:val="21"/>
        <w:szCs w:val="21"/>
      </w:rPr>
      <w:t>页</w:t>
    </w:r>
  </w:p>
  <w:p w14:paraId="475D0D88" w14:textId="77777777" w:rsidR="00361597" w:rsidRPr="001E32E3" w:rsidRDefault="00361597" w:rsidP="00A3645C">
    <w:pPr>
      <w:jc w:val="right"/>
      <w:rPr>
        <w:rFonts w:ascii="SimSun" w:hAnsi="SimSun"/>
        <w:sz w:val="21"/>
        <w:szCs w:val="21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E5E"/>
    <w:multiLevelType w:val="hybridMultilevel"/>
    <w:tmpl w:val="0B6C771C"/>
    <w:lvl w:ilvl="0" w:tplc="1286EB4A">
      <w:numFmt w:val="bullet"/>
      <w:lvlText w:val="•"/>
      <w:lvlJc w:val="left"/>
      <w:pPr>
        <w:ind w:left="795" w:hanging="360"/>
      </w:pPr>
      <w:rPr>
        <w:rFonts w:ascii="SimSun" w:eastAsia="SimSun" w:hAnsi="SimSun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>
    <w:nsid w:val="289F1830"/>
    <w:multiLevelType w:val="hybridMultilevel"/>
    <w:tmpl w:val="5D309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4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2DB"/>
    <w:rsid w:val="00000F82"/>
    <w:rsid w:val="00000FB5"/>
    <w:rsid w:val="00001A7F"/>
    <w:rsid w:val="00001F6A"/>
    <w:rsid w:val="0000227F"/>
    <w:rsid w:val="00003D46"/>
    <w:rsid w:val="00004C71"/>
    <w:rsid w:val="000050EF"/>
    <w:rsid w:val="0001022A"/>
    <w:rsid w:val="000113D7"/>
    <w:rsid w:val="00027052"/>
    <w:rsid w:val="0003348B"/>
    <w:rsid w:val="00033AC1"/>
    <w:rsid w:val="00035883"/>
    <w:rsid w:val="00037CB5"/>
    <w:rsid w:val="0004287D"/>
    <w:rsid w:val="0004324F"/>
    <w:rsid w:val="000444B4"/>
    <w:rsid w:val="00046A5A"/>
    <w:rsid w:val="00046FB5"/>
    <w:rsid w:val="00050BB0"/>
    <w:rsid w:val="00051A9E"/>
    <w:rsid w:val="00054114"/>
    <w:rsid w:val="00054FAD"/>
    <w:rsid w:val="00056895"/>
    <w:rsid w:val="00062FD8"/>
    <w:rsid w:val="0006398E"/>
    <w:rsid w:val="00063B1E"/>
    <w:rsid w:val="00064FAD"/>
    <w:rsid w:val="000650A2"/>
    <w:rsid w:val="00067A3A"/>
    <w:rsid w:val="000725BF"/>
    <w:rsid w:val="00073AF7"/>
    <w:rsid w:val="0007475C"/>
    <w:rsid w:val="000775A8"/>
    <w:rsid w:val="00080D74"/>
    <w:rsid w:val="00085094"/>
    <w:rsid w:val="000879DE"/>
    <w:rsid w:val="000938B7"/>
    <w:rsid w:val="00093923"/>
    <w:rsid w:val="00097034"/>
    <w:rsid w:val="000973BC"/>
    <w:rsid w:val="000A1DB5"/>
    <w:rsid w:val="000A3BAC"/>
    <w:rsid w:val="000A46A9"/>
    <w:rsid w:val="000A4CCE"/>
    <w:rsid w:val="000A5698"/>
    <w:rsid w:val="000A7B52"/>
    <w:rsid w:val="000B01AB"/>
    <w:rsid w:val="000B2EDB"/>
    <w:rsid w:val="000B5039"/>
    <w:rsid w:val="000C06D4"/>
    <w:rsid w:val="000C3D30"/>
    <w:rsid w:val="000E0529"/>
    <w:rsid w:val="000E170D"/>
    <w:rsid w:val="000E6426"/>
    <w:rsid w:val="000E76D8"/>
    <w:rsid w:val="000E7D85"/>
    <w:rsid w:val="000F2249"/>
    <w:rsid w:val="000F2ED2"/>
    <w:rsid w:val="0010079F"/>
    <w:rsid w:val="0010166A"/>
    <w:rsid w:val="00103E18"/>
    <w:rsid w:val="00104077"/>
    <w:rsid w:val="00104622"/>
    <w:rsid w:val="00106249"/>
    <w:rsid w:val="001065E0"/>
    <w:rsid w:val="00106DFC"/>
    <w:rsid w:val="00117286"/>
    <w:rsid w:val="001174A0"/>
    <w:rsid w:val="0012459E"/>
    <w:rsid w:val="001333AA"/>
    <w:rsid w:val="00134F67"/>
    <w:rsid w:val="00144B0A"/>
    <w:rsid w:val="0015448A"/>
    <w:rsid w:val="00154635"/>
    <w:rsid w:val="00156968"/>
    <w:rsid w:val="0016379B"/>
    <w:rsid w:val="00163C2D"/>
    <w:rsid w:val="001659EE"/>
    <w:rsid w:val="00166AFE"/>
    <w:rsid w:val="001703DE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289A"/>
    <w:rsid w:val="001955DC"/>
    <w:rsid w:val="00196DC4"/>
    <w:rsid w:val="001970C3"/>
    <w:rsid w:val="001A098A"/>
    <w:rsid w:val="001A0C72"/>
    <w:rsid w:val="001A1C64"/>
    <w:rsid w:val="001A466F"/>
    <w:rsid w:val="001A64E6"/>
    <w:rsid w:val="001D7430"/>
    <w:rsid w:val="001E019C"/>
    <w:rsid w:val="001E32E3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1257E"/>
    <w:rsid w:val="002203DB"/>
    <w:rsid w:val="002245E3"/>
    <w:rsid w:val="00226C40"/>
    <w:rsid w:val="002311D4"/>
    <w:rsid w:val="00231276"/>
    <w:rsid w:val="00233018"/>
    <w:rsid w:val="00233795"/>
    <w:rsid w:val="002339E9"/>
    <w:rsid w:val="002363D0"/>
    <w:rsid w:val="00237122"/>
    <w:rsid w:val="0024303E"/>
    <w:rsid w:val="00245189"/>
    <w:rsid w:val="002555E0"/>
    <w:rsid w:val="0026094F"/>
    <w:rsid w:val="002612D0"/>
    <w:rsid w:val="002620E0"/>
    <w:rsid w:val="002621F4"/>
    <w:rsid w:val="002622FE"/>
    <w:rsid w:val="002631EE"/>
    <w:rsid w:val="00263357"/>
    <w:rsid w:val="002650A7"/>
    <w:rsid w:val="00267AF8"/>
    <w:rsid w:val="00271DDE"/>
    <w:rsid w:val="00277882"/>
    <w:rsid w:val="00277F9E"/>
    <w:rsid w:val="002809BF"/>
    <w:rsid w:val="002817A6"/>
    <w:rsid w:val="002844C9"/>
    <w:rsid w:val="002920C2"/>
    <w:rsid w:val="00295DDC"/>
    <w:rsid w:val="00296F3A"/>
    <w:rsid w:val="002A35B2"/>
    <w:rsid w:val="002A5B47"/>
    <w:rsid w:val="002A6631"/>
    <w:rsid w:val="002B155F"/>
    <w:rsid w:val="002B1DA9"/>
    <w:rsid w:val="002C11A8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0EEC"/>
    <w:rsid w:val="00311155"/>
    <w:rsid w:val="00311EEB"/>
    <w:rsid w:val="00316DE5"/>
    <w:rsid w:val="00317166"/>
    <w:rsid w:val="00320FF4"/>
    <w:rsid w:val="00324931"/>
    <w:rsid w:val="003275C6"/>
    <w:rsid w:val="00331B1B"/>
    <w:rsid w:val="00334344"/>
    <w:rsid w:val="00337B72"/>
    <w:rsid w:val="00340DD7"/>
    <w:rsid w:val="0034745E"/>
    <w:rsid w:val="00353970"/>
    <w:rsid w:val="00355B37"/>
    <w:rsid w:val="00360AA1"/>
    <w:rsid w:val="00360B68"/>
    <w:rsid w:val="00361597"/>
    <w:rsid w:val="00365267"/>
    <w:rsid w:val="003677BB"/>
    <w:rsid w:val="00371067"/>
    <w:rsid w:val="003748D1"/>
    <w:rsid w:val="003753D5"/>
    <w:rsid w:val="003845C1"/>
    <w:rsid w:val="0038500F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70A8"/>
    <w:rsid w:val="004101EE"/>
    <w:rsid w:val="004156FF"/>
    <w:rsid w:val="004170D4"/>
    <w:rsid w:val="004177A2"/>
    <w:rsid w:val="004208CC"/>
    <w:rsid w:val="004211BC"/>
    <w:rsid w:val="00422204"/>
    <w:rsid w:val="0042225F"/>
    <w:rsid w:val="0042301A"/>
    <w:rsid w:val="00423886"/>
    <w:rsid w:val="00423FE9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EB6"/>
    <w:rsid w:val="00471F0A"/>
    <w:rsid w:val="00473C32"/>
    <w:rsid w:val="00474E61"/>
    <w:rsid w:val="004774E4"/>
    <w:rsid w:val="00477F54"/>
    <w:rsid w:val="00483D6E"/>
    <w:rsid w:val="00485CE1"/>
    <w:rsid w:val="00490A20"/>
    <w:rsid w:val="00493A7C"/>
    <w:rsid w:val="004A0423"/>
    <w:rsid w:val="004A2604"/>
    <w:rsid w:val="004A28F6"/>
    <w:rsid w:val="004A4E64"/>
    <w:rsid w:val="004A5673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4B39"/>
    <w:rsid w:val="004C6AF8"/>
    <w:rsid w:val="004C6D0A"/>
    <w:rsid w:val="004D25AD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3BBF"/>
    <w:rsid w:val="004F4D9B"/>
    <w:rsid w:val="004F5076"/>
    <w:rsid w:val="004F5567"/>
    <w:rsid w:val="004F6CBF"/>
    <w:rsid w:val="00500E2A"/>
    <w:rsid w:val="005013DE"/>
    <w:rsid w:val="005027E5"/>
    <w:rsid w:val="00502D4D"/>
    <w:rsid w:val="0050496C"/>
    <w:rsid w:val="00514C7A"/>
    <w:rsid w:val="0051576A"/>
    <w:rsid w:val="00520B92"/>
    <w:rsid w:val="005212AB"/>
    <w:rsid w:val="005231CD"/>
    <w:rsid w:val="00523A13"/>
    <w:rsid w:val="00531598"/>
    <w:rsid w:val="0053307C"/>
    <w:rsid w:val="00533320"/>
    <w:rsid w:val="00535CD5"/>
    <w:rsid w:val="00541C89"/>
    <w:rsid w:val="0054355B"/>
    <w:rsid w:val="00543DA9"/>
    <w:rsid w:val="00556B34"/>
    <w:rsid w:val="005636B0"/>
    <w:rsid w:val="00564CFD"/>
    <w:rsid w:val="0056762E"/>
    <w:rsid w:val="00570BFA"/>
    <w:rsid w:val="005726EA"/>
    <w:rsid w:val="005728B6"/>
    <w:rsid w:val="00572CD9"/>
    <w:rsid w:val="00572FC8"/>
    <w:rsid w:val="00575075"/>
    <w:rsid w:val="005763F2"/>
    <w:rsid w:val="0057717F"/>
    <w:rsid w:val="0058222C"/>
    <w:rsid w:val="005836FF"/>
    <w:rsid w:val="00592372"/>
    <w:rsid w:val="005931AF"/>
    <w:rsid w:val="00595DB8"/>
    <w:rsid w:val="00596C56"/>
    <w:rsid w:val="00597DD1"/>
    <w:rsid w:val="005A2188"/>
    <w:rsid w:val="005A3977"/>
    <w:rsid w:val="005A48D8"/>
    <w:rsid w:val="005B0714"/>
    <w:rsid w:val="005B0D53"/>
    <w:rsid w:val="005B0FDA"/>
    <w:rsid w:val="005B3563"/>
    <w:rsid w:val="005B385D"/>
    <w:rsid w:val="005B4FAD"/>
    <w:rsid w:val="005B6CF5"/>
    <w:rsid w:val="005B6D15"/>
    <w:rsid w:val="005C05CA"/>
    <w:rsid w:val="005C0EF1"/>
    <w:rsid w:val="005C7BB3"/>
    <w:rsid w:val="005D157F"/>
    <w:rsid w:val="005D3EB8"/>
    <w:rsid w:val="005E34AE"/>
    <w:rsid w:val="005E4408"/>
    <w:rsid w:val="005E4B4D"/>
    <w:rsid w:val="005F0F33"/>
    <w:rsid w:val="005F62C1"/>
    <w:rsid w:val="00604080"/>
    <w:rsid w:val="00605827"/>
    <w:rsid w:val="0060739B"/>
    <w:rsid w:val="00607B04"/>
    <w:rsid w:val="00623CFA"/>
    <w:rsid w:val="006241A2"/>
    <w:rsid w:val="00624828"/>
    <w:rsid w:val="00624A82"/>
    <w:rsid w:val="00627785"/>
    <w:rsid w:val="00630882"/>
    <w:rsid w:val="006327F2"/>
    <w:rsid w:val="00634064"/>
    <w:rsid w:val="006348CD"/>
    <w:rsid w:val="00636BDD"/>
    <w:rsid w:val="00636E3C"/>
    <w:rsid w:val="0064035E"/>
    <w:rsid w:val="00640582"/>
    <w:rsid w:val="006440A1"/>
    <w:rsid w:val="00645EC7"/>
    <w:rsid w:val="006469F0"/>
    <w:rsid w:val="00646E9D"/>
    <w:rsid w:val="0065046D"/>
    <w:rsid w:val="00652BE5"/>
    <w:rsid w:val="00657A11"/>
    <w:rsid w:val="006615D1"/>
    <w:rsid w:val="00663104"/>
    <w:rsid w:val="00663455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96C4A"/>
    <w:rsid w:val="006A0775"/>
    <w:rsid w:val="006A2719"/>
    <w:rsid w:val="006A67ED"/>
    <w:rsid w:val="006A7E5F"/>
    <w:rsid w:val="006B0CD0"/>
    <w:rsid w:val="006B2009"/>
    <w:rsid w:val="006B2213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0524"/>
    <w:rsid w:val="006F14E4"/>
    <w:rsid w:val="006F61F1"/>
    <w:rsid w:val="00700BD2"/>
    <w:rsid w:val="0070361E"/>
    <w:rsid w:val="00704722"/>
    <w:rsid w:val="00705BB6"/>
    <w:rsid w:val="007111EF"/>
    <w:rsid w:val="00721245"/>
    <w:rsid w:val="00721708"/>
    <w:rsid w:val="0072463B"/>
    <w:rsid w:val="00724E14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A25"/>
    <w:rsid w:val="00747869"/>
    <w:rsid w:val="00747AAB"/>
    <w:rsid w:val="00757E37"/>
    <w:rsid w:val="007639F3"/>
    <w:rsid w:val="0076483F"/>
    <w:rsid w:val="00770793"/>
    <w:rsid w:val="00771A29"/>
    <w:rsid w:val="007766B3"/>
    <w:rsid w:val="00780935"/>
    <w:rsid w:val="0078155E"/>
    <w:rsid w:val="00781ADC"/>
    <w:rsid w:val="00781EA6"/>
    <w:rsid w:val="00791462"/>
    <w:rsid w:val="0079596B"/>
    <w:rsid w:val="00795EFA"/>
    <w:rsid w:val="0079750E"/>
    <w:rsid w:val="007A2B46"/>
    <w:rsid w:val="007A6BB8"/>
    <w:rsid w:val="007B2AD0"/>
    <w:rsid w:val="007B6E4A"/>
    <w:rsid w:val="007B7D72"/>
    <w:rsid w:val="007C06E3"/>
    <w:rsid w:val="007C26C9"/>
    <w:rsid w:val="007C3BEA"/>
    <w:rsid w:val="007C4B94"/>
    <w:rsid w:val="007C5E26"/>
    <w:rsid w:val="007D128F"/>
    <w:rsid w:val="007D1D1E"/>
    <w:rsid w:val="007D3606"/>
    <w:rsid w:val="007D4933"/>
    <w:rsid w:val="007D62C2"/>
    <w:rsid w:val="007D6BB3"/>
    <w:rsid w:val="007E2F0D"/>
    <w:rsid w:val="007E4142"/>
    <w:rsid w:val="007F3717"/>
    <w:rsid w:val="007F5ADE"/>
    <w:rsid w:val="00800821"/>
    <w:rsid w:val="00802A13"/>
    <w:rsid w:val="00804B94"/>
    <w:rsid w:val="00805DA1"/>
    <w:rsid w:val="00810E47"/>
    <w:rsid w:val="0081571A"/>
    <w:rsid w:val="008173AF"/>
    <w:rsid w:val="008225E7"/>
    <w:rsid w:val="00822928"/>
    <w:rsid w:val="008229A5"/>
    <w:rsid w:val="008250E6"/>
    <w:rsid w:val="008261E0"/>
    <w:rsid w:val="0083278B"/>
    <w:rsid w:val="00836AB9"/>
    <w:rsid w:val="00837DE5"/>
    <w:rsid w:val="008420FE"/>
    <w:rsid w:val="00842884"/>
    <w:rsid w:val="008435FA"/>
    <w:rsid w:val="00844944"/>
    <w:rsid w:val="008471AD"/>
    <w:rsid w:val="00847DE1"/>
    <w:rsid w:val="00855D8B"/>
    <w:rsid w:val="00862213"/>
    <w:rsid w:val="00865F25"/>
    <w:rsid w:val="00867DB8"/>
    <w:rsid w:val="00871A87"/>
    <w:rsid w:val="00872066"/>
    <w:rsid w:val="00881B49"/>
    <w:rsid w:val="00885049"/>
    <w:rsid w:val="008939DB"/>
    <w:rsid w:val="00894958"/>
    <w:rsid w:val="00896AE4"/>
    <w:rsid w:val="008A0BB0"/>
    <w:rsid w:val="008A29FD"/>
    <w:rsid w:val="008A5AA1"/>
    <w:rsid w:val="008A6648"/>
    <w:rsid w:val="008A6E75"/>
    <w:rsid w:val="008B2CC1"/>
    <w:rsid w:val="008B6943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5749"/>
    <w:rsid w:val="009171CE"/>
    <w:rsid w:val="0092683E"/>
    <w:rsid w:val="0094015B"/>
    <w:rsid w:val="00943689"/>
    <w:rsid w:val="0094447E"/>
    <w:rsid w:val="009461AE"/>
    <w:rsid w:val="009477B0"/>
    <w:rsid w:val="0095229A"/>
    <w:rsid w:val="00952A08"/>
    <w:rsid w:val="0095452C"/>
    <w:rsid w:val="00957005"/>
    <w:rsid w:val="009709FC"/>
    <w:rsid w:val="00972B05"/>
    <w:rsid w:val="009750E6"/>
    <w:rsid w:val="00975E0F"/>
    <w:rsid w:val="00975FF9"/>
    <w:rsid w:val="00976EE7"/>
    <w:rsid w:val="00992A6E"/>
    <w:rsid w:val="00994B65"/>
    <w:rsid w:val="00996B1E"/>
    <w:rsid w:val="009A0ED0"/>
    <w:rsid w:val="009A1193"/>
    <w:rsid w:val="009A2D87"/>
    <w:rsid w:val="009A45F3"/>
    <w:rsid w:val="009B2799"/>
    <w:rsid w:val="009B2911"/>
    <w:rsid w:val="009B370D"/>
    <w:rsid w:val="009C614A"/>
    <w:rsid w:val="009D0E6A"/>
    <w:rsid w:val="009D15AD"/>
    <w:rsid w:val="009D3F6A"/>
    <w:rsid w:val="009D57EB"/>
    <w:rsid w:val="009D611B"/>
    <w:rsid w:val="009E173D"/>
    <w:rsid w:val="009E4252"/>
    <w:rsid w:val="009E6765"/>
    <w:rsid w:val="009E68C8"/>
    <w:rsid w:val="009E7793"/>
    <w:rsid w:val="009F3D87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7188D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94C17"/>
    <w:rsid w:val="00AA3D3E"/>
    <w:rsid w:val="00AA4FA5"/>
    <w:rsid w:val="00AA5952"/>
    <w:rsid w:val="00AB0D60"/>
    <w:rsid w:val="00AB1ECB"/>
    <w:rsid w:val="00AB39D4"/>
    <w:rsid w:val="00AB457A"/>
    <w:rsid w:val="00AB684D"/>
    <w:rsid w:val="00AC1E95"/>
    <w:rsid w:val="00AC372E"/>
    <w:rsid w:val="00AC37E0"/>
    <w:rsid w:val="00AD0975"/>
    <w:rsid w:val="00AD3655"/>
    <w:rsid w:val="00AD61B2"/>
    <w:rsid w:val="00AD669E"/>
    <w:rsid w:val="00AE0D31"/>
    <w:rsid w:val="00AF0F5E"/>
    <w:rsid w:val="00AF4EC7"/>
    <w:rsid w:val="00AF6E5D"/>
    <w:rsid w:val="00B02571"/>
    <w:rsid w:val="00B0315A"/>
    <w:rsid w:val="00B032C8"/>
    <w:rsid w:val="00B03692"/>
    <w:rsid w:val="00B060B3"/>
    <w:rsid w:val="00B06419"/>
    <w:rsid w:val="00B10D5F"/>
    <w:rsid w:val="00B11DA6"/>
    <w:rsid w:val="00B12109"/>
    <w:rsid w:val="00B128DE"/>
    <w:rsid w:val="00B13BE5"/>
    <w:rsid w:val="00B14287"/>
    <w:rsid w:val="00B14A24"/>
    <w:rsid w:val="00B16E08"/>
    <w:rsid w:val="00B17C72"/>
    <w:rsid w:val="00B2053F"/>
    <w:rsid w:val="00B23369"/>
    <w:rsid w:val="00B25E1B"/>
    <w:rsid w:val="00B3139D"/>
    <w:rsid w:val="00B361E2"/>
    <w:rsid w:val="00B41E8D"/>
    <w:rsid w:val="00B42779"/>
    <w:rsid w:val="00B45907"/>
    <w:rsid w:val="00B4689C"/>
    <w:rsid w:val="00B51DE6"/>
    <w:rsid w:val="00B53499"/>
    <w:rsid w:val="00B53FE9"/>
    <w:rsid w:val="00B57346"/>
    <w:rsid w:val="00B621D1"/>
    <w:rsid w:val="00B63912"/>
    <w:rsid w:val="00B658BB"/>
    <w:rsid w:val="00B71214"/>
    <w:rsid w:val="00B737EF"/>
    <w:rsid w:val="00B75B4C"/>
    <w:rsid w:val="00B77132"/>
    <w:rsid w:val="00B77628"/>
    <w:rsid w:val="00B776BC"/>
    <w:rsid w:val="00B77CB8"/>
    <w:rsid w:val="00B82003"/>
    <w:rsid w:val="00B820F2"/>
    <w:rsid w:val="00B833F2"/>
    <w:rsid w:val="00B83AF6"/>
    <w:rsid w:val="00B87408"/>
    <w:rsid w:val="00B90D03"/>
    <w:rsid w:val="00B919B4"/>
    <w:rsid w:val="00B92CE3"/>
    <w:rsid w:val="00B9410D"/>
    <w:rsid w:val="00B956A0"/>
    <w:rsid w:val="00B95EBA"/>
    <w:rsid w:val="00B977CC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42DC"/>
    <w:rsid w:val="00BC5377"/>
    <w:rsid w:val="00BC5A1C"/>
    <w:rsid w:val="00BD1135"/>
    <w:rsid w:val="00BD1E9D"/>
    <w:rsid w:val="00BD1EC0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1087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43D4D"/>
    <w:rsid w:val="00C44AF0"/>
    <w:rsid w:val="00C44D5C"/>
    <w:rsid w:val="00C45FD5"/>
    <w:rsid w:val="00C50404"/>
    <w:rsid w:val="00C504E0"/>
    <w:rsid w:val="00C50504"/>
    <w:rsid w:val="00C51831"/>
    <w:rsid w:val="00C52355"/>
    <w:rsid w:val="00C55EBA"/>
    <w:rsid w:val="00C60BBA"/>
    <w:rsid w:val="00C6217B"/>
    <w:rsid w:val="00C62ADC"/>
    <w:rsid w:val="00C63C23"/>
    <w:rsid w:val="00C6759B"/>
    <w:rsid w:val="00C67AD8"/>
    <w:rsid w:val="00C7268C"/>
    <w:rsid w:val="00C73C36"/>
    <w:rsid w:val="00C740CF"/>
    <w:rsid w:val="00C74CE5"/>
    <w:rsid w:val="00C77DB2"/>
    <w:rsid w:val="00C85922"/>
    <w:rsid w:val="00C8720A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558"/>
    <w:rsid w:val="00CC0CFC"/>
    <w:rsid w:val="00CC24D7"/>
    <w:rsid w:val="00CC5592"/>
    <w:rsid w:val="00CC7236"/>
    <w:rsid w:val="00CC7AAB"/>
    <w:rsid w:val="00CD6D28"/>
    <w:rsid w:val="00CE0999"/>
    <w:rsid w:val="00CE60B2"/>
    <w:rsid w:val="00CF123F"/>
    <w:rsid w:val="00CF4113"/>
    <w:rsid w:val="00CF7A8B"/>
    <w:rsid w:val="00CF7F82"/>
    <w:rsid w:val="00D01980"/>
    <w:rsid w:val="00D020C1"/>
    <w:rsid w:val="00D02B5F"/>
    <w:rsid w:val="00D043D6"/>
    <w:rsid w:val="00D10B00"/>
    <w:rsid w:val="00D14069"/>
    <w:rsid w:val="00D20116"/>
    <w:rsid w:val="00D2117B"/>
    <w:rsid w:val="00D2124D"/>
    <w:rsid w:val="00D217A4"/>
    <w:rsid w:val="00D21ABF"/>
    <w:rsid w:val="00D21C04"/>
    <w:rsid w:val="00D22759"/>
    <w:rsid w:val="00D23C31"/>
    <w:rsid w:val="00D252D3"/>
    <w:rsid w:val="00D32479"/>
    <w:rsid w:val="00D42DD5"/>
    <w:rsid w:val="00D44376"/>
    <w:rsid w:val="00D4600A"/>
    <w:rsid w:val="00D525F8"/>
    <w:rsid w:val="00D53817"/>
    <w:rsid w:val="00D55A7F"/>
    <w:rsid w:val="00D55B4E"/>
    <w:rsid w:val="00D674E9"/>
    <w:rsid w:val="00D67B56"/>
    <w:rsid w:val="00D70B88"/>
    <w:rsid w:val="00D71BED"/>
    <w:rsid w:val="00D72187"/>
    <w:rsid w:val="00D735F1"/>
    <w:rsid w:val="00D7518F"/>
    <w:rsid w:val="00D76008"/>
    <w:rsid w:val="00D76C58"/>
    <w:rsid w:val="00D830F1"/>
    <w:rsid w:val="00D87DEE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5246"/>
    <w:rsid w:val="00DA6730"/>
    <w:rsid w:val="00DB5558"/>
    <w:rsid w:val="00DC0A5E"/>
    <w:rsid w:val="00DC0E3F"/>
    <w:rsid w:val="00DC1AA4"/>
    <w:rsid w:val="00DC47F0"/>
    <w:rsid w:val="00DC5373"/>
    <w:rsid w:val="00DD4039"/>
    <w:rsid w:val="00DE0BAB"/>
    <w:rsid w:val="00DE4D5F"/>
    <w:rsid w:val="00DE6AAD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2834"/>
    <w:rsid w:val="00E17C21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16FC"/>
    <w:rsid w:val="00E74D2E"/>
    <w:rsid w:val="00E85D3F"/>
    <w:rsid w:val="00E94BA7"/>
    <w:rsid w:val="00E962D9"/>
    <w:rsid w:val="00E97596"/>
    <w:rsid w:val="00EA1A85"/>
    <w:rsid w:val="00EA43D2"/>
    <w:rsid w:val="00EA566D"/>
    <w:rsid w:val="00EB4A24"/>
    <w:rsid w:val="00EB5D6B"/>
    <w:rsid w:val="00EB6D38"/>
    <w:rsid w:val="00EC08C2"/>
    <w:rsid w:val="00EC1114"/>
    <w:rsid w:val="00EC230F"/>
    <w:rsid w:val="00EC4BB0"/>
    <w:rsid w:val="00ED17A9"/>
    <w:rsid w:val="00ED1E18"/>
    <w:rsid w:val="00ED2D83"/>
    <w:rsid w:val="00ED3808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4EE4"/>
    <w:rsid w:val="00EF63A1"/>
    <w:rsid w:val="00F014DD"/>
    <w:rsid w:val="00F11955"/>
    <w:rsid w:val="00F20630"/>
    <w:rsid w:val="00F228BB"/>
    <w:rsid w:val="00F240CA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599F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7072"/>
    <w:rsid w:val="00F90679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B6FF3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8B1"/>
    <w:rsid w:val="00FE726D"/>
    <w:rsid w:val="00FF27A2"/>
    <w:rsid w:val="00FF3893"/>
    <w:rsid w:val="00FF4CE2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iPriority w:val="99"/>
    <w:semiHidden/>
    <w:rsid w:val="006C73E6"/>
    <w:rPr>
      <w:rFonts w:cs="Times New Roman"/>
      <w:sz w:val="16"/>
      <w:szCs w:val="16"/>
    </w:rPr>
  </w:style>
  <w:style w:type="paragraph" w:styleId="a6">
    <w:name w:val="annotation text"/>
    <w:basedOn w:val="a"/>
    <w:link w:val="Char0"/>
    <w:uiPriority w:val="99"/>
    <w:semiHidden/>
    <w:rsid w:val="006C73E6"/>
    <w:rPr>
      <w:sz w:val="20"/>
    </w:rPr>
  </w:style>
  <w:style w:type="character" w:customStyle="1" w:styleId="Char0">
    <w:name w:val="批注文字 Char"/>
    <w:basedOn w:val="a0"/>
    <w:link w:val="a6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a7">
    <w:name w:val="annotation subject"/>
    <w:basedOn w:val="a6"/>
    <w:next w:val="a6"/>
    <w:link w:val="Char1"/>
    <w:uiPriority w:val="99"/>
    <w:semiHidden/>
    <w:rsid w:val="006C73E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8">
    <w:name w:val="header"/>
    <w:basedOn w:val="a"/>
    <w:link w:val="Char2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8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a9">
    <w:name w:val="footer"/>
    <w:basedOn w:val="a"/>
    <w:link w:val="Char3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9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117286"/>
    <w:pPr>
      <w:ind w:left="720"/>
      <w:contextualSpacing/>
    </w:pPr>
  </w:style>
  <w:style w:type="paragraph" w:styleId="ab">
    <w:name w:val="footnote text"/>
    <w:basedOn w:val="a"/>
    <w:link w:val="Char4"/>
    <w:uiPriority w:val="99"/>
    <w:semiHidden/>
    <w:unhideWhenUsed/>
    <w:rsid w:val="001740ED"/>
    <w:rPr>
      <w:sz w:val="20"/>
    </w:rPr>
  </w:style>
  <w:style w:type="character" w:customStyle="1" w:styleId="Char4">
    <w:name w:val="脚注文本 Char"/>
    <w:basedOn w:val="a0"/>
    <w:link w:val="ab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1740ED"/>
    <w:rPr>
      <w:vertAlign w:val="superscript"/>
    </w:rPr>
  </w:style>
  <w:style w:type="character" w:styleId="ad">
    <w:name w:val="Hyperlink"/>
    <w:basedOn w:val="a0"/>
    <w:uiPriority w:val="99"/>
    <w:unhideWhenUsed/>
    <w:rsid w:val="00ED17A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D17A9"/>
    <w:rPr>
      <w:color w:val="800080" w:themeColor="followedHyperlink"/>
      <w:u w:val="single"/>
    </w:rPr>
  </w:style>
  <w:style w:type="paragraph" w:customStyle="1" w:styleId="Endofdocument-Annex">
    <w:name w:val="[End of document - Annex]"/>
    <w:basedOn w:val="a"/>
    <w:rsid w:val="006A0775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iPriority w:val="99"/>
    <w:semiHidden/>
    <w:rsid w:val="006C73E6"/>
    <w:rPr>
      <w:rFonts w:cs="Times New Roman"/>
      <w:sz w:val="16"/>
      <w:szCs w:val="16"/>
    </w:rPr>
  </w:style>
  <w:style w:type="paragraph" w:styleId="a6">
    <w:name w:val="annotation text"/>
    <w:basedOn w:val="a"/>
    <w:link w:val="Char0"/>
    <w:uiPriority w:val="99"/>
    <w:semiHidden/>
    <w:rsid w:val="006C73E6"/>
    <w:rPr>
      <w:sz w:val="20"/>
    </w:rPr>
  </w:style>
  <w:style w:type="character" w:customStyle="1" w:styleId="Char0">
    <w:name w:val="批注文字 Char"/>
    <w:basedOn w:val="a0"/>
    <w:link w:val="a6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a7">
    <w:name w:val="annotation subject"/>
    <w:basedOn w:val="a6"/>
    <w:next w:val="a6"/>
    <w:link w:val="Char1"/>
    <w:uiPriority w:val="99"/>
    <w:semiHidden/>
    <w:rsid w:val="006C73E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8">
    <w:name w:val="header"/>
    <w:basedOn w:val="a"/>
    <w:link w:val="Char2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8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a9">
    <w:name w:val="footer"/>
    <w:basedOn w:val="a"/>
    <w:link w:val="Char3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9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117286"/>
    <w:pPr>
      <w:ind w:left="720"/>
      <w:contextualSpacing/>
    </w:pPr>
  </w:style>
  <w:style w:type="paragraph" w:styleId="ab">
    <w:name w:val="footnote text"/>
    <w:basedOn w:val="a"/>
    <w:link w:val="Char4"/>
    <w:uiPriority w:val="99"/>
    <w:semiHidden/>
    <w:unhideWhenUsed/>
    <w:rsid w:val="001740ED"/>
    <w:rPr>
      <w:sz w:val="20"/>
    </w:rPr>
  </w:style>
  <w:style w:type="character" w:customStyle="1" w:styleId="Char4">
    <w:name w:val="脚注文本 Char"/>
    <w:basedOn w:val="a0"/>
    <w:link w:val="ab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1740ED"/>
    <w:rPr>
      <w:vertAlign w:val="superscript"/>
    </w:rPr>
  </w:style>
  <w:style w:type="character" w:styleId="ad">
    <w:name w:val="Hyperlink"/>
    <w:basedOn w:val="a0"/>
    <w:uiPriority w:val="99"/>
    <w:unhideWhenUsed/>
    <w:rsid w:val="00ED17A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D17A9"/>
    <w:rPr>
      <w:color w:val="800080" w:themeColor="followedHyperlink"/>
      <w:u w:val="single"/>
    </w:rPr>
  </w:style>
  <w:style w:type="paragraph" w:customStyle="1" w:styleId="Endofdocument-Annex">
    <w:name w:val="[End of document - Annex]"/>
    <w:basedOn w:val="a"/>
    <w:rsid w:val="006A0775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tk/en/igc/preparation/" TargetMode="External"/><Relationship Id="rId1" Type="http://schemas.openxmlformats.org/officeDocument/2006/relationships/hyperlink" Target="http://www.wipo.int/tk/en/igc/prepa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AFBA-3E37-486B-B0A9-E0AB3A642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0F1A5-93EA-4242-A3DB-4DD75168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临时日程安排</dc:subject>
  <dc:creator/>
  <cp:lastModifiedBy>Yanmei Li</cp:lastModifiedBy>
  <cp:revision>69</cp:revision>
  <cp:lastPrinted>2016-11-21T11:09:00Z</cp:lastPrinted>
  <dcterms:created xsi:type="dcterms:W3CDTF">2016-11-18T14:44:00Z</dcterms:created>
  <dcterms:modified xsi:type="dcterms:W3CDTF">2016-11-21T12:34:00Z</dcterms:modified>
</cp:coreProperties>
</file>