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C5C" w14:textId="7FDA72C8" w:rsidR="008B2CC1" w:rsidRPr="00F043DE" w:rsidRDefault="00AE697C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34BDA728" wp14:editId="6AC26852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3B303" w14:textId="77777777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GRATK/DC/</w:t>
      </w:r>
      <w:bookmarkStart w:id="0" w:name="Code"/>
      <w:bookmarkEnd w:id="0"/>
      <w:r>
        <w:rPr>
          <w:rFonts w:ascii="Arial Black" w:hAnsi="Arial Black"/>
          <w:caps/>
          <w:sz w:val="15"/>
        </w:rPr>
        <w:t>4</w:t>
      </w:r>
    </w:p>
    <w:p w14:paraId="23D75FC5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1881CEC7" w14:textId="3166B2D2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28 марта 2024 года</w:t>
      </w:r>
    </w:p>
    <w:bookmarkEnd w:id="2"/>
    <w:p w14:paraId="46E66356" w14:textId="6393F98A" w:rsidR="008B2CC1" w:rsidRPr="00720EFD" w:rsidRDefault="00221F01" w:rsidP="004A5A63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Дипломатическая конференция по заключению международно</w:t>
      </w:r>
      <w:r w:rsidR="005A52C1">
        <w:rPr>
          <w:caps w:val="0"/>
          <w:sz w:val="28"/>
        </w:rPr>
        <w:noBreakHyphen/>
      </w:r>
      <w:r>
        <w:rPr>
          <w:caps w:val="0"/>
          <w:sz w:val="28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0F7DB92E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13–24 мая 2024 года</w:t>
      </w:r>
    </w:p>
    <w:p w14:paraId="6535D281" w14:textId="77777777" w:rsidR="008B2CC1" w:rsidRPr="003845C1" w:rsidRDefault="007B2078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ДОПУСК НАБЛЮДАТЕЛЕЙ</w:t>
      </w:r>
    </w:p>
    <w:p w14:paraId="5CD992ED" w14:textId="2A2DC63E" w:rsidR="002928D3" w:rsidRDefault="00E91D53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</w:t>
      </w:r>
      <w:r w:rsidR="007B2078">
        <w:rPr>
          <w:i/>
        </w:rPr>
        <w:t>окумент подготовлен Секретариатом</w:t>
      </w:r>
    </w:p>
    <w:p w14:paraId="277B6CF8" w14:textId="089501E0" w:rsidR="00AE1367" w:rsidRDefault="00AE1367" w:rsidP="00AB3BE5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Со времени проведения заседания Подготовительного комитета Дипломатической конференции по заключению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на котором был утвержден список приглашенных на Дипломатическую конференцию (GRATK/PM/4 и GRATK/PM/5 Rev., пункт 12), Генеральный директор получил просьбу о допуске к участию в Дипломатической конференции в качестве наблюдателей от каждой из следующих неправительственных организаций (НПО):</w:t>
      </w:r>
    </w:p>
    <w:p w14:paraId="7799ED33" w14:textId="5872FCF3" w:rsidR="008557F6" w:rsidRPr="008557F6" w:rsidRDefault="008557F6" w:rsidP="00AE1367">
      <w:pPr>
        <w:pStyle w:val="ONUME"/>
        <w:numPr>
          <w:ilvl w:val="0"/>
          <w:numId w:val="7"/>
        </w:numPr>
        <w:rPr>
          <w:iCs/>
        </w:rPr>
      </w:pPr>
      <w:bookmarkStart w:id="5" w:name="_Hlk162271766"/>
      <w:r>
        <w:t>Международная федерация семеноводов (МФС);</w:t>
      </w:r>
    </w:p>
    <w:p w14:paraId="1D5E4BF0" w14:textId="15D5F19B" w:rsidR="00AE1367" w:rsidRPr="00AE1367" w:rsidRDefault="00202EE2" w:rsidP="00AE1367">
      <w:pPr>
        <w:pStyle w:val="ONUME"/>
        <w:numPr>
          <w:ilvl w:val="0"/>
          <w:numId w:val="7"/>
        </w:numPr>
        <w:rPr>
          <w:iCs/>
        </w:rPr>
      </w:pPr>
      <w:r>
        <w:t>Абердинский университет</w:t>
      </w:r>
      <w:bookmarkEnd w:id="5"/>
      <w:r>
        <w:t>; и</w:t>
      </w:r>
    </w:p>
    <w:p w14:paraId="053E1F4B" w14:textId="339BBDC7" w:rsidR="00AE1367" w:rsidRPr="00AE1367" w:rsidRDefault="00202EE2" w:rsidP="00AB3BE5">
      <w:pPr>
        <w:pStyle w:val="ONUME"/>
        <w:numPr>
          <w:ilvl w:val="0"/>
          <w:numId w:val="7"/>
        </w:numPr>
        <w:spacing w:after="240"/>
      </w:pPr>
      <w:r>
        <w:t>Университет Нового Южного Уэльса (UNSW).</w:t>
      </w:r>
    </w:p>
    <w:p w14:paraId="2D3116C7" w14:textId="4BA276AA" w:rsidR="00AE1367" w:rsidRDefault="00AE1367" w:rsidP="00AB3BE5">
      <w:pPr>
        <w:pStyle w:val="ONUME"/>
        <w:numPr>
          <w:ilvl w:val="0"/>
          <w:numId w:val="0"/>
        </w:numPr>
        <w:spacing w:after="240"/>
      </w:pPr>
      <w:r>
        <w:fldChar w:fldCharType="begin"/>
      </w:r>
      <w:r w:rsidRPr="00016CEF">
        <w:instrText xml:space="preserve"> AUTONUM  </w:instrText>
      </w:r>
      <w:r>
        <w:fldChar w:fldCharType="end"/>
      </w:r>
      <w:r>
        <w:tab/>
        <w:t>Краткая информация о каждой из НПО, упомянутой в пункте 1, выше, а именно о ее штаб-квартире, целях и структуре, приводится в Приложении к настоящему документу. Предлагается пригласить НПО, упомянутые в пункте 1, на Дипломатическую конференцию в качестве «наблюдателей».</w:t>
      </w:r>
    </w:p>
    <w:p w14:paraId="303D620B" w14:textId="7F5651FA" w:rsidR="00AE1367" w:rsidRDefault="00AE1367" w:rsidP="00AB3BE5">
      <w:pPr>
        <w:pStyle w:val="Endofdocument-Annex"/>
        <w:spacing w:after="240"/>
      </w:pPr>
      <w:r w:rsidRPr="00016CEF">
        <w:rPr>
          <w:i/>
        </w:rPr>
        <w:lastRenderedPageBreak/>
        <w:fldChar w:fldCharType="begin"/>
      </w:r>
      <w:r w:rsidRPr="00016CEF">
        <w:rPr>
          <w:i/>
        </w:rPr>
        <w:instrText xml:space="preserve"> AUTONUM  </w:instrText>
      </w:r>
      <w:r w:rsidRPr="00016CEF">
        <w:rPr>
          <w:i/>
        </w:rPr>
        <w:fldChar w:fldCharType="end"/>
      </w:r>
      <w:r>
        <w:rPr>
          <w:i/>
        </w:rPr>
        <w:tab/>
        <w:t>Дипломатической конференции предлагается принять решение в отношении предложения, содержащегося в пункте 2, выше.</w:t>
      </w:r>
    </w:p>
    <w:p w14:paraId="776EEA1F" w14:textId="77777777" w:rsidR="008D7686" w:rsidRDefault="00AE1367" w:rsidP="00A31EC8">
      <w:pPr>
        <w:pStyle w:val="Endofdocument-Annex"/>
        <w:sectPr w:rsidR="008D7686" w:rsidSect="00360478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>
        <w:t xml:space="preserve">[Приложение следует] </w:t>
      </w:r>
    </w:p>
    <w:p w14:paraId="229A23E1" w14:textId="5CADEBFD" w:rsidR="00AE1367" w:rsidRPr="00FF3FCC" w:rsidRDefault="008557F6" w:rsidP="00AB3BE5">
      <w:pPr>
        <w:spacing w:after="240" w:line="276" w:lineRule="auto"/>
        <w:rPr>
          <w:u w:val="single"/>
        </w:rPr>
      </w:pPr>
      <w:r>
        <w:rPr>
          <w:u w:val="single"/>
        </w:rPr>
        <w:lastRenderedPageBreak/>
        <w:t>Международная федерация семеноводов (МФС)</w:t>
      </w:r>
    </w:p>
    <w:p w14:paraId="0CF0518D" w14:textId="32AF29CE" w:rsidR="008557F6" w:rsidRDefault="008557F6" w:rsidP="0014103E">
      <w:pPr>
        <w:spacing w:after="240"/>
        <w:rPr>
          <w:szCs w:val="22"/>
          <w:shd w:val="clear" w:color="auto" w:fill="FFFFFF"/>
        </w:rPr>
      </w:pPr>
      <w:r>
        <w:rPr>
          <w:shd w:val="clear" w:color="auto" w:fill="FFFFFF"/>
        </w:rPr>
        <w:t>Штаб-квартира. МФС была основана в 1924 году; ее штаб-квартира располагается в Нионе, Швейцария.</w:t>
      </w:r>
    </w:p>
    <w:p w14:paraId="7F29E469" w14:textId="68732680" w:rsidR="008557F6" w:rsidRPr="00D63755" w:rsidRDefault="008557F6" w:rsidP="0014103E">
      <w:pPr>
        <w:spacing w:after="240"/>
        <w:rPr>
          <w:rFonts w:eastAsia="Times New Roman"/>
          <w:szCs w:val="22"/>
        </w:rPr>
      </w:pPr>
      <w:r>
        <w:rPr>
          <w:shd w:val="clear" w:color="auto" w:fill="FFFFFF"/>
        </w:rPr>
        <w:t xml:space="preserve">Цели. МФС стремится к всеобщей доступности высококачественных семян в мире, поддерживая устойчивое сельское хозяйство и продовольственную безопасность. Миссия МФС состоит в создании наилучшей среды для глобального перемещения семян и содействия селекции растений и инновациям, касающимся семеноводства, при неизменном уважении основополагающих ценностей МФС, которые включают добросовестность, инновации, сотрудничество и устойчивость. </w:t>
      </w:r>
      <w:r>
        <w:t>Поскольку члены МФС, представляющие сектор селекции и семеноводства, работают исключительно с генетическими ресурсами и связанными с ними технологиями, обеспечение сильных и эффективных прав интеллектуальной собственности имеет важнейшее значение.</w:t>
      </w:r>
    </w:p>
    <w:p w14:paraId="0BC0840E" w14:textId="0860FB96" w:rsidR="008557F6" w:rsidRPr="008557F6" w:rsidRDefault="008557F6" w:rsidP="0014103E">
      <w:pPr>
        <w:spacing w:after="240"/>
        <w:rPr>
          <w:szCs w:val="22"/>
          <w:shd w:val="clear" w:color="auto" w:fill="FFFFFF"/>
        </w:rPr>
      </w:pPr>
      <w:r>
        <w:rPr>
          <w:shd w:val="clear" w:color="auto" w:fill="FFFFFF"/>
        </w:rPr>
        <w:t xml:space="preserve">Структура. </w:t>
      </w:r>
      <w:r>
        <w:t>Повседневно</w:t>
      </w:r>
      <w:r w:rsidR="00382750">
        <w:t>е</w:t>
      </w:r>
      <w:r>
        <w:t xml:space="preserve"> управление работой ассоциации возложено на Секретариат МФС. Основным органом, ответственным за принятие решений, является Генеральная Ассамблея, которая собирается раз в год и состоит из всех членов МФС. В МФС также есть Совет директоров.</w:t>
      </w:r>
    </w:p>
    <w:p w14:paraId="2541609F" w14:textId="74492A74" w:rsidR="00C47ED7" w:rsidRDefault="00C47ED7" w:rsidP="00AB3BE5">
      <w:pPr>
        <w:spacing w:after="240"/>
        <w:rPr>
          <w:szCs w:val="22"/>
          <w:u w:val="single"/>
        </w:rPr>
      </w:pPr>
      <w:r>
        <w:rPr>
          <w:u w:val="single"/>
        </w:rPr>
        <w:t>Абердинский университет</w:t>
      </w:r>
    </w:p>
    <w:p w14:paraId="58246AAF" w14:textId="61BF35F4" w:rsidR="00C47ED7" w:rsidRDefault="00C47ED7" w:rsidP="0014103E">
      <w:pPr>
        <w:spacing w:after="240"/>
        <w:rPr>
          <w:szCs w:val="22"/>
          <w:shd w:val="clear" w:color="auto" w:fill="FFFFFF"/>
        </w:rPr>
      </w:pPr>
      <w:r>
        <w:rPr>
          <w:shd w:val="clear" w:color="auto" w:fill="FFFFFF"/>
        </w:rPr>
        <w:t>Штаб-квартира. Абердинский университет был основан в 1495 году; его штаб-квартира находится в Абердине, Соединенное Королевство.</w:t>
      </w:r>
    </w:p>
    <w:p w14:paraId="081D9AE3" w14:textId="25A62288" w:rsidR="00C47ED7" w:rsidRDefault="00C47ED7" w:rsidP="0014103E">
      <w:pPr>
        <w:spacing w:after="240"/>
        <w:rPr>
          <w:rFonts w:eastAsia="Times New Roman"/>
          <w:szCs w:val="22"/>
        </w:rPr>
      </w:pPr>
      <w:r>
        <w:rPr>
          <w:shd w:val="clear" w:color="auto" w:fill="FFFFFF"/>
        </w:rPr>
        <w:t xml:space="preserve">Цели. Абердинский университет занимается образовательной и исследовательской деятельностью. В стратегическом видении Университета «Абердин — 2040», реализация которого началась в феврале 2020 года, изложена стратегия на 20 лет, которая позволит </w:t>
      </w:r>
      <w:r w:rsidR="00382697">
        <w:rPr>
          <w:shd w:val="clear" w:color="auto" w:fill="FFFFFF"/>
        </w:rPr>
        <w:t>У</w:t>
      </w:r>
      <w:r>
        <w:rPr>
          <w:shd w:val="clear" w:color="auto" w:fill="FFFFFF"/>
        </w:rPr>
        <w:t>ниверситету и впредь добиваться своей основополагающей цели через образование и исследования, которые оказывают положительное влияние на Абердин, Северо</w:t>
      </w:r>
      <w:r w:rsidR="00514828">
        <w:rPr>
          <w:shd w:val="clear" w:color="auto" w:fill="FFFFFF"/>
        </w:rPr>
        <w:noBreakHyphen/>
      </w:r>
      <w:r>
        <w:rPr>
          <w:shd w:val="clear" w:color="auto" w:fill="FFFFFF"/>
        </w:rPr>
        <w:t xml:space="preserve">Восточную Шотландию и мир в целом. В своей образовательной и исследовательской деятельности Университет стремится быть инклюзивным, междисциплинарным, международным и устойчивым и делает акцент на окружающей среде и биоразнообразии. </w:t>
      </w:r>
      <w:r>
        <w:t>Текущие инициативы включают исследования, преподавание и выработку политики в области традиционных знаний и генетических ресурсов, интеллектуальной собственности, прав человека и изменения климата, интеллектуальной собственности и здравоохранения, передачи технологии и укрепления потенциала.</w:t>
      </w:r>
    </w:p>
    <w:p w14:paraId="0A88511F" w14:textId="0B2574D4" w:rsidR="00C47ED7" w:rsidRPr="002E49CB" w:rsidRDefault="00C47ED7" w:rsidP="0014103E">
      <w:pPr>
        <w:spacing w:after="240"/>
        <w:rPr>
          <w:rStyle w:val="Emphasis"/>
          <w:i w:val="0"/>
          <w:iCs w:val="0"/>
          <w:szCs w:val="22"/>
          <w:shd w:val="clear" w:color="auto" w:fill="FFFFFF"/>
        </w:rPr>
      </w:pPr>
      <w:r>
        <w:rPr>
          <w:shd w:val="clear" w:color="auto" w:fill="FFFFFF"/>
        </w:rPr>
        <w:t>Структура. Три основных элемента структуры управления Университета включают Университетский суд, который выступает руководящим органом; Сенат, который задает направление научной работе Университета; и Группу высших должностных лиц, которая занимается организацией текущей деятельности этого учреждения.</w:t>
      </w:r>
    </w:p>
    <w:p w14:paraId="07315B37" w14:textId="12A38D75" w:rsidR="00103F82" w:rsidRPr="00FF3FCC" w:rsidRDefault="00103F82" w:rsidP="00AB3BE5">
      <w:pPr>
        <w:spacing w:after="240"/>
        <w:rPr>
          <w:b/>
          <w:szCs w:val="26"/>
          <w:u w:val="single"/>
        </w:rPr>
      </w:pPr>
      <w:r>
        <w:rPr>
          <w:u w:val="single"/>
        </w:rPr>
        <w:t>Университет Нового Южного Уэльса (UNSW)</w:t>
      </w:r>
    </w:p>
    <w:p w14:paraId="0B85010F" w14:textId="36FF91ED" w:rsidR="00103F82" w:rsidRPr="00AB3BE5" w:rsidRDefault="00103F82" w:rsidP="0014103E">
      <w:pPr>
        <w:spacing w:after="240"/>
        <w:rPr>
          <w:bCs/>
          <w:szCs w:val="22"/>
        </w:rPr>
      </w:pPr>
      <w:r>
        <w:t>Штаб-квартира. UNSW был основан в 1949 году; его штаб-квартира располагается в Сиднее, Новый Южный Уэльс, Австралия.</w:t>
      </w:r>
    </w:p>
    <w:p w14:paraId="583717FA" w14:textId="5D2B25DA" w:rsidR="00514828" w:rsidRPr="00AB3BE5" w:rsidRDefault="00103F82" w:rsidP="0014103E">
      <w:pPr>
        <w:spacing w:after="240"/>
        <w:rPr>
          <w:bCs/>
          <w:szCs w:val="22"/>
        </w:rPr>
      </w:pPr>
      <w:r>
        <w:t xml:space="preserve">Цели. UNSW стремится поощрять научные знания, исследовательскую работу, свободные исследования, взаимодействие между </w:t>
      </w:r>
      <w:r w:rsidR="00A645E0">
        <w:t>исследовательской</w:t>
      </w:r>
      <w:r>
        <w:t xml:space="preserve"> и </w:t>
      </w:r>
      <w:r w:rsidR="00A645E0">
        <w:t>просветительской деятельностью</w:t>
      </w:r>
      <w:r>
        <w:t>, а также высокие стандарты обучения. Indigenous Knowledge Futures («Будущее знаний коренных народов») – это инновационный проект Австралийского научно</w:t>
      </w:r>
      <w:r w:rsidR="00382697">
        <w:noBreakHyphen/>
      </w:r>
      <w:r>
        <w:t xml:space="preserve">исследовательского совета, который осуществляется Группой по окружающей </w:t>
      </w:r>
      <w:r>
        <w:lastRenderedPageBreak/>
        <w:t xml:space="preserve">среде и обществу в UNSW. Цель проекта заключается в проведении исследования о знаниях коренных народов в Австралии и Тихоокеанском регионе и разработке инструментов для охраны и содействия распространению знаний коренных народов (например, </w:t>
      </w:r>
      <w:r w:rsidR="00382697">
        <w:t xml:space="preserve">среди прочих, </w:t>
      </w:r>
      <w:r>
        <w:t>свидетельств, биокультурных протоколов, механизмов патентного раскрытия или указания происхождения, процедур получения доступа и совместного пользования выгодами).</w:t>
      </w:r>
    </w:p>
    <w:p w14:paraId="6EF32781" w14:textId="68607563" w:rsidR="00103F82" w:rsidRDefault="00103F82" w:rsidP="0014103E">
      <w:pPr>
        <w:spacing w:after="840"/>
        <w:rPr>
          <w:szCs w:val="22"/>
        </w:rPr>
      </w:pPr>
      <w:r>
        <w:t xml:space="preserve">Структура. В UNSW есть административное должностное лицо, которое управляет делами </w:t>
      </w:r>
      <w:r w:rsidR="002214DA">
        <w:t>У</w:t>
      </w:r>
      <w:r>
        <w:t xml:space="preserve">ниверситета (в первую очередь исследовательской и просветительской </w:t>
      </w:r>
      <w:r w:rsidR="00AA2DC5">
        <w:t>работой</w:t>
      </w:r>
      <w:r>
        <w:t xml:space="preserve">), а также Совет университета и Ученый совет, которые консультируют административное должностное лицо по вопросам правомерной, безопасной и эффективной деятельности </w:t>
      </w:r>
      <w:r w:rsidR="000F5333">
        <w:t>У</w:t>
      </w:r>
      <w:r>
        <w:t>ниверситета.</w:t>
      </w:r>
    </w:p>
    <w:p w14:paraId="21E675CD" w14:textId="2DE1E730" w:rsidR="002326AB" w:rsidRDefault="00C47ED7" w:rsidP="00A31EC8">
      <w:pPr>
        <w:spacing w:line="276" w:lineRule="auto"/>
        <w:ind w:left="5103"/>
      </w:pPr>
      <w:r>
        <w:t>[Конец приложения и документа]</w:t>
      </w:r>
    </w:p>
    <w:sectPr w:rsidR="002326AB" w:rsidSect="00194254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0029" w14:textId="77777777" w:rsidR="007B2078" w:rsidRDefault="007B2078">
      <w:r>
        <w:separator/>
      </w:r>
    </w:p>
  </w:endnote>
  <w:endnote w:type="continuationSeparator" w:id="0">
    <w:p w14:paraId="4BB60C0B" w14:textId="77777777" w:rsidR="007B2078" w:rsidRDefault="007B2078" w:rsidP="003B38C1">
      <w:r>
        <w:separator/>
      </w:r>
    </w:p>
    <w:p w14:paraId="21F8E042" w14:textId="77777777" w:rsidR="007B2078" w:rsidRPr="00AE697C" w:rsidRDefault="007B2078" w:rsidP="003B38C1">
      <w:pPr>
        <w:spacing w:after="60"/>
        <w:rPr>
          <w:sz w:val="17"/>
          <w:lang w:val="en-US"/>
        </w:rPr>
      </w:pPr>
      <w:r w:rsidRPr="00AE697C">
        <w:rPr>
          <w:sz w:val="17"/>
          <w:lang w:val="en-US"/>
        </w:rPr>
        <w:t>[Endnote continued from previous page]</w:t>
      </w:r>
    </w:p>
  </w:endnote>
  <w:endnote w:type="continuationNotice" w:id="1">
    <w:p w14:paraId="596A8D72" w14:textId="77777777" w:rsidR="007B2078" w:rsidRPr="00AE697C" w:rsidRDefault="007B2078" w:rsidP="003B38C1">
      <w:pPr>
        <w:spacing w:before="60"/>
        <w:jc w:val="right"/>
        <w:rPr>
          <w:sz w:val="17"/>
          <w:szCs w:val="17"/>
          <w:lang w:val="en-US"/>
        </w:rPr>
      </w:pPr>
      <w:r w:rsidRPr="00AE697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911E" w14:textId="77777777" w:rsidR="007B2078" w:rsidRDefault="007B2078">
      <w:r>
        <w:separator/>
      </w:r>
    </w:p>
  </w:footnote>
  <w:footnote w:type="continuationSeparator" w:id="0">
    <w:p w14:paraId="25461671" w14:textId="77777777" w:rsidR="007B2078" w:rsidRDefault="007B2078" w:rsidP="008B60B2">
      <w:r>
        <w:separator/>
      </w:r>
    </w:p>
    <w:p w14:paraId="0CD7B343" w14:textId="77777777" w:rsidR="007B2078" w:rsidRPr="00AE697C" w:rsidRDefault="007B2078" w:rsidP="008B60B2">
      <w:pPr>
        <w:spacing w:after="60"/>
        <w:rPr>
          <w:sz w:val="17"/>
          <w:szCs w:val="17"/>
          <w:lang w:val="en-US"/>
        </w:rPr>
      </w:pPr>
      <w:r w:rsidRPr="00AE697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521AA89" w14:textId="77777777" w:rsidR="007B2078" w:rsidRPr="00AE697C" w:rsidRDefault="007B2078" w:rsidP="008B60B2">
      <w:pPr>
        <w:spacing w:before="60"/>
        <w:jc w:val="right"/>
        <w:rPr>
          <w:sz w:val="17"/>
          <w:szCs w:val="17"/>
          <w:lang w:val="en-US"/>
        </w:rPr>
      </w:pPr>
      <w:r w:rsidRPr="00AE697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21FF" w14:textId="77777777" w:rsidR="00360478" w:rsidRDefault="00360478" w:rsidP="00360478">
    <w:pPr>
      <w:pStyle w:val="Header"/>
      <w:jc w:val="right"/>
    </w:pPr>
    <w:r>
      <w:t>GRATK/DC/4</w:t>
    </w:r>
  </w:p>
  <w:p w14:paraId="4C7BB1F0" w14:textId="09128A8B" w:rsidR="00360478" w:rsidRPr="00360478" w:rsidRDefault="00360478" w:rsidP="00360478">
    <w:pPr>
      <w:pStyle w:val="Header"/>
      <w:spacing w:after="600"/>
      <w:jc w:val="right"/>
      <w:rPr>
        <w:lang w:val="en-US"/>
      </w:rPr>
    </w:pPr>
    <w:r>
      <w:t>П</w:t>
    </w:r>
    <w:r>
      <w:t>риложение, стр.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8AFD" w14:textId="77777777" w:rsidR="008D7686" w:rsidRDefault="008D7686" w:rsidP="008D7686">
    <w:pPr>
      <w:pStyle w:val="Header"/>
      <w:jc w:val="right"/>
    </w:pPr>
    <w:r>
      <w:t>GRATK/DC/4</w:t>
    </w:r>
  </w:p>
  <w:p w14:paraId="254147C8" w14:textId="286ACD99" w:rsidR="008D7686" w:rsidRPr="008D7686" w:rsidRDefault="008D7686" w:rsidP="008D7686">
    <w:pPr>
      <w:pStyle w:val="Header"/>
      <w:spacing w:after="600"/>
      <w:jc w:val="right"/>
      <w:rPr>
        <w:lang w:val="en-US"/>
      </w:rPr>
    </w:pPr>
    <w: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C7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2313B0F"/>
    <w:multiLevelType w:val="hybridMultilevel"/>
    <w:tmpl w:val="C82AA68A"/>
    <w:lvl w:ilvl="0" w:tplc="85EE867E">
      <w:start w:val="1"/>
      <w:numFmt w:val="lowerRoman"/>
      <w:lvlText w:val="(%1)"/>
      <w:lvlJc w:val="left"/>
      <w:pPr>
        <w:tabs>
          <w:tab w:val="num" w:pos="1270"/>
        </w:tabs>
        <w:ind w:left="1270" w:hanging="7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477141">
    <w:abstractNumId w:val="3"/>
  </w:num>
  <w:num w:numId="2" w16cid:durableId="87777114">
    <w:abstractNumId w:val="6"/>
  </w:num>
  <w:num w:numId="3" w16cid:durableId="1510412581">
    <w:abstractNumId w:val="1"/>
  </w:num>
  <w:num w:numId="4" w16cid:durableId="1989355400">
    <w:abstractNumId w:val="7"/>
  </w:num>
  <w:num w:numId="5" w16cid:durableId="961686399">
    <w:abstractNumId w:val="2"/>
  </w:num>
  <w:num w:numId="6" w16cid:durableId="1006977770">
    <w:abstractNumId w:val="4"/>
  </w:num>
  <w:num w:numId="7" w16cid:durableId="270669027">
    <w:abstractNumId w:val="5"/>
  </w:num>
  <w:num w:numId="8" w16cid:durableId="26033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78"/>
    <w:rsid w:val="0001363E"/>
    <w:rsid w:val="00043CAA"/>
    <w:rsid w:val="00056816"/>
    <w:rsid w:val="00075432"/>
    <w:rsid w:val="000968ED"/>
    <w:rsid w:val="000A3D97"/>
    <w:rsid w:val="000C3943"/>
    <w:rsid w:val="000F5333"/>
    <w:rsid w:val="000F5E56"/>
    <w:rsid w:val="00103F82"/>
    <w:rsid w:val="001362EE"/>
    <w:rsid w:val="0014103E"/>
    <w:rsid w:val="0015191C"/>
    <w:rsid w:val="001647D5"/>
    <w:rsid w:val="001752BB"/>
    <w:rsid w:val="001832A6"/>
    <w:rsid w:val="00194254"/>
    <w:rsid w:val="001C34D9"/>
    <w:rsid w:val="001D4107"/>
    <w:rsid w:val="00202EE2"/>
    <w:rsid w:val="00203D24"/>
    <w:rsid w:val="0021217E"/>
    <w:rsid w:val="002214DA"/>
    <w:rsid w:val="00221F01"/>
    <w:rsid w:val="002326AB"/>
    <w:rsid w:val="00243430"/>
    <w:rsid w:val="002634C4"/>
    <w:rsid w:val="002928D3"/>
    <w:rsid w:val="002E49CB"/>
    <w:rsid w:val="002E4B34"/>
    <w:rsid w:val="002F1FE6"/>
    <w:rsid w:val="002F4E68"/>
    <w:rsid w:val="00312F7F"/>
    <w:rsid w:val="00313A4B"/>
    <w:rsid w:val="0034337C"/>
    <w:rsid w:val="00360478"/>
    <w:rsid w:val="00361450"/>
    <w:rsid w:val="003673CF"/>
    <w:rsid w:val="00382697"/>
    <w:rsid w:val="00382750"/>
    <w:rsid w:val="003845C1"/>
    <w:rsid w:val="003A6F89"/>
    <w:rsid w:val="003B38C1"/>
    <w:rsid w:val="003C14BB"/>
    <w:rsid w:val="003C34E9"/>
    <w:rsid w:val="00423E3E"/>
    <w:rsid w:val="00427AF4"/>
    <w:rsid w:val="004647DA"/>
    <w:rsid w:val="00474062"/>
    <w:rsid w:val="00477D6B"/>
    <w:rsid w:val="004A5A63"/>
    <w:rsid w:val="004F4445"/>
    <w:rsid w:val="005019FF"/>
    <w:rsid w:val="00514828"/>
    <w:rsid w:val="0053057A"/>
    <w:rsid w:val="00556076"/>
    <w:rsid w:val="00560A29"/>
    <w:rsid w:val="005A52C1"/>
    <w:rsid w:val="005B5419"/>
    <w:rsid w:val="005C6649"/>
    <w:rsid w:val="005C7D69"/>
    <w:rsid w:val="00605827"/>
    <w:rsid w:val="00646050"/>
    <w:rsid w:val="00660160"/>
    <w:rsid w:val="006713CA"/>
    <w:rsid w:val="00676C5C"/>
    <w:rsid w:val="006E01F3"/>
    <w:rsid w:val="00701BC8"/>
    <w:rsid w:val="00720EFD"/>
    <w:rsid w:val="007854AF"/>
    <w:rsid w:val="00793A7C"/>
    <w:rsid w:val="00797D18"/>
    <w:rsid w:val="007A398A"/>
    <w:rsid w:val="007B2078"/>
    <w:rsid w:val="007D1613"/>
    <w:rsid w:val="007E4C0E"/>
    <w:rsid w:val="007F261E"/>
    <w:rsid w:val="008557F6"/>
    <w:rsid w:val="00861333"/>
    <w:rsid w:val="008A134B"/>
    <w:rsid w:val="008A33BA"/>
    <w:rsid w:val="008B2CC1"/>
    <w:rsid w:val="008B60B2"/>
    <w:rsid w:val="008D7686"/>
    <w:rsid w:val="0090731E"/>
    <w:rsid w:val="00916EE2"/>
    <w:rsid w:val="00947970"/>
    <w:rsid w:val="009574DA"/>
    <w:rsid w:val="00966A22"/>
    <w:rsid w:val="0096722F"/>
    <w:rsid w:val="00980843"/>
    <w:rsid w:val="00990509"/>
    <w:rsid w:val="009E2791"/>
    <w:rsid w:val="009E3F6F"/>
    <w:rsid w:val="009E50EF"/>
    <w:rsid w:val="009F499F"/>
    <w:rsid w:val="00A31EC8"/>
    <w:rsid w:val="00A37342"/>
    <w:rsid w:val="00A42DAF"/>
    <w:rsid w:val="00A45BD8"/>
    <w:rsid w:val="00A645E0"/>
    <w:rsid w:val="00A869B7"/>
    <w:rsid w:val="00A90F0A"/>
    <w:rsid w:val="00AA2DC5"/>
    <w:rsid w:val="00AB3BE5"/>
    <w:rsid w:val="00AC205C"/>
    <w:rsid w:val="00AE1367"/>
    <w:rsid w:val="00AE697C"/>
    <w:rsid w:val="00AF0A6B"/>
    <w:rsid w:val="00B05A69"/>
    <w:rsid w:val="00B75281"/>
    <w:rsid w:val="00B92F1F"/>
    <w:rsid w:val="00B9734B"/>
    <w:rsid w:val="00BA30E2"/>
    <w:rsid w:val="00C11BFE"/>
    <w:rsid w:val="00C213B8"/>
    <w:rsid w:val="00C21880"/>
    <w:rsid w:val="00C47ED7"/>
    <w:rsid w:val="00C5068F"/>
    <w:rsid w:val="00C86D74"/>
    <w:rsid w:val="00CA0E3C"/>
    <w:rsid w:val="00CD04F1"/>
    <w:rsid w:val="00CD3E6B"/>
    <w:rsid w:val="00CF681A"/>
    <w:rsid w:val="00D07C78"/>
    <w:rsid w:val="00D11433"/>
    <w:rsid w:val="00D23ABF"/>
    <w:rsid w:val="00D4292F"/>
    <w:rsid w:val="00D45252"/>
    <w:rsid w:val="00D63755"/>
    <w:rsid w:val="00D71B4D"/>
    <w:rsid w:val="00D93D55"/>
    <w:rsid w:val="00DD7B7F"/>
    <w:rsid w:val="00E15015"/>
    <w:rsid w:val="00E335FE"/>
    <w:rsid w:val="00E91D53"/>
    <w:rsid w:val="00EA7D6E"/>
    <w:rsid w:val="00EB2F76"/>
    <w:rsid w:val="00EC4E49"/>
    <w:rsid w:val="00ED77FB"/>
    <w:rsid w:val="00EE2CF9"/>
    <w:rsid w:val="00EE45FA"/>
    <w:rsid w:val="00EF55A7"/>
    <w:rsid w:val="00F043DE"/>
    <w:rsid w:val="00F067C4"/>
    <w:rsid w:val="00F07F83"/>
    <w:rsid w:val="00F66152"/>
    <w:rsid w:val="00F9165B"/>
    <w:rsid w:val="00FC482F"/>
    <w:rsid w:val="00FD0C9B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BE6116"/>
  <w15:docId w15:val="{D46BBDB2-3021-46A2-90B0-A75EE9E7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7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AE1367"/>
    <w:rPr>
      <w:rFonts w:ascii="Arial" w:eastAsia="SimSun" w:hAnsi="Arial" w:cs="Arial"/>
      <w:sz w:val="22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103F82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Emphasis">
    <w:name w:val="Emphasis"/>
    <w:basedOn w:val="DefaultParagraphFont"/>
    <w:qFormat/>
    <w:rsid w:val="002E49CB"/>
    <w:rPr>
      <w:i/>
      <w:iCs/>
    </w:rPr>
  </w:style>
  <w:style w:type="character" w:customStyle="1" w:styleId="HeaderChar">
    <w:name w:val="Header Char"/>
    <w:basedOn w:val="DefaultParagraphFont"/>
    <w:link w:val="Header"/>
    <w:rsid w:val="008557F6"/>
    <w:rPr>
      <w:rFonts w:ascii="Arial" w:eastAsia="SimSun" w:hAnsi="Arial" w:cs="Arial"/>
      <w:sz w:val="22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F07F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7F8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7F83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07F83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F07F8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44</TotalTime>
  <Pages>4</Pages>
  <Words>604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subject/>
  <dc:creator>MCCAULEY Tana</dc:creator>
  <cp:keywords>Annex, page 2</cp:keywords>
  <cp:lastModifiedBy>ZAROCHENTSEVA Anna</cp:lastModifiedBy>
  <cp:revision>36</cp:revision>
  <cp:lastPrinted>2011-02-15T11:56:00Z</cp:lastPrinted>
  <dcterms:created xsi:type="dcterms:W3CDTF">2024-04-05T12:25:00Z</dcterms:created>
  <dcterms:modified xsi:type="dcterms:W3CDTF">2024-04-25T09:08:00Z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