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2ED15" w14:textId="77777777" w:rsidR="008B2CC1" w:rsidRPr="00965846" w:rsidRDefault="0040540C" w:rsidP="008D41C3">
      <w:pPr>
        <w:pBdr>
          <w:bottom w:val="single" w:sz="4" w:space="11" w:color="auto"/>
        </w:pBdr>
        <w:spacing w:after="120"/>
        <w:jc w:val="right"/>
        <w:rPr>
          <w:lang w:val="fr-FR"/>
        </w:rPr>
      </w:pPr>
      <w:r w:rsidRPr="00965846">
        <w:rPr>
          <w:noProof/>
          <w:lang w:val="fr-FR" w:eastAsia="fr-CH"/>
        </w:rPr>
        <w:drawing>
          <wp:inline distT="0" distB="0" distL="0" distR="0" wp14:anchorId="38B791C5" wp14:editId="75600788">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5F4E3CBB" w14:textId="35F0958C" w:rsidR="00B1090C" w:rsidRPr="00965846" w:rsidRDefault="00C21CC0" w:rsidP="0040540C">
      <w:pPr>
        <w:jc w:val="right"/>
        <w:rPr>
          <w:rFonts w:ascii="Arial Black" w:hAnsi="Arial Black"/>
          <w:caps/>
          <w:sz w:val="15"/>
          <w:lang w:val="fr-FR"/>
        </w:rPr>
      </w:pPr>
      <w:r w:rsidRPr="00965846">
        <w:rPr>
          <w:rFonts w:ascii="Arial Black" w:hAnsi="Arial Black"/>
          <w:caps/>
          <w:sz w:val="15"/>
          <w:lang w:val="fr-FR"/>
        </w:rPr>
        <w:t>wipo/grtkf/ic/</w:t>
      </w:r>
      <w:r w:rsidR="0081262E" w:rsidRPr="00965846">
        <w:rPr>
          <w:rFonts w:ascii="Arial Black" w:hAnsi="Arial Black"/>
          <w:caps/>
          <w:sz w:val="15"/>
          <w:lang w:val="fr-FR"/>
        </w:rPr>
        <w:t>SS/GE/23</w:t>
      </w:r>
      <w:bookmarkStart w:id="0" w:name="Code"/>
      <w:bookmarkEnd w:id="0"/>
      <w:r w:rsidR="007228A1" w:rsidRPr="00965846">
        <w:rPr>
          <w:rFonts w:ascii="Arial Black" w:hAnsi="Arial Black"/>
          <w:caps/>
          <w:sz w:val="15"/>
          <w:lang w:val="fr-FR"/>
        </w:rPr>
        <w:t>/3</w:t>
      </w:r>
    </w:p>
    <w:p w14:paraId="577CC6AC" w14:textId="05B372A1" w:rsidR="008B2CC1" w:rsidRPr="00965846" w:rsidRDefault="00B1090C" w:rsidP="0040540C">
      <w:pPr>
        <w:jc w:val="right"/>
        <w:rPr>
          <w:rFonts w:ascii="Arial Black" w:hAnsi="Arial Black"/>
          <w:sz w:val="15"/>
          <w:szCs w:val="15"/>
          <w:lang w:val="fr-FR"/>
        </w:rPr>
      </w:pPr>
      <w:r w:rsidRPr="00965846">
        <w:rPr>
          <w:rFonts w:ascii="Arial Black" w:hAnsi="Arial Black"/>
          <w:caps/>
          <w:sz w:val="15"/>
          <w:szCs w:val="15"/>
          <w:lang w:val="fr-FR"/>
        </w:rPr>
        <w:t>ORIGINAL</w:t>
      </w:r>
      <w:r w:rsidR="00145E61" w:rsidRPr="00965846">
        <w:rPr>
          <w:rFonts w:ascii="Arial Black" w:hAnsi="Arial Black"/>
          <w:caps/>
          <w:sz w:val="15"/>
          <w:szCs w:val="15"/>
          <w:lang w:val="fr-FR"/>
        </w:rPr>
        <w:t> :</w:t>
      </w:r>
      <w:r w:rsidR="002956DE" w:rsidRPr="00965846">
        <w:rPr>
          <w:rFonts w:ascii="Arial Black" w:hAnsi="Arial Black"/>
          <w:caps/>
          <w:sz w:val="15"/>
          <w:szCs w:val="15"/>
          <w:lang w:val="fr-FR"/>
        </w:rPr>
        <w:t xml:space="preserve"> </w:t>
      </w:r>
      <w:bookmarkStart w:id="1" w:name="Original"/>
      <w:r w:rsidR="007228A1" w:rsidRPr="00965846">
        <w:rPr>
          <w:rFonts w:ascii="Arial Black" w:hAnsi="Arial Black"/>
          <w:caps/>
          <w:sz w:val="15"/>
          <w:szCs w:val="15"/>
          <w:lang w:val="fr-FR"/>
        </w:rPr>
        <w:t>anglais</w:t>
      </w:r>
    </w:p>
    <w:bookmarkEnd w:id="1"/>
    <w:p w14:paraId="68DE8E2C" w14:textId="6A98E940" w:rsidR="008B2CC1" w:rsidRPr="00965846" w:rsidRDefault="00B1090C" w:rsidP="00B1090C">
      <w:pPr>
        <w:spacing w:after="1200"/>
        <w:jc w:val="right"/>
        <w:rPr>
          <w:rFonts w:ascii="Arial Black" w:hAnsi="Arial Black"/>
          <w:sz w:val="15"/>
          <w:szCs w:val="15"/>
          <w:lang w:val="fr-FR"/>
        </w:rPr>
      </w:pPr>
      <w:r w:rsidRPr="00965846">
        <w:rPr>
          <w:rFonts w:ascii="Arial Black" w:hAnsi="Arial Black"/>
          <w:caps/>
          <w:sz w:val="15"/>
          <w:szCs w:val="15"/>
          <w:lang w:val="fr-FR"/>
        </w:rPr>
        <w:t>DATE</w:t>
      </w:r>
      <w:r w:rsidR="00145E61" w:rsidRPr="00965846">
        <w:rPr>
          <w:rFonts w:ascii="Arial Black" w:hAnsi="Arial Black"/>
          <w:caps/>
          <w:sz w:val="15"/>
          <w:szCs w:val="15"/>
          <w:lang w:val="fr-FR"/>
        </w:rPr>
        <w:t> :</w:t>
      </w:r>
      <w:r w:rsidR="002956DE" w:rsidRPr="00965846">
        <w:rPr>
          <w:rFonts w:ascii="Arial Black" w:hAnsi="Arial Black"/>
          <w:caps/>
          <w:sz w:val="15"/>
          <w:szCs w:val="15"/>
          <w:lang w:val="fr-FR"/>
        </w:rPr>
        <w:t xml:space="preserve"> </w:t>
      </w:r>
      <w:bookmarkStart w:id="2" w:name="Date"/>
      <w:r w:rsidR="00145E61" w:rsidRPr="00965846">
        <w:rPr>
          <w:rFonts w:ascii="Arial Black" w:hAnsi="Arial Black"/>
          <w:caps/>
          <w:sz w:val="15"/>
          <w:szCs w:val="15"/>
          <w:lang w:val="fr-FR"/>
        </w:rPr>
        <w:t>8 août 20</w:t>
      </w:r>
      <w:r w:rsidR="007228A1" w:rsidRPr="00965846">
        <w:rPr>
          <w:rFonts w:ascii="Arial Black" w:hAnsi="Arial Black"/>
          <w:caps/>
          <w:sz w:val="15"/>
          <w:szCs w:val="15"/>
          <w:lang w:val="fr-FR"/>
        </w:rPr>
        <w:t>23</w:t>
      </w:r>
    </w:p>
    <w:bookmarkEnd w:id="2"/>
    <w:p w14:paraId="3D011815" w14:textId="77777777" w:rsidR="003845C1" w:rsidRPr="00965846" w:rsidRDefault="0081262E" w:rsidP="007228A1">
      <w:pPr>
        <w:pStyle w:val="Title"/>
        <w:rPr>
          <w:lang w:val="fr-FR"/>
        </w:rPr>
      </w:pPr>
      <w:r w:rsidRPr="00965846">
        <w:rPr>
          <w:lang w:val="fr-FR"/>
        </w:rPr>
        <w:t>Session spéciale du Comité intergouvernemental de la propriété intellectuelle relative aux ressources génétiques, aux savoirs traditionnels et au folklore</w:t>
      </w:r>
    </w:p>
    <w:p w14:paraId="6E05BF42" w14:textId="2542D2A9" w:rsidR="008B2CC1" w:rsidRPr="00965846" w:rsidRDefault="008D41C3" w:rsidP="00792657">
      <w:pPr>
        <w:spacing w:after="720"/>
        <w:outlineLvl w:val="1"/>
        <w:rPr>
          <w:b/>
          <w:sz w:val="24"/>
          <w:szCs w:val="24"/>
          <w:lang w:val="fr-FR"/>
        </w:rPr>
      </w:pPr>
      <w:r w:rsidRPr="00965846">
        <w:rPr>
          <w:b/>
          <w:sz w:val="24"/>
          <w:szCs w:val="24"/>
          <w:lang w:val="fr-FR"/>
        </w:rPr>
        <w:t xml:space="preserve">Genève, </w:t>
      </w:r>
      <w:r w:rsidR="0081262E" w:rsidRPr="00965846">
        <w:rPr>
          <w:b/>
          <w:sz w:val="24"/>
          <w:szCs w:val="24"/>
          <w:lang w:val="fr-FR"/>
        </w:rPr>
        <w:t xml:space="preserve">4 – </w:t>
      </w:r>
      <w:r w:rsidR="00145E61" w:rsidRPr="00965846">
        <w:rPr>
          <w:b/>
          <w:sz w:val="24"/>
          <w:szCs w:val="24"/>
          <w:lang w:val="fr-FR"/>
        </w:rPr>
        <w:t>8 septembre 20</w:t>
      </w:r>
      <w:r w:rsidR="0081262E" w:rsidRPr="00965846">
        <w:rPr>
          <w:b/>
          <w:sz w:val="24"/>
          <w:szCs w:val="24"/>
          <w:lang w:val="fr-FR"/>
        </w:rPr>
        <w:t>23</w:t>
      </w:r>
    </w:p>
    <w:p w14:paraId="6D873AD0" w14:textId="40D400ED" w:rsidR="008B2CC1" w:rsidRPr="00965846" w:rsidRDefault="007228A1" w:rsidP="007228A1">
      <w:pPr>
        <w:spacing w:after="360"/>
        <w:rPr>
          <w:caps/>
          <w:sz w:val="24"/>
          <w:lang w:val="fr-FR"/>
        </w:rPr>
      </w:pPr>
      <w:bookmarkStart w:id="3" w:name="TitleOfDoc"/>
      <w:r w:rsidRPr="00965846">
        <w:rPr>
          <w:caps/>
          <w:sz w:val="24"/>
          <w:lang w:val="fr-FR"/>
        </w:rPr>
        <w:t>Proposition de projet de texte présentée par l</w:t>
      </w:r>
      <w:r w:rsidR="00145E61" w:rsidRPr="00965846">
        <w:rPr>
          <w:caps/>
          <w:sz w:val="24"/>
          <w:lang w:val="fr-FR"/>
        </w:rPr>
        <w:t>’</w:t>
      </w:r>
      <w:r w:rsidRPr="00965846">
        <w:rPr>
          <w:caps/>
          <w:sz w:val="24"/>
          <w:lang w:val="fr-FR"/>
        </w:rPr>
        <w:t>inde à l</w:t>
      </w:r>
      <w:r w:rsidR="00145E61" w:rsidRPr="00965846">
        <w:rPr>
          <w:caps/>
          <w:sz w:val="24"/>
          <w:lang w:val="fr-FR"/>
        </w:rPr>
        <w:t>’</w:t>
      </w:r>
      <w:r w:rsidRPr="00965846">
        <w:rPr>
          <w:caps/>
          <w:sz w:val="24"/>
          <w:lang w:val="fr-FR"/>
        </w:rPr>
        <w:t>IGC de l</w:t>
      </w:r>
      <w:r w:rsidR="00145E61" w:rsidRPr="00965846">
        <w:rPr>
          <w:caps/>
          <w:sz w:val="24"/>
          <w:lang w:val="fr-FR"/>
        </w:rPr>
        <w:t>’</w:t>
      </w:r>
      <w:r w:rsidRPr="00965846">
        <w:rPr>
          <w:caps/>
          <w:sz w:val="24"/>
          <w:lang w:val="fr-FR"/>
        </w:rPr>
        <w:t>OMPI relative à des modifications du projet de texte de négociation d</w:t>
      </w:r>
      <w:r w:rsidR="00145E61" w:rsidRPr="00965846">
        <w:rPr>
          <w:caps/>
          <w:sz w:val="24"/>
          <w:lang w:val="fr-FR"/>
        </w:rPr>
        <w:t>’</w:t>
      </w:r>
      <w:r w:rsidRPr="00965846">
        <w:rPr>
          <w:caps/>
          <w:sz w:val="24"/>
          <w:lang w:val="fr-FR"/>
        </w:rPr>
        <w:t>un instrument international concernant la protection des ressources génétiques et des savoirs traditionnels qui y sont associés</w:t>
      </w:r>
    </w:p>
    <w:p w14:paraId="77E836DE" w14:textId="3945D86E" w:rsidR="008B2CC1" w:rsidRPr="00965846" w:rsidRDefault="007228A1" w:rsidP="00B1090C">
      <w:pPr>
        <w:spacing w:after="1040"/>
        <w:rPr>
          <w:i/>
          <w:lang w:val="fr-FR"/>
        </w:rPr>
      </w:pPr>
      <w:bookmarkStart w:id="4" w:name="Prepared"/>
      <w:bookmarkEnd w:id="3"/>
      <w:bookmarkEnd w:id="4"/>
      <w:r w:rsidRPr="00965846">
        <w:rPr>
          <w:i/>
          <w:lang w:val="fr-FR"/>
        </w:rPr>
        <w:t>Document établi par la délégation de l</w:t>
      </w:r>
      <w:r w:rsidR="00145E61" w:rsidRPr="00965846">
        <w:rPr>
          <w:i/>
          <w:lang w:val="fr-FR"/>
        </w:rPr>
        <w:t>’</w:t>
      </w:r>
      <w:r w:rsidRPr="00965846">
        <w:rPr>
          <w:i/>
          <w:lang w:val="fr-FR"/>
        </w:rPr>
        <w:t>Inde</w:t>
      </w:r>
    </w:p>
    <w:p w14:paraId="1DF68A7C" w14:textId="56E5ED1B" w:rsidR="007228A1" w:rsidRPr="00965846" w:rsidRDefault="007228A1" w:rsidP="007228A1">
      <w:pPr>
        <w:pStyle w:val="ONUMFS"/>
        <w:rPr>
          <w:lang w:val="fr-FR"/>
        </w:rPr>
      </w:pPr>
      <w:r w:rsidRPr="00965846">
        <w:rPr>
          <w:lang w:val="fr-FR"/>
        </w:rPr>
        <w:t xml:space="preserve">Le </w:t>
      </w:r>
      <w:r w:rsidR="00145E61" w:rsidRPr="00965846">
        <w:rPr>
          <w:lang w:val="fr-FR"/>
        </w:rPr>
        <w:t>3 juillet 20</w:t>
      </w:r>
      <w:r w:rsidRPr="00965846">
        <w:rPr>
          <w:lang w:val="fr-FR"/>
        </w:rPr>
        <w:t>23, le Bureau international de l</w:t>
      </w:r>
      <w:r w:rsidR="00145E61" w:rsidRPr="00965846">
        <w:rPr>
          <w:lang w:val="fr-FR"/>
        </w:rPr>
        <w:t>’</w:t>
      </w:r>
      <w:r w:rsidRPr="00965846">
        <w:rPr>
          <w:lang w:val="fr-FR"/>
        </w:rPr>
        <w:t>Organisation Mondiale de la Propriété Intellectuelle (OMPI) a reçu du Département de la promotion de l</w:t>
      </w:r>
      <w:r w:rsidR="00145E61" w:rsidRPr="00965846">
        <w:rPr>
          <w:lang w:val="fr-FR"/>
        </w:rPr>
        <w:t>’</w:t>
      </w:r>
      <w:r w:rsidRPr="00965846">
        <w:rPr>
          <w:lang w:val="fr-FR"/>
        </w:rPr>
        <w:t>industrie et du commerce intérieur du Ministère du commerce et de l</w:t>
      </w:r>
      <w:r w:rsidR="00145E61" w:rsidRPr="00965846">
        <w:rPr>
          <w:lang w:val="fr-FR"/>
        </w:rPr>
        <w:t>’</w:t>
      </w:r>
      <w:r w:rsidRPr="00965846">
        <w:rPr>
          <w:lang w:val="fr-FR"/>
        </w:rPr>
        <w:t>industrie de l</w:t>
      </w:r>
      <w:r w:rsidR="00145E61" w:rsidRPr="00965846">
        <w:rPr>
          <w:lang w:val="fr-FR"/>
        </w:rPr>
        <w:t>’</w:t>
      </w:r>
      <w:r w:rsidRPr="00965846">
        <w:rPr>
          <w:lang w:val="fr-FR"/>
        </w:rPr>
        <w:t xml:space="preserve">Inde une demande visant à soumettre le document intitulé </w:t>
      </w:r>
      <w:r w:rsidR="00145E61" w:rsidRPr="00965846">
        <w:rPr>
          <w:lang w:val="fr-FR"/>
        </w:rPr>
        <w:t>“P</w:t>
      </w:r>
      <w:r w:rsidRPr="00965846">
        <w:rPr>
          <w:lang w:val="fr-FR"/>
        </w:rPr>
        <w:t>roposition de projet de texte présentée par l</w:t>
      </w:r>
      <w:r w:rsidR="00145E61" w:rsidRPr="00965846">
        <w:rPr>
          <w:lang w:val="fr-FR"/>
        </w:rPr>
        <w:t>’</w:t>
      </w:r>
      <w:r w:rsidRPr="00965846">
        <w:rPr>
          <w:lang w:val="fr-FR"/>
        </w:rPr>
        <w:t>Inde à l</w:t>
      </w:r>
      <w:r w:rsidR="00145E61" w:rsidRPr="00965846">
        <w:rPr>
          <w:lang w:val="fr-FR"/>
        </w:rPr>
        <w:t>’</w:t>
      </w:r>
      <w:r w:rsidRPr="00965846">
        <w:rPr>
          <w:lang w:val="fr-FR"/>
        </w:rPr>
        <w:t>IGC de l</w:t>
      </w:r>
      <w:r w:rsidR="00145E61" w:rsidRPr="00965846">
        <w:rPr>
          <w:lang w:val="fr-FR"/>
        </w:rPr>
        <w:t>’</w:t>
      </w:r>
      <w:r w:rsidRPr="00965846">
        <w:rPr>
          <w:lang w:val="fr-FR"/>
        </w:rPr>
        <w:t>OMPI relative à des modifications du projet de texte de négociation d</w:t>
      </w:r>
      <w:r w:rsidR="00145E61" w:rsidRPr="00965846">
        <w:rPr>
          <w:lang w:val="fr-FR"/>
        </w:rPr>
        <w:t>’</w:t>
      </w:r>
      <w:r w:rsidRPr="00965846">
        <w:rPr>
          <w:lang w:val="fr-FR"/>
        </w:rPr>
        <w:t>un instrument international concernant la protection des ressources génétiques et des savoirs traditionnels qui y sont associé</w:t>
      </w:r>
      <w:r w:rsidR="00145E61" w:rsidRPr="00965846">
        <w:rPr>
          <w:lang w:val="fr-FR"/>
        </w:rPr>
        <w:t>s”</w:t>
      </w:r>
      <w:r w:rsidRPr="00965846">
        <w:rPr>
          <w:lang w:val="fr-FR"/>
        </w:rPr>
        <w:t xml:space="preserve"> pour examen à la session spéciale du Comité intergouvernemental de la propriété intellectuelle relative aux ressources génétiques, aux savoirs traditionnels et au folklore.</w:t>
      </w:r>
    </w:p>
    <w:p w14:paraId="7744111D" w14:textId="79701E5F" w:rsidR="00145E61" w:rsidRPr="00965846" w:rsidRDefault="007228A1" w:rsidP="007228A1">
      <w:pPr>
        <w:pStyle w:val="ONUMFS"/>
        <w:rPr>
          <w:lang w:val="fr-FR"/>
        </w:rPr>
      </w:pPr>
      <w:r w:rsidRPr="00965846">
        <w:rPr>
          <w:lang w:val="fr-FR"/>
        </w:rPr>
        <w:t>Conformément à cette demande, l</w:t>
      </w:r>
      <w:r w:rsidR="00145E61" w:rsidRPr="00965846">
        <w:rPr>
          <w:lang w:val="fr-FR"/>
        </w:rPr>
        <w:t>’</w:t>
      </w:r>
      <w:r w:rsidRPr="00965846">
        <w:rPr>
          <w:lang w:val="fr-FR"/>
        </w:rPr>
        <w:t>annexe du présent document contient la communication susmentionnée.</w:t>
      </w:r>
    </w:p>
    <w:p w14:paraId="69C7A31D" w14:textId="3A089B8C" w:rsidR="007228A1" w:rsidRPr="00965846" w:rsidRDefault="007228A1" w:rsidP="007228A1">
      <w:pPr>
        <w:pStyle w:val="ONUMFS"/>
        <w:ind w:left="5533"/>
        <w:rPr>
          <w:i/>
          <w:lang w:val="fr-FR"/>
        </w:rPr>
      </w:pPr>
      <w:r w:rsidRPr="00965846">
        <w:rPr>
          <w:i/>
          <w:lang w:val="fr-FR"/>
        </w:rPr>
        <w:t>Le comité est invité à prendre note du présent document.</w:t>
      </w:r>
    </w:p>
    <w:p w14:paraId="62349961" w14:textId="7EE0A6B5" w:rsidR="007228A1" w:rsidRPr="00965846" w:rsidRDefault="007228A1" w:rsidP="007228A1">
      <w:pPr>
        <w:pStyle w:val="Endofdocument-Annex"/>
        <w:rPr>
          <w:lang w:val="fr-FR"/>
        </w:rPr>
      </w:pPr>
      <w:r w:rsidRPr="00965846">
        <w:rPr>
          <w:lang w:val="fr-FR"/>
        </w:rPr>
        <w:t>[L</w:t>
      </w:r>
      <w:r w:rsidR="00145E61" w:rsidRPr="00965846">
        <w:rPr>
          <w:lang w:val="fr-FR"/>
        </w:rPr>
        <w:t>’</w:t>
      </w:r>
      <w:r w:rsidRPr="00965846">
        <w:rPr>
          <w:lang w:val="fr-FR"/>
        </w:rPr>
        <w:t>annexe suit]</w:t>
      </w:r>
    </w:p>
    <w:p w14:paraId="16ECF801" w14:textId="77777777" w:rsidR="007228A1" w:rsidRPr="00965846" w:rsidRDefault="007228A1" w:rsidP="007228A1">
      <w:pPr>
        <w:ind w:left="5533"/>
        <w:rPr>
          <w:lang w:val="fr-FR"/>
        </w:rPr>
        <w:sectPr w:rsidR="007228A1" w:rsidRPr="00965846" w:rsidSect="007F2F9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docGrid w:linePitch="299"/>
        </w:sectPr>
      </w:pPr>
    </w:p>
    <w:p w14:paraId="55AFAEAF" w14:textId="7955CACB" w:rsidR="007228A1" w:rsidRPr="00965846" w:rsidRDefault="007228A1" w:rsidP="007228A1">
      <w:pPr>
        <w:pStyle w:val="Default"/>
        <w:rPr>
          <w:rFonts w:ascii="Arial" w:hAnsi="Arial" w:cs="Arial"/>
          <w:color w:val="auto"/>
          <w:sz w:val="22"/>
          <w:szCs w:val="22"/>
        </w:rPr>
      </w:pPr>
      <w:r w:rsidRPr="00965846">
        <w:rPr>
          <w:rFonts w:ascii="Arial" w:hAnsi="Arial"/>
          <w:b/>
          <w:color w:val="auto"/>
          <w:sz w:val="22"/>
        </w:rPr>
        <w:lastRenderedPageBreak/>
        <w:t>PROPOSITION DE PROJET DE TEXTE PRÉSENTÉE PAR L</w:t>
      </w:r>
      <w:r w:rsidR="00145E61" w:rsidRPr="00965846">
        <w:rPr>
          <w:rFonts w:ascii="Arial" w:hAnsi="Arial"/>
          <w:b/>
          <w:color w:val="auto"/>
          <w:sz w:val="22"/>
        </w:rPr>
        <w:t>’</w:t>
      </w:r>
      <w:r w:rsidRPr="00965846">
        <w:rPr>
          <w:rFonts w:ascii="Arial" w:hAnsi="Arial"/>
          <w:b/>
          <w:color w:val="auto"/>
          <w:sz w:val="22"/>
        </w:rPr>
        <w:t>INDE À L</w:t>
      </w:r>
      <w:r w:rsidR="00145E61" w:rsidRPr="00965846">
        <w:rPr>
          <w:rFonts w:ascii="Arial" w:hAnsi="Arial"/>
          <w:b/>
          <w:color w:val="auto"/>
          <w:sz w:val="22"/>
        </w:rPr>
        <w:t>’</w:t>
      </w:r>
      <w:r w:rsidRPr="00965846">
        <w:rPr>
          <w:rFonts w:ascii="Arial" w:hAnsi="Arial"/>
          <w:b/>
          <w:color w:val="auto"/>
          <w:sz w:val="22"/>
        </w:rPr>
        <w:t>IGC DE L</w:t>
      </w:r>
      <w:r w:rsidR="00145E61" w:rsidRPr="00965846">
        <w:rPr>
          <w:rFonts w:ascii="Arial" w:hAnsi="Arial"/>
          <w:b/>
          <w:color w:val="auto"/>
          <w:sz w:val="22"/>
        </w:rPr>
        <w:t>’</w:t>
      </w:r>
      <w:r w:rsidRPr="00965846">
        <w:rPr>
          <w:rFonts w:ascii="Arial" w:hAnsi="Arial"/>
          <w:b/>
          <w:color w:val="auto"/>
          <w:sz w:val="22"/>
        </w:rPr>
        <w:t>OMPI RELATIVE À DES MODIFICATIONS DU PROJET DE TEXTE DE N</w:t>
      </w:r>
      <w:r w:rsidR="00D633C2">
        <w:rPr>
          <w:rFonts w:ascii="Arial" w:hAnsi="Arial"/>
          <w:b/>
          <w:color w:val="auto"/>
          <w:sz w:val="22"/>
        </w:rPr>
        <w:t>É</w:t>
      </w:r>
      <w:r w:rsidRPr="00965846">
        <w:rPr>
          <w:rFonts w:ascii="Arial" w:hAnsi="Arial"/>
          <w:b/>
          <w:color w:val="auto"/>
          <w:sz w:val="22"/>
        </w:rPr>
        <w:t>GOCIATION D</w:t>
      </w:r>
      <w:r w:rsidR="00145E61" w:rsidRPr="00965846">
        <w:rPr>
          <w:rFonts w:ascii="Arial" w:hAnsi="Arial"/>
          <w:b/>
          <w:color w:val="auto"/>
          <w:sz w:val="22"/>
        </w:rPr>
        <w:t>’</w:t>
      </w:r>
      <w:r w:rsidRPr="00965846">
        <w:rPr>
          <w:rFonts w:ascii="Arial" w:hAnsi="Arial"/>
          <w:b/>
          <w:color w:val="auto"/>
          <w:sz w:val="22"/>
        </w:rPr>
        <w:t>UN INSTRUMENT INTERNATIONAL CONCERNANT LA PROTECTION DES RESSOURCES GÉNÉTIQUES ET DES SAVOIRS TRADITIONNELS QUI Y SONT ASSOCIÉS</w:t>
      </w:r>
    </w:p>
    <w:p w14:paraId="4FCD63CA" w14:textId="77777777" w:rsidR="007228A1" w:rsidRPr="00965846" w:rsidRDefault="007228A1" w:rsidP="007228A1">
      <w:pPr>
        <w:pStyle w:val="Default"/>
        <w:rPr>
          <w:rFonts w:ascii="Arial" w:hAnsi="Arial" w:cs="Arial"/>
          <w:i/>
          <w:iCs/>
          <w:color w:val="auto"/>
          <w:sz w:val="22"/>
          <w:szCs w:val="22"/>
        </w:rPr>
      </w:pPr>
    </w:p>
    <w:p w14:paraId="2FA27D29" w14:textId="7F1ACDE9" w:rsidR="00145E61" w:rsidRPr="00965846" w:rsidRDefault="007228A1" w:rsidP="007228A1">
      <w:pPr>
        <w:pStyle w:val="Default"/>
        <w:rPr>
          <w:rFonts w:ascii="Arial" w:hAnsi="Arial"/>
          <w:i/>
          <w:color w:val="auto"/>
          <w:sz w:val="22"/>
        </w:rPr>
      </w:pPr>
      <w:r w:rsidRPr="00965846">
        <w:rPr>
          <w:rFonts w:ascii="Arial" w:hAnsi="Arial"/>
          <w:i/>
          <w:color w:val="auto"/>
          <w:sz w:val="22"/>
        </w:rPr>
        <w:t>L</w:t>
      </w:r>
      <w:r w:rsidR="00145E61" w:rsidRPr="00965846">
        <w:rPr>
          <w:rFonts w:ascii="Arial" w:hAnsi="Arial"/>
          <w:i/>
          <w:color w:val="auto"/>
          <w:sz w:val="22"/>
        </w:rPr>
        <w:t>’</w:t>
      </w:r>
      <w:r w:rsidRPr="00965846">
        <w:rPr>
          <w:rFonts w:ascii="Arial" w:hAnsi="Arial"/>
          <w:i/>
          <w:color w:val="auto"/>
          <w:sz w:val="22"/>
        </w:rPr>
        <w:t>Inde propose de modifier comme suit les articles du projet de texte qui sera examiné à la session spéciale de l</w:t>
      </w:r>
      <w:r w:rsidR="00145E61" w:rsidRPr="00965846">
        <w:rPr>
          <w:rFonts w:ascii="Arial" w:hAnsi="Arial"/>
          <w:i/>
          <w:color w:val="auto"/>
          <w:sz w:val="22"/>
        </w:rPr>
        <w:t>’</w:t>
      </w:r>
      <w:r w:rsidRPr="00965846">
        <w:rPr>
          <w:rFonts w:ascii="Arial" w:hAnsi="Arial"/>
          <w:i/>
          <w:color w:val="auto"/>
          <w:sz w:val="22"/>
        </w:rPr>
        <w:t xml:space="preserve">IGC qui se tiendra du 4 au </w:t>
      </w:r>
      <w:r w:rsidR="00145E61" w:rsidRPr="00965846">
        <w:rPr>
          <w:rFonts w:ascii="Arial" w:hAnsi="Arial"/>
          <w:i/>
          <w:color w:val="auto"/>
          <w:sz w:val="22"/>
        </w:rPr>
        <w:t>8 septembre 20</w:t>
      </w:r>
      <w:r w:rsidRPr="00965846">
        <w:rPr>
          <w:rFonts w:ascii="Arial" w:hAnsi="Arial"/>
          <w:i/>
          <w:color w:val="auto"/>
          <w:sz w:val="22"/>
        </w:rPr>
        <w:t>23.</w:t>
      </w:r>
    </w:p>
    <w:p w14:paraId="061E0C9E" w14:textId="6BDA4553" w:rsidR="007228A1" w:rsidRPr="00965846" w:rsidRDefault="007228A1" w:rsidP="007228A1">
      <w:pPr>
        <w:pStyle w:val="Default"/>
        <w:rPr>
          <w:rFonts w:ascii="Arial" w:hAnsi="Arial" w:cs="Arial"/>
          <w:b/>
          <w:bCs/>
          <w:i/>
          <w:iCs/>
          <w:color w:val="auto"/>
          <w:sz w:val="22"/>
          <w:szCs w:val="22"/>
        </w:rPr>
      </w:pPr>
    </w:p>
    <w:p w14:paraId="606D0251" w14:textId="3252CD2F" w:rsidR="00145E61" w:rsidRPr="00965846" w:rsidRDefault="007228A1" w:rsidP="007228A1">
      <w:pPr>
        <w:pStyle w:val="Default"/>
        <w:rPr>
          <w:rFonts w:ascii="Arial" w:hAnsi="Arial"/>
          <w:i/>
          <w:color w:val="auto"/>
          <w:sz w:val="22"/>
        </w:rPr>
      </w:pPr>
      <w:r w:rsidRPr="00965846">
        <w:rPr>
          <w:rFonts w:ascii="Arial" w:hAnsi="Arial"/>
          <w:b/>
          <w:i/>
          <w:color w:val="auto"/>
          <w:sz w:val="22"/>
        </w:rPr>
        <w:t>AVERTISSEMENT</w:t>
      </w:r>
      <w:r w:rsidR="00852466" w:rsidRPr="00965846">
        <w:rPr>
          <w:rFonts w:ascii="Arial" w:hAnsi="Arial"/>
          <w:i/>
          <w:color w:val="auto"/>
          <w:sz w:val="22"/>
        </w:rPr>
        <w:t> </w:t>
      </w:r>
      <w:r w:rsidRPr="00965846">
        <w:rPr>
          <w:rFonts w:ascii="Arial" w:hAnsi="Arial"/>
          <w:i/>
          <w:color w:val="auto"/>
          <w:sz w:val="22"/>
        </w:rPr>
        <w:t>: La présente proposition de texte est sans préjudice de la position de l</w:t>
      </w:r>
      <w:r w:rsidR="00145E61" w:rsidRPr="00965846">
        <w:rPr>
          <w:rFonts w:ascii="Arial" w:hAnsi="Arial"/>
          <w:i/>
          <w:color w:val="auto"/>
          <w:sz w:val="22"/>
        </w:rPr>
        <w:t>’</w:t>
      </w:r>
      <w:r w:rsidRPr="00965846">
        <w:rPr>
          <w:rFonts w:ascii="Arial" w:hAnsi="Arial"/>
          <w:i/>
          <w:color w:val="auto"/>
          <w:sz w:val="22"/>
        </w:rPr>
        <w:t>Inde sur ces questions et d</w:t>
      </w:r>
      <w:r w:rsidR="00145E61" w:rsidRPr="00965846">
        <w:rPr>
          <w:rFonts w:ascii="Arial" w:hAnsi="Arial"/>
          <w:i/>
          <w:color w:val="auto"/>
          <w:sz w:val="22"/>
        </w:rPr>
        <w:t>’</w:t>
      </w:r>
      <w:r w:rsidRPr="00965846">
        <w:rPr>
          <w:rFonts w:ascii="Arial" w:hAnsi="Arial"/>
          <w:i/>
          <w:color w:val="auto"/>
          <w:sz w:val="22"/>
        </w:rPr>
        <w:t>autres questions de fond traitées au sein de l</w:t>
      </w:r>
      <w:r w:rsidR="00145E61" w:rsidRPr="00965846">
        <w:rPr>
          <w:rFonts w:ascii="Arial" w:hAnsi="Arial"/>
          <w:i/>
          <w:color w:val="auto"/>
          <w:sz w:val="22"/>
        </w:rPr>
        <w:t>’</w:t>
      </w:r>
      <w:r w:rsidRPr="00965846">
        <w:rPr>
          <w:rFonts w:ascii="Arial" w:hAnsi="Arial"/>
          <w:i/>
          <w:color w:val="auto"/>
          <w:sz w:val="22"/>
        </w:rPr>
        <w:t xml:space="preserve">IGC. </w:t>
      </w:r>
      <w:r w:rsidR="00852466" w:rsidRPr="00965846">
        <w:rPr>
          <w:rFonts w:ascii="Arial" w:hAnsi="Arial"/>
          <w:i/>
          <w:color w:val="auto"/>
          <w:sz w:val="22"/>
        </w:rPr>
        <w:t xml:space="preserve"> </w:t>
      </w:r>
      <w:r w:rsidRPr="00965846">
        <w:rPr>
          <w:rFonts w:ascii="Arial" w:hAnsi="Arial"/>
          <w:i/>
          <w:color w:val="auto"/>
          <w:sz w:val="22"/>
        </w:rPr>
        <w:t>L</w:t>
      </w:r>
      <w:r w:rsidR="00145E61" w:rsidRPr="00965846">
        <w:rPr>
          <w:rFonts w:ascii="Arial" w:hAnsi="Arial"/>
          <w:i/>
          <w:color w:val="auto"/>
          <w:sz w:val="22"/>
        </w:rPr>
        <w:t>’</w:t>
      </w:r>
      <w:r w:rsidRPr="00965846">
        <w:rPr>
          <w:rFonts w:ascii="Arial" w:hAnsi="Arial"/>
          <w:i/>
          <w:color w:val="auto"/>
          <w:sz w:val="22"/>
        </w:rPr>
        <w:t>Inde se réserve le droit d</w:t>
      </w:r>
      <w:r w:rsidR="00145E61" w:rsidRPr="00965846">
        <w:rPr>
          <w:rFonts w:ascii="Arial" w:hAnsi="Arial"/>
          <w:i/>
          <w:color w:val="auto"/>
          <w:sz w:val="22"/>
        </w:rPr>
        <w:t>’</w:t>
      </w:r>
      <w:r w:rsidRPr="00965846">
        <w:rPr>
          <w:rFonts w:ascii="Arial" w:hAnsi="Arial"/>
          <w:i/>
          <w:color w:val="auto"/>
          <w:sz w:val="22"/>
        </w:rPr>
        <w:t>apporter des modifications à la présente proposition de texte et de compléter ses propositions ultérieurement, en modifiant, complétant ou retirant tout ou partie du texte, et ce à tout moment.</w:t>
      </w:r>
    </w:p>
    <w:p w14:paraId="4EDF061F" w14:textId="07A8590D" w:rsidR="007228A1" w:rsidRPr="00965846" w:rsidRDefault="007228A1" w:rsidP="007228A1">
      <w:pPr>
        <w:pStyle w:val="Default"/>
        <w:rPr>
          <w:rFonts w:ascii="Arial" w:hAnsi="Arial" w:cs="Arial"/>
          <w:b/>
          <w:bCs/>
          <w:color w:val="auto"/>
          <w:sz w:val="22"/>
          <w:szCs w:val="22"/>
        </w:rPr>
      </w:pPr>
    </w:p>
    <w:p w14:paraId="5CFAC334" w14:textId="77777777" w:rsidR="007228A1" w:rsidRPr="00965846" w:rsidRDefault="007228A1" w:rsidP="007228A1">
      <w:pPr>
        <w:pStyle w:val="Default"/>
        <w:rPr>
          <w:rFonts w:ascii="Arial" w:hAnsi="Arial" w:cs="Arial"/>
          <w:b/>
          <w:bCs/>
          <w:color w:val="auto"/>
          <w:sz w:val="22"/>
          <w:szCs w:val="22"/>
        </w:rPr>
      </w:pPr>
    </w:p>
    <w:p w14:paraId="5708BA87" w14:textId="77777777" w:rsidR="00145E61" w:rsidRPr="00965846" w:rsidRDefault="007228A1" w:rsidP="007228A1">
      <w:pPr>
        <w:pStyle w:val="Default"/>
        <w:rPr>
          <w:rFonts w:ascii="Arial" w:hAnsi="Arial"/>
          <w:b/>
          <w:color w:val="auto"/>
          <w:sz w:val="22"/>
        </w:rPr>
      </w:pPr>
      <w:r w:rsidRPr="00965846">
        <w:rPr>
          <w:rFonts w:ascii="Arial" w:hAnsi="Arial"/>
          <w:b/>
          <w:color w:val="auto"/>
          <w:sz w:val="22"/>
        </w:rPr>
        <w:t>PRÉAMBULE</w:t>
      </w:r>
    </w:p>
    <w:p w14:paraId="23FCAE09" w14:textId="50FEB8EA" w:rsidR="007228A1" w:rsidRPr="00965846" w:rsidRDefault="007228A1" w:rsidP="007228A1">
      <w:pPr>
        <w:pStyle w:val="Default"/>
        <w:rPr>
          <w:rFonts w:ascii="Arial" w:hAnsi="Arial" w:cs="Arial"/>
          <w:color w:val="auto"/>
          <w:sz w:val="22"/>
          <w:szCs w:val="22"/>
        </w:rPr>
      </w:pPr>
    </w:p>
    <w:p w14:paraId="6FEED463" w14:textId="77777777" w:rsidR="00145E61" w:rsidRPr="00965846" w:rsidRDefault="007228A1" w:rsidP="007228A1">
      <w:pPr>
        <w:pStyle w:val="Default"/>
        <w:rPr>
          <w:rFonts w:ascii="Arial" w:hAnsi="Arial"/>
          <w:color w:val="auto"/>
          <w:sz w:val="22"/>
        </w:rPr>
      </w:pPr>
      <w:r w:rsidRPr="00965846">
        <w:rPr>
          <w:rFonts w:ascii="Arial" w:hAnsi="Arial"/>
          <w:color w:val="auto"/>
          <w:sz w:val="22"/>
        </w:rPr>
        <w:t>Les parties au présent instrument,</w:t>
      </w:r>
    </w:p>
    <w:p w14:paraId="283944C8" w14:textId="04E8BEDD" w:rsidR="007228A1" w:rsidRPr="00965846" w:rsidRDefault="007228A1" w:rsidP="007228A1">
      <w:pPr>
        <w:pStyle w:val="Default"/>
        <w:rPr>
          <w:rFonts w:ascii="Arial" w:hAnsi="Arial" w:cs="Arial"/>
          <w:color w:val="auto"/>
          <w:sz w:val="22"/>
          <w:szCs w:val="22"/>
        </w:rPr>
      </w:pPr>
    </w:p>
    <w:p w14:paraId="74C34EF9" w14:textId="2D9648EF" w:rsidR="00145E61" w:rsidRPr="00965846" w:rsidRDefault="007228A1" w:rsidP="007228A1">
      <w:pPr>
        <w:pStyle w:val="Default"/>
        <w:ind w:left="567"/>
        <w:rPr>
          <w:rFonts w:ascii="Arial" w:hAnsi="Arial"/>
          <w:color w:val="auto"/>
          <w:sz w:val="22"/>
        </w:rPr>
      </w:pPr>
      <w:proofErr w:type="gramStart"/>
      <w:r w:rsidRPr="00965846">
        <w:rPr>
          <w:rFonts w:ascii="Arial" w:hAnsi="Arial"/>
          <w:i/>
          <w:color w:val="auto"/>
          <w:sz w:val="22"/>
        </w:rPr>
        <w:t>désireuses</w:t>
      </w:r>
      <w:proofErr w:type="gramEnd"/>
      <w:r w:rsidRPr="00965846">
        <w:rPr>
          <w:rFonts w:ascii="Arial" w:hAnsi="Arial"/>
          <w:i/>
          <w:color w:val="auto"/>
          <w:sz w:val="22"/>
        </w:rPr>
        <w:t xml:space="preserve"> </w:t>
      </w:r>
      <w:r w:rsidRPr="00965846">
        <w:rPr>
          <w:rFonts w:ascii="Arial" w:hAnsi="Arial"/>
          <w:color w:val="auto"/>
          <w:sz w:val="22"/>
        </w:rPr>
        <w:t>de promouvoir l</w:t>
      </w:r>
      <w:r w:rsidR="00145E61" w:rsidRPr="00965846">
        <w:rPr>
          <w:rFonts w:ascii="Arial" w:hAnsi="Arial"/>
          <w:color w:val="auto"/>
          <w:sz w:val="22"/>
        </w:rPr>
        <w:t>’</w:t>
      </w:r>
      <w:r w:rsidRPr="00965846">
        <w:rPr>
          <w:rFonts w:ascii="Arial" w:hAnsi="Arial"/>
          <w:color w:val="auto"/>
          <w:sz w:val="22"/>
        </w:rPr>
        <w:t xml:space="preserve">efficacité, la transparence et la qualité du système </w:t>
      </w:r>
      <w:r w:rsidRPr="00965846">
        <w:rPr>
          <w:rFonts w:ascii="Arial" w:hAnsi="Arial"/>
          <w:b/>
          <w:color w:val="FF0000"/>
          <w:sz w:val="22"/>
        </w:rPr>
        <w:t>[IN</w:t>
      </w:r>
      <w:r w:rsidR="00852466" w:rsidRPr="00965846">
        <w:rPr>
          <w:rFonts w:ascii="Arial" w:hAnsi="Arial"/>
          <w:b/>
          <w:color w:val="FF0000"/>
          <w:sz w:val="22"/>
        </w:rPr>
        <w:t> </w:t>
      </w:r>
      <w:r w:rsidRPr="00965846">
        <w:rPr>
          <w:rFonts w:ascii="Arial" w:hAnsi="Arial"/>
          <w:b/>
          <w:color w:val="FF0000"/>
          <w:sz w:val="22"/>
        </w:rPr>
        <w:t xml:space="preserve">: </w:t>
      </w:r>
      <w:r w:rsidRPr="00965846">
        <w:rPr>
          <w:rFonts w:ascii="Arial" w:hAnsi="Arial"/>
          <w:color w:val="FF0000"/>
          <w:sz w:val="22"/>
        </w:rPr>
        <w:t xml:space="preserve">de propriété intellectuelle </w:t>
      </w:r>
      <w:r w:rsidRPr="00965846">
        <w:rPr>
          <w:rFonts w:ascii="Arial" w:hAnsi="Arial"/>
          <w:strike/>
          <w:color w:val="FF0000"/>
          <w:sz w:val="22"/>
        </w:rPr>
        <w:t>des brevets</w:t>
      </w:r>
      <w:r w:rsidRPr="00965846">
        <w:rPr>
          <w:rFonts w:ascii="Arial" w:hAnsi="Arial"/>
          <w:b/>
          <w:color w:val="FF0000"/>
          <w:sz w:val="22"/>
        </w:rPr>
        <w:t xml:space="preserve">] </w:t>
      </w:r>
      <w:r w:rsidRPr="00965846">
        <w:rPr>
          <w:rFonts w:ascii="Arial" w:hAnsi="Arial"/>
          <w:color w:val="auto"/>
          <w:sz w:val="22"/>
        </w:rPr>
        <w:t>en ce qui concerne les ressources génétiques et les savoirs traditionnels qui y sont associés (savoirs traditionnels connexes),</w:t>
      </w:r>
    </w:p>
    <w:p w14:paraId="685E7D59" w14:textId="3856CB55" w:rsidR="007228A1" w:rsidRPr="00965846" w:rsidRDefault="007228A1" w:rsidP="007228A1">
      <w:pPr>
        <w:pStyle w:val="Default"/>
        <w:ind w:left="567"/>
        <w:rPr>
          <w:rFonts w:ascii="Arial" w:hAnsi="Arial" w:cs="Arial"/>
          <w:i/>
          <w:iCs/>
          <w:color w:val="auto"/>
          <w:sz w:val="22"/>
          <w:szCs w:val="22"/>
        </w:rPr>
      </w:pPr>
    </w:p>
    <w:p w14:paraId="01027830" w14:textId="356A894C" w:rsidR="00145E61" w:rsidRPr="00965846" w:rsidRDefault="007228A1" w:rsidP="007228A1">
      <w:pPr>
        <w:pStyle w:val="Default"/>
        <w:ind w:left="567"/>
        <w:rPr>
          <w:rFonts w:ascii="Arial" w:hAnsi="Arial"/>
          <w:color w:val="auto"/>
          <w:sz w:val="22"/>
        </w:rPr>
      </w:pPr>
      <w:proofErr w:type="gramStart"/>
      <w:r w:rsidRPr="00965846">
        <w:rPr>
          <w:rFonts w:ascii="Arial" w:hAnsi="Arial"/>
          <w:i/>
          <w:color w:val="auto"/>
          <w:sz w:val="22"/>
        </w:rPr>
        <w:t>soulignant</w:t>
      </w:r>
      <w:proofErr w:type="gramEnd"/>
      <w:r w:rsidRPr="00965846">
        <w:rPr>
          <w:rFonts w:ascii="Arial" w:hAnsi="Arial"/>
          <w:i/>
          <w:color w:val="auto"/>
          <w:sz w:val="22"/>
        </w:rPr>
        <w:t xml:space="preserve"> </w:t>
      </w:r>
      <w:r w:rsidRPr="00965846">
        <w:rPr>
          <w:rFonts w:ascii="Arial" w:hAnsi="Arial"/>
          <w:color w:val="auto"/>
          <w:sz w:val="22"/>
        </w:rPr>
        <w:t>l</w:t>
      </w:r>
      <w:r w:rsidR="00145E61" w:rsidRPr="00965846">
        <w:rPr>
          <w:rFonts w:ascii="Arial" w:hAnsi="Arial"/>
          <w:color w:val="auto"/>
          <w:sz w:val="22"/>
        </w:rPr>
        <w:t>’</w:t>
      </w:r>
      <w:r w:rsidRPr="00965846">
        <w:rPr>
          <w:rFonts w:ascii="Arial" w:hAnsi="Arial"/>
          <w:color w:val="auto"/>
          <w:sz w:val="22"/>
        </w:rPr>
        <w:t>importance de l</w:t>
      </w:r>
      <w:r w:rsidR="00145E61" w:rsidRPr="00965846">
        <w:rPr>
          <w:rFonts w:ascii="Arial" w:hAnsi="Arial"/>
          <w:color w:val="auto"/>
          <w:sz w:val="22"/>
        </w:rPr>
        <w:t>’</w:t>
      </w:r>
      <w:r w:rsidRPr="00965846">
        <w:rPr>
          <w:rFonts w:ascii="Arial" w:hAnsi="Arial"/>
          <w:color w:val="auto"/>
          <w:sz w:val="22"/>
        </w:rPr>
        <w:t>accès des offices des brevets à des informations appropriées sur les ressources génétiques et les savoirs traditionnels qui y sont associés afin de prévenir la délivrance de brevets indus pour des inventions qui ne sont pas nouvelles ou n</w:t>
      </w:r>
      <w:r w:rsidR="00145E61" w:rsidRPr="00965846">
        <w:rPr>
          <w:rFonts w:ascii="Arial" w:hAnsi="Arial"/>
          <w:color w:val="auto"/>
          <w:sz w:val="22"/>
        </w:rPr>
        <w:t>’</w:t>
      </w:r>
      <w:r w:rsidRPr="00965846">
        <w:rPr>
          <w:rFonts w:ascii="Arial" w:hAnsi="Arial"/>
          <w:color w:val="auto"/>
          <w:sz w:val="22"/>
        </w:rPr>
        <w:t>impliquent pas d</w:t>
      </w:r>
      <w:r w:rsidR="00145E61" w:rsidRPr="00965846">
        <w:rPr>
          <w:rFonts w:ascii="Arial" w:hAnsi="Arial"/>
          <w:color w:val="auto"/>
          <w:sz w:val="22"/>
        </w:rPr>
        <w:t>’</w:t>
      </w:r>
      <w:r w:rsidRPr="00965846">
        <w:rPr>
          <w:rFonts w:ascii="Arial" w:hAnsi="Arial"/>
          <w:color w:val="auto"/>
          <w:sz w:val="22"/>
        </w:rPr>
        <w:t>activité inventive eu égard aux ressources génétiques et aux savoirs traditionnels connexes,</w:t>
      </w:r>
    </w:p>
    <w:p w14:paraId="50D66022" w14:textId="03B99129" w:rsidR="007228A1" w:rsidRPr="00965846" w:rsidRDefault="007228A1" w:rsidP="007228A1">
      <w:pPr>
        <w:pStyle w:val="Default"/>
        <w:ind w:left="567"/>
        <w:rPr>
          <w:rFonts w:ascii="Arial" w:hAnsi="Arial" w:cs="Arial"/>
          <w:i/>
          <w:iCs/>
          <w:color w:val="auto"/>
          <w:sz w:val="22"/>
          <w:szCs w:val="22"/>
        </w:rPr>
      </w:pPr>
    </w:p>
    <w:p w14:paraId="09BE9AB6" w14:textId="7C48F93A" w:rsidR="00145E61" w:rsidRPr="00965846" w:rsidRDefault="007228A1" w:rsidP="007228A1">
      <w:pPr>
        <w:pStyle w:val="Default"/>
        <w:ind w:left="567"/>
        <w:rPr>
          <w:rFonts w:ascii="Arial" w:hAnsi="Arial"/>
          <w:color w:val="FF0000"/>
          <w:sz w:val="22"/>
        </w:rPr>
      </w:pPr>
      <w:proofErr w:type="gramStart"/>
      <w:r w:rsidRPr="00965846">
        <w:rPr>
          <w:rFonts w:ascii="Arial" w:hAnsi="Arial"/>
          <w:i/>
          <w:color w:val="auto"/>
          <w:sz w:val="22"/>
        </w:rPr>
        <w:t>conscientes</w:t>
      </w:r>
      <w:proofErr w:type="gramEnd"/>
      <w:r w:rsidRPr="00965846">
        <w:rPr>
          <w:rFonts w:ascii="Arial" w:hAnsi="Arial"/>
          <w:i/>
          <w:color w:val="auto"/>
          <w:sz w:val="22"/>
        </w:rPr>
        <w:t xml:space="preserve"> </w:t>
      </w:r>
      <w:r w:rsidRPr="00965846">
        <w:rPr>
          <w:rFonts w:ascii="Arial" w:hAnsi="Arial"/>
          <w:color w:val="auto"/>
          <w:sz w:val="22"/>
        </w:rPr>
        <w:t xml:space="preserve">de la contribution potentielle du système </w:t>
      </w:r>
      <w:r w:rsidRPr="00965846">
        <w:rPr>
          <w:rFonts w:ascii="Arial" w:hAnsi="Arial"/>
          <w:b/>
          <w:color w:val="FF0000"/>
          <w:sz w:val="22"/>
        </w:rPr>
        <w:t>[IN</w:t>
      </w:r>
      <w:r w:rsidR="00852466" w:rsidRPr="00965846">
        <w:rPr>
          <w:rFonts w:ascii="Arial" w:hAnsi="Arial"/>
          <w:b/>
          <w:color w:val="FF0000"/>
          <w:sz w:val="22"/>
        </w:rPr>
        <w:t> </w:t>
      </w:r>
      <w:r w:rsidRPr="00965846">
        <w:rPr>
          <w:rFonts w:ascii="Arial" w:hAnsi="Arial"/>
          <w:b/>
          <w:color w:val="FF0000"/>
          <w:sz w:val="22"/>
        </w:rPr>
        <w:t xml:space="preserve">: </w:t>
      </w:r>
      <w:r w:rsidRPr="00965846">
        <w:rPr>
          <w:rFonts w:ascii="Arial" w:hAnsi="Arial"/>
          <w:color w:val="FF0000"/>
          <w:sz w:val="22"/>
        </w:rPr>
        <w:t xml:space="preserve">de propriété intellectuelle </w:t>
      </w:r>
      <w:r w:rsidRPr="00965846">
        <w:rPr>
          <w:rFonts w:ascii="Arial" w:hAnsi="Arial"/>
          <w:strike/>
          <w:color w:val="FF0000"/>
          <w:sz w:val="22"/>
        </w:rPr>
        <w:t>des brevets</w:t>
      </w:r>
      <w:r w:rsidRPr="00965846">
        <w:rPr>
          <w:rFonts w:ascii="Arial" w:hAnsi="Arial"/>
          <w:b/>
          <w:color w:val="FF0000"/>
          <w:sz w:val="22"/>
        </w:rPr>
        <w:t xml:space="preserve">] </w:t>
      </w:r>
      <w:r w:rsidRPr="00965846">
        <w:rPr>
          <w:rFonts w:ascii="Arial" w:hAnsi="Arial"/>
          <w:color w:val="auto"/>
          <w:sz w:val="22"/>
        </w:rPr>
        <w:t xml:space="preserve">à la protection des ressources génétiques et des savoirs traditionnels connexes, </w:t>
      </w:r>
      <w:r w:rsidRPr="00965846">
        <w:rPr>
          <w:rFonts w:ascii="Arial" w:hAnsi="Arial"/>
          <w:b/>
          <w:color w:val="FF0000"/>
          <w:sz w:val="22"/>
        </w:rPr>
        <w:t>[IN</w:t>
      </w:r>
      <w:r w:rsidR="00852466" w:rsidRPr="00965846">
        <w:rPr>
          <w:rFonts w:ascii="Arial" w:hAnsi="Arial"/>
          <w:b/>
          <w:color w:val="FF0000"/>
          <w:sz w:val="22"/>
        </w:rPr>
        <w:t> </w:t>
      </w:r>
      <w:r w:rsidRPr="00965846">
        <w:rPr>
          <w:rFonts w:ascii="Arial" w:hAnsi="Arial"/>
          <w:b/>
          <w:color w:val="FF0000"/>
          <w:sz w:val="22"/>
        </w:rPr>
        <w:t xml:space="preserve">: </w:t>
      </w:r>
      <w:r w:rsidR="00145E61" w:rsidRPr="00965846">
        <w:rPr>
          <w:rFonts w:ascii="Arial" w:hAnsi="Arial"/>
          <w:color w:val="FF0000"/>
          <w:sz w:val="22"/>
        </w:rPr>
        <w:t>y compris</w:t>
      </w:r>
      <w:r w:rsidRPr="00965846">
        <w:rPr>
          <w:rFonts w:ascii="Arial" w:hAnsi="Arial"/>
          <w:color w:val="FF0000"/>
          <w:sz w:val="22"/>
        </w:rPr>
        <w:t xml:space="preserve"> à la prévention de l</w:t>
      </w:r>
      <w:r w:rsidR="00145E61" w:rsidRPr="00965846">
        <w:rPr>
          <w:rFonts w:ascii="Arial" w:hAnsi="Arial"/>
          <w:color w:val="FF0000"/>
          <w:sz w:val="22"/>
        </w:rPr>
        <w:t>’</w:t>
      </w:r>
      <w:r w:rsidRPr="00965846">
        <w:rPr>
          <w:rFonts w:ascii="Arial" w:hAnsi="Arial"/>
          <w:color w:val="FF0000"/>
          <w:sz w:val="22"/>
        </w:rPr>
        <w:t>appropriation illicite</w:t>
      </w:r>
      <w:r w:rsidRPr="00965846">
        <w:rPr>
          <w:rFonts w:ascii="Arial" w:hAnsi="Arial"/>
          <w:b/>
          <w:color w:val="FF0000"/>
          <w:sz w:val="22"/>
        </w:rPr>
        <w:t>]</w:t>
      </w:r>
      <w:r w:rsidRPr="00965846">
        <w:rPr>
          <w:rFonts w:ascii="Arial" w:hAnsi="Arial"/>
          <w:color w:val="auto"/>
          <w:sz w:val="22"/>
        </w:rPr>
        <w:t>,</w:t>
      </w:r>
    </w:p>
    <w:p w14:paraId="7B5F894F" w14:textId="56C975F2" w:rsidR="007228A1" w:rsidRPr="00965846" w:rsidRDefault="007228A1" w:rsidP="007228A1">
      <w:pPr>
        <w:pStyle w:val="Default"/>
        <w:ind w:left="567"/>
        <w:rPr>
          <w:rFonts w:ascii="Arial" w:hAnsi="Arial" w:cs="Arial"/>
          <w:i/>
          <w:iCs/>
          <w:color w:val="auto"/>
          <w:sz w:val="22"/>
          <w:szCs w:val="22"/>
        </w:rPr>
      </w:pPr>
    </w:p>
    <w:p w14:paraId="2D902587" w14:textId="4892DC8B" w:rsidR="00145E61" w:rsidRPr="00965846" w:rsidRDefault="007228A1" w:rsidP="007228A1">
      <w:pPr>
        <w:pStyle w:val="Default"/>
        <w:ind w:left="567"/>
        <w:rPr>
          <w:rFonts w:ascii="Arial" w:hAnsi="Arial"/>
          <w:color w:val="auto"/>
          <w:sz w:val="22"/>
        </w:rPr>
      </w:pPr>
      <w:proofErr w:type="gramStart"/>
      <w:r w:rsidRPr="00965846">
        <w:rPr>
          <w:rFonts w:ascii="Arial" w:hAnsi="Arial"/>
          <w:i/>
          <w:color w:val="auto"/>
          <w:sz w:val="22"/>
        </w:rPr>
        <w:t>reconnaissant</w:t>
      </w:r>
      <w:proofErr w:type="gramEnd"/>
      <w:r w:rsidRPr="00965846">
        <w:rPr>
          <w:rFonts w:ascii="Arial" w:hAnsi="Arial"/>
          <w:i/>
          <w:color w:val="auto"/>
          <w:sz w:val="22"/>
        </w:rPr>
        <w:t xml:space="preserve"> </w:t>
      </w:r>
      <w:r w:rsidRPr="00965846">
        <w:rPr>
          <w:rFonts w:ascii="Arial" w:hAnsi="Arial"/>
          <w:color w:val="auto"/>
          <w:sz w:val="22"/>
        </w:rPr>
        <w:t>qu</w:t>
      </w:r>
      <w:r w:rsidR="00145E61" w:rsidRPr="00965846">
        <w:rPr>
          <w:rFonts w:ascii="Arial" w:hAnsi="Arial"/>
          <w:color w:val="auto"/>
          <w:sz w:val="22"/>
        </w:rPr>
        <w:t>’</w:t>
      </w:r>
      <w:r w:rsidRPr="00965846">
        <w:rPr>
          <w:rFonts w:ascii="Arial" w:hAnsi="Arial"/>
          <w:color w:val="auto"/>
          <w:sz w:val="22"/>
        </w:rPr>
        <w:t>une exigence de divulgation internationale relative aux ressources génétiques et aux savoirs traditionnels connexes dans les demandes de</w:t>
      </w:r>
      <w:r w:rsidR="002C57D1">
        <w:rPr>
          <w:rFonts w:ascii="Arial" w:hAnsi="Arial"/>
          <w:color w:val="auto"/>
          <w:sz w:val="22"/>
        </w:rPr>
        <w:t xml:space="preserve"> </w:t>
      </w:r>
      <w:r w:rsidRPr="00965846">
        <w:rPr>
          <w:rFonts w:ascii="Arial" w:hAnsi="Arial"/>
          <w:b/>
          <w:color w:val="FF0000"/>
          <w:sz w:val="22"/>
        </w:rPr>
        <w:t>[IN</w:t>
      </w:r>
      <w:r w:rsidR="00852466" w:rsidRPr="00965846">
        <w:rPr>
          <w:rFonts w:ascii="Arial" w:hAnsi="Arial"/>
          <w:b/>
          <w:color w:val="FF0000"/>
          <w:sz w:val="22"/>
        </w:rPr>
        <w:t> </w:t>
      </w:r>
      <w:r w:rsidRPr="00965846">
        <w:rPr>
          <w:rFonts w:ascii="Arial" w:hAnsi="Arial"/>
          <w:b/>
          <w:color w:val="FF0000"/>
          <w:sz w:val="22"/>
        </w:rPr>
        <w:t xml:space="preserve">: </w:t>
      </w:r>
      <w:r w:rsidRPr="00965846">
        <w:rPr>
          <w:rFonts w:ascii="Arial" w:hAnsi="Arial"/>
          <w:color w:val="FF0000"/>
          <w:sz w:val="22"/>
        </w:rPr>
        <w:t xml:space="preserve">titres de propriété intellectuelle </w:t>
      </w:r>
      <w:r w:rsidRPr="00965846">
        <w:rPr>
          <w:rFonts w:ascii="Arial" w:hAnsi="Arial"/>
          <w:strike/>
          <w:color w:val="FF0000"/>
          <w:sz w:val="22"/>
        </w:rPr>
        <w:t>brevet</w:t>
      </w:r>
      <w:r w:rsidRPr="00965846">
        <w:rPr>
          <w:rFonts w:ascii="Arial" w:hAnsi="Arial"/>
          <w:b/>
          <w:color w:val="FF0000"/>
          <w:sz w:val="22"/>
        </w:rPr>
        <w:t xml:space="preserve">] </w:t>
      </w:r>
      <w:r w:rsidRPr="00965846">
        <w:rPr>
          <w:rFonts w:ascii="Arial" w:hAnsi="Arial"/>
          <w:color w:val="auto"/>
          <w:sz w:val="22"/>
        </w:rPr>
        <w:t>contribue à la sécurité et à la cohérence juridiques et présente de ce fait des avantages pour le système</w:t>
      </w:r>
      <w:r w:rsidRPr="00965846">
        <w:rPr>
          <w:rFonts w:ascii="Arial" w:hAnsi="Arial"/>
          <w:b/>
          <w:color w:val="FF0000"/>
          <w:sz w:val="22"/>
        </w:rPr>
        <w:t xml:space="preserve"> [IN</w:t>
      </w:r>
      <w:r w:rsidR="00852466" w:rsidRPr="00965846">
        <w:rPr>
          <w:rFonts w:ascii="Arial" w:hAnsi="Arial"/>
          <w:b/>
          <w:color w:val="FF0000"/>
          <w:sz w:val="22"/>
        </w:rPr>
        <w:t> </w:t>
      </w:r>
      <w:r w:rsidRPr="00965846">
        <w:rPr>
          <w:rFonts w:ascii="Arial" w:hAnsi="Arial"/>
          <w:b/>
          <w:color w:val="FF0000"/>
          <w:sz w:val="22"/>
        </w:rPr>
        <w:t xml:space="preserve">: </w:t>
      </w:r>
      <w:r w:rsidRPr="00965846">
        <w:rPr>
          <w:rFonts w:ascii="Arial" w:hAnsi="Arial"/>
          <w:color w:val="FF0000"/>
          <w:sz w:val="22"/>
        </w:rPr>
        <w:t xml:space="preserve">de propriété intellectuelle </w:t>
      </w:r>
      <w:r w:rsidRPr="00965846">
        <w:rPr>
          <w:rFonts w:ascii="Arial" w:hAnsi="Arial"/>
          <w:strike/>
          <w:color w:val="FF0000"/>
          <w:sz w:val="22"/>
        </w:rPr>
        <w:t>des brevets</w:t>
      </w:r>
      <w:r w:rsidRPr="00965846">
        <w:rPr>
          <w:rFonts w:ascii="Arial" w:hAnsi="Arial"/>
          <w:b/>
          <w:color w:val="FF0000"/>
          <w:sz w:val="22"/>
        </w:rPr>
        <w:t xml:space="preserve">] </w:t>
      </w:r>
      <w:r w:rsidRPr="00965846">
        <w:rPr>
          <w:rFonts w:ascii="Arial" w:hAnsi="Arial"/>
          <w:color w:val="auto"/>
          <w:sz w:val="22"/>
        </w:rPr>
        <w:t>et pour les fournisseurs et les utilisateurs de ces ressources et de ces savoirs,</w:t>
      </w:r>
    </w:p>
    <w:p w14:paraId="3FF2C0BC" w14:textId="7041F63B" w:rsidR="007228A1" w:rsidRPr="00965846" w:rsidRDefault="007228A1" w:rsidP="007228A1">
      <w:pPr>
        <w:pStyle w:val="Default"/>
        <w:ind w:left="567"/>
        <w:rPr>
          <w:rFonts w:ascii="Arial" w:hAnsi="Arial" w:cs="Arial"/>
          <w:i/>
          <w:iCs/>
          <w:color w:val="auto"/>
          <w:sz w:val="22"/>
          <w:szCs w:val="22"/>
        </w:rPr>
      </w:pPr>
    </w:p>
    <w:p w14:paraId="2A22125D" w14:textId="6C88FF8C" w:rsidR="00145E61" w:rsidRPr="00965846" w:rsidRDefault="007228A1" w:rsidP="007228A1">
      <w:pPr>
        <w:pStyle w:val="Default"/>
        <w:ind w:left="567"/>
        <w:rPr>
          <w:rFonts w:ascii="Arial" w:hAnsi="Arial"/>
          <w:color w:val="auto"/>
          <w:sz w:val="22"/>
        </w:rPr>
      </w:pPr>
      <w:proofErr w:type="gramStart"/>
      <w:r w:rsidRPr="00965846">
        <w:rPr>
          <w:rFonts w:ascii="Arial" w:hAnsi="Arial"/>
          <w:i/>
          <w:color w:val="auto"/>
          <w:sz w:val="22"/>
        </w:rPr>
        <w:t>conscientes</w:t>
      </w:r>
      <w:proofErr w:type="gramEnd"/>
      <w:r w:rsidRPr="00965846">
        <w:rPr>
          <w:rFonts w:ascii="Arial" w:hAnsi="Arial"/>
          <w:color w:val="auto"/>
          <w:sz w:val="22"/>
        </w:rPr>
        <w:t xml:space="preserve"> de ce que cet instrument et d</w:t>
      </w:r>
      <w:r w:rsidR="00145E61" w:rsidRPr="00965846">
        <w:rPr>
          <w:rFonts w:ascii="Arial" w:hAnsi="Arial"/>
          <w:color w:val="auto"/>
          <w:sz w:val="22"/>
        </w:rPr>
        <w:t>’</w:t>
      </w:r>
      <w:r w:rsidRPr="00965846">
        <w:rPr>
          <w:rFonts w:ascii="Arial" w:hAnsi="Arial"/>
          <w:color w:val="auto"/>
          <w:sz w:val="22"/>
        </w:rPr>
        <w:t>autres instruments internationaux relatifs aux ressources génétiques et aux savoirs traditionnels connexes doivent être complémentaires,</w:t>
      </w:r>
    </w:p>
    <w:p w14:paraId="3C9225C2" w14:textId="0DFC7BB2" w:rsidR="007228A1" w:rsidRPr="00965846" w:rsidRDefault="007228A1" w:rsidP="007228A1">
      <w:pPr>
        <w:pStyle w:val="Default"/>
        <w:ind w:left="567"/>
        <w:rPr>
          <w:rFonts w:ascii="Arial" w:hAnsi="Arial" w:cs="Arial"/>
          <w:i/>
          <w:iCs/>
          <w:color w:val="auto"/>
          <w:sz w:val="22"/>
          <w:szCs w:val="22"/>
        </w:rPr>
      </w:pPr>
    </w:p>
    <w:p w14:paraId="156FCD71" w14:textId="6304B885" w:rsidR="00145E61" w:rsidRPr="00965846" w:rsidRDefault="007228A1" w:rsidP="007228A1">
      <w:pPr>
        <w:pStyle w:val="Default"/>
        <w:ind w:left="567"/>
        <w:rPr>
          <w:rFonts w:ascii="Arial" w:hAnsi="Arial"/>
          <w:color w:val="auto"/>
          <w:sz w:val="22"/>
        </w:rPr>
      </w:pPr>
      <w:proofErr w:type="gramStart"/>
      <w:r w:rsidRPr="00965846">
        <w:rPr>
          <w:rFonts w:ascii="Arial" w:hAnsi="Arial"/>
          <w:i/>
          <w:color w:val="auto"/>
          <w:sz w:val="22"/>
        </w:rPr>
        <w:t>reconnaissant</w:t>
      </w:r>
      <w:proofErr w:type="gramEnd"/>
      <w:r w:rsidRPr="00965846">
        <w:rPr>
          <w:rFonts w:ascii="Arial" w:hAnsi="Arial"/>
          <w:i/>
          <w:color w:val="auto"/>
          <w:sz w:val="22"/>
        </w:rPr>
        <w:t xml:space="preserve"> et réaffirmant</w:t>
      </w:r>
      <w:r w:rsidRPr="00965846">
        <w:rPr>
          <w:rFonts w:ascii="Arial" w:hAnsi="Arial"/>
          <w:color w:val="auto"/>
          <w:sz w:val="22"/>
        </w:rPr>
        <w:t xml:space="preserve"> le rôle du système de propriété intellectuelle dans la promotion de l</w:t>
      </w:r>
      <w:r w:rsidR="00145E61" w:rsidRPr="00965846">
        <w:rPr>
          <w:rFonts w:ascii="Arial" w:hAnsi="Arial"/>
          <w:color w:val="auto"/>
          <w:sz w:val="22"/>
        </w:rPr>
        <w:t>’</w:t>
      </w:r>
      <w:r w:rsidRPr="00965846">
        <w:rPr>
          <w:rFonts w:ascii="Arial" w:hAnsi="Arial"/>
          <w:color w:val="auto"/>
          <w:sz w:val="22"/>
        </w:rPr>
        <w:t>innovation, le transfert et la diffusion des connaissances et le développement économique, dans l</w:t>
      </w:r>
      <w:r w:rsidR="00145E61" w:rsidRPr="00965846">
        <w:rPr>
          <w:rFonts w:ascii="Arial" w:hAnsi="Arial"/>
          <w:color w:val="auto"/>
          <w:sz w:val="22"/>
        </w:rPr>
        <w:t>’</w:t>
      </w:r>
      <w:r w:rsidRPr="00965846">
        <w:rPr>
          <w:rFonts w:ascii="Arial" w:hAnsi="Arial"/>
          <w:color w:val="auto"/>
          <w:sz w:val="22"/>
        </w:rPr>
        <w:t>intérêt mutuel des fournisseurs et des utilisateurs des ressources génétiques et des savoirs traditionnels connexes.</w:t>
      </w:r>
    </w:p>
    <w:p w14:paraId="420F96BA" w14:textId="78274430" w:rsidR="007228A1" w:rsidRPr="00965846" w:rsidRDefault="007228A1" w:rsidP="007228A1">
      <w:pPr>
        <w:pStyle w:val="Default"/>
        <w:ind w:left="567"/>
        <w:rPr>
          <w:rFonts w:ascii="Arial" w:hAnsi="Arial" w:cs="Arial"/>
          <w:i/>
          <w:iCs/>
          <w:color w:val="auto"/>
          <w:sz w:val="22"/>
          <w:szCs w:val="22"/>
        </w:rPr>
      </w:pPr>
    </w:p>
    <w:p w14:paraId="6B16323D" w14:textId="31A797C0" w:rsidR="007228A1" w:rsidRPr="00965846" w:rsidRDefault="007228A1" w:rsidP="007228A1">
      <w:pPr>
        <w:pStyle w:val="Default"/>
        <w:ind w:left="567"/>
        <w:rPr>
          <w:rFonts w:ascii="Arial" w:hAnsi="Arial" w:cs="Arial"/>
          <w:color w:val="auto"/>
          <w:sz w:val="22"/>
          <w:szCs w:val="22"/>
        </w:rPr>
      </w:pPr>
      <w:proofErr w:type="gramStart"/>
      <w:r w:rsidRPr="00965846">
        <w:rPr>
          <w:rFonts w:ascii="Arial" w:hAnsi="Arial"/>
          <w:i/>
          <w:color w:val="auto"/>
          <w:sz w:val="22"/>
        </w:rPr>
        <w:t>prenant</w:t>
      </w:r>
      <w:proofErr w:type="gramEnd"/>
      <w:r w:rsidRPr="00965846">
        <w:rPr>
          <w:rFonts w:ascii="Arial" w:hAnsi="Arial"/>
          <w:i/>
          <w:color w:val="auto"/>
          <w:sz w:val="22"/>
        </w:rPr>
        <w:t xml:space="preserve"> acte</w:t>
      </w:r>
      <w:r w:rsidRPr="00965846">
        <w:rPr>
          <w:rFonts w:ascii="Arial" w:hAnsi="Arial"/>
          <w:color w:val="auto"/>
          <w:sz w:val="22"/>
        </w:rPr>
        <w:t xml:space="preserve"> de la Déclaration des </w:t>
      </w:r>
      <w:r w:rsidR="00145E61" w:rsidRPr="00965846">
        <w:rPr>
          <w:rFonts w:ascii="Arial" w:hAnsi="Arial"/>
          <w:color w:val="auto"/>
          <w:sz w:val="22"/>
        </w:rPr>
        <w:t>Nations Unies</w:t>
      </w:r>
      <w:r w:rsidRPr="00965846">
        <w:rPr>
          <w:rFonts w:ascii="Arial" w:hAnsi="Arial"/>
          <w:color w:val="auto"/>
          <w:sz w:val="22"/>
        </w:rPr>
        <w:t xml:space="preserve"> sur les droits des peuples autochtones,</w:t>
      </w:r>
    </w:p>
    <w:p w14:paraId="4D9231BD" w14:textId="77777777" w:rsidR="007228A1" w:rsidRPr="00965846" w:rsidRDefault="007228A1" w:rsidP="007228A1">
      <w:pPr>
        <w:tabs>
          <w:tab w:val="left" w:pos="898"/>
        </w:tabs>
        <w:rPr>
          <w:lang w:val="fr-FR" w:eastAsia="fr-CH"/>
        </w:rPr>
      </w:pPr>
    </w:p>
    <w:p w14:paraId="7C8B08EE" w14:textId="77777777" w:rsidR="007228A1" w:rsidRPr="00965846" w:rsidRDefault="007228A1" w:rsidP="007228A1">
      <w:pPr>
        <w:tabs>
          <w:tab w:val="left" w:pos="898"/>
        </w:tabs>
        <w:rPr>
          <w:lang w:val="fr-FR" w:eastAsia="fr-CH"/>
        </w:rPr>
      </w:pPr>
    </w:p>
    <w:p w14:paraId="7CE29A87" w14:textId="77777777" w:rsidR="007228A1" w:rsidRPr="00965846" w:rsidRDefault="007228A1" w:rsidP="007228A1">
      <w:pPr>
        <w:tabs>
          <w:tab w:val="left" w:pos="898"/>
        </w:tabs>
        <w:rPr>
          <w:lang w:val="fr-FR" w:eastAsia="fr-CH"/>
        </w:rPr>
      </w:pPr>
    </w:p>
    <w:p w14:paraId="2DBE53F5" w14:textId="36AD7753" w:rsidR="00145E61" w:rsidRPr="00965846" w:rsidRDefault="007228A1" w:rsidP="007228A1">
      <w:pPr>
        <w:pStyle w:val="Default"/>
        <w:rPr>
          <w:rFonts w:ascii="Arial" w:hAnsi="Arial"/>
          <w:color w:val="auto"/>
          <w:sz w:val="22"/>
        </w:rPr>
      </w:pPr>
      <w:proofErr w:type="gramStart"/>
      <w:r w:rsidRPr="00965846">
        <w:rPr>
          <w:rFonts w:ascii="Arial" w:hAnsi="Arial"/>
          <w:color w:val="auto"/>
          <w:sz w:val="22"/>
        </w:rPr>
        <w:t>sont</w:t>
      </w:r>
      <w:proofErr w:type="gramEnd"/>
      <w:r w:rsidRPr="00965846">
        <w:rPr>
          <w:rFonts w:ascii="Arial" w:hAnsi="Arial"/>
          <w:color w:val="auto"/>
          <w:sz w:val="22"/>
        </w:rPr>
        <w:t xml:space="preserve"> convenues de ce qui suit</w:t>
      </w:r>
      <w:r w:rsidR="00145E61" w:rsidRPr="00965846">
        <w:rPr>
          <w:rFonts w:ascii="Arial" w:hAnsi="Arial"/>
          <w:color w:val="auto"/>
          <w:sz w:val="22"/>
        </w:rPr>
        <w:t> :</w:t>
      </w:r>
    </w:p>
    <w:p w14:paraId="23B8A4F2" w14:textId="7D292005" w:rsidR="007228A1" w:rsidRPr="00965846" w:rsidRDefault="007228A1" w:rsidP="007228A1">
      <w:pPr>
        <w:tabs>
          <w:tab w:val="left" w:pos="898"/>
        </w:tabs>
        <w:rPr>
          <w:lang w:val="fr-FR" w:eastAsia="fr-CH"/>
        </w:rPr>
        <w:sectPr w:rsidR="007228A1" w:rsidRPr="00965846" w:rsidSect="001E4A0E">
          <w:headerReference w:type="default" r:id="rId15"/>
          <w:endnotePr>
            <w:numFmt w:val="decimal"/>
          </w:endnotePr>
          <w:pgSz w:w="11907" w:h="16840" w:code="9"/>
          <w:pgMar w:top="567" w:right="1134" w:bottom="1418" w:left="1418" w:header="510" w:footer="1021" w:gutter="0"/>
          <w:pgNumType w:start="1"/>
          <w:cols w:space="720"/>
          <w:docGrid w:linePitch="299"/>
        </w:sectPr>
      </w:pPr>
    </w:p>
    <w:p w14:paraId="7D9CAE14" w14:textId="77777777" w:rsidR="007228A1" w:rsidRPr="00965846" w:rsidRDefault="007228A1" w:rsidP="007228A1">
      <w:pPr>
        <w:rPr>
          <w:b/>
          <w:bCs/>
          <w:szCs w:val="22"/>
          <w:lang w:val="fr-FR"/>
        </w:rPr>
      </w:pPr>
    </w:p>
    <w:p w14:paraId="7ECF311E" w14:textId="371FEC35" w:rsidR="007228A1" w:rsidRPr="00965846" w:rsidRDefault="007228A1" w:rsidP="007228A1">
      <w:pPr>
        <w:rPr>
          <w:b/>
          <w:bCs/>
          <w:szCs w:val="22"/>
          <w:lang w:val="fr-FR"/>
        </w:rPr>
      </w:pPr>
      <w:r w:rsidRPr="00965846">
        <w:rPr>
          <w:b/>
          <w:noProof/>
          <w:lang w:val="fr-FR"/>
        </w:rPr>
        <mc:AlternateContent>
          <mc:Choice Requires="wps">
            <w:drawing>
              <wp:anchor distT="45720" distB="45720" distL="114300" distR="114300" simplePos="0" relativeHeight="251659264" behindDoc="0" locked="0" layoutInCell="1" allowOverlap="1" wp14:anchorId="6B4E633B" wp14:editId="3E2D2BEE">
                <wp:simplePos x="0" y="0"/>
                <wp:positionH relativeFrom="margin">
                  <wp:posOffset>-1143</wp:posOffset>
                </wp:positionH>
                <wp:positionV relativeFrom="paragraph">
                  <wp:posOffset>327660</wp:posOffset>
                </wp:positionV>
                <wp:extent cx="6042660" cy="2099310"/>
                <wp:effectExtent l="0" t="0" r="15240" b="1524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2099310"/>
                        </a:xfrm>
                        <a:prstGeom prst="rect">
                          <a:avLst/>
                        </a:prstGeom>
                        <a:solidFill>
                          <a:srgbClr val="FFFFFF"/>
                        </a:solidFill>
                        <a:ln w="9525">
                          <a:solidFill>
                            <a:srgbClr val="000000"/>
                          </a:solidFill>
                          <a:miter lim="800000"/>
                          <a:headEnd/>
                          <a:tailEnd/>
                        </a:ln>
                      </wps:spPr>
                      <wps:txbx>
                        <w:txbxContent>
                          <w:p w14:paraId="0E5E0D6A" w14:textId="73D765DF" w:rsidR="007228A1" w:rsidRDefault="007228A1" w:rsidP="007228A1">
                            <w:pPr>
                              <w:rPr>
                                <w:sz w:val="23"/>
                                <w:szCs w:val="23"/>
                              </w:rPr>
                            </w:pPr>
                            <w:r>
                              <w:rPr>
                                <w:b/>
                                <w:sz w:val="23"/>
                              </w:rPr>
                              <w:t>Note explicative</w:t>
                            </w:r>
                            <w:r w:rsidR="002C57D1">
                              <w:rPr>
                                <w:b/>
                                <w:sz w:val="23"/>
                              </w:rPr>
                              <w:t> :</w:t>
                            </w:r>
                            <w:r>
                              <w:rPr>
                                <w:b/>
                                <w:sz w:val="23"/>
                              </w:rPr>
                              <w:t xml:space="preserve"> </w:t>
                            </w:r>
                            <w:r>
                              <w:rPr>
                                <w:sz w:val="23"/>
                              </w:rPr>
                              <w:t>le préambule donne le ton et définit les tenants et aboutissants du texte qui suit.  Il est communément accepté comme reflétant l</w:t>
                            </w:r>
                            <w:r w:rsidR="002C57D1">
                              <w:rPr>
                                <w:sz w:val="23"/>
                              </w:rPr>
                              <w:t>’</w:t>
                            </w:r>
                            <w:r>
                              <w:rPr>
                                <w:sz w:val="23"/>
                              </w:rPr>
                              <w:t>esprit et l</w:t>
                            </w:r>
                            <w:r w:rsidR="002C57D1">
                              <w:rPr>
                                <w:sz w:val="23"/>
                              </w:rPr>
                              <w:t>’</w:t>
                            </w:r>
                            <w:r>
                              <w:rPr>
                                <w:sz w:val="23"/>
                              </w:rPr>
                              <w:t>âme de l</w:t>
                            </w:r>
                            <w:r w:rsidR="002C57D1">
                              <w:rPr>
                                <w:sz w:val="23"/>
                              </w:rPr>
                              <w:t>’</w:t>
                            </w:r>
                            <w:r>
                              <w:rPr>
                                <w:sz w:val="23"/>
                              </w:rPr>
                              <w:t xml:space="preserve">instrument et les possibilités de modification sont limitées. </w:t>
                            </w:r>
                          </w:p>
                          <w:p w14:paraId="493548FD" w14:textId="77777777" w:rsidR="007228A1" w:rsidRPr="007F2F93" w:rsidRDefault="007228A1" w:rsidP="007228A1">
                            <w:pPr>
                              <w:rPr>
                                <w:sz w:val="23"/>
                                <w:szCs w:val="23"/>
                              </w:rPr>
                            </w:pPr>
                          </w:p>
                          <w:p w14:paraId="1002857C" w14:textId="311A7628" w:rsidR="007228A1" w:rsidRDefault="007228A1" w:rsidP="007228A1">
                            <w:r>
                              <w:rPr>
                                <w:sz w:val="23"/>
                              </w:rPr>
                              <w:t>Étant donné que de plus amples travaux sont nécessaires pour établir l</w:t>
                            </w:r>
                            <w:r w:rsidR="002C57D1">
                              <w:rPr>
                                <w:sz w:val="23"/>
                              </w:rPr>
                              <w:t>’</w:t>
                            </w:r>
                            <w:r>
                              <w:rPr>
                                <w:sz w:val="23"/>
                              </w:rPr>
                              <w:t>applicabilité de cet instrument à d</w:t>
                            </w:r>
                            <w:r w:rsidR="002C57D1">
                              <w:rPr>
                                <w:sz w:val="23"/>
                              </w:rPr>
                              <w:t>’</w:t>
                            </w:r>
                            <w:r>
                              <w:rPr>
                                <w:sz w:val="23"/>
                              </w:rPr>
                              <w:t>autres droits de propriété intellectuelle, le préambule doit être plus large afin d</w:t>
                            </w:r>
                            <w:r w:rsidR="002C57D1">
                              <w:rPr>
                                <w:sz w:val="23"/>
                              </w:rPr>
                              <w:t>’</w:t>
                            </w:r>
                            <w:r>
                              <w:rPr>
                                <w:sz w:val="23"/>
                              </w:rPr>
                              <w:t xml:space="preserve">englober tous les droits de propriété intellectuelle et ne doit pas être restreint aux seuls brevets. </w:t>
                            </w:r>
                            <w:r w:rsidR="002C57D1">
                              <w:rPr>
                                <w:sz w:val="23"/>
                              </w:rPr>
                              <w:t xml:space="preserve"> </w:t>
                            </w:r>
                            <w:r>
                              <w:rPr>
                                <w:sz w:val="23"/>
                              </w:rPr>
                              <w:t>Les considérants du préambule constituent un outil d</w:t>
                            </w:r>
                            <w:r w:rsidR="002C57D1">
                              <w:rPr>
                                <w:sz w:val="23"/>
                              </w:rPr>
                              <w:t>’</w:t>
                            </w:r>
                            <w:r>
                              <w:rPr>
                                <w:sz w:val="23"/>
                              </w:rPr>
                              <w:t>interprétation permettant de comprendre le contexte, la raison d</w:t>
                            </w:r>
                            <w:r w:rsidR="002C57D1">
                              <w:rPr>
                                <w:sz w:val="23"/>
                              </w:rPr>
                              <w:t>’</w:t>
                            </w:r>
                            <w:r>
                              <w:rPr>
                                <w:sz w:val="23"/>
                              </w:rPr>
                              <w:t>être et l</w:t>
                            </w:r>
                            <w:r w:rsidR="002C57D1">
                              <w:rPr>
                                <w:sz w:val="23"/>
                              </w:rPr>
                              <w:t>’</w:t>
                            </w:r>
                            <w:r>
                              <w:rPr>
                                <w:sz w:val="23"/>
                              </w:rPr>
                              <w:t>intention de l</w:t>
                            </w:r>
                            <w:r w:rsidR="002C57D1">
                              <w:rPr>
                                <w:sz w:val="23"/>
                              </w:rPr>
                              <w:t>’</w:t>
                            </w:r>
                            <w:r>
                              <w:rPr>
                                <w:sz w:val="23"/>
                              </w:rPr>
                              <w:t>instrument.  Par conséquent, l</w:t>
                            </w:r>
                            <w:r w:rsidR="002C57D1">
                              <w:rPr>
                                <w:sz w:val="23"/>
                              </w:rPr>
                              <w:t>’</w:t>
                            </w:r>
                            <w:r>
                              <w:rPr>
                                <w:sz w:val="23"/>
                              </w:rPr>
                              <w:t>inclusion d</w:t>
                            </w:r>
                            <w:r w:rsidR="002C57D1">
                              <w:rPr>
                                <w:sz w:val="23"/>
                              </w:rPr>
                              <w:t>’</w:t>
                            </w:r>
                            <w:r>
                              <w:rPr>
                                <w:sz w:val="23"/>
                              </w:rPr>
                              <w:t>une référence globale à la protection de la propriété intellectuelle dans le préambule permettrait de réexaminer l</w:t>
                            </w:r>
                            <w:r w:rsidR="002C57D1">
                              <w:rPr>
                                <w:sz w:val="23"/>
                              </w:rPr>
                              <w:t>’</w:t>
                            </w:r>
                            <w:r>
                              <w:rPr>
                                <w:sz w:val="23"/>
                              </w:rPr>
                              <w:t>instrument ultérieurement et faciliterait la mise en œuvre des dispositions de l</w:t>
                            </w:r>
                            <w:r w:rsidR="002C57D1">
                              <w:rPr>
                                <w:sz w:val="23"/>
                              </w:rPr>
                              <w:t>’</w:t>
                            </w:r>
                            <w:r>
                              <w:rPr>
                                <w:sz w:val="23"/>
                              </w:rPr>
                              <w:t>article</w:t>
                            </w:r>
                            <w:r w:rsidR="002C57D1">
                              <w:rPr>
                                <w:sz w:val="23"/>
                              </w:rPr>
                              <w:t> </w:t>
                            </w:r>
                            <w:r>
                              <w:rPr>
                                <w:sz w:val="23"/>
                              </w:rPr>
                              <w:t xml:space="preserve">9.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4E633B" id="_x0000_t202" coordsize="21600,21600" o:spt="202" path="m,l,21600r21600,l21600,xe">
                <v:stroke joinstyle="miter"/>
                <v:path gradientshapeok="t" o:connecttype="rect"/>
              </v:shapetype>
              <v:shape id="Text Box 217" o:spid="_x0000_s1026" type="#_x0000_t202" style="position:absolute;margin-left:-.1pt;margin-top:25.8pt;width:475.8pt;height:165.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">
                <v:textbox>
                  <w:txbxContent>
                    <w:p w14:paraId="0E5E0D6A" w14:textId="73D765DF" w:rsidR="007228A1" w:rsidRDefault="007228A1" w:rsidP="007228A1">
                      <w:pPr>
                        <w:rPr>
                          <w:sz w:val="23"/>
                          <w:szCs w:val="23"/>
                        </w:rPr>
                      </w:pPr>
                      <w:r>
                        <w:rPr>
                          <w:b/>
                          <w:sz w:val="23"/>
                        </w:rPr>
                        <w:t>Note explicative</w:t>
                      </w:r>
                      <w:r w:rsidR="002C57D1">
                        <w:rPr>
                          <w:b/>
                          <w:sz w:val="23"/>
                        </w:rPr>
                        <w:t> :</w:t>
                      </w:r>
                      <w:r>
                        <w:rPr>
                          <w:b/>
                          <w:sz w:val="23"/>
                        </w:rPr>
                        <w:t xml:space="preserve"> </w:t>
                      </w:r>
                      <w:r>
                        <w:rPr>
                          <w:sz w:val="23"/>
                        </w:rPr>
                        <w:t>le préambule donne le ton et définit les tenants et aboutissants du texte qui suit.  Il est communément accepté comme reflétant l</w:t>
                      </w:r>
                      <w:r w:rsidR="002C57D1">
                        <w:rPr>
                          <w:sz w:val="23"/>
                        </w:rPr>
                        <w:t>’</w:t>
                      </w:r>
                      <w:r>
                        <w:rPr>
                          <w:sz w:val="23"/>
                        </w:rPr>
                        <w:t>esprit et l</w:t>
                      </w:r>
                      <w:r w:rsidR="002C57D1">
                        <w:rPr>
                          <w:sz w:val="23"/>
                        </w:rPr>
                        <w:t>’</w:t>
                      </w:r>
                      <w:r>
                        <w:rPr>
                          <w:sz w:val="23"/>
                        </w:rPr>
                        <w:t>âme de l</w:t>
                      </w:r>
                      <w:r w:rsidR="002C57D1">
                        <w:rPr>
                          <w:sz w:val="23"/>
                        </w:rPr>
                        <w:t>’</w:t>
                      </w:r>
                      <w:r>
                        <w:rPr>
                          <w:sz w:val="23"/>
                        </w:rPr>
                        <w:t xml:space="preserve">instrument et les possibilités de modification sont limitées. </w:t>
                      </w:r>
                    </w:p>
                    <w:p w14:paraId="493548FD" w14:textId="77777777" w:rsidR="007228A1" w:rsidRPr="007F2F93" w:rsidRDefault="007228A1" w:rsidP="007228A1">
                      <w:pPr>
                        <w:rPr>
                          <w:sz w:val="23"/>
                          <w:szCs w:val="23"/>
                        </w:rPr>
                      </w:pPr>
                    </w:p>
                    <w:p w14:paraId="1002857C" w14:textId="311A7628" w:rsidR="007228A1" w:rsidRDefault="007228A1" w:rsidP="007228A1">
                      <w:r>
                        <w:rPr>
                          <w:sz w:val="23"/>
                        </w:rPr>
                        <w:t>Étant donné que de plus amples travaux sont nécessaires pour établir l</w:t>
                      </w:r>
                      <w:r w:rsidR="002C57D1">
                        <w:rPr>
                          <w:sz w:val="23"/>
                        </w:rPr>
                        <w:t>’</w:t>
                      </w:r>
                      <w:r>
                        <w:rPr>
                          <w:sz w:val="23"/>
                        </w:rPr>
                        <w:t>applicabilité de cet instrument à d</w:t>
                      </w:r>
                      <w:r w:rsidR="002C57D1">
                        <w:rPr>
                          <w:sz w:val="23"/>
                        </w:rPr>
                        <w:t>’</w:t>
                      </w:r>
                      <w:r>
                        <w:rPr>
                          <w:sz w:val="23"/>
                        </w:rPr>
                        <w:t>autres droits de propriété intellectuelle, le préambule doit être plus large afin d</w:t>
                      </w:r>
                      <w:r w:rsidR="002C57D1">
                        <w:rPr>
                          <w:sz w:val="23"/>
                        </w:rPr>
                        <w:t>’</w:t>
                      </w:r>
                      <w:r>
                        <w:rPr>
                          <w:sz w:val="23"/>
                        </w:rPr>
                        <w:t xml:space="preserve">englober tous les droits de propriété intellectuelle et ne doit pas être restreint aux seuls brevets. </w:t>
                      </w:r>
                      <w:r w:rsidR="002C57D1">
                        <w:rPr>
                          <w:sz w:val="23"/>
                        </w:rPr>
                        <w:t xml:space="preserve"> </w:t>
                      </w:r>
                      <w:r>
                        <w:rPr>
                          <w:sz w:val="23"/>
                        </w:rPr>
                        <w:t>Les considérants du préambule constituent un outil d</w:t>
                      </w:r>
                      <w:r w:rsidR="002C57D1">
                        <w:rPr>
                          <w:sz w:val="23"/>
                        </w:rPr>
                        <w:t>’</w:t>
                      </w:r>
                      <w:r>
                        <w:rPr>
                          <w:sz w:val="23"/>
                        </w:rPr>
                        <w:t>interprétation permettant de comprendre le contexte, la raison d</w:t>
                      </w:r>
                      <w:r w:rsidR="002C57D1">
                        <w:rPr>
                          <w:sz w:val="23"/>
                        </w:rPr>
                        <w:t>’</w:t>
                      </w:r>
                      <w:r>
                        <w:rPr>
                          <w:sz w:val="23"/>
                        </w:rPr>
                        <w:t>être et l</w:t>
                      </w:r>
                      <w:r w:rsidR="002C57D1">
                        <w:rPr>
                          <w:sz w:val="23"/>
                        </w:rPr>
                        <w:t>’</w:t>
                      </w:r>
                      <w:r>
                        <w:rPr>
                          <w:sz w:val="23"/>
                        </w:rPr>
                        <w:t>intention de l</w:t>
                      </w:r>
                      <w:r w:rsidR="002C57D1">
                        <w:rPr>
                          <w:sz w:val="23"/>
                        </w:rPr>
                        <w:t>’</w:t>
                      </w:r>
                      <w:r>
                        <w:rPr>
                          <w:sz w:val="23"/>
                        </w:rPr>
                        <w:t>instrument.  Par conséquent, l</w:t>
                      </w:r>
                      <w:r w:rsidR="002C57D1">
                        <w:rPr>
                          <w:sz w:val="23"/>
                        </w:rPr>
                        <w:t>’</w:t>
                      </w:r>
                      <w:r>
                        <w:rPr>
                          <w:sz w:val="23"/>
                        </w:rPr>
                        <w:t>inclusion d</w:t>
                      </w:r>
                      <w:r w:rsidR="002C57D1">
                        <w:rPr>
                          <w:sz w:val="23"/>
                        </w:rPr>
                        <w:t>’</w:t>
                      </w:r>
                      <w:r>
                        <w:rPr>
                          <w:sz w:val="23"/>
                        </w:rPr>
                        <w:t>une référence globale à la protection de la propriété intellectuelle dans le préambule permettrait de réexaminer l</w:t>
                      </w:r>
                      <w:r w:rsidR="002C57D1">
                        <w:rPr>
                          <w:sz w:val="23"/>
                        </w:rPr>
                        <w:t>’</w:t>
                      </w:r>
                      <w:r>
                        <w:rPr>
                          <w:sz w:val="23"/>
                        </w:rPr>
                        <w:t>instrument ultérieurement et faciliterait la mise en œuvre des dispositions de l</w:t>
                      </w:r>
                      <w:r w:rsidR="002C57D1">
                        <w:rPr>
                          <w:sz w:val="23"/>
                        </w:rPr>
                        <w:t>’</w:t>
                      </w:r>
                      <w:r>
                        <w:rPr>
                          <w:sz w:val="23"/>
                        </w:rPr>
                        <w:t>article</w:t>
                      </w:r>
                      <w:r w:rsidR="002C57D1">
                        <w:rPr>
                          <w:sz w:val="23"/>
                        </w:rPr>
                        <w:t> </w:t>
                      </w:r>
                      <w:r>
                        <w:rPr>
                          <w:sz w:val="23"/>
                        </w:rPr>
                        <w:t xml:space="preserve">9.  </w:t>
                      </w:r>
                    </w:p>
                  </w:txbxContent>
                </v:textbox>
                <w10:wrap type="square" anchorx="margin"/>
              </v:shape>
            </w:pict>
          </mc:Fallback>
        </mc:AlternateContent>
      </w:r>
    </w:p>
    <w:p w14:paraId="6D9C55D7" w14:textId="32E93195" w:rsidR="007228A1" w:rsidRPr="00965846" w:rsidRDefault="007228A1" w:rsidP="007228A1">
      <w:pPr>
        <w:rPr>
          <w:b/>
          <w:bCs/>
          <w:szCs w:val="22"/>
          <w:lang w:val="fr-FR"/>
        </w:rPr>
      </w:pPr>
    </w:p>
    <w:p w14:paraId="21960262" w14:textId="77777777" w:rsidR="007228A1" w:rsidRPr="00965846" w:rsidRDefault="007228A1" w:rsidP="007228A1">
      <w:pPr>
        <w:rPr>
          <w:b/>
          <w:bCs/>
          <w:szCs w:val="22"/>
          <w:lang w:val="fr-FR"/>
        </w:rPr>
      </w:pPr>
    </w:p>
    <w:p w14:paraId="12E62506" w14:textId="77777777" w:rsidR="007228A1" w:rsidRPr="00965846" w:rsidRDefault="007228A1" w:rsidP="007228A1">
      <w:pPr>
        <w:rPr>
          <w:b/>
          <w:bCs/>
          <w:szCs w:val="22"/>
          <w:lang w:val="fr-FR"/>
        </w:rPr>
      </w:pPr>
      <w:r w:rsidRPr="00965846">
        <w:rPr>
          <w:lang w:val="fr-FR"/>
        </w:rPr>
        <w:br w:type="page"/>
      </w:r>
    </w:p>
    <w:p w14:paraId="22270C3B" w14:textId="77777777" w:rsidR="007228A1" w:rsidRPr="00965846" w:rsidRDefault="007228A1" w:rsidP="007228A1">
      <w:pPr>
        <w:rPr>
          <w:b/>
          <w:szCs w:val="22"/>
          <w:lang w:val="fr-FR"/>
        </w:rPr>
      </w:pPr>
      <w:r w:rsidRPr="00965846">
        <w:rPr>
          <w:b/>
          <w:lang w:val="fr-FR"/>
        </w:rPr>
        <w:t>ARTICLE PREMIER</w:t>
      </w:r>
    </w:p>
    <w:p w14:paraId="4F0CFDFD" w14:textId="77777777" w:rsidR="007228A1" w:rsidRPr="00965846" w:rsidRDefault="007228A1" w:rsidP="007228A1">
      <w:pPr>
        <w:rPr>
          <w:b/>
          <w:szCs w:val="22"/>
          <w:lang w:val="fr-FR"/>
        </w:rPr>
      </w:pPr>
    </w:p>
    <w:p w14:paraId="6F02F437" w14:textId="77777777" w:rsidR="00145E61" w:rsidRPr="00965846" w:rsidRDefault="007228A1" w:rsidP="007228A1">
      <w:pPr>
        <w:rPr>
          <w:b/>
          <w:lang w:val="fr-FR"/>
        </w:rPr>
      </w:pPr>
      <w:r w:rsidRPr="00965846">
        <w:rPr>
          <w:b/>
          <w:lang w:val="fr-FR"/>
        </w:rPr>
        <w:t>OBJECTIFS</w:t>
      </w:r>
    </w:p>
    <w:p w14:paraId="6EFE4523" w14:textId="67F9A384" w:rsidR="007228A1" w:rsidRPr="00965846" w:rsidRDefault="007228A1" w:rsidP="007228A1">
      <w:pPr>
        <w:rPr>
          <w:szCs w:val="22"/>
          <w:lang w:val="fr-FR"/>
        </w:rPr>
      </w:pPr>
    </w:p>
    <w:p w14:paraId="783F073D" w14:textId="7C01FAB9" w:rsidR="00145E61" w:rsidRPr="00965846" w:rsidRDefault="007228A1" w:rsidP="007228A1">
      <w:pPr>
        <w:rPr>
          <w:color w:val="FF0000"/>
          <w:lang w:val="fr-FR"/>
        </w:rPr>
      </w:pPr>
      <w:r w:rsidRPr="00965846">
        <w:rPr>
          <w:lang w:val="fr-FR"/>
        </w:rPr>
        <w:t xml:space="preserve">Le présent instrument a pour objectifs de </w:t>
      </w:r>
      <w:r w:rsidRPr="00965846">
        <w:rPr>
          <w:b/>
          <w:color w:val="FF0000"/>
          <w:lang w:val="fr-FR"/>
        </w:rPr>
        <w:t>[IN</w:t>
      </w:r>
      <w:r w:rsidR="00852466" w:rsidRPr="00965846">
        <w:rPr>
          <w:b/>
          <w:color w:val="FF0000"/>
          <w:lang w:val="fr-FR"/>
        </w:rPr>
        <w:t> </w:t>
      </w:r>
      <w:r w:rsidRPr="00965846">
        <w:rPr>
          <w:b/>
          <w:color w:val="FF0000"/>
          <w:lang w:val="fr-FR"/>
        </w:rPr>
        <w:t>:</w:t>
      </w:r>
      <w:r w:rsidRPr="00965846">
        <w:rPr>
          <w:color w:val="FF0000"/>
          <w:lang w:val="fr-FR"/>
        </w:rPr>
        <w:t xml:space="preserve"> contribuer à la protection des ressources génétiques et des savoirs traditionnels connexes dans le cadre du système de propriété intellectuelle</w:t>
      </w:r>
      <w:r w:rsidR="00145E61" w:rsidRPr="00965846">
        <w:rPr>
          <w:color w:val="FF0000"/>
          <w:lang w:val="fr-FR"/>
        </w:rPr>
        <w:t> :</w:t>
      </w:r>
    </w:p>
    <w:p w14:paraId="7DE7AF91" w14:textId="5F5FC615" w:rsidR="007228A1" w:rsidRPr="00965846" w:rsidRDefault="007228A1" w:rsidP="007228A1">
      <w:pPr>
        <w:rPr>
          <w:szCs w:val="22"/>
          <w:lang w:val="fr-FR"/>
        </w:rPr>
      </w:pPr>
    </w:p>
    <w:p w14:paraId="460332BE" w14:textId="2A0728AA" w:rsidR="00145E61" w:rsidRPr="00965846" w:rsidRDefault="007228A1" w:rsidP="007228A1">
      <w:pPr>
        <w:rPr>
          <w:lang w:val="fr-FR"/>
        </w:rPr>
      </w:pPr>
      <w:r w:rsidRPr="00965846">
        <w:rPr>
          <w:lang w:val="fr-FR"/>
        </w:rPr>
        <w:t>a)</w:t>
      </w:r>
      <w:r w:rsidRPr="00965846">
        <w:rPr>
          <w:lang w:val="fr-FR"/>
        </w:rPr>
        <w:tab/>
      </w:r>
      <w:r w:rsidRPr="00965846">
        <w:rPr>
          <w:color w:val="FF0000"/>
          <w:lang w:val="fr-FR"/>
        </w:rPr>
        <w:t>en favorisant</w:t>
      </w:r>
      <w:r w:rsidRPr="00965846">
        <w:rPr>
          <w:lang w:val="fr-FR"/>
        </w:rPr>
        <w:t xml:space="preserve"> l</w:t>
      </w:r>
      <w:r w:rsidR="00145E61" w:rsidRPr="00965846">
        <w:rPr>
          <w:lang w:val="fr-FR"/>
        </w:rPr>
        <w:t>’</w:t>
      </w:r>
      <w:r w:rsidRPr="00965846">
        <w:rPr>
          <w:lang w:val="fr-FR"/>
        </w:rPr>
        <w:t xml:space="preserve">efficacité, la transparence et la qualité du système des brevets en ce qui concerne les ressources génétiques et les savoirs traditionnels qui y sont </w:t>
      </w:r>
      <w:proofErr w:type="gramStart"/>
      <w:r w:rsidRPr="00965846">
        <w:rPr>
          <w:lang w:val="fr-FR"/>
        </w:rPr>
        <w:t>associés;  et</w:t>
      </w:r>
      <w:proofErr w:type="gramEnd"/>
    </w:p>
    <w:p w14:paraId="17B714BA" w14:textId="497C70E1" w:rsidR="007228A1" w:rsidRPr="00965846" w:rsidRDefault="007228A1" w:rsidP="007228A1">
      <w:pPr>
        <w:rPr>
          <w:szCs w:val="22"/>
          <w:lang w:val="fr-FR"/>
        </w:rPr>
      </w:pPr>
    </w:p>
    <w:p w14:paraId="67B4E2A1" w14:textId="23F2B723" w:rsidR="00145E61" w:rsidRPr="00965846" w:rsidRDefault="007228A1" w:rsidP="007228A1">
      <w:pPr>
        <w:rPr>
          <w:color w:val="FF0000"/>
          <w:lang w:val="fr-FR"/>
        </w:rPr>
      </w:pPr>
      <w:r w:rsidRPr="00965846">
        <w:rPr>
          <w:lang w:val="fr-FR"/>
        </w:rPr>
        <w:t>b)</w:t>
      </w:r>
      <w:r w:rsidRPr="00965846">
        <w:rPr>
          <w:lang w:val="fr-FR"/>
        </w:rPr>
        <w:tab/>
      </w:r>
      <w:r w:rsidRPr="00965846">
        <w:rPr>
          <w:color w:val="FF0000"/>
          <w:lang w:val="fr-FR"/>
        </w:rPr>
        <w:t>en prévenant</w:t>
      </w:r>
      <w:r w:rsidRPr="00965846">
        <w:rPr>
          <w:lang w:val="fr-FR"/>
        </w:rPr>
        <w:t xml:space="preserve"> la délivrance de brevets indus pour des inventions qui ne sont pas nouvelles ou n</w:t>
      </w:r>
      <w:r w:rsidR="00145E61" w:rsidRPr="00965846">
        <w:rPr>
          <w:lang w:val="fr-FR"/>
        </w:rPr>
        <w:t>’</w:t>
      </w:r>
      <w:r w:rsidRPr="00965846">
        <w:rPr>
          <w:lang w:val="fr-FR"/>
        </w:rPr>
        <w:t>impliquent pas d</w:t>
      </w:r>
      <w:r w:rsidR="00145E61" w:rsidRPr="00965846">
        <w:rPr>
          <w:lang w:val="fr-FR"/>
        </w:rPr>
        <w:t>’</w:t>
      </w:r>
      <w:r w:rsidRPr="00965846">
        <w:rPr>
          <w:lang w:val="fr-FR"/>
        </w:rPr>
        <w:t>activité inventive eu égard aux ressources génétiques et aux savoirs traditionnels qui y sont associés.</w:t>
      </w:r>
      <w:r w:rsidRPr="00965846">
        <w:rPr>
          <w:b/>
          <w:color w:val="FF0000"/>
          <w:lang w:val="fr-FR"/>
        </w:rPr>
        <w:t>]</w:t>
      </w:r>
    </w:p>
    <w:p w14:paraId="324EE279" w14:textId="2505B9C8" w:rsidR="007228A1" w:rsidRPr="00965846" w:rsidRDefault="007228A1" w:rsidP="007228A1">
      <w:pPr>
        <w:rPr>
          <w:szCs w:val="22"/>
          <w:lang w:val="fr-FR"/>
        </w:rPr>
      </w:pPr>
      <w:r w:rsidRPr="00965846">
        <w:rPr>
          <w:noProof/>
          <w:lang w:val="fr-FR"/>
        </w:rPr>
        <mc:AlternateContent>
          <mc:Choice Requires="wps">
            <w:drawing>
              <wp:anchor distT="45720" distB="45720" distL="114300" distR="114300" simplePos="0" relativeHeight="251660288" behindDoc="0" locked="0" layoutInCell="1" allowOverlap="1" wp14:anchorId="2CA114F7" wp14:editId="4EC17FE1">
                <wp:simplePos x="0" y="0"/>
                <wp:positionH relativeFrom="column">
                  <wp:posOffset>-711</wp:posOffset>
                </wp:positionH>
                <wp:positionV relativeFrom="paragraph">
                  <wp:posOffset>355600</wp:posOffset>
                </wp:positionV>
                <wp:extent cx="5864225" cy="2984500"/>
                <wp:effectExtent l="0" t="0" r="22225" b="254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2984500"/>
                        </a:xfrm>
                        <a:prstGeom prst="rect">
                          <a:avLst/>
                        </a:prstGeom>
                        <a:solidFill>
                          <a:srgbClr val="FFFFFF"/>
                        </a:solidFill>
                        <a:ln w="9525">
                          <a:solidFill>
                            <a:srgbClr val="000000"/>
                          </a:solidFill>
                          <a:miter lim="800000"/>
                          <a:headEnd/>
                          <a:tailEnd/>
                        </a:ln>
                      </wps:spPr>
                      <wps:txbx>
                        <w:txbxContent>
                          <w:p w14:paraId="42DDE0EA" w14:textId="2385F242" w:rsidR="007228A1" w:rsidRPr="00263757" w:rsidRDefault="007228A1" w:rsidP="007228A1">
                            <w:pPr>
                              <w:rPr>
                                <w:sz w:val="23"/>
                                <w:szCs w:val="23"/>
                              </w:rPr>
                            </w:pPr>
                            <w:r>
                              <w:rPr>
                                <w:b/>
                                <w:sz w:val="23"/>
                              </w:rPr>
                              <w:t>Note explicative</w:t>
                            </w:r>
                            <w:r w:rsidR="002C57D1">
                              <w:rPr>
                                <w:b/>
                                <w:sz w:val="23"/>
                              </w:rPr>
                              <w:t> </w:t>
                            </w:r>
                            <w:r>
                              <w:rPr>
                                <w:b/>
                                <w:sz w:val="23"/>
                              </w:rPr>
                              <w:t>:</w:t>
                            </w:r>
                            <w:r>
                              <w:rPr>
                                <w:sz w:val="23"/>
                              </w:rPr>
                              <w:t xml:space="preserve"> le mandat fondamental de l</w:t>
                            </w:r>
                            <w:r w:rsidR="002C57D1">
                              <w:rPr>
                                <w:sz w:val="23"/>
                              </w:rPr>
                              <w:t>’</w:t>
                            </w:r>
                            <w:r>
                              <w:rPr>
                                <w:sz w:val="23"/>
                              </w:rPr>
                              <w:t xml:space="preserve">IGC en ce qui concerne les ressources génétiques consiste à examiner le rôle que le système de propriété intellectuelle devrait jouer pour faciliter </w:t>
                            </w:r>
                            <w:r w:rsidR="002C57D1">
                              <w:rPr>
                                <w:sz w:val="23"/>
                              </w:rPr>
                              <w:t>“</w:t>
                            </w:r>
                            <w:r>
                              <w:rPr>
                                <w:i/>
                                <w:sz w:val="23"/>
                              </w:rPr>
                              <w:t>la protection efficace et équilibrée des ressources génétiques et des savoirs traditionnels qui y sont associés</w:t>
                            </w:r>
                            <w:r w:rsidR="002C57D1">
                              <w:rPr>
                                <w:sz w:val="23"/>
                              </w:rPr>
                              <w:t>”</w:t>
                            </w:r>
                            <w:r>
                              <w:rPr>
                                <w:sz w:val="23"/>
                              </w:rPr>
                              <w:t>.  Par conséquent, les objectifs de l</w:t>
                            </w:r>
                            <w:r w:rsidR="002C57D1">
                              <w:rPr>
                                <w:sz w:val="23"/>
                              </w:rPr>
                              <w:t>’</w:t>
                            </w:r>
                            <w:r>
                              <w:rPr>
                                <w:sz w:val="23"/>
                              </w:rPr>
                              <w:t xml:space="preserve">instrument juridique proposé doivent établir un lien avec la contribution du système de propriété intellectuelle à la protection des ressources génétiques et des savoirs traditionnels qui y sont associés. </w:t>
                            </w:r>
                            <w:r w:rsidR="002C57D1">
                              <w:rPr>
                                <w:sz w:val="23"/>
                              </w:rPr>
                              <w:t xml:space="preserve"> </w:t>
                            </w:r>
                            <w:r>
                              <w:rPr>
                                <w:sz w:val="23"/>
                              </w:rPr>
                              <w:t>Il existe actuellement plusieurs instruments internationaux qui permettraient d</w:t>
                            </w:r>
                            <w:r w:rsidR="002C57D1">
                              <w:rPr>
                                <w:sz w:val="23"/>
                              </w:rPr>
                              <w:t>’</w:t>
                            </w:r>
                            <w:r>
                              <w:rPr>
                                <w:sz w:val="23"/>
                              </w:rPr>
                              <w:t>établir les objectifs donnés au cas où aucun lien ne serait établi avec l</w:t>
                            </w:r>
                            <w:r w:rsidR="002C57D1">
                              <w:rPr>
                                <w:sz w:val="23"/>
                              </w:rPr>
                              <w:t>’</w:t>
                            </w:r>
                            <w:r>
                              <w:rPr>
                                <w:sz w:val="23"/>
                              </w:rPr>
                              <w:t>objectif plus large de contribuer à la protection des ressources génétiques et des savoirs traditionnels qui y sont associés.  La portée actuelle des objectifs, qui est limitée, pourrait aller à l</w:t>
                            </w:r>
                            <w:r w:rsidR="002C57D1">
                              <w:rPr>
                                <w:sz w:val="23"/>
                              </w:rPr>
                              <w:t>’</w:t>
                            </w:r>
                            <w:r>
                              <w:rPr>
                                <w:sz w:val="23"/>
                              </w:rPr>
                              <w:t>encontre de l</w:t>
                            </w:r>
                            <w:r w:rsidR="002C57D1">
                              <w:rPr>
                                <w:sz w:val="23"/>
                              </w:rPr>
                              <w:t>’</w:t>
                            </w:r>
                            <w:r>
                              <w:rPr>
                                <w:sz w:val="23"/>
                              </w:rPr>
                              <w:t>objet de cet instrument pour ce qui est de la définition et de l</w:t>
                            </w:r>
                            <w:r w:rsidR="002C57D1">
                              <w:rPr>
                                <w:sz w:val="23"/>
                              </w:rPr>
                              <w:t>’</w:t>
                            </w:r>
                            <w:r>
                              <w:rPr>
                                <w:sz w:val="23"/>
                              </w:rPr>
                              <w:t xml:space="preserve">interprétation de ses dispositions portant davantage sur le fond. </w:t>
                            </w:r>
                          </w:p>
                          <w:p w14:paraId="550A3BC9" w14:textId="77777777" w:rsidR="007228A1" w:rsidRDefault="007228A1" w:rsidP="007228A1">
                            <w:pPr>
                              <w:jc w:val="both"/>
                              <w:rPr>
                                <w:sz w:val="23"/>
                                <w:szCs w:val="23"/>
                              </w:rPr>
                            </w:pPr>
                          </w:p>
                          <w:p w14:paraId="33C9623B" w14:textId="09888C37" w:rsidR="007228A1" w:rsidRDefault="007228A1" w:rsidP="007228A1">
                            <w:r>
                              <w:rPr>
                                <w:sz w:val="23"/>
                              </w:rPr>
                              <w:t xml:space="preserve">La proposition visant à inclure </w:t>
                            </w:r>
                            <w:r w:rsidR="002C57D1">
                              <w:rPr>
                                <w:sz w:val="23"/>
                              </w:rPr>
                              <w:t>“</w:t>
                            </w:r>
                            <w:r>
                              <w:rPr>
                                <w:sz w:val="23"/>
                              </w:rPr>
                              <w:t>contribuer à la protection des ressources génétiques et des savoirs traditionnels connexes dans le cadre du système de propriété intellectuelle</w:t>
                            </w:r>
                            <w:r w:rsidR="002C57D1">
                              <w:rPr>
                                <w:sz w:val="23"/>
                              </w:rPr>
                              <w:t>”</w:t>
                            </w:r>
                            <w:r>
                              <w:rPr>
                                <w:sz w:val="23"/>
                              </w:rPr>
                              <w:t xml:space="preserve"> ne laisse place à aucune ambiguïté quant à l</w:t>
                            </w:r>
                            <w:r w:rsidR="002C57D1">
                              <w:rPr>
                                <w:sz w:val="23"/>
                              </w:rPr>
                              <w:t>’</w:t>
                            </w:r>
                            <w:r>
                              <w:rPr>
                                <w:sz w:val="23"/>
                              </w:rPr>
                              <w:t>interprétation et à la définition de l</w:t>
                            </w:r>
                            <w:r w:rsidR="002C57D1">
                              <w:rPr>
                                <w:sz w:val="23"/>
                              </w:rPr>
                              <w:t>’</w:t>
                            </w:r>
                            <w:r>
                              <w:rPr>
                                <w:sz w:val="23"/>
                              </w:rPr>
                              <w:t>objectif de l</w:t>
                            </w:r>
                            <w:r w:rsidR="002C57D1">
                              <w:rPr>
                                <w:sz w:val="23"/>
                              </w:rPr>
                              <w:t>’</w:t>
                            </w:r>
                            <w:r>
                              <w:rPr>
                                <w:sz w:val="23"/>
                              </w:rPr>
                              <w:t xml:space="preserve">instrument.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114F7" id="Text Box 1" o:spid="_x0000_s1027" type="#_x0000_t202" style="position:absolute;margin-left:-.05pt;margin-top:28pt;width:461.75pt;height:2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">
                <v:textbox>
                  <w:txbxContent>
                    <w:p w14:paraId="42DDE0EA" w14:textId="2385F242" w:rsidR="007228A1" w:rsidRPr="00263757" w:rsidRDefault="007228A1" w:rsidP="007228A1">
                      <w:pPr>
                        <w:rPr>
                          <w:sz w:val="23"/>
                          <w:szCs w:val="23"/>
                        </w:rPr>
                      </w:pPr>
                      <w:r>
                        <w:rPr>
                          <w:b/>
                          <w:sz w:val="23"/>
                        </w:rPr>
                        <w:t>Note explicative</w:t>
                      </w:r>
                      <w:r w:rsidR="002C57D1">
                        <w:rPr>
                          <w:b/>
                          <w:sz w:val="23"/>
                        </w:rPr>
                        <w:t> </w:t>
                      </w:r>
                      <w:r>
                        <w:rPr>
                          <w:b/>
                          <w:sz w:val="23"/>
                        </w:rPr>
                        <w:t>:</w:t>
                      </w:r>
                      <w:r>
                        <w:rPr>
                          <w:sz w:val="23"/>
                        </w:rPr>
                        <w:t xml:space="preserve"> le mandat fondamental de l</w:t>
                      </w:r>
                      <w:r w:rsidR="002C57D1">
                        <w:rPr>
                          <w:sz w:val="23"/>
                        </w:rPr>
                        <w:t>’</w:t>
                      </w:r>
                      <w:r>
                        <w:rPr>
                          <w:sz w:val="23"/>
                        </w:rPr>
                        <w:t xml:space="preserve">IGC en ce qui concerne les ressources génétiques consiste à examiner le rôle que le système de propriété intellectuelle devrait jouer pour faciliter </w:t>
                      </w:r>
                      <w:r w:rsidR="002C57D1">
                        <w:rPr>
                          <w:sz w:val="23"/>
                        </w:rPr>
                        <w:t>“</w:t>
                      </w:r>
                      <w:r>
                        <w:rPr>
                          <w:i/>
                          <w:sz w:val="23"/>
                        </w:rPr>
                        <w:t>la protection efficace et équilibrée des ressources génétiques et des savoirs traditionnels qui y sont associés</w:t>
                      </w:r>
                      <w:r w:rsidR="002C57D1">
                        <w:rPr>
                          <w:sz w:val="23"/>
                        </w:rPr>
                        <w:t>”</w:t>
                      </w:r>
                      <w:r>
                        <w:rPr>
                          <w:sz w:val="23"/>
                        </w:rPr>
                        <w:t>.  Par conséquent, les objectifs de l</w:t>
                      </w:r>
                      <w:r w:rsidR="002C57D1">
                        <w:rPr>
                          <w:sz w:val="23"/>
                        </w:rPr>
                        <w:t>’</w:t>
                      </w:r>
                      <w:r>
                        <w:rPr>
                          <w:sz w:val="23"/>
                        </w:rPr>
                        <w:t xml:space="preserve">instrument juridique proposé doivent établir un lien avec la contribution du système de propriété intellectuelle à la protection des ressources génétiques et des savoirs traditionnels qui y sont associés. </w:t>
                      </w:r>
                      <w:r w:rsidR="002C57D1">
                        <w:rPr>
                          <w:sz w:val="23"/>
                        </w:rPr>
                        <w:t xml:space="preserve"> </w:t>
                      </w:r>
                      <w:r>
                        <w:rPr>
                          <w:sz w:val="23"/>
                        </w:rPr>
                        <w:t>Il existe actuellement plusieurs instruments internationaux qui permettraient d</w:t>
                      </w:r>
                      <w:r w:rsidR="002C57D1">
                        <w:rPr>
                          <w:sz w:val="23"/>
                        </w:rPr>
                        <w:t>’</w:t>
                      </w:r>
                      <w:r>
                        <w:rPr>
                          <w:sz w:val="23"/>
                        </w:rPr>
                        <w:t>établir les objectifs donnés au cas où aucun lien ne serait établi avec l</w:t>
                      </w:r>
                      <w:r w:rsidR="002C57D1">
                        <w:rPr>
                          <w:sz w:val="23"/>
                        </w:rPr>
                        <w:t>’</w:t>
                      </w:r>
                      <w:r>
                        <w:rPr>
                          <w:sz w:val="23"/>
                        </w:rPr>
                        <w:t>objectif plus large de contribuer à la protection des ressources génétiques et des savoirs traditionnels qui y sont associés.  La portée actuelle des objectifs, qui est limitée, pourrait aller à l</w:t>
                      </w:r>
                      <w:r w:rsidR="002C57D1">
                        <w:rPr>
                          <w:sz w:val="23"/>
                        </w:rPr>
                        <w:t>’</w:t>
                      </w:r>
                      <w:r>
                        <w:rPr>
                          <w:sz w:val="23"/>
                        </w:rPr>
                        <w:t>encontre de l</w:t>
                      </w:r>
                      <w:r w:rsidR="002C57D1">
                        <w:rPr>
                          <w:sz w:val="23"/>
                        </w:rPr>
                        <w:t>’</w:t>
                      </w:r>
                      <w:r>
                        <w:rPr>
                          <w:sz w:val="23"/>
                        </w:rPr>
                        <w:t>objet de cet instrument pour ce qui est de la définition et de l</w:t>
                      </w:r>
                      <w:r w:rsidR="002C57D1">
                        <w:rPr>
                          <w:sz w:val="23"/>
                        </w:rPr>
                        <w:t>’</w:t>
                      </w:r>
                      <w:r>
                        <w:rPr>
                          <w:sz w:val="23"/>
                        </w:rPr>
                        <w:t xml:space="preserve">interprétation de ses dispositions portant davantage sur le fond. </w:t>
                      </w:r>
                    </w:p>
                    <w:p w14:paraId="550A3BC9" w14:textId="77777777" w:rsidR="007228A1" w:rsidRDefault="007228A1" w:rsidP="007228A1">
                      <w:pPr>
                        <w:jc w:val="both"/>
                        <w:rPr>
                          <w:sz w:val="23"/>
                          <w:szCs w:val="23"/>
                        </w:rPr>
                      </w:pPr>
                    </w:p>
                    <w:p w14:paraId="33C9623B" w14:textId="09888C37" w:rsidR="007228A1" w:rsidRDefault="007228A1" w:rsidP="007228A1">
                      <w:r>
                        <w:rPr>
                          <w:sz w:val="23"/>
                        </w:rPr>
                        <w:t xml:space="preserve">La proposition visant à inclure </w:t>
                      </w:r>
                      <w:r w:rsidR="002C57D1">
                        <w:rPr>
                          <w:sz w:val="23"/>
                        </w:rPr>
                        <w:t>“</w:t>
                      </w:r>
                      <w:r>
                        <w:rPr>
                          <w:sz w:val="23"/>
                        </w:rPr>
                        <w:t>contribuer à la protection des ressources génétiques et des savoirs traditionnels connexes dans le cadre du système de propriété intellectuelle</w:t>
                      </w:r>
                      <w:r w:rsidR="002C57D1">
                        <w:rPr>
                          <w:sz w:val="23"/>
                        </w:rPr>
                        <w:t>”</w:t>
                      </w:r>
                      <w:r>
                        <w:rPr>
                          <w:sz w:val="23"/>
                        </w:rPr>
                        <w:t xml:space="preserve"> ne laisse place à aucune ambiguïté quant à l</w:t>
                      </w:r>
                      <w:r w:rsidR="002C57D1">
                        <w:rPr>
                          <w:sz w:val="23"/>
                        </w:rPr>
                        <w:t>’</w:t>
                      </w:r>
                      <w:r>
                        <w:rPr>
                          <w:sz w:val="23"/>
                        </w:rPr>
                        <w:t>interprétation et à la définition de l</w:t>
                      </w:r>
                      <w:r w:rsidR="002C57D1">
                        <w:rPr>
                          <w:sz w:val="23"/>
                        </w:rPr>
                        <w:t>’</w:t>
                      </w:r>
                      <w:r>
                        <w:rPr>
                          <w:sz w:val="23"/>
                        </w:rPr>
                        <w:t>objectif de l</w:t>
                      </w:r>
                      <w:r w:rsidR="002C57D1">
                        <w:rPr>
                          <w:sz w:val="23"/>
                        </w:rPr>
                        <w:t>’</w:t>
                      </w:r>
                      <w:r>
                        <w:rPr>
                          <w:sz w:val="23"/>
                        </w:rPr>
                        <w:t xml:space="preserve">instrument.  </w:t>
                      </w:r>
                    </w:p>
                  </w:txbxContent>
                </v:textbox>
                <w10:wrap type="square"/>
              </v:shape>
            </w:pict>
          </mc:Fallback>
        </mc:AlternateContent>
      </w:r>
    </w:p>
    <w:p w14:paraId="17530F48" w14:textId="77777777" w:rsidR="007228A1" w:rsidRPr="00965846" w:rsidRDefault="007228A1" w:rsidP="007228A1">
      <w:pPr>
        <w:rPr>
          <w:szCs w:val="22"/>
          <w:lang w:val="fr-FR"/>
        </w:rPr>
      </w:pPr>
    </w:p>
    <w:p w14:paraId="687DF008" w14:textId="77777777" w:rsidR="007228A1" w:rsidRPr="00965846" w:rsidRDefault="007228A1" w:rsidP="007228A1">
      <w:pPr>
        <w:rPr>
          <w:szCs w:val="22"/>
          <w:lang w:val="fr-FR"/>
        </w:rPr>
      </w:pPr>
      <w:r w:rsidRPr="00965846">
        <w:rPr>
          <w:lang w:val="fr-FR"/>
        </w:rPr>
        <w:br w:type="page"/>
      </w:r>
    </w:p>
    <w:p w14:paraId="0CEDB063" w14:textId="77777777" w:rsidR="00145E61" w:rsidRPr="00965846" w:rsidRDefault="007228A1" w:rsidP="007228A1">
      <w:pPr>
        <w:rPr>
          <w:b/>
          <w:lang w:val="fr-FR"/>
        </w:rPr>
      </w:pPr>
      <w:r w:rsidRPr="00965846">
        <w:rPr>
          <w:b/>
          <w:lang w:val="fr-FR"/>
        </w:rPr>
        <w:t>ARTICLE 2</w:t>
      </w:r>
    </w:p>
    <w:p w14:paraId="1C08C6F2" w14:textId="21672470" w:rsidR="007228A1" w:rsidRPr="00965846" w:rsidRDefault="007228A1" w:rsidP="007228A1">
      <w:pPr>
        <w:rPr>
          <w:szCs w:val="22"/>
          <w:lang w:val="fr-FR"/>
        </w:rPr>
      </w:pPr>
    </w:p>
    <w:p w14:paraId="7B659CD5" w14:textId="77777777" w:rsidR="00145E61" w:rsidRPr="00965846" w:rsidRDefault="007228A1" w:rsidP="007228A1">
      <w:pPr>
        <w:rPr>
          <w:b/>
          <w:lang w:val="fr-FR"/>
        </w:rPr>
      </w:pPr>
      <w:r w:rsidRPr="00965846">
        <w:rPr>
          <w:b/>
          <w:lang w:val="fr-FR"/>
        </w:rPr>
        <w:t>LISTE DE TERMES</w:t>
      </w:r>
    </w:p>
    <w:p w14:paraId="7B303600" w14:textId="15947553" w:rsidR="007228A1" w:rsidRPr="00965846" w:rsidRDefault="007228A1" w:rsidP="007228A1">
      <w:pPr>
        <w:rPr>
          <w:szCs w:val="22"/>
          <w:lang w:val="fr-FR"/>
        </w:rPr>
      </w:pPr>
    </w:p>
    <w:p w14:paraId="6FB1A7CD" w14:textId="5BA822EA" w:rsidR="00145E61" w:rsidRPr="00965846" w:rsidRDefault="007228A1" w:rsidP="007228A1">
      <w:pPr>
        <w:rPr>
          <w:lang w:val="fr-FR"/>
        </w:rPr>
      </w:pPr>
      <w:proofErr w:type="gramStart"/>
      <w:r w:rsidRPr="00CA6F4E">
        <w:rPr>
          <w:bCs/>
          <w:lang w:val="fr-FR"/>
        </w:rPr>
        <w:t>on</w:t>
      </w:r>
      <w:proofErr w:type="gramEnd"/>
      <w:r w:rsidRPr="00CA6F4E">
        <w:rPr>
          <w:bCs/>
          <w:lang w:val="fr-FR"/>
        </w:rPr>
        <w:t xml:space="preserve"> entend par </w:t>
      </w:r>
      <w:r w:rsidRPr="00965846">
        <w:rPr>
          <w:b/>
          <w:lang w:val="fr-FR"/>
        </w:rPr>
        <w:t xml:space="preserve">“[sensiblement </w:t>
      </w:r>
      <w:r w:rsidRPr="00965846">
        <w:rPr>
          <w:b/>
          <w:color w:val="FF0000"/>
          <w:lang w:val="fr-FR"/>
        </w:rPr>
        <w:t>[IN</w:t>
      </w:r>
      <w:r w:rsidR="00852466" w:rsidRPr="00965846">
        <w:rPr>
          <w:b/>
          <w:color w:val="FF0000"/>
          <w:lang w:val="fr-FR"/>
        </w:rPr>
        <w:t> </w:t>
      </w:r>
      <w:r w:rsidRPr="00965846">
        <w:rPr>
          <w:b/>
          <w:color w:val="FF0000"/>
          <w:lang w:val="fr-FR"/>
        </w:rPr>
        <w:t xml:space="preserve">: </w:t>
      </w:r>
      <w:r w:rsidRPr="00965846">
        <w:rPr>
          <w:b/>
          <w:strike/>
          <w:color w:val="FF0000"/>
          <w:lang w:val="fr-FR"/>
        </w:rPr>
        <w:t>/directement</w:t>
      </w:r>
      <w:r w:rsidRPr="00965846">
        <w:rPr>
          <w:b/>
          <w:color w:val="FF0000"/>
          <w:lang w:val="fr-FR"/>
        </w:rPr>
        <w:t xml:space="preserve">] </w:t>
      </w:r>
      <w:r w:rsidRPr="00965846">
        <w:rPr>
          <w:b/>
          <w:lang w:val="fr-FR"/>
        </w:rPr>
        <w:t>fondé sur”</w:t>
      </w:r>
      <w:r w:rsidRPr="00965846">
        <w:rPr>
          <w:lang w:val="fr-FR"/>
        </w:rPr>
        <w:t xml:space="preserve"> que les ressources génétiques ou savoirs traditionnels connexes </w:t>
      </w:r>
      <w:r w:rsidRPr="00965846">
        <w:rPr>
          <w:b/>
          <w:color w:val="FF0000"/>
          <w:lang w:val="fr-FR"/>
        </w:rPr>
        <w:t>[IN</w:t>
      </w:r>
      <w:r w:rsidR="00852466" w:rsidRPr="00965846">
        <w:rPr>
          <w:b/>
          <w:color w:val="FF0000"/>
          <w:lang w:val="fr-FR"/>
        </w:rPr>
        <w:t> </w:t>
      </w:r>
      <w:r w:rsidRPr="00965846">
        <w:rPr>
          <w:b/>
          <w:color w:val="FF0000"/>
          <w:lang w:val="fr-FR"/>
        </w:rPr>
        <w:t xml:space="preserve">: </w:t>
      </w:r>
      <w:r w:rsidRPr="00965846">
        <w:rPr>
          <w:strike/>
          <w:color w:val="FF0000"/>
          <w:lang w:val="fr-FR"/>
        </w:rPr>
        <w:t>doivent s</w:t>
      </w:r>
      <w:r w:rsidR="00145E61" w:rsidRPr="00965846">
        <w:rPr>
          <w:strike/>
          <w:color w:val="FF0000"/>
          <w:lang w:val="fr-FR"/>
        </w:rPr>
        <w:t>’</w:t>
      </w:r>
      <w:r w:rsidRPr="00965846">
        <w:rPr>
          <w:strike/>
          <w:color w:val="FF0000"/>
          <w:lang w:val="fr-FR"/>
        </w:rPr>
        <w:t>être avérés</w:t>
      </w:r>
      <w:r w:rsidRPr="00965846">
        <w:rPr>
          <w:b/>
          <w:color w:val="FF0000"/>
          <w:lang w:val="fr-FR"/>
        </w:rPr>
        <w:t xml:space="preserve"> se sont avérés]</w:t>
      </w:r>
      <w:r w:rsidRPr="00965846">
        <w:rPr>
          <w:lang w:val="fr-FR"/>
        </w:rPr>
        <w:t xml:space="preserve"> </w:t>
      </w:r>
      <w:r w:rsidRPr="00965846">
        <w:rPr>
          <w:b/>
          <w:color w:val="FF0000"/>
          <w:lang w:val="fr-FR"/>
        </w:rPr>
        <w:t>[IN</w:t>
      </w:r>
      <w:r w:rsidR="00852466" w:rsidRPr="00965846">
        <w:rPr>
          <w:b/>
          <w:color w:val="FF0000"/>
          <w:lang w:val="fr-FR"/>
        </w:rPr>
        <w:t> </w:t>
      </w:r>
      <w:r w:rsidRPr="00965846">
        <w:rPr>
          <w:b/>
          <w:color w:val="FF0000"/>
          <w:lang w:val="fr-FR"/>
        </w:rPr>
        <w:t xml:space="preserve">: </w:t>
      </w:r>
      <w:r w:rsidRPr="00965846">
        <w:rPr>
          <w:strike/>
          <w:color w:val="FF0000"/>
          <w:lang w:val="fr-FR"/>
        </w:rPr>
        <w:t>nécessaires ou</w:t>
      </w:r>
      <w:r w:rsidRPr="00965846">
        <w:rPr>
          <w:b/>
          <w:color w:val="FF0000"/>
          <w:lang w:val="fr-FR"/>
        </w:rPr>
        <w:t>]</w:t>
      </w:r>
      <w:r w:rsidRPr="00965846">
        <w:rPr>
          <w:color w:val="FF0000"/>
          <w:lang w:val="fr-FR"/>
        </w:rPr>
        <w:t xml:space="preserve"> </w:t>
      </w:r>
      <w:r w:rsidRPr="00965846">
        <w:rPr>
          <w:lang w:val="fr-FR"/>
        </w:rPr>
        <w:t>importants pour la mise au point de l</w:t>
      </w:r>
      <w:r w:rsidR="00145E61" w:rsidRPr="00965846">
        <w:rPr>
          <w:lang w:val="fr-FR"/>
        </w:rPr>
        <w:t>’</w:t>
      </w:r>
      <w:r w:rsidRPr="00965846">
        <w:rPr>
          <w:lang w:val="fr-FR"/>
        </w:rPr>
        <w:t>invention revendiquée,</w:t>
      </w:r>
      <w:r w:rsidR="002C57D1">
        <w:rPr>
          <w:lang w:val="fr-FR"/>
        </w:rPr>
        <w:t xml:space="preserve"> </w:t>
      </w:r>
      <w:r w:rsidRPr="00965846">
        <w:rPr>
          <w:b/>
          <w:color w:val="FF0000"/>
          <w:lang w:val="fr-FR"/>
        </w:rPr>
        <w:t>[IN</w:t>
      </w:r>
      <w:r w:rsidR="00852466" w:rsidRPr="00965846">
        <w:rPr>
          <w:b/>
          <w:color w:val="FF0000"/>
          <w:lang w:val="fr-FR"/>
        </w:rPr>
        <w:t> </w:t>
      </w:r>
      <w:r w:rsidRPr="00965846">
        <w:rPr>
          <w:b/>
          <w:color w:val="FF0000"/>
          <w:lang w:val="fr-FR"/>
        </w:rPr>
        <w:t xml:space="preserve">: </w:t>
      </w:r>
      <w:r w:rsidRPr="00965846">
        <w:rPr>
          <w:strike/>
          <w:color w:val="FF0000"/>
          <w:lang w:val="fr-FR"/>
        </w:rPr>
        <w:t>et</w:t>
      </w:r>
      <w:r w:rsidRPr="00965846">
        <w:rPr>
          <w:b/>
          <w:color w:val="FF0000"/>
          <w:lang w:val="fr-FR"/>
        </w:rPr>
        <w:t xml:space="preserve"> </w:t>
      </w:r>
      <w:r w:rsidRPr="00965846">
        <w:rPr>
          <w:color w:val="FF0000"/>
          <w:lang w:val="fr-FR"/>
        </w:rPr>
        <w:t>ou</w:t>
      </w:r>
      <w:r w:rsidRPr="00965846">
        <w:rPr>
          <w:b/>
          <w:color w:val="FF0000"/>
          <w:lang w:val="fr-FR"/>
        </w:rPr>
        <w:t>]</w:t>
      </w:r>
      <w:r w:rsidRPr="00965846">
        <w:rPr>
          <w:color w:val="FF0000"/>
          <w:lang w:val="fr-FR"/>
        </w:rPr>
        <w:t xml:space="preserve"> </w:t>
      </w:r>
      <w:r w:rsidRPr="00965846">
        <w:rPr>
          <w:lang w:val="fr-FR"/>
        </w:rPr>
        <w:t>que l</w:t>
      </w:r>
      <w:r w:rsidR="00145E61" w:rsidRPr="00965846">
        <w:rPr>
          <w:lang w:val="fr-FR"/>
        </w:rPr>
        <w:t>’</w:t>
      </w:r>
      <w:r w:rsidRPr="00965846">
        <w:rPr>
          <w:lang w:val="fr-FR"/>
        </w:rPr>
        <w:t>invention revendiquée</w:t>
      </w:r>
      <w:r w:rsidRPr="00965846">
        <w:rPr>
          <w:b/>
          <w:color w:val="FF0000"/>
          <w:lang w:val="fr-FR"/>
        </w:rPr>
        <w:t xml:space="preserve"> [IN</w:t>
      </w:r>
      <w:r w:rsidR="00852466" w:rsidRPr="00965846">
        <w:rPr>
          <w:b/>
          <w:color w:val="FF0000"/>
          <w:lang w:val="fr-FR"/>
        </w:rPr>
        <w:t> </w:t>
      </w:r>
      <w:r w:rsidRPr="00965846">
        <w:rPr>
          <w:b/>
          <w:color w:val="FF0000"/>
          <w:lang w:val="fr-FR"/>
        </w:rPr>
        <w:t xml:space="preserve">: </w:t>
      </w:r>
      <w:r w:rsidRPr="00965846">
        <w:rPr>
          <w:strike/>
          <w:color w:val="FF0000"/>
          <w:lang w:val="fr-FR"/>
        </w:rPr>
        <w:t>doit dépendre</w:t>
      </w:r>
      <w:r w:rsidRPr="00965846">
        <w:rPr>
          <w:color w:val="FF0000"/>
          <w:lang w:val="fr-FR"/>
        </w:rPr>
        <w:t xml:space="preserve"> dépend</w:t>
      </w:r>
      <w:r w:rsidRPr="00965846">
        <w:rPr>
          <w:b/>
          <w:color w:val="FF0000"/>
          <w:lang w:val="fr-FR"/>
        </w:rPr>
        <w:t xml:space="preserve">] </w:t>
      </w:r>
      <w:r w:rsidRPr="00965846">
        <w:rPr>
          <w:lang w:val="fr-FR"/>
        </w:rPr>
        <w:t>des propriétés spécifiques des ressources génétiques ou des savoirs traditionnels connexes;</w:t>
      </w:r>
    </w:p>
    <w:p w14:paraId="772726FA" w14:textId="043E939D" w:rsidR="007228A1" w:rsidRPr="00965846" w:rsidRDefault="007228A1" w:rsidP="007228A1">
      <w:pPr>
        <w:rPr>
          <w:szCs w:val="22"/>
          <w:lang w:val="fr-FR"/>
        </w:rPr>
      </w:pPr>
      <w:r w:rsidRPr="00965846">
        <w:rPr>
          <w:noProof/>
          <w:lang w:val="fr-FR"/>
        </w:rPr>
        <mc:AlternateContent>
          <mc:Choice Requires="wps">
            <w:drawing>
              <wp:anchor distT="45720" distB="45720" distL="114300" distR="114300" simplePos="0" relativeHeight="251661312" behindDoc="0" locked="0" layoutInCell="1" allowOverlap="1" wp14:anchorId="408506AD" wp14:editId="781DDBE2">
                <wp:simplePos x="0" y="0"/>
                <wp:positionH relativeFrom="margin">
                  <wp:align>left</wp:align>
                </wp:positionH>
                <wp:positionV relativeFrom="paragraph">
                  <wp:posOffset>351790</wp:posOffset>
                </wp:positionV>
                <wp:extent cx="5819140" cy="1784350"/>
                <wp:effectExtent l="0" t="0" r="10160"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140" cy="1784909"/>
                        </a:xfrm>
                        <a:prstGeom prst="rect">
                          <a:avLst/>
                        </a:prstGeom>
                        <a:solidFill>
                          <a:srgbClr val="FFFFFF"/>
                        </a:solidFill>
                        <a:ln w="9525">
                          <a:solidFill>
                            <a:srgbClr val="000000"/>
                          </a:solidFill>
                          <a:miter lim="800000"/>
                          <a:headEnd/>
                          <a:tailEnd/>
                        </a:ln>
                      </wps:spPr>
                      <wps:txbx>
                        <w:txbxContent>
                          <w:p w14:paraId="470E13B4" w14:textId="78B6CB66" w:rsidR="007228A1" w:rsidRDefault="007228A1" w:rsidP="007228A1">
                            <w:r>
                              <w:rPr>
                                <w:b/>
                                <w:sz w:val="23"/>
                              </w:rPr>
                              <w:t>Note explicative</w:t>
                            </w:r>
                            <w:r w:rsidR="002C57D1">
                              <w:rPr>
                                <w:sz w:val="23"/>
                              </w:rPr>
                              <w:t> </w:t>
                            </w:r>
                            <w:r>
                              <w:rPr>
                                <w:sz w:val="23"/>
                              </w:rPr>
                              <w:t>: la définition actuelle propose un élément déclencheur très étroit, exigeant ainsi la divulgation uniquement dans les cas où il existe un lien de causalité très fort entre les ressources génétiques ou les savoirs traditionnels connexes et la revendication de l</w:t>
                            </w:r>
                            <w:r w:rsidR="002C57D1">
                              <w:rPr>
                                <w:sz w:val="23"/>
                              </w:rPr>
                              <w:t>’</w:t>
                            </w:r>
                            <w:r>
                              <w:rPr>
                                <w:sz w:val="23"/>
                              </w:rPr>
                              <w:t>invention dans la demande de brevet.  L</w:t>
                            </w:r>
                            <w:r w:rsidR="002C57D1">
                              <w:rPr>
                                <w:sz w:val="23"/>
                              </w:rPr>
                              <w:t>’</w:t>
                            </w:r>
                            <w:r>
                              <w:rPr>
                                <w:sz w:val="23"/>
                              </w:rPr>
                              <w:t>interprétation de cette définition pourrait être très différente de celle des obligations découlant d</w:t>
                            </w:r>
                            <w:r w:rsidR="002C57D1">
                              <w:rPr>
                                <w:sz w:val="23"/>
                              </w:rPr>
                              <w:t>’</w:t>
                            </w:r>
                            <w:r>
                              <w:rPr>
                                <w:sz w:val="23"/>
                              </w:rPr>
                              <w:t>autres instruments juridiques internationaux tels que la CDB et le Protocole de Nagoya, ce qui pourrait entraîner des incohérences dans l</w:t>
                            </w:r>
                            <w:r w:rsidR="002C57D1">
                              <w:rPr>
                                <w:sz w:val="23"/>
                              </w:rPr>
                              <w:t>’</w:t>
                            </w:r>
                            <w:r>
                              <w:rPr>
                                <w:sz w:val="23"/>
                              </w:rPr>
                              <w:t>interprétation et la mise en œuvre.  Par conséquent, des modifications sur le fond ont été proposées dans la définition afin d</w:t>
                            </w:r>
                            <w:r w:rsidR="002C57D1">
                              <w:rPr>
                                <w:sz w:val="23"/>
                              </w:rPr>
                              <w:t>’</w:t>
                            </w:r>
                            <w:r>
                              <w:rPr>
                                <w:sz w:val="23"/>
                              </w:rPr>
                              <w:t>élargir et de clarifier le champ d</w:t>
                            </w:r>
                            <w:r w:rsidR="002C57D1">
                              <w:rPr>
                                <w:sz w:val="23"/>
                              </w:rPr>
                              <w:t>’</w:t>
                            </w:r>
                            <w:r>
                              <w:rPr>
                                <w:sz w:val="23"/>
                              </w:rPr>
                              <w:t>application de l</w:t>
                            </w:r>
                            <w:r w:rsidR="002C57D1">
                              <w:rPr>
                                <w:sz w:val="23"/>
                              </w:rPr>
                              <w:t>’</w:t>
                            </w:r>
                            <w:r>
                              <w:rPr>
                                <w:sz w:val="23"/>
                              </w:rPr>
                              <w:t>obligation de divulgation lorsque l</w:t>
                            </w:r>
                            <w:r w:rsidR="002C57D1">
                              <w:rPr>
                                <w:sz w:val="23"/>
                              </w:rPr>
                              <w:t>’</w:t>
                            </w:r>
                            <w:r>
                              <w:rPr>
                                <w:sz w:val="23"/>
                              </w:rPr>
                              <w:t>une ou l</w:t>
                            </w:r>
                            <w:r w:rsidR="002C57D1">
                              <w:rPr>
                                <w:sz w:val="23"/>
                              </w:rPr>
                              <w:t>’</w:t>
                            </w:r>
                            <w:r>
                              <w:rPr>
                                <w:sz w:val="23"/>
                              </w:rPr>
                              <w:t xml:space="preserve">autre des conditions est remplie.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506AD" id="Text Box 5" o:spid="_x0000_s1028" type="#_x0000_t202" style="position:absolute;margin-left:0;margin-top:27.7pt;width:458.2pt;height:140.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">
                <v:textbox>
                  <w:txbxContent>
                    <w:p w14:paraId="470E13B4" w14:textId="78B6CB66" w:rsidR="007228A1" w:rsidRDefault="007228A1" w:rsidP="007228A1">
                      <w:r>
                        <w:rPr>
                          <w:b/>
                          <w:sz w:val="23"/>
                        </w:rPr>
                        <w:t>Note explicative</w:t>
                      </w:r>
                      <w:r w:rsidR="002C57D1">
                        <w:rPr>
                          <w:sz w:val="23"/>
                        </w:rPr>
                        <w:t> </w:t>
                      </w:r>
                      <w:r>
                        <w:rPr>
                          <w:sz w:val="23"/>
                        </w:rPr>
                        <w:t>: la définition actuelle propose un élément déclencheur très étroit, exigeant ainsi la divulgation uniquement dans les cas où il existe un lien de causalité très fort entre les ressources génétiques ou les savoirs traditionnels connexes et la revendication de l</w:t>
                      </w:r>
                      <w:r w:rsidR="002C57D1">
                        <w:rPr>
                          <w:sz w:val="23"/>
                        </w:rPr>
                        <w:t>’</w:t>
                      </w:r>
                      <w:r>
                        <w:rPr>
                          <w:sz w:val="23"/>
                        </w:rPr>
                        <w:t>invention dans la demande de brevet.  L</w:t>
                      </w:r>
                      <w:r w:rsidR="002C57D1">
                        <w:rPr>
                          <w:sz w:val="23"/>
                        </w:rPr>
                        <w:t>’</w:t>
                      </w:r>
                      <w:r>
                        <w:rPr>
                          <w:sz w:val="23"/>
                        </w:rPr>
                        <w:t>interprétation de cette définition pourrait être très différente de celle des obligations découlant d</w:t>
                      </w:r>
                      <w:r w:rsidR="002C57D1">
                        <w:rPr>
                          <w:sz w:val="23"/>
                        </w:rPr>
                        <w:t>’</w:t>
                      </w:r>
                      <w:r>
                        <w:rPr>
                          <w:sz w:val="23"/>
                        </w:rPr>
                        <w:t>autres instruments juridiques internationaux tels que la CDB et le Protocole de Nagoya, ce qui pourrait entraîner des incohérences dans l</w:t>
                      </w:r>
                      <w:r w:rsidR="002C57D1">
                        <w:rPr>
                          <w:sz w:val="23"/>
                        </w:rPr>
                        <w:t>’</w:t>
                      </w:r>
                      <w:r>
                        <w:rPr>
                          <w:sz w:val="23"/>
                        </w:rPr>
                        <w:t>interprétation et la mise en œuvre.  Par conséquent, des modifications sur le fond ont été proposées dans la définition afin d</w:t>
                      </w:r>
                      <w:r w:rsidR="002C57D1">
                        <w:rPr>
                          <w:sz w:val="23"/>
                        </w:rPr>
                        <w:t>’</w:t>
                      </w:r>
                      <w:r>
                        <w:rPr>
                          <w:sz w:val="23"/>
                        </w:rPr>
                        <w:t>élargir et de clarifier le champ d</w:t>
                      </w:r>
                      <w:r w:rsidR="002C57D1">
                        <w:rPr>
                          <w:sz w:val="23"/>
                        </w:rPr>
                        <w:t>’</w:t>
                      </w:r>
                      <w:r>
                        <w:rPr>
                          <w:sz w:val="23"/>
                        </w:rPr>
                        <w:t>application de l</w:t>
                      </w:r>
                      <w:r w:rsidR="002C57D1">
                        <w:rPr>
                          <w:sz w:val="23"/>
                        </w:rPr>
                        <w:t>’</w:t>
                      </w:r>
                      <w:r>
                        <w:rPr>
                          <w:sz w:val="23"/>
                        </w:rPr>
                        <w:t>obligation de divulgation lorsque l</w:t>
                      </w:r>
                      <w:r w:rsidR="002C57D1">
                        <w:rPr>
                          <w:sz w:val="23"/>
                        </w:rPr>
                        <w:t>’</w:t>
                      </w:r>
                      <w:r>
                        <w:rPr>
                          <w:sz w:val="23"/>
                        </w:rPr>
                        <w:t>une ou l</w:t>
                      </w:r>
                      <w:r w:rsidR="002C57D1">
                        <w:rPr>
                          <w:sz w:val="23"/>
                        </w:rPr>
                        <w:t>’</w:t>
                      </w:r>
                      <w:r>
                        <w:rPr>
                          <w:sz w:val="23"/>
                        </w:rPr>
                        <w:t xml:space="preserve">autre des conditions est remplie.  </w:t>
                      </w:r>
                    </w:p>
                  </w:txbxContent>
                </v:textbox>
                <w10:wrap type="square" anchorx="margin"/>
              </v:shape>
            </w:pict>
          </mc:Fallback>
        </mc:AlternateContent>
      </w:r>
    </w:p>
    <w:p w14:paraId="340F410D" w14:textId="77777777" w:rsidR="007228A1" w:rsidRPr="00965846" w:rsidRDefault="007228A1" w:rsidP="007228A1">
      <w:pPr>
        <w:rPr>
          <w:szCs w:val="22"/>
          <w:lang w:val="fr-FR"/>
        </w:rPr>
      </w:pPr>
    </w:p>
    <w:p w14:paraId="6B61D2B1" w14:textId="78981812" w:rsidR="00145E61" w:rsidRPr="00965846" w:rsidRDefault="007228A1" w:rsidP="007228A1">
      <w:pPr>
        <w:rPr>
          <w:b/>
          <w:color w:val="FF0000"/>
          <w:lang w:val="fr-FR"/>
        </w:rPr>
      </w:pPr>
      <w:r w:rsidRPr="00965846">
        <w:rPr>
          <w:b/>
          <w:color w:val="FF0000"/>
          <w:lang w:val="fr-FR"/>
        </w:rPr>
        <w:t>[IN</w:t>
      </w:r>
      <w:r w:rsidR="00852466" w:rsidRPr="00965846">
        <w:rPr>
          <w:b/>
          <w:color w:val="FF0000"/>
          <w:lang w:val="fr-FR"/>
        </w:rPr>
        <w:t> </w:t>
      </w:r>
      <w:r w:rsidRPr="00965846">
        <w:rPr>
          <w:b/>
          <w:color w:val="FF0000"/>
          <w:lang w:val="fr-FR"/>
        </w:rPr>
        <w:t xml:space="preserve">: </w:t>
      </w:r>
      <w:r w:rsidRPr="00CA6F4E">
        <w:rPr>
          <w:bCs/>
          <w:color w:val="FF0000"/>
          <w:lang w:val="fr-FR"/>
        </w:rPr>
        <w:t xml:space="preserve">on entend par </w:t>
      </w:r>
      <w:r w:rsidRPr="00965846">
        <w:rPr>
          <w:b/>
          <w:color w:val="FF0000"/>
          <w:lang w:val="fr-FR"/>
        </w:rPr>
        <w:t>“savoirs traditionnels associés à des ressources génétiques”</w:t>
      </w:r>
      <w:r w:rsidRPr="00965846">
        <w:rPr>
          <w:color w:val="FF0000"/>
          <w:lang w:val="fr-FR"/>
        </w:rPr>
        <w:t xml:space="preserve"> les savoirs évolutifs, générés dans un contexte traditionnel, fixés ou non, collectivement préservés et transmis de génération en génération et qui comprennent, sans s</w:t>
      </w:r>
      <w:r w:rsidR="00145E61" w:rsidRPr="00965846">
        <w:rPr>
          <w:color w:val="FF0000"/>
          <w:lang w:val="fr-FR"/>
        </w:rPr>
        <w:t>’</w:t>
      </w:r>
      <w:r w:rsidRPr="00965846">
        <w:rPr>
          <w:color w:val="FF0000"/>
          <w:lang w:val="fr-FR"/>
        </w:rPr>
        <w:t>y limiter, le savoir</w:t>
      </w:r>
      <w:r w:rsidR="00145E61" w:rsidRPr="00965846">
        <w:rPr>
          <w:color w:val="FF0000"/>
          <w:lang w:val="fr-FR"/>
        </w:rPr>
        <w:t>-</w:t>
      </w:r>
      <w:r w:rsidRPr="00965846">
        <w:rPr>
          <w:color w:val="FF0000"/>
          <w:lang w:val="fr-FR"/>
        </w:rPr>
        <w:t>faire, les techniques, les innovations, les pratiques et l</w:t>
      </w:r>
      <w:r w:rsidR="00145E61" w:rsidRPr="00965846">
        <w:rPr>
          <w:color w:val="FF0000"/>
          <w:lang w:val="fr-FR"/>
        </w:rPr>
        <w:t>’</w:t>
      </w:r>
      <w:r w:rsidRPr="00965846">
        <w:rPr>
          <w:color w:val="FF0000"/>
          <w:lang w:val="fr-FR"/>
        </w:rPr>
        <w:t>apprentissage, qui sont associés aux ressources génétiques.</w:t>
      </w:r>
      <w:r w:rsidRPr="00965846">
        <w:rPr>
          <w:b/>
          <w:color w:val="FF0000"/>
          <w:lang w:val="fr-FR"/>
        </w:rPr>
        <w:t>]</w:t>
      </w:r>
    </w:p>
    <w:p w14:paraId="44B3001F" w14:textId="0D7F6567" w:rsidR="007228A1" w:rsidRPr="00965846" w:rsidRDefault="007228A1" w:rsidP="007228A1">
      <w:pPr>
        <w:rPr>
          <w:szCs w:val="22"/>
          <w:lang w:val="fr-FR"/>
        </w:rPr>
      </w:pPr>
      <w:r w:rsidRPr="00965846">
        <w:rPr>
          <w:noProof/>
          <w:lang w:val="fr-FR"/>
        </w:rPr>
        <mc:AlternateContent>
          <mc:Choice Requires="wps">
            <w:drawing>
              <wp:anchor distT="45720" distB="45720" distL="114300" distR="114300" simplePos="0" relativeHeight="251662336" behindDoc="0" locked="0" layoutInCell="1" allowOverlap="1" wp14:anchorId="0F72CD47" wp14:editId="2B4DF522">
                <wp:simplePos x="0" y="0"/>
                <wp:positionH relativeFrom="margin">
                  <wp:align>left</wp:align>
                </wp:positionH>
                <wp:positionV relativeFrom="paragraph">
                  <wp:posOffset>312420</wp:posOffset>
                </wp:positionV>
                <wp:extent cx="5859780" cy="1630680"/>
                <wp:effectExtent l="0" t="0" r="26670" b="266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631289"/>
                        </a:xfrm>
                        <a:prstGeom prst="rect">
                          <a:avLst/>
                        </a:prstGeom>
                        <a:solidFill>
                          <a:srgbClr val="FFFFFF"/>
                        </a:solidFill>
                        <a:ln w="9525">
                          <a:solidFill>
                            <a:srgbClr val="000000"/>
                          </a:solidFill>
                          <a:miter lim="800000"/>
                          <a:headEnd/>
                          <a:tailEnd/>
                        </a:ln>
                      </wps:spPr>
                      <wps:txbx>
                        <w:txbxContent>
                          <w:p w14:paraId="442B8189" w14:textId="58F08E34" w:rsidR="007228A1" w:rsidRDefault="007228A1" w:rsidP="007228A1">
                            <w:r>
                              <w:rPr>
                                <w:b/>
                                <w:sz w:val="23"/>
                              </w:rPr>
                              <w:t>Note explicative</w:t>
                            </w:r>
                            <w:r w:rsidR="002C57D1">
                              <w:rPr>
                                <w:b/>
                                <w:sz w:val="23"/>
                              </w:rPr>
                              <w:t> </w:t>
                            </w:r>
                            <w:r>
                              <w:rPr>
                                <w:b/>
                                <w:sz w:val="23"/>
                              </w:rPr>
                              <w:t>:</w:t>
                            </w:r>
                            <w:r>
                              <w:rPr>
                                <w:sz w:val="23"/>
                              </w:rPr>
                              <w:t xml:space="preserve"> l</w:t>
                            </w:r>
                            <w:r w:rsidR="002C57D1">
                              <w:rPr>
                                <w:sz w:val="23"/>
                              </w:rPr>
                              <w:t>’</w:t>
                            </w:r>
                            <w:r>
                              <w:rPr>
                                <w:sz w:val="23"/>
                              </w:rPr>
                              <w:t>objectif de cet instrument est de contribuer à la protection efficace et équilibrée des ressources génétiques et des savoirs traditionnels associés aux ressources génétiques et l</w:t>
                            </w:r>
                            <w:r w:rsidR="002C57D1">
                              <w:rPr>
                                <w:sz w:val="23"/>
                              </w:rPr>
                              <w:t>’</w:t>
                            </w:r>
                            <w:r>
                              <w:rPr>
                                <w:sz w:val="23"/>
                              </w:rPr>
                              <w:t>absence de définition appropriée irait à l</w:t>
                            </w:r>
                            <w:r w:rsidR="002C57D1">
                              <w:rPr>
                                <w:sz w:val="23"/>
                              </w:rPr>
                              <w:t>’</w:t>
                            </w:r>
                            <w:r>
                              <w:rPr>
                                <w:sz w:val="23"/>
                              </w:rPr>
                              <w:t>encontre de cet objectif.  Il importe que les déposants tenus de divulguer des savoirs traditionnels associés à des ressources génétiques disposent d</w:t>
                            </w:r>
                            <w:r w:rsidR="002C57D1">
                              <w:rPr>
                                <w:sz w:val="23"/>
                              </w:rPr>
                              <w:t>’</w:t>
                            </w:r>
                            <w:r>
                              <w:rPr>
                                <w:sz w:val="23"/>
                              </w:rPr>
                              <w:t>une définition claire et précise pour pouvoir exercer la diligence requise et procéder ensuite à la divulgation.  La définition vise à concilier les intérêts des fournisseurs et des utilisateurs de ressources génétiques et de savoirs traditionnels connexes et, en l</w:t>
                            </w:r>
                            <w:r w:rsidR="002C57D1">
                              <w:rPr>
                                <w:sz w:val="23"/>
                              </w:rPr>
                              <w:t>’</w:t>
                            </w:r>
                            <w:r>
                              <w:rPr>
                                <w:sz w:val="23"/>
                              </w:rPr>
                              <w:t xml:space="preserve">absence de définition, il ne serait pas possible de parvenir à un accord avantageux.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2CD47" id="Text Box 6" o:spid="_x0000_s1029" type="#_x0000_t202" style="position:absolute;margin-left:0;margin-top:24.6pt;width:461.4pt;height:128.4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">
                <v:textbox>
                  <w:txbxContent>
                    <w:p w14:paraId="442B8189" w14:textId="58F08E34" w:rsidR="007228A1" w:rsidRDefault="007228A1" w:rsidP="007228A1">
                      <w:r>
                        <w:rPr>
                          <w:b/>
                          <w:sz w:val="23"/>
                        </w:rPr>
                        <w:t>Note explicative</w:t>
                      </w:r>
                      <w:r w:rsidR="002C57D1">
                        <w:rPr>
                          <w:b/>
                          <w:sz w:val="23"/>
                        </w:rPr>
                        <w:t> </w:t>
                      </w:r>
                      <w:r>
                        <w:rPr>
                          <w:b/>
                          <w:sz w:val="23"/>
                        </w:rPr>
                        <w:t>:</w:t>
                      </w:r>
                      <w:r>
                        <w:rPr>
                          <w:sz w:val="23"/>
                        </w:rPr>
                        <w:t xml:space="preserve"> l</w:t>
                      </w:r>
                      <w:r w:rsidR="002C57D1">
                        <w:rPr>
                          <w:sz w:val="23"/>
                        </w:rPr>
                        <w:t>’</w:t>
                      </w:r>
                      <w:r>
                        <w:rPr>
                          <w:sz w:val="23"/>
                        </w:rPr>
                        <w:t>objectif de cet instrument est de contribuer à la protection efficace et équilibrée des ressources génétiques et des savoirs traditionnels associés aux ressources génétiques et l</w:t>
                      </w:r>
                      <w:r w:rsidR="002C57D1">
                        <w:rPr>
                          <w:sz w:val="23"/>
                        </w:rPr>
                        <w:t>’</w:t>
                      </w:r>
                      <w:r>
                        <w:rPr>
                          <w:sz w:val="23"/>
                        </w:rPr>
                        <w:t>absence de définition appropriée irait à l</w:t>
                      </w:r>
                      <w:r w:rsidR="002C57D1">
                        <w:rPr>
                          <w:sz w:val="23"/>
                        </w:rPr>
                        <w:t>’</w:t>
                      </w:r>
                      <w:r>
                        <w:rPr>
                          <w:sz w:val="23"/>
                        </w:rPr>
                        <w:t>encontre de cet objectif.  Il importe que les déposants tenus de divulguer des savoirs traditionnels associés à des ressources génétiques disposent d</w:t>
                      </w:r>
                      <w:r w:rsidR="002C57D1">
                        <w:rPr>
                          <w:sz w:val="23"/>
                        </w:rPr>
                        <w:t>’</w:t>
                      </w:r>
                      <w:r>
                        <w:rPr>
                          <w:sz w:val="23"/>
                        </w:rPr>
                        <w:t>une définition claire et précise pour pouvoir exercer la diligence requise et procéder ensuite à la divulgation.  La définition vise à concilier les intérêts des fournisseurs et des utilisateurs de ressources génétiques et de savoirs traditionnels connexes et, en l</w:t>
                      </w:r>
                      <w:r w:rsidR="002C57D1">
                        <w:rPr>
                          <w:sz w:val="23"/>
                        </w:rPr>
                        <w:t>’</w:t>
                      </w:r>
                      <w:r>
                        <w:rPr>
                          <w:sz w:val="23"/>
                        </w:rPr>
                        <w:t xml:space="preserve">absence de définition, il ne serait pas possible de parvenir à un accord avantageux.  </w:t>
                      </w:r>
                    </w:p>
                  </w:txbxContent>
                </v:textbox>
                <w10:wrap type="square" anchorx="margin"/>
              </v:shape>
            </w:pict>
          </mc:Fallback>
        </mc:AlternateContent>
      </w:r>
    </w:p>
    <w:p w14:paraId="22187DC1" w14:textId="77777777" w:rsidR="007228A1" w:rsidRPr="00965846" w:rsidRDefault="007228A1" w:rsidP="007228A1">
      <w:pPr>
        <w:rPr>
          <w:szCs w:val="22"/>
          <w:lang w:val="fr-FR"/>
        </w:rPr>
      </w:pPr>
    </w:p>
    <w:p w14:paraId="0B885E94" w14:textId="7DE06CD6" w:rsidR="00145E61" w:rsidRPr="00965846" w:rsidRDefault="007228A1" w:rsidP="007228A1">
      <w:pPr>
        <w:rPr>
          <w:lang w:val="fr-FR"/>
        </w:rPr>
      </w:pPr>
      <w:r w:rsidRPr="00965846">
        <w:rPr>
          <w:b/>
          <w:lang w:val="fr-FR"/>
        </w:rPr>
        <w:t>“source des ressources génétiques”</w:t>
      </w:r>
      <w:r w:rsidRPr="00965846">
        <w:rPr>
          <w:lang w:val="fr-FR"/>
        </w:rPr>
        <w:t xml:space="preserve"> se rapporte à toute source auprès de laquelle le déposant a obtenu les ressources génétiques, </w:t>
      </w:r>
      <w:r w:rsidRPr="00965846">
        <w:rPr>
          <w:b/>
          <w:color w:val="FF0000"/>
          <w:lang w:val="fr-FR"/>
        </w:rPr>
        <w:t>[IN</w:t>
      </w:r>
      <w:r w:rsidR="00852466" w:rsidRPr="00965846">
        <w:rPr>
          <w:b/>
          <w:color w:val="FF0000"/>
          <w:lang w:val="fr-FR"/>
        </w:rPr>
        <w:t> </w:t>
      </w:r>
      <w:r w:rsidRPr="00965846">
        <w:rPr>
          <w:b/>
          <w:color w:val="FF0000"/>
          <w:lang w:val="fr-FR"/>
        </w:rPr>
        <w:t>:</w:t>
      </w:r>
      <w:r w:rsidRPr="00965846">
        <w:rPr>
          <w:color w:val="FF0000"/>
          <w:lang w:val="fr-FR"/>
        </w:rPr>
        <w:t xml:space="preserve"> </w:t>
      </w:r>
      <w:r w:rsidRPr="00965846">
        <w:rPr>
          <w:strike/>
          <w:color w:val="FF0000"/>
          <w:lang w:val="fr-FR"/>
        </w:rPr>
        <w:t>par exemple</w:t>
      </w:r>
      <w:r w:rsidRPr="00965846">
        <w:rPr>
          <w:color w:val="FF0000"/>
          <w:lang w:val="fr-FR"/>
        </w:rPr>
        <w:t xml:space="preserve"> </w:t>
      </w:r>
      <w:r w:rsidR="00145E61" w:rsidRPr="00965846">
        <w:rPr>
          <w:color w:val="FF0000"/>
          <w:lang w:val="fr-FR"/>
        </w:rPr>
        <w:t>y compris</w:t>
      </w:r>
      <w:r w:rsidRPr="00965846">
        <w:rPr>
          <w:b/>
          <w:color w:val="FF0000"/>
          <w:lang w:val="fr-FR"/>
        </w:rPr>
        <w:t>]</w:t>
      </w:r>
      <w:r w:rsidRPr="00965846">
        <w:rPr>
          <w:lang w:val="fr-FR"/>
        </w:rPr>
        <w:t xml:space="preserve"> un centre de recherche, une banque de gènes, le Système multilatéral du Traité international sur les ressources </w:t>
      </w:r>
      <w:proofErr w:type="spellStart"/>
      <w:r w:rsidRPr="00965846">
        <w:rPr>
          <w:lang w:val="fr-FR"/>
        </w:rPr>
        <w:t>phytogénétiques</w:t>
      </w:r>
      <w:proofErr w:type="spellEnd"/>
      <w:r w:rsidRPr="00965846">
        <w:rPr>
          <w:lang w:val="fr-FR"/>
        </w:rPr>
        <w:t xml:space="preserve"> pour l</w:t>
      </w:r>
      <w:r w:rsidR="00145E61" w:rsidRPr="00965846">
        <w:rPr>
          <w:lang w:val="fr-FR"/>
        </w:rPr>
        <w:t>’</w:t>
      </w:r>
      <w:r w:rsidRPr="00965846">
        <w:rPr>
          <w:lang w:val="fr-FR"/>
        </w:rPr>
        <w:t>alimentation et l</w:t>
      </w:r>
      <w:r w:rsidR="00145E61" w:rsidRPr="00965846">
        <w:rPr>
          <w:lang w:val="fr-FR"/>
        </w:rPr>
        <w:t>’</w:t>
      </w:r>
      <w:r w:rsidRPr="00965846">
        <w:rPr>
          <w:lang w:val="fr-FR"/>
        </w:rPr>
        <w:t xml:space="preserve">agriculture ou toute autre collection ou tout autre dépôt de ressources génétiques ex </w:t>
      </w:r>
      <w:proofErr w:type="gramStart"/>
      <w:r w:rsidRPr="00965846">
        <w:rPr>
          <w:lang w:val="fr-FR"/>
        </w:rPr>
        <w:t>situ;</w:t>
      </w:r>
      <w:proofErr w:type="gramEnd"/>
    </w:p>
    <w:p w14:paraId="46591842" w14:textId="22DCCBEF" w:rsidR="007228A1" w:rsidRPr="00965846" w:rsidRDefault="007228A1" w:rsidP="007228A1">
      <w:pPr>
        <w:rPr>
          <w:szCs w:val="22"/>
          <w:lang w:val="fr-FR"/>
        </w:rPr>
      </w:pPr>
      <w:r w:rsidRPr="00965846">
        <w:rPr>
          <w:noProof/>
          <w:lang w:val="fr-FR"/>
        </w:rPr>
        <mc:AlternateContent>
          <mc:Choice Requires="wps">
            <w:drawing>
              <wp:anchor distT="45720" distB="45720" distL="114300" distR="114300" simplePos="0" relativeHeight="251663360" behindDoc="0" locked="0" layoutInCell="1" allowOverlap="1" wp14:anchorId="42AF2DEE" wp14:editId="394056CA">
                <wp:simplePos x="0" y="0"/>
                <wp:positionH relativeFrom="page">
                  <wp:posOffset>903402</wp:posOffset>
                </wp:positionH>
                <wp:positionV relativeFrom="paragraph">
                  <wp:posOffset>241935</wp:posOffset>
                </wp:positionV>
                <wp:extent cx="5859780" cy="680085"/>
                <wp:effectExtent l="0" t="0" r="26670" b="2476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680085"/>
                        </a:xfrm>
                        <a:prstGeom prst="rect">
                          <a:avLst/>
                        </a:prstGeom>
                        <a:solidFill>
                          <a:srgbClr val="FFFFFF"/>
                        </a:solidFill>
                        <a:ln w="9525">
                          <a:solidFill>
                            <a:srgbClr val="000000"/>
                          </a:solidFill>
                          <a:miter lim="800000"/>
                          <a:headEnd/>
                          <a:tailEnd/>
                        </a:ln>
                      </wps:spPr>
                      <wps:txbx>
                        <w:txbxContent>
                          <w:p w14:paraId="4EE18EE7" w14:textId="21A0D9C7" w:rsidR="007228A1" w:rsidRDefault="007228A1" w:rsidP="007228A1">
                            <w:r>
                              <w:rPr>
                                <w:b/>
                                <w:sz w:val="23"/>
                              </w:rPr>
                              <w:t>Note explicative</w:t>
                            </w:r>
                            <w:r w:rsidR="002C57D1">
                              <w:rPr>
                                <w:b/>
                                <w:sz w:val="23"/>
                              </w:rPr>
                              <w:t> </w:t>
                            </w:r>
                            <w:r>
                              <w:rPr>
                                <w:b/>
                                <w:sz w:val="23"/>
                              </w:rPr>
                              <w:t>:</w:t>
                            </w:r>
                            <w:r>
                              <w:rPr>
                                <w:sz w:val="23"/>
                              </w:rPr>
                              <w:t xml:space="preserve"> l</w:t>
                            </w:r>
                            <w:r w:rsidR="002C57D1">
                              <w:rPr>
                                <w:sz w:val="23"/>
                              </w:rPr>
                              <w:t>’</w:t>
                            </w:r>
                            <w:r>
                              <w:rPr>
                                <w:sz w:val="23"/>
                              </w:rPr>
                              <w:t xml:space="preserve">expression </w:t>
                            </w:r>
                            <w:r w:rsidR="002C57D1">
                              <w:rPr>
                                <w:sz w:val="23"/>
                              </w:rPr>
                              <w:t>“</w:t>
                            </w:r>
                            <w:r>
                              <w:rPr>
                                <w:sz w:val="23"/>
                              </w:rPr>
                              <w:t>par exemple</w:t>
                            </w:r>
                            <w:r w:rsidR="002C57D1">
                              <w:rPr>
                                <w:sz w:val="23"/>
                              </w:rPr>
                              <w:t>”</w:t>
                            </w:r>
                            <w:r>
                              <w:rPr>
                                <w:sz w:val="23"/>
                              </w:rPr>
                              <w:t xml:space="preserve"> peut être remplacée par </w:t>
                            </w:r>
                            <w:r w:rsidR="002C57D1">
                              <w:rPr>
                                <w:sz w:val="23"/>
                              </w:rPr>
                              <w:t>“</w:t>
                            </w:r>
                            <w:r>
                              <w:rPr>
                                <w:sz w:val="23"/>
                              </w:rPr>
                              <w:t>y compris</w:t>
                            </w:r>
                            <w:r w:rsidR="002C57D1">
                              <w:rPr>
                                <w:sz w:val="23"/>
                              </w:rPr>
                              <w:t>”</w:t>
                            </w:r>
                            <w:r>
                              <w:rPr>
                                <w:sz w:val="23"/>
                              </w:rPr>
                              <w:t xml:space="preserve"> afin de garantir que le champ d</w:t>
                            </w:r>
                            <w:r w:rsidR="002C57D1">
                              <w:rPr>
                                <w:sz w:val="23"/>
                              </w:rPr>
                              <w:t>’</w:t>
                            </w:r>
                            <w:r>
                              <w:rPr>
                                <w:sz w:val="23"/>
                              </w:rPr>
                              <w:t xml:space="preserve">application de la définition soit interprété de manière inclusive et non restrictive.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F2DEE" id="Text Box 7" o:spid="_x0000_s1030" type="#_x0000_t202" style="position:absolute;margin-left:71.15pt;margin-top:19.05pt;width:461.4pt;height:53.5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">
                <v:textbox>
                  <w:txbxContent>
                    <w:p w14:paraId="4EE18EE7" w14:textId="21A0D9C7" w:rsidR="007228A1" w:rsidRDefault="007228A1" w:rsidP="007228A1">
                      <w:r>
                        <w:rPr>
                          <w:b/>
                          <w:sz w:val="23"/>
                        </w:rPr>
                        <w:t>Note explicative</w:t>
                      </w:r>
                      <w:r w:rsidR="002C57D1">
                        <w:rPr>
                          <w:b/>
                          <w:sz w:val="23"/>
                        </w:rPr>
                        <w:t> </w:t>
                      </w:r>
                      <w:r>
                        <w:rPr>
                          <w:b/>
                          <w:sz w:val="23"/>
                        </w:rPr>
                        <w:t>:</w:t>
                      </w:r>
                      <w:r>
                        <w:rPr>
                          <w:sz w:val="23"/>
                        </w:rPr>
                        <w:t xml:space="preserve"> l</w:t>
                      </w:r>
                      <w:r w:rsidR="002C57D1">
                        <w:rPr>
                          <w:sz w:val="23"/>
                        </w:rPr>
                        <w:t>’</w:t>
                      </w:r>
                      <w:r>
                        <w:rPr>
                          <w:sz w:val="23"/>
                        </w:rPr>
                        <w:t xml:space="preserve">expression </w:t>
                      </w:r>
                      <w:r w:rsidR="002C57D1">
                        <w:rPr>
                          <w:sz w:val="23"/>
                        </w:rPr>
                        <w:t>“</w:t>
                      </w:r>
                      <w:r>
                        <w:rPr>
                          <w:sz w:val="23"/>
                        </w:rPr>
                        <w:t>par exemple</w:t>
                      </w:r>
                      <w:r w:rsidR="002C57D1">
                        <w:rPr>
                          <w:sz w:val="23"/>
                        </w:rPr>
                        <w:t>”</w:t>
                      </w:r>
                      <w:r>
                        <w:rPr>
                          <w:sz w:val="23"/>
                        </w:rPr>
                        <w:t xml:space="preserve"> peut être remplacée par </w:t>
                      </w:r>
                      <w:r w:rsidR="002C57D1">
                        <w:rPr>
                          <w:sz w:val="23"/>
                        </w:rPr>
                        <w:t>“</w:t>
                      </w:r>
                      <w:r>
                        <w:rPr>
                          <w:sz w:val="23"/>
                        </w:rPr>
                        <w:t>y compris</w:t>
                      </w:r>
                      <w:r w:rsidR="002C57D1">
                        <w:rPr>
                          <w:sz w:val="23"/>
                        </w:rPr>
                        <w:t>”</w:t>
                      </w:r>
                      <w:r>
                        <w:rPr>
                          <w:sz w:val="23"/>
                        </w:rPr>
                        <w:t xml:space="preserve"> afin de garantir que le champ d</w:t>
                      </w:r>
                      <w:r w:rsidR="002C57D1">
                        <w:rPr>
                          <w:sz w:val="23"/>
                        </w:rPr>
                        <w:t>’</w:t>
                      </w:r>
                      <w:r>
                        <w:rPr>
                          <w:sz w:val="23"/>
                        </w:rPr>
                        <w:t xml:space="preserve">application de la définition soit interprété de manière inclusive et non restrictive.  </w:t>
                      </w:r>
                    </w:p>
                  </w:txbxContent>
                </v:textbox>
                <w10:wrap type="square" anchorx="page"/>
              </v:shape>
            </w:pict>
          </mc:Fallback>
        </mc:AlternateContent>
      </w:r>
    </w:p>
    <w:p w14:paraId="63046375" w14:textId="77777777" w:rsidR="007228A1" w:rsidRPr="00965846" w:rsidRDefault="007228A1" w:rsidP="007228A1">
      <w:pPr>
        <w:rPr>
          <w:szCs w:val="22"/>
          <w:lang w:val="fr-FR"/>
        </w:rPr>
      </w:pPr>
    </w:p>
    <w:p w14:paraId="0112CD89" w14:textId="1384B86D" w:rsidR="00145E61" w:rsidRPr="00965846" w:rsidRDefault="007228A1" w:rsidP="007228A1">
      <w:pPr>
        <w:rPr>
          <w:lang w:val="fr-FR"/>
        </w:rPr>
      </w:pPr>
      <w:proofErr w:type="gramStart"/>
      <w:r w:rsidRPr="00965846">
        <w:rPr>
          <w:lang w:val="fr-FR"/>
        </w:rPr>
        <w:t>on</w:t>
      </w:r>
      <w:proofErr w:type="gramEnd"/>
      <w:r w:rsidRPr="00965846">
        <w:rPr>
          <w:lang w:val="fr-FR"/>
        </w:rPr>
        <w:t xml:space="preserve"> entend par </w:t>
      </w:r>
      <w:r w:rsidRPr="00965846">
        <w:rPr>
          <w:b/>
          <w:lang w:val="fr-FR"/>
        </w:rPr>
        <w:t>“source de savoirs traditionnels associés aux ressources génétiques”</w:t>
      </w:r>
      <w:r w:rsidRPr="00965846">
        <w:rPr>
          <w:lang w:val="fr-FR"/>
        </w:rPr>
        <w:t xml:space="preserve"> toute source à partir de laquelle le déposant a obtenu les savoirs traditionnels associés aux ressources génétiques, </w:t>
      </w:r>
      <w:r w:rsidRPr="00965846">
        <w:rPr>
          <w:b/>
          <w:color w:val="FF0000"/>
          <w:lang w:val="fr-FR"/>
        </w:rPr>
        <w:t>[IN</w:t>
      </w:r>
      <w:r w:rsidR="00852466" w:rsidRPr="00965846">
        <w:rPr>
          <w:b/>
          <w:color w:val="FF0000"/>
          <w:lang w:val="fr-FR"/>
        </w:rPr>
        <w:t> </w:t>
      </w:r>
      <w:r w:rsidRPr="00965846">
        <w:rPr>
          <w:b/>
          <w:color w:val="FF0000"/>
          <w:lang w:val="fr-FR"/>
        </w:rPr>
        <w:t>:</w:t>
      </w:r>
      <w:r w:rsidRPr="00965846">
        <w:rPr>
          <w:color w:val="FF0000"/>
          <w:lang w:val="fr-FR"/>
        </w:rPr>
        <w:t xml:space="preserve"> </w:t>
      </w:r>
      <w:r w:rsidRPr="00965846">
        <w:rPr>
          <w:strike/>
          <w:color w:val="FF0000"/>
          <w:lang w:val="fr-FR"/>
        </w:rPr>
        <w:t>comme</w:t>
      </w:r>
      <w:r w:rsidRPr="00965846">
        <w:rPr>
          <w:color w:val="FF0000"/>
          <w:lang w:val="fr-FR"/>
        </w:rPr>
        <w:t xml:space="preserve"> </w:t>
      </w:r>
      <w:r w:rsidR="00145E61" w:rsidRPr="00965846">
        <w:rPr>
          <w:color w:val="FF0000"/>
          <w:lang w:val="fr-FR"/>
        </w:rPr>
        <w:t>y compris</w:t>
      </w:r>
      <w:r w:rsidRPr="00965846">
        <w:rPr>
          <w:b/>
          <w:color w:val="FF0000"/>
          <w:lang w:val="fr-FR"/>
        </w:rPr>
        <w:t>]</w:t>
      </w:r>
      <w:r w:rsidRPr="00965846">
        <w:rPr>
          <w:color w:val="FF0000"/>
          <w:lang w:val="fr-FR"/>
        </w:rPr>
        <w:t xml:space="preserve"> </w:t>
      </w:r>
      <w:r w:rsidRPr="00965846">
        <w:rPr>
          <w:lang w:val="fr-FR"/>
        </w:rPr>
        <w:t xml:space="preserve">la littérature scientifique, les bases de données </w:t>
      </w:r>
      <w:r w:rsidRPr="00965846">
        <w:rPr>
          <w:b/>
          <w:color w:val="FF0000"/>
          <w:lang w:val="fr-FR"/>
        </w:rPr>
        <w:t>[IN</w:t>
      </w:r>
      <w:r w:rsidR="00852466" w:rsidRPr="00965846">
        <w:rPr>
          <w:b/>
          <w:color w:val="FF0000"/>
          <w:lang w:val="fr-FR"/>
        </w:rPr>
        <w:t> </w:t>
      </w:r>
      <w:r w:rsidRPr="00965846">
        <w:rPr>
          <w:b/>
          <w:color w:val="FF0000"/>
          <w:lang w:val="fr-FR"/>
        </w:rPr>
        <w:t>:</w:t>
      </w:r>
      <w:r w:rsidRPr="00965846">
        <w:rPr>
          <w:color w:val="FF0000"/>
          <w:lang w:val="fr-FR"/>
        </w:rPr>
        <w:t xml:space="preserve"> </w:t>
      </w:r>
      <w:r w:rsidRPr="00965846">
        <w:rPr>
          <w:strike/>
          <w:color w:val="FF0000"/>
          <w:lang w:val="fr-FR"/>
        </w:rPr>
        <w:t>accessibles au public</w:t>
      </w:r>
      <w:r w:rsidRPr="00965846">
        <w:rPr>
          <w:b/>
          <w:color w:val="FF0000"/>
          <w:lang w:val="fr-FR"/>
        </w:rPr>
        <w:t xml:space="preserve">] </w:t>
      </w:r>
      <w:r w:rsidRPr="00965846">
        <w:rPr>
          <w:lang w:val="fr-FR"/>
        </w:rPr>
        <w:t>ou encore les demandes de brevet et documents de brevet.</w:t>
      </w:r>
    </w:p>
    <w:p w14:paraId="51DC03C2" w14:textId="09A10393" w:rsidR="007228A1" w:rsidRPr="00965846" w:rsidRDefault="007228A1" w:rsidP="007228A1">
      <w:pPr>
        <w:rPr>
          <w:szCs w:val="22"/>
          <w:lang w:val="fr-FR"/>
        </w:rPr>
      </w:pPr>
      <w:r w:rsidRPr="00965846">
        <w:rPr>
          <w:noProof/>
          <w:lang w:val="fr-FR"/>
        </w:rPr>
        <mc:AlternateContent>
          <mc:Choice Requires="wps">
            <w:drawing>
              <wp:anchor distT="45720" distB="45720" distL="114300" distR="114300" simplePos="0" relativeHeight="251664384" behindDoc="0" locked="0" layoutInCell="1" allowOverlap="1" wp14:anchorId="748EE810" wp14:editId="29DF7FD1">
                <wp:simplePos x="0" y="0"/>
                <wp:positionH relativeFrom="page">
                  <wp:posOffset>903401</wp:posOffset>
                </wp:positionH>
                <wp:positionV relativeFrom="paragraph">
                  <wp:posOffset>260020</wp:posOffset>
                </wp:positionV>
                <wp:extent cx="5859780" cy="972820"/>
                <wp:effectExtent l="0" t="0" r="26670" b="1778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972820"/>
                        </a:xfrm>
                        <a:prstGeom prst="rect">
                          <a:avLst/>
                        </a:prstGeom>
                        <a:solidFill>
                          <a:srgbClr val="FFFFFF"/>
                        </a:solidFill>
                        <a:ln w="9525">
                          <a:solidFill>
                            <a:srgbClr val="000000"/>
                          </a:solidFill>
                          <a:miter lim="800000"/>
                          <a:headEnd/>
                          <a:tailEnd/>
                        </a:ln>
                      </wps:spPr>
                      <wps:txbx>
                        <w:txbxContent>
                          <w:p w14:paraId="773A99FE" w14:textId="6C22D4F9" w:rsidR="007228A1" w:rsidRDefault="007228A1" w:rsidP="007228A1">
                            <w:r>
                              <w:rPr>
                                <w:b/>
                                <w:sz w:val="23"/>
                              </w:rPr>
                              <w:t>Note explicative</w:t>
                            </w:r>
                            <w:r w:rsidR="002C57D1">
                              <w:rPr>
                                <w:b/>
                                <w:sz w:val="23"/>
                              </w:rPr>
                              <w:t> </w:t>
                            </w:r>
                            <w:r>
                              <w:rPr>
                                <w:b/>
                                <w:sz w:val="23"/>
                              </w:rPr>
                              <w:t>:</w:t>
                            </w:r>
                            <w:r>
                              <w:rPr>
                                <w:sz w:val="23"/>
                              </w:rPr>
                              <w:t xml:space="preserve"> l</w:t>
                            </w:r>
                            <w:r w:rsidR="002C57D1">
                              <w:rPr>
                                <w:sz w:val="23"/>
                              </w:rPr>
                              <w:t>’</w:t>
                            </w:r>
                            <w:r>
                              <w:rPr>
                                <w:sz w:val="23"/>
                              </w:rPr>
                              <w:t xml:space="preserve">expression </w:t>
                            </w:r>
                            <w:r w:rsidR="002C57D1">
                              <w:rPr>
                                <w:sz w:val="23"/>
                              </w:rPr>
                              <w:t>“</w:t>
                            </w:r>
                            <w:r>
                              <w:rPr>
                                <w:sz w:val="23"/>
                              </w:rPr>
                              <w:t>par exemple</w:t>
                            </w:r>
                            <w:r w:rsidR="002C57D1">
                              <w:rPr>
                                <w:sz w:val="23"/>
                              </w:rPr>
                              <w:t>”</w:t>
                            </w:r>
                            <w:r>
                              <w:rPr>
                                <w:sz w:val="23"/>
                              </w:rPr>
                              <w:t xml:space="preserve"> peut être remplacée par </w:t>
                            </w:r>
                            <w:r w:rsidR="002C57D1">
                              <w:rPr>
                                <w:sz w:val="23"/>
                              </w:rPr>
                              <w:t>“</w:t>
                            </w:r>
                            <w:r>
                              <w:rPr>
                                <w:sz w:val="23"/>
                              </w:rPr>
                              <w:t>y</w:t>
                            </w:r>
                            <w:r w:rsidR="005F4D27">
                              <w:rPr>
                                <w:sz w:val="23"/>
                              </w:rPr>
                              <w:t> </w:t>
                            </w:r>
                            <w:r>
                              <w:rPr>
                                <w:sz w:val="23"/>
                              </w:rPr>
                              <w:t>compris</w:t>
                            </w:r>
                            <w:r w:rsidR="002C57D1">
                              <w:rPr>
                                <w:sz w:val="23"/>
                              </w:rPr>
                              <w:t>”</w:t>
                            </w:r>
                            <w:r>
                              <w:rPr>
                                <w:sz w:val="23"/>
                              </w:rPr>
                              <w:t xml:space="preserve"> afin de garantir que le champ d</w:t>
                            </w:r>
                            <w:r w:rsidR="002C57D1">
                              <w:rPr>
                                <w:sz w:val="23"/>
                              </w:rPr>
                              <w:t>’</w:t>
                            </w:r>
                            <w:r>
                              <w:rPr>
                                <w:sz w:val="23"/>
                              </w:rPr>
                              <w:t xml:space="preserve">application de la définition soit interprété de manière inclusive et non restrictive. </w:t>
                            </w:r>
                            <w:r w:rsidR="002C57D1">
                              <w:rPr>
                                <w:sz w:val="23"/>
                              </w:rPr>
                              <w:t xml:space="preserve"> </w:t>
                            </w:r>
                            <w:r>
                              <w:rPr>
                                <w:sz w:val="23"/>
                              </w:rPr>
                              <w:t>En outre, il n</w:t>
                            </w:r>
                            <w:r w:rsidR="002C57D1">
                              <w:rPr>
                                <w:sz w:val="23"/>
                              </w:rPr>
                              <w:t>’</w:t>
                            </w:r>
                            <w:r>
                              <w:rPr>
                                <w:sz w:val="23"/>
                              </w:rPr>
                              <w:t xml:space="preserve">est pas indispensable que les bases de données relatives aux savoirs traditionnels soient toujours accessibles au </w:t>
                            </w:r>
                            <w:proofErr w:type="gramStart"/>
                            <w:r>
                              <w:rPr>
                                <w:sz w:val="23"/>
                              </w:rPr>
                              <w:t>public;</w:t>
                            </w:r>
                            <w:proofErr w:type="gramEnd"/>
                            <w:r>
                              <w:rPr>
                                <w:sz w:val="23"/>
                              </w:rPr>
                              <w:t xml:space="preserve"> il se peut que leur accès soit restreint et que le déposant ait tout de même pu les consulter.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EE810" id="Text Box 8" o:spid="_x0000_s1031" type="#_x0000_t202" style="position:absolute;margin-left:71.15pt;margin-top:20.45pt;width:461.4pt;height:76.6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">
                <v:textbox>
                  <w:txbxContent>
                    <w:p w14:paraId="773A99FE" w14:textId="6C22D4F9" w:rsidR="007228A1" w:rsidRDefault="007228A1" w:rsidP="007228A1">
                      <w:r>
                        <w:rPr>
                          <w:b/>
                          <w:sz w:val="23"/>
                        </w:rPr>
                        <w:t>Note explicative</w:t>
                      </w:r>
                      <w:r w:rsidR="002C57D1">
                        <w:rPr>
                          <w:b/>
                          <w:sz w:val="23"/>
                        </w:rPr>
                        <w:t> </w:t>
                      </w:r>
                      <w:r>
                        <w:rPr>
                          <w:b/>
                          <w:sz w:val="23"/>
                        </w:rPr>
                        <w:t>:</w:t>
                      </w:r>
                      <w:r>
                        <w:rPr>
                          <w:sz w:val="23"/>
                        </w:rPr>
                        <w:t xml:space="preserve"> l</w:t>
                      </w:r>
                      <w:r w:rsidR="002C57D1">
                        <w:rPr>
                          <w:sz w:val="23"/>
                        </w:rPr>
                        <w:t>’</w:t>
                      </w:r>
                      <w:r>
                        <w:rPr>
                          <w:sz w:val="23"/>
                        </w:rPr>
                        <w:t xml:space="preserve">expression </w:t>
                      </w:r>
                      <w:r w:rsidR="002C57D1">
                        <w:rPr>
                          <w:sz w:val="23"/>
                        </w:rPr>
                        <w:t>“</w:t>
                      </w:r>
                      <w:r>
                        <w:rPr>
                          <w:sz w:val="23"/>
                        </w:rPr>
                        <w:t>par exemple</w:t>
                      </w:r>
                      <w:r w:rsidR="002C57D1">
                        <w:rPr>
                          <w:sz w:val="23"/>
                        </w:rPr>
                        <w:t>”</w:t>
                      </w:r>
                      <w:r>
                        <w:rPr>
                          <w:sz w:val="23"/>
                        </w:rPr>
                        <w:t xml:space="preserve"> peut être remplacée par </w:t>
                      </w:r>
                      <w:r w:rsidR="002C57D1">
                        <w:rPr>
                          <w:sz w:val="23"/>
                        </w:rPr>
                        <w:t>“</w:t>
                      </w:r>
                      <w:r>
                        <w:rPr>
                          <w:sz w:val="23"/>
                        </w:rPr>
                        <w:t>y</w:t>
                      </w:r>
                      <w:r w:rsidR="005F4D27">
                        <w:rPr>
                          <w:sz w:val="23"/>
                        </w:rPr>
                        <w:t> </w:t>
                      </w:r>
                      <w:r>
                        <w:rPr>
                          <w:sz w:val="23"/>
                        </w:rPr>
                        <w:t>compris</w:t>
                      </w:r>
                      <w:r w:rsidR="002C57D1">
                        <w:rPr>
                          <w:sz w:val="23"/>
                        </w:rPr>
                        <w:t>”</w:t>
                      </w:r>
                      <w:r>
                        <w:rPr>
                          <w:sz w:val="23"/>
                        </w:rPr>
                        <w:t xml:space="preserve"> afin de garantir que le champ d</w:t>
                      </w:r>
                      <w:r w:rsidR="002C57D1">
                        <w:rPr>
                          <w:sz w:val="23"/>
                        </w:rPr>
                        <w:t>’</w:t>
                      </w:r>
                      <w:r>
                        <w:rPr>
                          <w:sz w:val="23"/>
                        </w:rPr>
                        <w:t xml:space="preserve">application de la définition soit interprété de manière inclusive et non restrictive. </w:t>
                      </w:r>
                      <w:r w:rsidR="002C57D1">
                        <w:rPr>
                          <w:sz w:val="23"/>
                        </w:rPr>
                        <w:t xml:space="preserve"> </w:t>
                      </w:r>
                      <w:r>
                        <w:rPr>
                          <w:sz w:val="23"/>
                        </w:rPr>
                        <w:t>En outre, il n</w:t>
                      </w:r>
                      <w:r w:rsidR="002C57D1">
                        <w:rPr>
                          <w:sz w:val="23"/>
                        </w:rPr>
                        <w:t>’</w:t>
                      </w:r>
                      <w:r>
                        <w:rPr>
                          <w:sz w:val="23"/>
                        </w:rPr>
                        <w:t xml:space="preserve">est pas indispensable que les bases de données relatives aux savoirs traditionnels soient toujours accessibles au </w:t>
                      </w:r>
                      <w:proofErr w:type="gramStart"/>
                      <w:r>
                        <w:rPr>
                          <w:sz w:val="23"/>
                        </w:rPr>
                        <w:t>public;</w:t>
                      </w:r>
                      <w:proofErr w:type="gramEnd"/>
                      <w:r>
                        <w:rPr>
                          <w:sz w:val="23"/>
                        </w:rPr>
                        <w:t xml:space="preserve"> il se peut que leur accès soit restreint et que le déposant ait tout de même pu les consulter.</w:t>
                      </w:r>
                    </w:p>
                  </w:txbxContent>
                </v:textbox>
                <w10:wrap type="square" anchorx="page"/>
              </v:shape>
            </w:pict>
          </mc:Fallback>
        </mc:AlternateContent>
      </w:r>
    </w:p>
    <w:p w14:paraId="127975E1" w14:textId="05C74463" w:rsidR="00145E61" w:rsidRPr="00965846" w:rsidRDefault="00145E61" w:rsidP="007228A1">
      <w:pPr>
        <w:rPr>
          <w:lang w:val="fr-FR"/>
        </w:rPr>
      </w:pPr>
    </w:p>
    <w:p w14:paraId="6DB57F50" w14:textId="4963BDE9" w:rsidR="007228A1" w:rsidRPr="00965846" w:rsidRDefault="007228A1" w:rsidP="007228A1">
      <w:pPr>
        <w:rPr>
          <w:szCs w:val="22"/>
          <w:lang w:val="fr-FR"/>
        </w:rPr>
      </w:pPr>
      <w:r w:rsidRPr="00965846">
        <w:rPr>
          <w:lang w:val="fr-FR"/>
        </w:rPr>
        <w:br w:type="page"/>
      </w:r>
    </w:p>
    <w:p w14:paraId="590A2F33" w14:textId="77777777" w:rsidR="00145E61" w:rsidRPr="00965846" w:rsidRDefault="007228A1" w:rsidP="007228A1">
      <w:pPr>
        <w:rPr>
          <w:b/>
          <w:lang w:val="fr-FR"/>
        </w:rPr>
      </w:pPr>
      <w:r w:rsidRPr="00965846">
        <w:rPr>
          <w:b/>
          <w:lang w:val="fr-FR"/>
        </w:rPr>
        <w:t>ARTICLE 3</w:t>
      </w:r>
    </w:p>
    <w:p w14:paraId="0A3AC6BB" w14:textId="58ABFCB2" w:rsidR="007228A1" w:rsidRPr="00965846" w:rsidRDefault="007228A1" w:rsidP="007228A1">
      <w:pPr>
        <w:rPr>
          <w:b/>
          <w:szCs w:val="22"/>
          <w:lang w:val="fr-FR"/>
        </w:rPr>
      </w:pPr>
    </w:p>
    <w:p w14:paraId="5478D177" w14:textId="77777777" w:rsidR="00145E61" w:rsidRPr="00965846" w:rsidRDefault="007228A1" w:rsidP="007228A1">
      <w:pPr>
        <w:rPr>
          <w:b/>
          <w:lang w:val="fr-FR"/>
        </w:rPr>
      </w:pPr>
      <w:r w:rsidRPr="00965846">
        <w:rPr>
          <w:b/>
          <w:lang w:val="fr-FR"/>
        </w:rPr>
        <w:t>EXIGENCE DE DIVULGATION</w:t>
      </w:r>
    </w:p>
    <w:p w14:paraId="2B1B9408" w14:textId="2F6F1B58" w:rsidR="007228A1" w:rsidRPr="00965846" w:rsidRDefault="007228A1" w:rsidP="007228A1">
      <w:pPr>
        <w:rPr>
          <w:szCs w:val="22"/>
          <w:lang w:val="fr-FR"/>
        </w:rPr>
      </w:pPr>
    </w:p>
    <w:p w14:paraId="5C0AD145" w14:textId="3A557551" w:rsidR="007228A1" w:rsidRPr="00965846" w:rsidRDefault="007228A1" w:rsidP="007228A1">
      <w:pPr>
        <w:rPr>
          <w:szCs w:val="22"/>
          <w:lang w:val="fr-FR"/>
        </w:rPr>
      </w:pPr>
      <w:r w:rsidRPr="00965846">
        <w:rPr>
          <w:lang w:val="fr-FR"/>
        </w:rPr>
        <w:t>3.1</w:t>
      </w:r>
      <w:r w:rsidR="005F4D27">
        <w:rPr>
          <w:lang w:val="fr-FR"/>
        </w:rPr>
        <w:tab/>
      </w:r>
      <w:r w:rsidRPr="00965846">
        <w:rPr>
          <w:lang w:val="fr-FR"/>
        </w:rPr>
        <w:t>Lorsque l</w:t>
      </w:r>
      <w:r w:rsidR="00145E61" w:rsidRPr="00965846">
        <w:rPr>
          <w:lang w:val="fr-FR"/>
        </w:rPr>
        <w:t>’</w:t>
      </w:r>
      <w:r w:rsidRPr="00965846">
        <w:rPr>
          <w:lang w:val="fr-FR"/>
        </w:rPr>
        <w:t>invention revendiquée dans une demande de brevet est [sensiblement</w:t>
      </w:r>
      <w:r w:rsidRPr="00965846">
        <w:rPr>
          <w:b/>
          <w:color w:val="FF0000"/>
          <w:lang w:val="fr-FR"/>
        </w:rPr>
        <w:t xml:space="preserve"> [IN</w:t>
      </w:r>
      <w:r w:rsidR="00852466" w:rsidRPr="00965846">
        <w:rPr>
          <w:b/>
          <w:color w:val="FF0000"/>
          <w:lang w:val="fr-FR"/>
        </w:rPr>
        <w:t> </w:t>
      </w:r>
      <w:r w:rsidRPr="00965846">
        <w:rPr>
          <w:b/>
          <w:color w:val="FF0000"/>
          <w:lang w:val="fr-FR"/>
        </w:rPr>
        <w:t>:</w:t>
      </w:r>
      <w:r w:rsidRPr="00965846">
        <w:rPr>
          <w:color w:val="FF0000"/>
          <w:lang w:val="fr-FR"/>
        </w:rPr>
        <w:t xml:space="preserve"> </w:t>
      </w:r>
      <w:r w:rsidRPr="00965846">
        <w:rPr>
          <w:strike/>
          <w:color w:val="FF0000"/>
          <w:lang w:val="fr-FR"/>
        </w:rPr>
        <w:t>/directement</w:t>
      </w:r>
      <w:r w:rsidRPr="00965846">
        <w:rPr>
          <w:b/>
          <w:color w:val="FF0000"/>
          <w:lang w:val="fr-FR"/>
        </w:rPr>
        <w:t>]</w:t>
      </w:r>
      <w:r w:rsidRPr="00965846">
        <w:rPr>
          <w:color w:val="FF0000"/>
          <w:lang w:val="fr-FR"/>
        </w:rPr>
        <w:t xml:space="preserve"> </w:t>
      </w:r>
      <w:r w:rsidRPr="00965846">
        <w:rPr>
          <w:lang w:val="fr-FR"/>
        </w:rPr>
        <w:t>fondée sur des ressources génétiques, chaque partie contractante exige du déposant qu</w:t>
      </w:r>
      <w:r w:rsidR="00145E61" w:rsidRPr="00965846">
        <w:rPr>
          <w:lang w:val="fr-FR"/>
        </w:rPr>
        <w:t>’</w:t>
      </w:r>
      <w:r w:rsidRPr="00965846">
        <w:rPr>
          <w:lang w:val="fr-FR"/>
        </w:rPr>
        <w:t>il divulgue</w:t>
      </w:r>
      <w:r w:rsidR="00145E61" w:rsidRPr="00965846">
        <w:rPr>
          <w:lang w:val="fr-FR"/>
        </w:rPr>
        <w:t> :</w:t>
      </w:r>
    </w:p>
    <w:p w14:paraId="260B2028" w14:textId="77777777" w:rsidR="007228A1" w:rsidRPr="00965846" w:rsidRDefault="007228A1" w:rsidP="007228A1">
      <w:pPr>
        <w:rPr>
          <w:szCs w:val="22"/>
          <w:lang w:val="fr-FR"/>
        </w:rPr>
      </w:pPr>
    </w:p>
    <w:p w14:paraId="7CFDBD48" w14:textId="5818E98A" w:rsidR="00145E61" w:rsidRPr="00965846" w:rsidRDefault="007228A1" w:rsidP="007228A1">
      <w:pPr>
        <w:rPr>
          <w:color w:val="FF0000"/>
          <w:lang w:val="fr-FR"/>
        </w:rPr>
      </w:pPr>
      <w:r w:rsidRPr="00965846">
        <w:rPr>
          <w:lang w:val="fr-FR"/>
        </w:rPr>
        <w:t>a)</w:t>
      </w:r>
      <w:r w:rsidR="005F4D27">
        <w:rPr>
          <w:lang w:val="fr-FR"/>
        </w:rPr>
        <w:tab/>
      </w:r>
      <w:r w:rsidRPr="00965846">
        <w:rPr>
          <w:b/>
          <w:color w:val="FF0000"/>
          <w:lang w:val="fr-FR"/>
        </w:rPr>
        <w:t>[IN</w:t>
      </w:r>
      <w:r w:rsidR="00852466" w:rsidRPr="00965846">
        <w:rPr>
          <w:b/>
          <w:color w:val="FF0000"/>
          <w:lang w:val="fr-FR"/>
        </w:rPr>
        <w:t> </w:t>
      </w:r>
      <w:r w:rsidRPr="00965846">
        <w:rPr>
          <w:b/>
          <w:color w:val="FF0000"/>
          <w:lang w:val="fr-FR"/>
        </w:rPr>
        <w:t>:</w:t>
      </w:r>
      <w:r w:rsidRPr="00965846">
        <w:rPr>
          <w:color w:val="FF0000"/>
          <w:lang w:val="fr-FR"/>
        </w:rPr>
        <w:t xml:space="preserve"> </w:t>
      </w:r>
      <w:r w:rsidRPr="00965846">
        <w:rPr>
          <w:strike/>
          <w:color w:val="FF0000"/>
          <w:lang w:val="fr-FR"/>
        </w:rPr>
        <w:t>le pays d</w:t>
      </w:r>
      <w:r w:rsidR="00145E61" w:rsidRPr="00965846">
        <w:rPr>
          <w:strike/>
          <w:color w:val="FF0000"/>
          <w:lang w:val="fr-FR"/>
        </w:rPr>
        <w:t>’</w:t>
      </w:r>
      <w:r w:rsidRPr="00965846">
        <w:rPr>
          <w:strike/>
          <w:color w:val="FF0000"/>
          <w:lang w:val="fr-FR"/>
        </w:rPr>
        <w:t xml:space="preserve">origine des ressources </w:t>
      </w:r>
      <w:proofErr w:type="gramStart"/>
      <w:r w:rsidRPr="00965846">
        <w:rPr>
          <w:strike/>
          <w:color w:val="FF0000"/>
          <w:lang w:val="fr-FR"/>
        </w:rPr>
        <w:t>génétiques;  ou</w:t>
      </w:r>
      <w:proofErr w:type="gramEnd"/>
      <w:r w:rsidRPr="00965846">
        <w:rPr>
          <w:color w:val="FF0000"/>
          <w:lang w:val="fr-FR"/>
        </w:rPr>
        <w:t xml:space="preserve"> la source des ressources génétiques, et,</w:t>
      </w:r>
    </w:p>
    <w:p w14:paraId="2DFBB8C0" w14:textId="76C19F00" w:rsidR="007228A1" w:rsidRPr="00965846" w:rsidRDefault="007228A1" w:rsidP="007228A1">
      <w:pPr>
        <w:rPr>
          <w:szCs w:val="22"/>
          <w:lang w:val="fr-FR"/>
        </w:rPr>
      </w:pPr>
    </w:p>
    <w:p w14:paraId="72418769" w14:textId="20244740" w:rsidR="00145E61" w:rsidRPr="00965846" w:rsidRDefault="007228A1" w:rsidP="007228A1">
      <w:pPr>
        <w:rPr>
          <w:strike/>
          <w:color w:val="FF0000"/>
          <w:lang w:val="fr-FR"/>
        </w:rPr>
      </w:pPr>
      <w:r w:rsidRPr="00965846">
        <w:rPr>
          <w:lang w:val="fr-FR"/>
        </w:rPr>
        <w:t>b)</w:t>
      </w:r>
      <w:r w:rsidR="005F4D27">
        <w:rPr>
          <w:lang w:val="fr-FR"/>
        </w:rPr>
        <w:tab/>
      </w:r>
      <w:r w:rsidRPr="00965846">
        <w:rPr>
          <w:strike/>
          <w:color w:val="FF0000"/>
          <w:lang w:val="fr-FR"/>
        </w:rPr>
        <w:t>dans les cas où l</w:t>
      </w:r>
      <w:r w:rsidR="00145E61" w:rsidRPr="00965846">
        <w:rPr>
          <w:strike/>
          <w:color w:val="FF0000"/>
          <w:lang w:val="fr-FR"/>
        </w:rPr>
        <w:t>’</w:t>
      </w:r>
      <w:r w:rsidRPr="00965846">
        <w:rPr>
          <w:strike/>
          <w:color w:val="FF0000"/>
          <w:lang w:val="fr-FR"/>
        </w:rPr>
        <w:t>information visée au sous</w:t>
      </w:r>
      <w:r w:rsidR="00145E61" w:rsidRPr="00965846">
        <w:rPr>
          <w:strike/>
          <w:color w:val="FF0000"/>
          <w:lang w:val="fr-FR"/>
        </w:rPr>
        <w:t>-alinéa a)</w:t>
      </w:r>
      <w:r w:rsidRPr="00965846">
        <w:rPr>
          <w:strike/>
          <w:color w:val="FF0000"/>
          <w:lang w:val="fr-FR"/>
        </w:rPr>
        <w:t xml:space="preserve"> n</w:t>
      </w:r>
      <w:r w:rsidR="00145E61" w:rsidRPr="00965846">
        <w:rPr>
          <w:strike/>
          <w:color w:val="FF0000"/>
          <w:lang w:val="fr-FR"/>
        </w:rPr>
        <w:t>’</w:t>
      </w:r>
      <w:r w:rsidRPr="00965846">
        <w:rPr>
          <w:strike/>
          <w:color w:val="FF0000"/>
          <w:lang w:val="fr-FR"/>
        </w:rPr>
        <w:t xml:space="preserve">est pas connue du déposant, </w:t>
      </w:r>
      <w:proofErr w:type="gramStart"/>
      <w:r w:rsidRPr="00965846">
        <w:rPr>
          <w:strike/>
          <w:color w:val="FF0000"/>
          <w:lang w:val="fr-FR"/>
        </w:rPr>
        <w:t>ou</w:t>
      </w:r>
      <w:proofErr w:type="gramEnd"/>
    </w:p>
    <w:p w14:paraId="082E8C0B" w14:textId="2D48941A" w:rsidR="00145E61" w:rsidRPr="00965846" w:rsidRDefault="007228A1" w:rsidP="007228A1">
      <w:pPr>
        <w:rPr>
          <w:b/>
          <w:color w:val="FF0000"/>
          <w:lang w:val="fr-FR"/>
        </w:rPr>
      </w:pPr>
      <w:proofErr w:type="gramStart"/>
      <w:r w:rsidRPr="00965846">
        <w:rPr>
          <w:strike/>
          <w:color w:val="FF0000"/>
          <w:lang w:val="fr-FR"/>
        </w:rPr>
        <w:t>lorsque</w:t>
      </w:r>
      <w:proofErr w:type="gramEnd"/>
      <w:r w:rsidRPr="00965846">
        <w:rPr>
          <w:strike/>
          <w:color w:val="FF0000"/>
          <w:lang w:val="fr-FR"/>
        </w:rPr>
        <w:t xml:space="preserve"> le sous</w:t>
      </w:r>
      <w:r w:rsidR="00145E61" w:rsidRPr="00965846">
        <w:rPr>
          <w:strike/>
          <w:color w:val="FF0000"/>
          <w:lang w:val="fr-FR"/>
        </w:rPr>
        <w:t>-alinéa a)</w:t>
      </w:r>
      <w:r w:rsidRPr="00965846">
        <w:rPr>
          <w:strike/>
          <w:color w:val="FF0000"/>
          <w:lang w:val="fr-FR"/>
        </w:rPr>
        <w:t xml:space="preserve"> ne s</w:t>
      </w:r>
      <w:r w:rsidR="00145E61" w:rsidRPr="00965846">
        <w:rPr>
          <w:strike/>
          <w:color w:val="FF0000"/>
          <w:lang w:val="fr-FR"/>
        </w:rPr>
        <w:t>’</w:t>
      </w:r>
      <w:r w:rsidRPr="00965846">
        <w:rPr>
          <w:strike/>
          <w:color w:val="FF0000"/>
          <w:lang w:val="fr-FR"/>
        </w:rPr>
        <w:t>applique pas, la source des ressources génétiques</w:t>
      </w:r>
      <w:r w:rsidRPr="00965846">
        <w:rPr>
          <w:color w:val="FF0000"/>
          <w:lang w:val="fr-FR"/>
        </w:rPr>
        <w:t xml:space="preserve"> le pays d</w:t>
      </w:r>
      <w:r w:rsidR="00145E61" w:rsidRPr="00965846">
        <w:rPr>
          <w:color w:val="FF0000"/>
          <w:lang w:val="fr-FR"/>
        </w:rPr>
        <w:t>’</w:t>
      </w:r>
      <w:r w:rsidRPr="00965846">
        <w:rPr>
          <w:color w:val="FF0000"/>
          <w:lang w:val="fr-FR"/>
        </w:rPr>
        <w:t>origine des ressources génétiques, sauf dans les cas où il n</w:t>
      </w:r>
      <w:r w:rsidR="00145E61" w:rsidRPr="00965846">
        <w:rPr>
          <w:color w:val="FF0000"/>
          <w:lang w:val="fr-FR"/>
        </w:rPr>
        <w:t>’</w:t>
      </w:r>
      <w:r w:rsidRPr="00965846">
        <w:rPr>
          <w:color w:val="FF0000"/>
          <w:lang w:val="fr-FR"/>
        </w:rPr>
        <w:t>est pas connu du déposant, ou ne s</w:t>
      </w:r>
      <w:r w:rsidR="00145E61" w:rsidRPr="00965846">
        <w:rPr>
          <w:color w:val="FF0000"/>
          <w:lang w:val="fr-FR"/>
        </w:rPr>
        <w:t>’</w:t>
      </w:r>
      <w:r w:rsidRPr="00965846">
        <w:rPr>
          <w:color w:val="FF0000"/>
          <w:lang w:val="fr-FR"/>
        </w:rPr>
        <w:t>applique pas.</w:t>
      </w:r>
      <w:r w:rsidRPr="00965846">
        <w:rPr>
          <w:b/>
          <w:color w:val="FF0000"/>
          <w:lang w:val="fr-FR"/>
        </w:rPr>
        <w:t>]</w:t>
      </w:r>
    </w:p>
    <w:p w14:paraId="7748DBFA" w14:textId="56F4CB78" w:rsidR="007228A1" w:rsidRPr="00965846" w:rsidRDefault="007228A1" w:rsidP="007228A1">
      <w:pPr>
        <w:rPr>
          <w:szCs w:val="22"/>
          <w:lang w:val="fr-FR"/>
        </w:rPr>
      </w:pPr>
    </w:p>
    <w:p w14:paraId="50FFB745" w14:textId="4360017D" w:rsidR="00145E61" w:rsidRPr="00965846" w:rsidRDefault="007228A1" w:rsidP="007228A1">
      <w:pPr>
        <w:rPr>
          <w:lang w:val="fr-FR"/>
        </w:rPr>
      </w:pPr>
      <w:r w:rsidRPr="00965846">
        <w:rPr>
          <w:lang w:val="fr-FR"/>
        </w:rPr>
        <w:t>3.2</w:t>
      </w:r>
      <w:r w:rsidR="005F4D27">
        <w:rPr>
          <w:lang w:val="fr-FR"/>
        </w:rPr>
        <w:tab/>
      </w:r>
      <w:r w:rsidRPr="00965846">
        <w:rPr>
          <w:lang w:val="fr-FR"/>
        </w:rPr>
        <w:t>Lorsque l</w:t>
      </w:r>
      <w:r w:rsidR="00145E61" w:rsidRPr="00965846">
        <w:rPr>
          <w:lang w:val="fr-FR"/>
        </w:rPr>
        <w:t>’</w:t>
      </w:r>
      <w:r w:rsidRPr="00965846">
        <w:rPr>
          <w:lang w:val="fr-FR"/>
        </w:rPr>
        <w:t xml:space="preserve">invention revendiquée dans une demande de brevet est [sensiblement </w:t>
      </w:r>
      <w:r w:rsidRPr="00965846">
        <w:rPr>
          <w:b/>
          <w:color w:val="FF0000"/>
          <w:lang w:val="fr-FR"/>
        </w:rPr>
        <w:t>[IN</w:t>
      </w:r>
      <w:r w:rsidR="00852466" w:rsidRPr="00965846">
        <w:rPr>
          <w:b/>
          <w:color w:val="FF0000"/>
          <w:lang w:val="fr-FR"/>
        </w:rPr>
        <w:t> </w:t>
      </w:r>
      <w:r w:rsidRPr="00965846">
        <w:rPr>
          <w:b/>
          <w:color w:val="FF0000"/>
          <w:lang w:val="fr-FR"/>
        </w:rPr>
        <w:t>:</w:t>
      </w:r>
      <w:r w:rsidRPr="00965846">
        <w:rPr>
          <w:color w:val="FF0000"/>
          <w:lang w:val="fr-FR"/>
        </w:rPr>
        <w:t xml:space="preserve"> </w:t>
      </w:r>
      <w:r w:rsidRPr="00965846">
        <w:rPr>
          <w:strike/>
          <w:color w:val="FF0000"/>
          <w:lang w:val="fr-FR"/>
        </w:rPr>
        <w:t>/directement</w:t>
      </w:r>
      <w:r w:rsidRPr="00965846">
        <w:rPr>
          <w:b/>
          <w:color w:val="FF0000"/>
          <w:lang w:val="fr-FR"/>
        </w:rPr>
        <w:t>]</w:t>
      </w:r>
      <w:r w:rsidRPr="00965846">
        <w:rPr>
          <w:color w:val="FF0000"/>
          <w:lang w:val="fr-FR"/>
        </w:rPr>
        <w:t xml:space="preserve"> </w:t>
      </w:r>
      <w:r w:rsidRPr="00965846">
        <w:rPr>
          <w:lang w:val="fr-FR"/>
        </w:rPr>
        <w:t>fondée sur des savoirs traditionnels connexes, chaque partie contractante exige du déposant qu</w:t>
      </w:r>
      <w:r w:rsidR="00145E61" w:rsidRPr="00965846">
        <w:rPr>
          <w:lang w:val="fr-FR"/>
        </w:rPr>
        <w:t>’</w:t>
      </w:r>
      <w:r w:rsidRPr="00965846">
        <w:rPr>
          <w:lang w:val="fr-FR"/>
        </w:rPr>
        <w:t>il divulgue</w:t>
      </w:r>
      <w:r w:rsidR="00145E61" w:rsidRPr="00965846">
        <w:rPr>
          <w:lang w:val="fr-FR"/>
        </w:rPr>
        <w:t> :</w:t>
      </w:r>
    </w:p>
    <w:p w14:paraId="4EEA7D34" w14:textId="7CBF467A" w:rsidR="007228A1" w:rsidRPr="00965846" w:rsidRDefault="007228A1" w:rsidP="007228A1">
      <w:pPr>
        <w:rPr>
          <w:szCs w:val="22"/>
          <w:lang w:val="fr-FR"/>
        </w:rPr>
      </w:pPr>
    </w:p>
    <w:p w14:paraId="5318CCDC" w14:textId="28DD14AD" w:rsidR="00145E61" w:rsidRPr="00965846" w:rsidRDefault="007228A1" w:rsidP="007228A1">
      <w:pPr>
        <w:rPr>
          <w:color w:val="FF0000"/>
          <w:lang w:val="fr-FR"/>
        </w:rPr>
      </w:pPr>
      <w:r w:rsidRPr="00965846">
        <w:rPr>
          <w:lang w:val="fr-FR"/>
        </w:rPr>
        <w:t>a)</w:t>
      </w:r>
      <w:r w:rsidR="005F4D27">
        <w:rPr>
          <w:lang w:val="fr-FR"/>
        </w:rPr>
        <w:tab/>
      </w:r>
      <w:r w:rsidRPr="00965846">
        <w:rPr>
          <w:b/>
          <w:color w:val="FF0000"/>
          <w:lang w:val="fr-FR"/>
        </w:rPr>
        <w:t>[IN</w:t>
      </w:r>
      <w:r w:rsidR="00852466" w:rsidRPr="00965846">
        <w:rPr>
          <w:b/>
          <w:color w:val="FF0000"/>
          <w:lang w:val="fr-FR"/>
        </w:rPr>
        <w:t> </w:t>
      </w:r>
      <w:r w:rsidRPr="00965846">
        <w:rPr>
          <w:b/>
          <w:color w:val="FF0000"/>
          <w:lang w:val="fr-FR"/>
        </w:rPr>
        <w:t>:</w:t>
      </w:r>
      <w:r w:rsidRPr="00965846">
        <w:rPr>
          <w:color w:val="FF0000"/>
          <w:lang w:val="fr-FR"/>
        </w:rPr>
        <w:t xml:space="preserve"> </w:t>
      </w:r>
      <w:r w:rsidRPr="00965846">
        <w:rPr>
          <w:strike/>
          <w:color w:val="FF0000"/>
          <w:lang w:val="fr-FR"/>
        </w:rPr>
        <w:t xml:space="preserve">le peuple autochtone ou la communauté locale qui a fourni les savoirs traditionnels </w:t>
      </w:r>
      <w:proofErr w:type="gramStart"/>
      <w:r w:rsidRPr="00965846">
        <w:rPr>
          <w:strike/>
          <w:color w:val="FF0000"/>
          <w:lang w:val="fr-FR"/>
        </w:rPr>
        <w:t>connexes;  ou</w:t>
      </w:r>
      <w:proofErr w:type="gramEnd"/>
      <w:r w:rsidRPr="00965846">
        <w:rPr>
          <w:color w:val="FF0000"/>
          <w:lang w:val="fr-FR"/>
        </w:rPr>
        <w:t xml:space="preserve"> la source des savoirs traditionnels connexes, et,</w:t>
      </w:r>
    </w:p>
    <w:p w14:paraId="5C4E0F1C" w14:textId="7D26C321" w:rsidR="007228A1" w:rsidRPr="00965846" w:rsidRDefault="007228A1" w:rsidP="007228A1">
      <w:pPr>
        <w:rPr>
          <w:szCs w:val="22"/>
          <w:lang w:val="fr-FR"/>
        </w:rPr>
      </w:pPr>
    </w:p>
    <w:p w14:paraId="0CDCF5FE" w14:textId="69C76647" w:rsidR="00145E61" w:rsidRPr="00965846" w:rsidRDefault="007228A1" w:rsidP="007228A1">
      <w:pPr>
        <w:rPr>
          <w:color w:val="FF0000"/>
          <w:lang w:val="fr-FR"/>
        </w:rPr>
      </w:pPr>
      <w:r w:rsidRPr="00965846">
        <w:rPr>
          <w:lang w:val="fr-FR"/>
        </w:rPr>
        <w:t>b)</w:t>
      </w:r>
      <w:r w:rsidR="005F4D27">
        <w:rPr>
          <w:lang w:val="fr-FR"/>
        </w:rPr>
        <w:tab/>
      </w:r>
      <w:r w:rsidRPr="00965846">
        <w:rPr>
          <w:strike/>
          <w:color w:val="FF0000"/>
          <w:lang w:val="fr-FR"/>
        </w:rPr>
        <w:t>dans les cas où l</w:t>
      </w:r>
      <w:r w:rsidR="00145E61" w:rsidRPr="00965846">
        <w:rPr>
          <w:strike/>
          <w:color w:val="FF0000"/>
          <w:lang w:val="fr-FR"/>
        </w:rPr>
        <w:t>’</w:t>
      </w:r>
      <w:r w:rsidRPr="00965846">
        <w:rPr>
          <w:strike/>
          <w:color w:val="FF0000"/>
          <w:lang w:val="fr-FR"/>
        </w:rPr>
        <w:t>information visée au sous</w:t>
      </w:r>
      <w:r w:rsidR="00145E61" w:rsidRPr="00965846">
        <w:rPr>
          <w:strike/>
          <w:color w:val="FF0000"/>
          <w:lang w:val="fr-FR"/>
        </w:rPr>
        <w:t>-alinéa a)</w:t>
      </w:r>
      <w:r w:rsidRPr="00965846">
        <w:rPr>
          <w:strike/>
          <w:color w:val="FF0000"/>
          <w:lang w:val="fr-FR"/>
        </w:rPr>
        <w:t xml:space="preserve"> n</w:t>
      </w:r>
      <w:r w:rsidR="00145E61" w:rsidRPr="00965846">
        <w:rPr>
          <w:strike/>
          <w:color w:val="FF0000"/>
          <w:lang w:val="fr-FR"/>
        </w:rPr>
        <w:t>’</w:t>
      </w:r>
      <w:r w:rsidRPr="00965846">
        <w:rPr>
          <w:strike/>
          <w:color w:val="FF0000"/>
          <w:lang w:val="fr-FR"/>
        </w:rPr>
        <w:t>est pas connue du déposant, ou lorsque le sous</w:t>
      </w:r>
      <w:r w:rsidR="00145E61" w:rsidRPr="00965846">
        <w:rPr>
          <w:strike/>
          <w:color w:val="FF0000"/>
          <w:lang w:val="fr-FR"/>
        </w:rPr>
        <w:t>-alinéa a)</w:t>
      </w:r>
      <w:r w:rsidRPr="00965846">
        <w:rPr>
          <w:strike/>
          <w:color w:val="FF0000"/>
          <w:lang w:val="fr-FR"/>
        </w:rPr>
        <w:t xml:space="preserve"> ne s</w:t>
      </w:r>
      <w:r w:rsidR="00145E61" w:rsidRPr="00965846">
        <w:rPr>
          <w:strike/>
          <w:color w:val="FF0000"/>
          <w:lang w:val="fr-FR"/>
        </w:rPr>
        <w:t>’</w:t>
      </w:r>
      <w:r w:rsidRPr="00965846">
        <w:rPr>
          <w:strike/>
          <w:color w:val="FF0000"/>
          <w:lang w:val="fr-FR"/>
        </w:rPr>
        <w:t>applique pas, la source des savoirs traditionnels connexes</w:t>
      </w:r>
      <w:r w:rsidRPr="00965846">
        <w:rPr>
          <w:color w:val="FF0000"/>
          <w:lang w:val="fr-FR"/>
        </w:rPr>
        <w:t xml:space="preserve"> les peuples autochtones ou la communauté locale ou les détenteurs et les praticiens de savoirs traditionnels qui ont fourni les savoirs traditionnels connexes, sauf dans les cas où cette information n</w:t>
      </w:r>
      <w:r w:rsidR="00145E61" w:rsidRPr="00965846">
        <w:rPr>
          <w:color w:val="FF0000"/>
          <w:lang w:val="fr-FR"/>
        </w:rPr>
        <w:t>’</w:t>
      </w:r>
      <w:r w:rsidRPr="00965846">
        <w:rPr>
          <w:color w:val="FF0000"/>
          <w:lang w:val="fr-FR"/>
        </w:rPr>
        <w:t>est pas connue du déposant ou ne s</w:t>
      </w:r>
      <w:r w:rsidR="00145E61" w:rsidRPr="00965846">
        <w:rPr>
          <w:color w:val="FF0000"/>
          <w:lang w:val="fr-FR"/>
        </w:rPr>
        <w:t>’</w:t>
      </w:r>
      <w:r w:rsidRPr="00965846">
        <w:rPr>
          <w:color w:val="FF0000"/>
          <w:lang w:val="fr-FR"/>
        </w:rPr>
        <w:t>applique pas.</w:t>
      </w:r>
      <w:r w:rsidRPr="00965846">
        <w:rPr>
          <w:b/>
          <w:color w:val="FF0000"/>
          <w:lang w:val="fr-FR"/>
        </w:rPr>
        <w:t>]</w:t>
      </w:r>
    </w:p>
    <w:p w14:paraId="4457BCC5" w14:textId="79780822" w:rsidR="007228A1" w:rsidRPr="00965846" w:rsidRDefault="007228A1" w:rsidP="007228A1">
      <w:pPr>
        <w:rPr>
          <w:szCs w:val="22"/>
          <w:lang w:val="fr-FR"/>
        </w:rPr>
      </w:pPr>
      <w:r w:rsidRPr="00965846">
        <w:rPr>
          <w:noProof/>
          <w:lang w:val="fr-FR"/>
        </w:rPr>
        <mc:AlternateContent>
          <mc:Choice Requires="wps">
            <w:drawing>
              <wp:anchor distT="45720" distB="45720" distL="114300" distR="114300" simplePos="0" relativeHeight="251665408" behindDoc="0" locked="0" layoutInCell="1" allowOverlap="1" wp14:anchorId="51F2F311" wp14:editId="41C565A8">
                <wp:simplePos x="0" y="0"/>
                <wp:positionH relativeFrom="margin">
                  <wp:posOffset>-15494</wp:posOffset>
                </wp:positionH>
                <wp:positionV relativeFrom="paragraph">
                  <wp:posOffset>220980</wp:posOffset>
                </wp:positionV>
                <wp:extent cx="5912485" cy="3554730"/>
                <wp:effectExtent l="0" t="0" r="12065" b="266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2485" cy="3554730"/>
                        </a:xfrm>
                        <a:prstGeom prst="rect">
                          <a:avLst/>
                        </a:prstGeom>
                        <a:solidFill>
                          <a:srgbClr val="FFFFFF"/>
                        </a:solidFill>
                        <a:ln w="9525">
                          <a:solidFill>
                            <a:srgbClr val="000000"/>
                          </a:solidFill>
                          <a:miter lim="800000"/>
                          <a:headEnd/>
                          <a:tailEnd/>
                        </a:ln>
                      </wps:spPr>
                      <wps:txbx>
                        <w:txbxContent>
                          <w:p w14:paraId="14BBB0D5" w14:textId="52D29591" w:rsidR="007228A1" w:rsidRPr="00263757" w:rsidRDefault="007228A1" w:rsidP="007228A1">
                            <w:pPr>
                              <w:rPr>
                                <w:sz w:val="23"/>
                                <w:szCs w:val="23"/>
                              </w:rPr>
                            </w:pPr>
                            <w:r>
                              <w:rPr>
                                <w:b/>
                                <w:sz w:val="23"/>
                              </w:rPr>
                              <w:t>Note explicative concernant les formulations proposées aux articles</w:t>
                            </w:r>
                            <w:r w:rsidR="002C57D1">
                              <w:rPr>
                                <w:b/>
                                <w:sz w:val="23"/>
                              </w:rPr>
                              <w:t> </w:t>
                            </w:r>
                            <w:r>
                              <w:rPr>
                                <w:b/>
                                <w:sz w:val="23"/>
                              </w:rPr>
                              <w:t>3.1) et</w:t>
                            </w:r>
                            <w:r w:rsidR="005F4D27">
                              <w:rPr>
                                <w:b/>
                                <w:sz w:val="23"/>
                              </w:rPr>
                              <w:t> </w:t>
                            </w:r>
                            <w:r>
                              <w:rPr>
                                <w:b/>
                                <w:sz w:val="23"/>
                              </w:rPr>
                              <w:t>3.2)</w:t>
                            </w:r>
                            <w:r w:rsidR="002C57D1">
                              <w:rPr>
                                <w:b/>
                                <w:sz w:val="23"/>
                              </w:rPr>
                              <w:t> :</w:t>
                            </w:r>
                            <w:r>
                              <w:rPr>
                                <w:sz w:val="23"/>
                              </w:rPr>
                              <w:t xml:space="preserve"> en ce qui concerne le contenu de la divulgation, la formulation actuelle donne la priorité au pays d</w:t>
                            </w:r>
                            <w:r w:rsidR="002C57D1">
                              <w:rPr>
                                <w:sz w:val="23"/>
                              </w:rPr>
                              <w:t>’</w:t>
                            </w:r>
                            <w:r>
                              <w:rPr>
                                <w:sz w:val="23"/>
                              </w:rPr>
                              <w:t>origine dans le cas des ressources génétiques, et au peuple autochtone ou à la communauté locale pour les savoirs traditionnels connexes, qui peuvent être connus ou non, alors que l</w:t>
                            </w:r>
                            <w:r w:rsidR="002C57D1">
                              <w:rPr>
                                <w:sz w:val="23"/>
                              </w:rPr>
                              <w:t>’</w:t>
                            </w:r>
                            <w:r>
                              <w:rPr>
                                <w:sz w:val="23"/>
                              </w:rPr>
                              <w:t>inventeur ou le déposant connaît toujours la source des ressources génétiques ou des savoirs traditionnels associés sur lesquels la recherche est effectuée ou dont la connaissance des propriétés a été tirée.  En outre, l</w:t>
                            </w:r>
                            <w:r w:rsidR="002C57D1">
                              <w:rPr>
                                <w:sz w:val="23"/>
                              </w:rPr>
                              <w:t>’</w:t>
                            </w:r>
                            <w:r>
                              <w:rPr>
                                <w:sz w:val="23"/>
                              </w:rPr>
                              <w:t>interprétation du pays d</w:t>
                            </w:r>
                            <w:r w:rsidR="002C57D1">
                              <w:rPr>
                                <w:sz w:val="23"/>
                              </w:rPr>
                              <w:t>’</w:t>
                            </w:r>
                            <w:r>
                              <w:rPr>
                                <w:sz w:val="23"/>
                              </w:rPr>
                              <w:t>origine crée une ambiguïté quant au champ d</w:t>
                            </w:r>
                            <w:r w:rsidR="002C57D1">
                              <w:rPr>
                                <w:sz w:val="23"/>
                              </w:rPr>
                              <w:t>’</w:t>
                            </w:r>
                            <w:r>
                              <w:rPr>
                                <w:sz w:val="23"/>
                              </w:rPr>
                              <w:t>application, qu</w:t>
                            </w:r>
                            <w:r w:rsidR="002C57D1">
                              <w:rPr>
                                <w:sz w:val="23"/>
                              </w:rPr>
                              <w:t>’</w:t>
                            </w:r>
                            <w:r>
                              <w:rPr>
                                <w:sz w:val="23"/>
                              </w:rPr>
                              <w:t>il s</w:t>
                            </w:r>
                            <w:r w:rsidR="002C57D1">
                              <w:rPr>
                                <w:sz w:val="23"/>
                              </w:rPr>
                              <w:t>’</w:t>
                            </w:r>
                            <w:r>
                              <w:rPr>
                                <w:sz w:val="23"/>
                              </w:rPr>
                              <w:t>agisse du pays dont proviennent les ressources génétiques ou de l</w:t>
                            </w:r>
                            <w:r w:rsidR="002C57D1">
                              <w:rPr>
                                <w:sz w:val="23"/>
                              </w:rPr>
                              <w:t>’</w:t>
                            </w:r>
                            <w:r>
                              <w:rPr>
                                <w:sz w:val="23"/>
                              </w:rPr>
                              <w:t>origine géographique des ressources génétiques.  Par conséquent, une formulation révisée est proposée afin de faire prévaloir la source, qui peut être identifiée plus clairement et plus facilement, et qui est presque toujours connue ou devrait l</w:t>
                            </w:r>
                            <w:r w:rsidR="002C57D1">
                              <w:rPr>
                                <w:sz w:val="23"/>
                              </w:rPr>
                              <w:t>’</w:t>
                            </w:r>
                            <w:r>
                              <w:rPr>
                                <w:sz w:val="23"/>
                              </w:rPr>
                              <w:t>être.  En outre, la même formulation a été ajoutée dans le cas des ressources génétiques en ce qui concerne le pays d</w:t>
                            </w:r>
                            <w:r w:rsidR="002C57D1">
                              <w:rPr>
                                <w:sz w:val="23"/>
                              </w:rPr>
                              <w:t>’</w:t>
                            </w:r>
                            <w:r>
                              <w:rPr>
                                <w:sz w:val="23"/>
                              </w:rPr>
                              <w:t>origine, lorsqu</w:t>
                            </w:r>
                            <w:r w:rsidR="002C57D1">
                              <w:rPr>
                                <w:sz w:val="23"/>
                              </w:rPr>
                              <w:t>’</w:t>
                            </w:r>
                            <w:r>
                              <w:rPr>
                                <w:sz w:val="23"/>
                              </w:rPr>
                              <w:t>il est connu et s</w:t>
                            </w:r>
                            <w:r w:rsidR="002C57D1">
                              <w:rPr>
                                <w:sz w:val="23"/>
                              </w:rPr>
                              <w:t>’</w:t>
                            </w:r>
                            <w:r>
                              <w:rPr>
                                <w:sz w:val="23"/>
                              </w:rPr>
                              <w:t>applique, et en ce qui concerne le peuple autochtone ou la communauté locale ou les détenteurs et les praticiens de savoirs traditionnels, qui sont également des acteurs importants et souvent la source de l</w:t>
                            </w:r>
                            <w:r w:rsidR="002C57D1">
                              <w:rPr>
                                <w:sz w:val="23"/>
                              </w:rPr>
                              <w:t>’</w:t>
                            </w:r>
                            <w:r>
                              <w:rPr>
                                <w:sz w:val="23"/>
                              </w:rPr>
                              <w:t xml:space="preserve">apport de savoirs traditionnels.  </w:t>
                            </w:r>
                          </w:p>
                          <w:p w14:paraId="7F7BA375" w14:textId="77777777" w:rsidR="007228A1" w:rsidRDefault="007228A1" w:rsidP="007228A1">
                            <w:pPr>
                              <w:jc w:val="both"/>
                              <w:rPr>
                                <w:sz w:val="23"/>
                                <w:szCs w:val="23"/>
                              </w:rPr>
                            </w:pPr>
                          </w:p>
                          <w:p w14:paraId="453AB5AA" w14:textId="03BB51B5" w:rsidR="007228A1" w:rsidRDefault="007228A1" w:rsidP="007228A1">
                            <w:pPr>
                              <w:jc w:val="both"/>
                            </w:pPr>
                            <w:r>
                              <w:rPr>
                                <w:sz w:val="23"/>
                              </w:rPr>
                              <w:t>Si l</w:t>
                            </w:r>
                            <w:r w:rsidR="002C57D1">
                              <w:rPr>
                                <w:sz w:val="23"/>
                              </w:rPr>
                              <w:t>’</w:t>
                            </w:r>
                            <w:r>
                              <w:rPr>
                                <w:sz w:val="23"/>
                              </w:rPr>
                              <w:t xml:space="preserve">on tient compte des modifications apportées à la définition de la source des ressources génétiques et des savoirs traditionnels associés, les déposants pourront divulguer ces informations plus facilement et plus clairement dans le cadre de leur demande.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2F311" id="Text Box 9" o:spid="_x0000_s1032" type="#_x0000_t202" style="position:absolute;margin-left:-1.2pt;margin-top:17.4pt;width:465.55pt;height:279.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">
                <v:textbox>
                  <w:txbxContent>
                    <w:p w14:paraId="14BBB0D5" w14:textId="52D29591" w:rsidR="007228A1" w:rsidRPr="00263757" w:rsidRDefault="007228A1" w:rsidP="007228A1">
                      <w:pPr>
                        <w:rPr>
                          <w:sz w:val="23"/>
                          <w:szCs w:val="23"/>
                        </w:rPr>
                      </w:pPr>
                      <w:r>
                        <w:rPr>
                          <w:b/>
                          <w:sz w:val="23"/>
                        </w:rPr>
                        <w:t>Note explicative concernant les formulations proposées aux articles</w:t>
                      </w:r>
                      <w:r w:rsidR="002C57D1">
                        <w:rPr>
                          <w:b/>
                          <w:sz w:val="23"/>
                        </w:rPr>
                        <w:t> </w:t>
                      </w:r>
                      <w:r>
                        <w:rPr>
                          <w:b/>
                          <w:sz w:val="23"/>
                        </w:rPr>
                        <w:t>3.1) et</w:t>
                      </w:r>
                      <w:r w:rsidR="005F4D27">
                        <w:rPr>
                          <w:b/>
                          <w:sz w:val="23"/>
                        </w:rPr>
                        <w:t> </w:t>
                      </w:r>
                      <w:r>
                        <w:rPr>
                          <w:b/>
                          <w:sz w:val="23"/>
                        </w:rPr>
                        <w:t>3.2)</w:t>
                      </w:r>
                      <w:r w:rsidR="002C57D1">
                        <w:rPr>
                          <w:b/>
                          <w:sz w:val="23"/>
                        </w:rPr>
                        <w:t> :</w:t>
                      </w:r>
                      <w:r>
                        <w:rPr>
                          <w:sz w:val="23"/>
                        </w:rPr>
                        <w:t xml:space="preserve"> en ce qui concerne le contenu de la divulgation, la formulation actuelle donne la priorité au pays d</w:t>
                      </w:r>
                      <w:r w:rsidR="002C57D1">
                        <w:rPr>
                          <w:sz w:val="23"/>
                        </w:rPr>
                        <w:t>’</w:t>
                      </w:r>
                      <w:r>
                        <w:rPr>
                          <w:sz w:val="23"/>
                        </w:rPr>
                        <w:t>origine dans le cas des ressources génétiques, et au peuple autochtone ou à la communauté locale pour les savoirs traditionnels connexes, qui peuvent être connus ou non, alors que l</w:t>
                      </w:r>
                      <w:r w:rsidR="002C57D1">
                        <w:rPr>
                          <w:sz w:val="23"/>
                        </w:rPr>
                        <w:t>’</w:t>
                      </w:r>
                      <w:r>
                        <w:rPr>
                          <w:sz w:val="23"/>
                        </w:rPr>
                        <w:t>inventeur ou le déposant connaît toujours la source des ressources génétiques ou des savoirs traditionnels associés sur lesquels la recherche est effectuée ou dont la connaissance des propriétés a été tirée.  En outre, l</w:t>
                      </w:r>
                      <w:r w:rsidR="002C57D1">
                        <w:rPr>
                          <w:sz w:val="23"/>
                        </w:rPr>
                        <w:t>’</w:t>
                      </w:r>
                      <w:r>
                        <w:rPr>
                          <w:sz w:val="23"/>
                        </w:rPr>
                        <w:t>interprétation du pays d</w:t>
                      </w:r>
                      <w:r w:rsidR="002C57D1">
                        <w:rPr>
                          <w:sz w:val="23"/>
                        </w:rPr>
                        <w:t>’</w:t>
                      </w:r>
                      <w:r>
                        <w:rPr>
                          <w:sz w:val="23"/>
                        </w:rPr>
                        <w:t>origine crée une ambiguïté quant au champ d</w:t>
                      </w:r>
                      <w:r w:rsidR="002C57D1">
                        <w:rPr>
                          <w:sz w:val="23"/>
                        </w:rPr>
                        <w:t>’</w:t>
                      </w:r>
                      <w:r>
                        <w:rPr>
                          <w:sz w:val="23"/>
                        </w:rPr>
                        <w:t>application, qu</w:t>
                      </w:r>
                      <w:r w:rsidR="002C57D1">
                        <w:rPr>
                          <w:sz w:val="23"/>
                        </w:rPr>
                        <w:t>’</w:t>
                      </w:r>
                      <w:r>
                        <w:rPr>
                          <w:sz w:val="23"/>
                        </w:rPr>
                        <w:t>il s</w:t>
                      </w:r>
                      <w:r w:rsidR="002C57D1">
                        <w:rPr>
                          <w:sz w:val="23"/>
                        </w:rPr>
                        <w:t>’</w:t>
                      </w:r>
                      <w:r>
                        <w:rPr>
                          <w:sz w:val="23"/>
                        </w:rPr>
                        <w:t>agisse du pays dont proviennent les ressources génétiques ou de l</w:t>
                      </w:r>
                      <w:r w:rsidR="002C57D1">
                        <w:rPr>
                          <w:sz w:val="23"/>
                        </w:rPr>
                        <w:t>’</w:t>
                      </w:r>
                      <w:r>
                        <w:rPr>
                          <w:sz w:val="23"/>
                        </w:rPr>
                        <w:t>origine géographique des ressources génétiques.  Par conséquent, une formulation révisée est proposée afin de faire prévaloir la source, qui peut être identifiée plus clairement et plus facilement, et qui est presque toujours connue ou devrait l</w:t>
                      </w:r>
                      <w:r w:rsidR="002C57D1">
                        <w:rPr>
                          <w:sz w:val="23"/>
                        </w:rPr>
                        <w:t>’</w:t>
                      </w:r>
                      <w:r>
                        <w:rPr>
                          <w:sz w:val="23"/>
                        </w:rPr>
                        <w:t>être.  En outre, la même formulation a été ajoutée dans le cas des ressources génétiques en ce qui concerne le pays d</w:t>
                      </w:r>
                      <w:r w:rsidR="002C57D1">
                        <w:rPr>
                          <w:sz w:val="23"/>
                        </w:rPr>
                        <w:t>’</w:t>
                      </w:r>
                      <w:r>
                        <w:rPr>
                          <w:sz w:val="23"/>
                        </w:rPr>
                        <w:t>origine, lorsqu</w:t>
                      </w:r>
                      <w:r w:rsidR="002C57D1">
                        <w:rPr>
                          <w:sz w:val="23"/>
                        </w:rPr>
                        <w:t>’</w:t>
                      </w:r>
                      <w:r>
                        <w:rPr>
                          <w:sz w:val="23"/>
                        </w:rPr>
                        <w:t>il est connu et s</w:t>
                      </w:r>
                      <w:r w:rsidR="002C57D1">
                        <w:rPr>
                          <w:sz w:val="23"/>
                        </w:rPr>
                        <w:t>’</w:t>
                      </w:r>
                      <w:r>
                        <w:rPr>
                          <w:sz w:val="23"/>
                        </w:rPr>
                        <w:t>applique, et en ce qui concerne le peuple autochtone ou la communauté locale ou les détenteurs et les praticiens de savoirs traditionnels, qui sont également des acteurs importants et souvent la source de l</w:t>
                      </w:r>
                      <w:r w:rsidR="002C57D1">
                        <w:rPr>
                          <w:sz w:val="23"/>
                        </w:rPr>
                        <w:t>’</w:t>
                      </w:r>
                      <w:r>
                        <w:rPr>
                          <w:sz w:val="23"/>
                        </w:rPr>
                        <w:t xml:space="preserve">apport de savoirs traditionnels.  </w:t>
                      </w:r>
                    </w:p>
                    <w:p w14:paraId="7F7BA375" w14:textId="77777777" w:rsidR="007228A1" w:rsidRDefault="007228A1" w:rsidP="007228A1">
                      <w:pPr>
                        <w:jc w:val="both"/>
                        <w:rPr>
                          <w:sz w:val="23"/>
                          <w:szCs w:val="23"/>
                        </w:rPr>
                      </w:pPr>
                    </w:p>
                    <w:p w14:paraId="453AB5AA" w14:textId="03BB51B5" w:rsidR="007228A1" w:rsidRDefault="007228A1" w:rsidP="007228A1">
                      <w:pPr>
                        <w:jc w:val="both"/>
                      </w:pPr>
                      <w:r>
                        <w:rPr>
                          <w:sz w:val="23"/>
                        </w:rPr>
                        <w:t>Si l</w:t>
                      </w:r>
                      <w:r w:rsidR="002C57D1">
                        <w:rPr>
                          <w:sz w:val="23"/>
                        </w:rPr>
                        <w:t>’</w:t>
                      </w:r>
                      <w:r>
                        <w:rPr>
                          <w:sz w:val="23"/>
                        </w:rPr>
                        <w:t xml:space="preserve">on tient compte des modifications apportées à la définition de la source des ressources génétiques et des savoirs traditionnels associés, les déposants pourront divulguer ces informations plus facilement et plus clairement dans le cadre de leur demande.  </w:t>
                      </w:r>
                    </w:p>
                  </w:txbxContent>
                </v:textbox>
                <w10:wrap type="square" anchorx="margin"/>
              </v:shape>
            </w:pict>
          </mc:Fallback>
        </mc:AlternateContent>
      </w:r>
    </w:p>
    <w:p w14:paraId="74F1A5EF" w14:textId="77777777" w:rsidR="007228A1" w:rsidRPr="00965846" w:rsidRDefault="007228A1" w:rsidP="007228A1">
      <w:pPr>
        <w:rPr>
          <w:szCs w:val="22"/>
          <w:lang w:val="fr-FR"/>
        </w:rPr>
      </w:pPr>
    </w:p>
    <w:p w14:paraId="0BF23F87" w14:textId="042D58C7" w:rsidR="00145E61" w:rsidRPr="00965846" w:rsidRDefault="007228A1" w:rsidP="007228A1">
      <w:pPr>
        <w:rPr>
          <w:lang w:val="fr-FR"/>
        </w:rPr>
      </w:pPr>
      <w:r w:rsidRPr="00965846">
        <w:rPr>
          <w:lang w:val="fr-FR"/>
        </w:rPr>
        <w:t>3.3</w:t>
      </w:r>
      <w:r w:rsidR="005F4D27">
        <w:rPr>
          <w:lang w:val="fr-FR"/>
        </w:rPr>
        <w:tab/>
      </w:r>
      <w:r w:rsidRPr="00965846">
        <w:rPr>
          <w:lang w:val="fr-FR"/>
        </w:rPr>
        <w:t xml:space="preserve">Dans les cas où aucune des informations visées </w:t>
      </w:r>
      <w:r w:rsidRPr="00965846">
        <w:rPr>
          <w:b/>
          <w:color w:val="FF0000"/>
          <w:lang w:val="fr-FR"/>
        </w:rPr>
        <w:t>[IN</w:t>
      </w:r>
      <w:r w:rsidR="00852466" w:rsidRPr="00965846">
        <w:rPr>
          <w:b/>
          <w:color w:val="FF0000"/>
          <w:lang w:val="fr-FR"/>
        </w:rPr>
        <w:t> </w:t>
      </w:r>
      <w:r w:rsidRPr="00965846">
        <w:rPr>
          <w:b/>
          <w:color w:val="FF0000"/>
          <w:lang w:val="fr-FR"/>
        </w:rPr>
        <w:t xml:space="preserve">: </w:t>
      </w:r>
      <w:r w:rsidRPr="00965846">
        <w:rPr>
          <w:strike/>
          <w:color w:val="FF0000"/>
          <w:lang w:val="fr-FR"/>
        </w:rPr>
        <w:t xml:space="preserve">aux </w:t>
      </w:r>
      <w:r w:rsidR="00145E61" w:rsidRPr="00965846">
        <w:rPr>
          <w:strike/>
          <w:color w:val="FF0000"/>
          <w:lang w:val="fr-FR"/>
        </w:rPr>
        <w:t>alinéas 3</w:t>
      </w:r>
      <w:r w:rsidRPr="00965846">
        <w:rPr>
          <w:strike/>
          <w:color w:val="FF0000"/>
          <w:lang w:val="fr-FR"/>
        </w:rPr>
        <w:t>.1 ou</w:t>
      </w:r>
      <w:r w:rsidRPr="00965846">
        <w:rPr>
          <w:color w:val="FF0000"/>
          <w:lang w:val="fr-FR"/>
        </w:rPr>
        <w:t xml:space="preserve"> à l</w:t>
      </w:r>
      <w:r w:rsidR="00145E61" w:rsidRPr="00965846">
        <w:rPr>
          <w:color w:val="FF0000"/>
          <w:lang w:val="fr-FR"/>
        </w:rPr>
        <w:t>’</w:t>
      </w:r>
      <w:r w:rsidRPr="00965846">
        <w:rPr>
          <w:color w:val="FF0000"/>
          <w:lang w:val="fr-FR"/>
        </w:rPr>
        <w:t>alinéa</w:t>
      </w:r>
      <w:r w:rsidRPr="00965846">
        <w:rPr>
          <w:b/>
          <w:color w:val="FF0000"/>
          <w:lang w:val="fr-FR"/>
        </w:rPr>
        <w:t>]</w:t>
      </w:r>
      <w:r w:rsidRPr="00965846">
        <w:rPr>
          <w:lang w:val="fr-FR"/>
        </w:rPr>
        <w:t xml:space="preserve"> 3.2 n</w:t>
      </w:r>
      <w:r w:rsidR="00145E61" w:rsidRPr="00965846">
        <w:rPr>
          <w:lang w:val="fr-FR"/>
        </w:rPr>
        <w:t>’</w:t>
      </w:r>
      <w:r w:rsidRPr="00965846">
        <w:rPr>
          <w:lang w:val="fr-FR"/>
        </w:rPr>
        <w:t xml:space="preserve">est connue du déposant, </w:t>
      </w:r>
      <w:r w:rsidRPr="00965846">
        <w:rPr>
          <w:b/>
          <w:color w:val="FF0000"/>
          <w:lang w:val="fr-FR"/>
        </w:rPr>
        <w:t>[IN</w:t>
      </w:r>
      <w:r w:rsidR="00852466" w:rsidRPr="00965846">
        <w:rPr>
          <w:b/>
          <w:color w:val="FF0000"/>
          <w:lang w:val="fr-FR"/>
        </w:rPr>
        <w:t> </w:t>
      </w:r>
      <w:r w:rsidRPr="00965846">
        <w:rPr>
          <w:b/>
          <w:color w:val="FF0000"/>
          <w:lang w:val="fr-FR"/>
        </w:rPr>
        <w:t>:</w:t>
      </w:r>
      <w:r w:rsidRPr="00965846">
        <w:rPr>
          <w:color w:val="FF0000"/>
          <w:lang w:val="fr-FR"/>
        </w:rPr>
        <w:t xml:space="preserve"> </w:t>
      </w:r>
      <w:r w:rsidRPr="00965846">
        <w:rPr>
          <w:strike/>
          <w:color w:val="FF0000"/>
          <w:lang w:val="fr-FR"/>
        </w:rPr>
        <w:t>chaque</w:t>
      </w:r>
      <w:r w:rsidRPr="00965846">
        <w:rPr>
          <w:color w:val="FF0000"/>
          <w:lang w:val="fr-FR"/>
        </w:rPr>
        <w:t xml:space="preserve"> une</w:t>
      </w:r>
      <w:r w:rsidRPr="00965846">
        <w:rPr>
          <w:b/>
          <w:color w:val="FF0000"/>
          <w:lang w:val="fr-FR"/>
        </w:rPr>
        <w:t>]</w:t>
      </w:r>
      <w:r w:rsidRPr="00965846">
        <w:rPr>
          <w:color w:val="FF0000"/>
          <w:lang w:val="fr-FR"/>
        </w:rPr>
        <w:t xml:space="preserve"> </w:t>
      </w:r>
      <w:r w:rsidRPr="00965846">
        <w:rPr>
          <w:lang w:val="fr-FR"/>
        </w:rPr>
        <w:t xml:space="preserve">partie contractante </w:t>
      </w:r>
      <w:r w:rsidRPr="00965846">
        <w:rPr>
          <w:b/>
          <w:color w:val="FF0000"/>
          <w:lang w:val="fr-FR"/>
        </w:rPr>
        <w:t>[IN</w:t>
      </w:r>
      <w:r w:rsidR="00852466" w:rsidRPr="00965846">
        <w:rPr>
          <w:b/>
          <w:color w:val="FF0000"/>
          <w:lang w:val="fr-FR"/>
        </w:rPr>
        <w:t> </w:t>
      </w:r>
      <w:r w:rsidRPr="00965846">
        <w:rPr>
          <w:b/>
          <w:color w:val="FF0000"/>
          <w:lang w:val="fr-FR"/>
        </w:rPr>
        <w:t>:</w:t>
      </w:r>
      <w:r w:rsidRPr="00965846">
        <w:rPr>
          <w:color w:val="FF0000"/>
          <w:lang w:val="fr-FR"/>
        </w:rPr>
        <w:t xml:space="preserve"> </w:t>
      </w:r>
      <w:r w:rsidRPr="00965846">
        <w:rPr>
          <w:strike/>
          <w:color w:val="FF0000"/>
          <w:lang w:val="fr-FR"/>
        </w:rPr>
        <w:t>exige</w:t>
      </w:r>
      <w:r w:rsidRPr="00965846">
        <w:rPr>
          <w:color w:val="FF0000"/>
          <w:lang w:val="fr-FR"/>
        </w:rPr>
        <w:t xml:space="preserve"> peut exiger</w:t>
      </w:r>
      <w:r w:rsidRPr="00965846">
        <w:rPr>
          <w:b/>
          <w:color w:val="FF0000"/>
          <w:lang w:val="fr-FR"/>
        </w:rPr>
        <w:t>]</w:t>
      </w:r>
      <w:r w:rsidRPr="00965846">
        <w:rPr>
          <w:color w:val="FF0000"/>
          <w:lang w:val="fr-FR"/>
        </w:rPr>
        <w:t xml:space="preserve"> </w:t>
      </w:r>
      <w:r w:rsidRPr="00965846">
        <w:rPr>
          <w:lang w:val="fr-FR"/>
        </w:rPr>
        <w:t>de celui</w:t>
      </w:r>
      <w:r w:rsidR="00145E61" w:rsidRPr="00965846">
        <w:rPr>
          <w:lang w:val="fr-FR"/>
        </w:rPr>
        <w:t>-</w:t>
      </w:r>
      <w:r w:rsidRPr="00965846">
        <w:rPr>
          <w:lang w:val="fr-FR"/>
        </w:rPr>
        <w:t>ci qu</w:t>
      </w:r>
      <w:r w:rsidR="00145E61" w:rsidRPr="00965846">
        <w:rPr>
          <w:lang w:val="fr-FR"/>
        </w:rPr>
        <w:t>’</w:t>
      </w:r>
      <w:r w:rsidRPr="00965846">
        <w:rPr>
          <w:lang w:val="fr-FR"/>
        </w:rPr>
        <w:t>il fasse une déclaration en ce sens.</w:t>
      </w:r>
    </w:p>
    <w:p w14:paraId="5011AA35" w14:textId="13D5CBA5" w:rsidR="007228A1" w:rsidRPr="00965846" w:rsidRDefault="007228A1" w:rsidP="007228A1">
      <w:pPr>
        <w:rPr>
          <w:szCs w:val="22"/>
          <w:lang w:val="fr-FR"/>
        </w:rPr>
      </w:pPr>
    </w:p>
    <w:p w14:paraId="50BBA1B3" w14:textId="00AA862D" w:rsidR="007228A1" w:rsidRPr="00965846" w:rsidRDefault="007228A1" w:rsidP="007228A1">
      <w:pPr>
        <w:rPr>
          <w:i/>
          <w:iCs/>
          <w:szCs w:val="22"/>
          <w:lang w:val="fr-FR"/>
        </w:rPr>
      </w:pPr>
      <w:r w:rsidRPr="00965846">
        <w:rPr>
          <w:noProof/>
          <w:lang w:val="fr-FR"/>
        </w:rPr>
        <mc:AlternateContent>
          <mc:Choice Requires="wps">
            <w:drawing>
              <wp:anchor distT="45720" distB="45720" distL="114300" distR="114300" simplePos="0" relativeHeight="251666432" behindDoc="0" locked="0" layoutInCell="1" allowOverlap="1" wp14:anchorId="3944F765" wp14:editId="35AA20AF">
                <wp:simplePos x="0" y="0"/>
                <wp:positionH relativeFrom="margin">
                  <wp:align>left</wp:align>
                </wp:positionH>
                <wp:positionV relativeFrom="paragraph">
                  <wp:posOffset>212090</wp:posOffset>
                </wp:positionV>
                <wp:extent cx="5859780" cy="2625725"/>
                <wp:effectExtent l="0" t="0" r="26670" b="222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625725"/>
                        </a:xfrm>
                        <a:prstGeom prst="rect">
                          <a:avLst/>
                        </a:prstGeom>
                        <a:solidFill>
                          <a:srgbClr val="FFFFFF"/>
                        </a:solidFill>
                        <a:ln w="9525">
                          <a:solidFill>
                            <a:srgbClr val="000000"/>
                          </a:solidFill>
                          <a:miter lim="800000"/>
                          <a:headEnd/>
                          <a:tailEnd/>
                        </a:ln>
                      </wps:spPr>
                      <wps:txbx>
                        <w:txbxContent>
                          <w:p w14:paraId="68B02582" w14:textId="648907BF" w:rsidR="007228A1" w:rsidRPr="00263757" w:rsidRDefault="007228A1" w:rsidP="007228A1">
                            <w:pPr>
                              <w:rPr>
                                <w:sz w:val="23"/>
                                <w:szCs w:val="23"/>
                              </w:rPr>
                            </w:pPr>
                            <w:r>
                              <w:rPr>
                                <w:b/>
                                <w:sz w:val="23"/>
                              </w:rPr>
                              <w:t>Note explicative</w:t>
                            </w:r>
                            <w:r w:rsidR="002C57D1">
                              <w:rPr>
                                <w:b/>
                                <w:sz w:val="23"/>
                              </w:rPr>
                              <w:t> </w:t>
                            </w:r>
                            <w:r>
                              <w:rPr>
                                <w:b/>
                                <w:sz w:val="23"/>
                              </w:rPr>
                              <w:t>:</w:t>
                            </w:r>
                            <w:r>
                              <w:rPr>
                                <w:sz w:val="23"/>
                              </w:rPr>
                              <w:t xml:space="preserve"> la modification de l</w:t>
                            </w:r>
                            <w:r w:rsidR="002C57D1">
                              <w:rPr>
                                <w:sz w:val="23"/>
                              </w:rPr>
                              <w:t>’</w:t>
                            </w:r>
                            <w:r>
                              <w:rPr>
                                <w:sz w:val="23"/>
                              </w:rPr>
                              <w:t>article</w:t>
                            </w:r>
                            <w:r w:rsidR="002C57D1">
                              <w:rPr>
                                <w:sz w:val="23"/>
                              </w:rPr>
                              <w:t> </w:t>
                            </w:r>
                            <w:r>
                              <w:rPr>
                                <w:sz w:val="23"/>
                              </w:rPr>
                              <w:t>3.3) proposée par l</w:t>
                            </w:r>
                            <w:r w:rsidR="002C57D1">
                              <w:rPr>
                                <w:sz w:val="23"/>
                              </w:rPr>
                              <w:t>’</w:t>
                            </w:r>
                            <w:r>
                              <w:rPr>
                                <w:sz w:val="23"/>
                              </w:rPr>
                              <w:t>Inde est alignée sur les autres modifications de l</w:t>
                            </w:r>
                            <w:r w:rsidR="002C57D1">
                              <w:rPr>
                                <w:sz w:val="23"/>
                              </w:rPr>
                              <w:t>’</w:t>
                            </w:r>
                            <w:r>
                              <w:rPr>
                                <w:sz w:val="23"/>
                              </w:rPr>
                              <w:t>article</w:t>
                            </w:r>
                            <w:r w:rsidR="002C57D1">
                              <w:rPr>
                                <w:sz w:val="23"/>
                              </w:rPr>
                              <w:t> </w:t>
                            </w:r>
                            <w:r>
                              <w:rPr>
                                <w:sz w:val="23"/>
                              </w:rPr>
                              <w:t>3, en ce sens qu</w:t>
                            </w:r>
                            <w:r w:rsidR="002C57D1">
                              <w:rPr>
                                <w:sz w:val="23"/>
                              </w:rPr>
                              <w:t>’</w:t>
                            </w:r>
                            <w:r>
                              <w:rPr>
                                <w:sz w:val="23"/>
                              </w:rPr>
                              <w:t>il est très peu probable que des recherches sur des ressources génétiques soient effectuées et que la source ne soit pas connue lorsque l</w:t>
                            </w:r>
                            <w:r w:rsidR="002C57D1">
                              <w:rPr>
                                <w:sz w:val="23"/>
                              </w:rPr>
                              <w:t>’</w:t>
                            </w:r>
                            <w:r>
                              <w:rPr>
                                <w:sz w:val="23"/>
                              </w:rPr>
                              <w:t>invention contenue dans une revendication de brevet repose sensiblement sur des ressources génétiques.  La formulation révisée fait obligation au déposant d</w:t>
                            </w:r>
                            <w:r w:rsidR="002C57D1">
                              <w:rPr>
                                <w:sz w:val="23"/>
                              </w:rPr>
                              <w:t>’</w:t>
                            </w:r>
                            <w:r>
                              <w:rPr>
                                <w:sz w:val="23"/>
                              </w:rPr>
                              <w:t>exercer la diligence requise et de divulguer la source.  Si cette exigence n</w:t>
                            </w:r>
                            <w:r w:rsidR="002C57D1">
                              <w:rPr>
                                <w:sz w:val="23"/>
                              </w:rPr>
                              <w:t>’</w:t>
                            </w:r>
                            <w:r>
                              <w:rPr>
                                <w:sz w:val="23"/>
                              </w:rPr>
                              <w:t>est pas rendue obligatoire et est diluée dans la formulation existante de l</w:t>
                            </w:r>
                            <w:r w:rsidR="002C57D1">
                              <w:rPr>
                                <w:sz w:val="23"/>
                              </w:rPr>
                              <w:t>’</w:t>
                            </w:r>
                            <w:r>
                              <w:rPr>
                                <w:sz w:val="23"/>
                              </w:rPr>
                              <w:t>article</w:t>
                            </w:r>
                            <w:r w:rsidR="002C57D1">
                              <w:rPr>
                                <w:sz w:val="23"/>
                              </w:rPr>
                              <w:t> </w:t>
                            </w:r>
                            <w:r>
                              <w:rPr>
                                <w:sz w:val="23"/>
                              </w:rPr>
                              <w:t>3.3), l</w:t>
                            </w:r>
                            <w:r w:rsidR="002C57D1">
                              <w:rPr>
                                <w:sz w:val="23"/>
                              </w:rPr>
                              <w:t>’</w:t>
                            </w:r>
                            <w:r>
                              <w:rPr>
                                <w:sz w:val="23"/>
                              </w:rPr>
                              <w:t>instrument irait à l</w:t>
                            </w:r>
                            <w:r w:rsidR="002C57D1">
                              <w:rPr>
                                <w:sz w:val="23"/>
                              </w:rPr>
                              <w:t>’</w:t>
                            </w:r>
                            <w:r>
                              <w:rPr>
                                <w:sz w:val="23"/>
                              </w:rPr>
                              <w:t>encontre de son objectif, car le déposant pourrait éluder la divulgation en invoquant l</w:t>
                            </w:r>
                            <w:r w:rsidR="002C57D1">
                              <w:rPr>
                                <w:sz w:val="23"/>
                              </w:rPr>
                              <w:t>’</w:t>
                            </w:r>
                            <w:r>
                              <w:rPr>
                                <w:sz w:val="23"/>
                              </w:rPr>
                              <w:t>absence d</w:t>
                            </w:r>
                            <w:r w:rsidR="002C57D1">
                              <w:rPr>
                                <w:sz w:val="23"/>
                              </w:rPr>
                              <w:t>’</w:t>
                            </w:r>
                            <w:r>
                              <w:rPr>
                                <w:sz w:val="23"/>
                              </w:rPr>
                              <w:t xml:space="preserve">informations disponibles.  </w:t>
                            </w:r>
                          </w:p>
                          <w:p w14:paraId="489BD0DB" w14:textId="77777777" w:rsidR="007228A1" w:rsidRDefault="007228A1" w:rsidP="007228A1">
                            <w:pPr>
                              <w:jc w:val="both"/>
                              <w:rPr>
                                <w:sz w:val="23"/>
                                <w:szCs w:val="23"/>
                              </w:rPr>
                            </w:pPr>
                          </w:p>
                          <w:p w14:paraId="1CA8393A" w14:textId="77777777" w:rsidR="007228A1" w:rsidRDefault="007228A1" w:rsidP="007228A1">
                            <w:pPr>
                              <w:jc w:val="both"/>
                            </w:pPr>
                            <w:r>
                              <w:rPr>
                                <w:sz w:val="23"/>
                              </w:rPr>
                              <w:t xml:space="preserve">Toutefois, cette possibilité a été maintenue pour les savoirs traditionnels associés étant donné la possibilité que ces informations ne soient pas disponibles auprès du déposant ou de l’inventeur ou que le déposant ou l’inventeur ne connaisse pas la source réelle et que la divulgation obligatoire puisse entraîner une charge ou des coûts de transaction supplémentaires.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4F765" id="Text Box 10" o:spid="_x0000_s1033" type="#_x0000_t202" style="position:absolute;margin-left:0;margin-top:16.7pt;width:461.4pt;height:206.7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">
                <v:textbox>
                  <w:txbxContent>
                    <w:p w14:paraId="68B02582" w14:textId="648907BF" w:rsidR="007228A1" w:rsidRPr="00263757" w:rsidRDefault="007228A1" w:rsidP="007228A1">
                      <w:pPr>
                        <w:rPr>
                          <w:sz w:val="23"/>
                          <w:szCs w:val="23"/>
                        </w:rPr>
                      </w:pPr>
                      <w:r>
                        <w:rPr>
                          <w:b/>
                          <w:sz w:val="23"/>
                        </w:rPr>
                        <w:t>Note explicative</w:t>
                      </w:r>
                      <w:r w:rsidR="002C57D1">
                        <w:rPr>
                          <w:b/>
                          <w:sz w:val="23"/>
                        </w:rPr>
                        <w:t> </w:t>
                      </w:r>
                      <w:r>
                        <w:rPr>
                          <w:b/>
                          <w:sz w:val="23"/>
                        </w:rPr>
                        <w:t>:</w:t>
                      </w:r>
                      <w:r>
                        <w:rPr>
                          <w:sz w:val="23"/>
                        </w:rPr>
                        <w:t xml:space="preserve"> la modification de l</w:t>
                      </w:r>
                      <w:r w:rsidR="002C57D1">
                        <w:rPr>
                          <w:sz w:val="23"/>
                        </w:rPr>
                        <w:t>’</w:t>
                      </w:r>
                      <w:r>
                        <w:rPr>
                          <w:sz w:val="23"/>
                        </w:rPr>
                        <w:t>article</w:t>
                      </w:r>
                      <w:r w:rsidR="002C57D1">
                        <w:rPr>
                          <w:sz w:val="23"/>
                        </w:rPr>
                        <w:t> </w:t>
                      </w:r>
                      <w:r>
                        <w:rPr>
                          <w:sz w:val="23"/>
                        </w:rPr>
                        <w:t>3.3) proposée par l</w:t>
                      </w:r>
                      <w:r w:rsidR="002C57D1">
                        <w:rPr>
                          <w:sz w:val="23"/>
                        </w:rPr>
                        <w:t>’</w:t>
                      </w:r>
                      <w:r>
                        <w:rPr>
                          <w:sz w:val="23"/>
                        </w:rPr>
                        <w:t>Inde est alignée sur les autres modifications de l</w:t>
                      </w:r>
                      <w:r w:rsidR="002C57D1">
                        <w:rPr>
                          <w:sz w:val="23"/>
                        </w:rPr>
                        <w:t>’</w:t>
                      </w:r>
                      <w:r>
                        <w:rPr>
                          <w:sz w:val="23"/>
                        </w:rPr>
                        <w:t>article</w:t>
                      </w:r>
                      <w:r w:rsidR="002C57D1">
                        <w:rPr>
                          <w:sz w:val="23"/>
                        </w:rPr>
                        <w:t> </w:t>
                      </w:r>
                      <w:r>
                        <w:rPr>
                          <w:sz w:val="23"/>
                        </w:rPr>
                        <w:t>3, en ce sens qu</w:t>
                      </w:r>
                      <w:r w:rsidR="002C57D1">
                        <w:rPr>
                          <w:sz w:val="23"/>
                        </w:rPr>
                        <w:t>’</w:t>
                      </w:r>
                      <w:r>
                        <w:rPr>
                          <w:sz w:val="23"/>
                        </w:rPr>
                        <w:t>il est très peu probable que des recherches sur des ressources génétiques soient effectuées et que la source ne soit pas connue lorsque l</w:t>
                      </w:r>
                      <w:r w:rsidR="002C57D1">
                        <w:rPr>
                          <w:sz w:val="23"/>
                        </w:rPr>
                        <w:t>’</w:t>
                      </w:r>
                      <w:r>
                        <w:rPr>
                          <w:sz w:val="23"/>
                        </w:rPr>
                        <w:t>invention contenue dans une revendication de brevet repose sensiblement sur des ressources génétiques.  La formulation révisée fait obligation au déposant d</w:t>
                      </w:r>
                      <w:r w:rsidR="002C57D1">
                        <w:rPr>
                          <w:sz w:val="23"/>
                        </w:rPr>
                        <w:t>’</w:t>
                      </w:r>
                      <w:r>
                        <w:rPr>
                          <w:sz w:val="23"/>
                        </w:rPr>
                        <w:t>exercer la diligence requise et de divulguer la source.  Si cette exigence n</w:t>
                      </w:r>
                      <w:r w:rsidR="002C57D1">
                        <w:rPr>
                          <w:sz w:val="23"/>
                        </w:rPr>
                        <w:t>’</w:t>
                      </w:r>
                      <w:r>
                        <w:rPr>
                          <w:sz w:val="23"/>
                        </w:rPr>
                        <w:t>est pas rendue obligatoire et est diluée dans la formulation existante de l</w:t>
                      </w:r>
                      <w:r w:rsidR="002C57D1">
                        <w:rPr>
                          <w:sz w:val="23"/>
                        </w:rPr>
                        <w:t>’</w:t>
                      </w:r>
                      <w:r>
                        <w:rPr>
                          <w:sz w:val="23"/>
                        </w:rPr>
                        <w:t>article</w:t>
                      </w:r>
                      <w:r w:rsidR="002C57D1">
                        <w:rPr>
                          <w:sz w:val="23"/>
                        </w:rPr>
                        <w:t> </w:t>
                      </w:r>
                      <w:r>
                        <w:rPr>
                          <w:sz w:val="23"/>
                        </w:rPr>
                        <w:t>3.3), l</w:t>
                      </w:r>
                      <w:r w:rsidR="002C57D1">
                        <w:rPr>
                          <w:sz w:val="23"/>
                        </w:rPr>
                        <w:t>’</w:t>
                      </w:r>
                      <w:r>
                        <w:rPr>
                          <w:sz w:val="23"/>
                        </w:rPr>
                        <w:t>instrument irait à l</w:t>
                      </w:r>
                      <w:r w:rsidR="002C57D1">
                        <w:rPr>
                          <w:sz w:val="23"/>
                        </w:rPr>
                        <w:t>’</w:t>
                      </w:r>
                      <w:r>
                        <w:rPr>
                          <w:sz w:val="23"/>
                        </w:rPr>
                        <w:t>encontre de son objectif, car le déposant pourrait éluder la divulgation en invoquant l</w:t>
                      </w:r>
                      <w:r w:rsidR="002C57D1">
                        <w:rPr>
                          <w:sz w:val="23"/>
                        </w:rPr>
                        <w:t>’</w:t>
                      </w:r>
                      <w:r>
                        <w:rPr>
                          <w:sz w:val="23"/>
                        </w:rPr>
                        <w:t>absence d</w:t>
                      </w:r>
                      <w:r w:rsidR="002C57D1">
                        <w:rPr>
                          <w:sz w:val="23"/>
                        </w:rPr>
                        <w:t>’</w:t>
                      </w:r>
                      <w:r>
                        <w:rPr>
                          <w:sz w:val="23"/>
                        </w:rPr>
                        <w:t xml:space="preserve">informations disponibles.  </w:t>
                      </w:r>
                    </w:p>
                    <w:p w14:paraId="489BD0DB" w14:textId="77777777" w:rsidR="007228A1" w:rsidRDefault="007228A1" w:rsidP="007228A1">
                      <w:pPr>
                        <w:jc w:val="both"/>
                        <w:rPr>
                          <w:sz w:val="23"/>
                          <w:szCs w:val="23"/>
                        </w:rPr>
                      </w:pPr>
                    </w:p>
                    <w:p w14:paraId="1CA8393A" w14:textId="77777777" w:rsidR="007228A1" w:rsidRDefault="007228A1" w:rsidP="007228A1">
                      <w:pPr>
                        <w:jc w:val="both"/>
                      </w:pPr>
                      <w:r>
                        <w:rPr>
                          <w:sz w:val="23"/>
                        </w:rPr>
                        <w:t xml:space="preserve">Toutefois, cette possibilité a été maintenue pour les savoirs traditionnels associés étant donné la possibilité que ces informations ne soient pas disponibles auprès du déposant ou de l’inventeur ou que le déposant ou l’inventeur ne connaisse pas la source réelle et que la divulgation obligatoire puisse entraîner une charge ou des coûts de transaction supplémentaires.  </w:t>
                      </w:r>
                    </w:p>
                  </w:txbxContent>
                </v:textbox>
                <w10:wrap type="square" anchorx="margin"/>
              </v:shape>
            </w:pict>
          </mc:Fallback>
        </mc:AlternateContent>
      </w:r>
    </w:p>
    <w:p w14:paraId="49371FD3" w14:textId="2841D58F" w:rsidR="007228A1" w:rsidRPr="00965846" w:rsidRDefault="007228A1" w:rsidP="007228A1">
      <w:pPr>
        <w:rPr>
          <w:szCs w:val="22"/>
          <w:lang w:val="fr-FR"/>
        </w:rPr>
      </w:pPr>
    </w:p>
    <w:p w14:paraId="14BCE602" w14:textId="5FEACCC3" w:rsidR="00145E61" w:rsidRPr="00965846" w:rsidRDefault="007228A1" w:rsidP="007228A1">
      <w:pPr>
        <w:rPr>
          <w:lang w:val="fr-FR"/>
        </w:rPr>
      </w:pPr>
      <w:r w:rsidRPr="00965846">
        <w:rPr>
          <w:lang w:val="fr-FR"/>
        </w:rPr>
        <w:t xml:space="preserve">3.4 </w:t>
      </w:r>
      <w:r w:rsidR="005F4D27">
        <w:rPr>
          <w:lang w:val="fr-FR"/>
        </w:rPr>
        <w:tab/>
      </w:r>
      <w:r w:rsidRPr="00965846">
        <w:rPr>
          <w:lang w:val="fr-FR"/>
        </w:rPr>
        <w:t>Les offices fournissent des précisions aux déposants de demandes de brevet sur la façon de satisfaire à l</w:t>
      </w:r>
      <w:r w:rsidR="00145E61" w:rsidRPr="00965846">
        <w:rPr>
          <w:lang w:val="fr-FR"/>
        </w:rPr>
        <w:t>’</w:t>
      </w:r>
      <w:r w:rsidRPr="00965846">
        <w:rPr>
          <w:lang w:val="fr-FR"/>
        </w:rPr>
        <w:t>exigence de divulgation, et leur donnent la possibilité de remédier à toute non</w:t>
      </w:r>
      <w:r w:rsidR="00145E61" w:rsidRPr="00965846">
        <w:rPr>
          <w:lang w:val="fr-FR"/>
        </w:rPr>
        <w:t>-</w:t>
      </w:r>
      <w:r w:rsidRPr="00965846">
        <w:rPr>
          <w:lang w:val="fr-FR"/>
        </w:rPr>
        <w:t xml:space="preserve">communication des informations minimales visées aux </w:t>
      </w:r>
      <w:r w:rsidR="00145E61" w:rsidRPr="00965846">
        <w:rPr>
          <w:lang w:val="fr-FR"/>
        </w:rPr>
        <w:t>alinéas 3</w:t>
      </w:r>
      <w:r w:rsidRPr="00965846">
        <w:rPr>
          <w:lang w:val="fr-FR"/>
        </w:rPr>
        <w:t xml:space="preserve">.1 et 3.2 ou de corriger toute divulgation erronée ou incorrecte </w:t>
      </w:r>
      <w:r w:rsidRPr="00965846">
        <w:rPr>
          <w:b/>
          <w:color w:val="FF0000"/>
          <w:lang w:val="fr-FR"/>
        </w:rPr>
        <w:t>[IN</w:t>
      </w:r>
      <w:r w:rsidR="00852466" w:rsidRPr="00965846">
        <w:rPr>
          <w:b/>
          <w:color w:val="FF0000"/>
          <w:lang w:val="fr-FR"/>
        </w:rPr>
        <w:t> </w:t>
      </w:r>
      <w:r w:rsidRPr="00965846">
        <w:rPr>
          <w:b/>
          <w:color w:val="FF0000"/>
          <w:lang w:val="fr-FR"/>
        </w:rPr>
        <w:t>:</w:t>
      </w:r>
      <w:r w:rsidRPr="00965846">
        <w:rPr>
          <w:color w:val="FF0000"/>
          <w:lang w:val="fr-FR"/>
        </w:rPr>
        <w:t xml:space="preserve"> dans un délai fixé, conformément à sa législation nationale</w:t>
      </w:r>
      <w:r w:rsidRPr="00965846">
        <w:rPr>
          <w:b/>
          <w:color w:val="FF0000"/>
          <w:lang w:val="fr-FR"/>
        </w:rPr>
        <w:t>]</w:t>
      </w:r>
      <w:r w:rsidRPr="00965846">
        <w:rPr>
          <w:lang w:val="fr-FR"/>
        </w:rPr>
        <w:t>.</w:t>
      </w:r>
    </w:p>
    <w:p w14:paraId="65D3E4D4" w14:textId="677BD590" w:rsidR="007228A1" w:rsidRPr="00965846" w:rsidRDefault="007228A1" w:rsidP="007228A1">
      <w:pPr>
        <w:rPr>
          <w:szCs w:val="22"/>
          <w:lang w:val="fr-FR"/>
        </w:rPr>
      </w:pPr>
    </w:p>
    <w:p w14:paraId="0CFE81C5" w14:textId="77777777" w:rsidR="007228A1" w:rsidRPr="00965846" w:rsidRDefault="007228A1" w:rsidP="007228A1">
      <w:pPr>
        <w:rPr>
          <w:szCs w:val="22"/>
          <w:lang w:val="fr-FR"/>
        </w:rPr>
      </w:pPr>
      <w:r w:rsidRPr="00965846">
        <w:rPr>
          <w:noProof/>
          <w:lang w:val="fr-FR"/>
        </w:rPr>
        <mc:AlternateContent>
          <mc:Choice Requires="wps">
            <w:drawing>
              <wp:anchor distT="45720" distB="45720" distL="114300" distR="114300" simplePos="0" relativeHeight="251667456" behindDoc="0" locked="0" layoutInCell="1" allowOverlap="1" wp14:anchorId="462EEE56" wp14:editId="313D8829">
                <wp:simplePos x="0" y="0"/>
                <wp:positionH relativeFrom="margin">
                  <wp:align>left</wp:align>
                </wp:positionH>
                <wp:positionV relativeFrom="paragraph">
                  <wp:posOffset>217805</wp:posOffset>
                </wp:positionV>
                <wp:extent cx="5859780" cy="1470025"/>
                <wp:effectExtent l="0" t="0" r="26670" b="158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470355"/>
                        </a:xfrm>
                        <a:prstGeom prst="rect">
                          <a:avLst/>
                        </a:prstGeom>
                        <a:solidFill>
                          <a:srgbClr val="FFFFFF"/>
                        </a:solidFill>
                        <a:ln w="9525">
                          <a:solidFill>
                            <a:srgbClr val="000000"/>
                          </a:solidFill>
                          <a:miter lim="800000"/>
                          <a:headEnd/>
                          <a:tailEnd/>
                        </a:ln>
                      </wps:spPr>
                      <wps:txbx>
                        <w:txbxContent>
                          <w:p w14:paraId="5AE57F21" w14:textId="74D24BBF" w:rsidR="007228A1" w:rsidRDefault="007228A1" w:rsidP="007228A1">
                            <w:pPr>
                              <w:spacing w:line="276" w:lineRule="auto"/>
                            </w:pPr>
                            <w:r>
                              <w:rPr>
                                <w:b/>
                                <w:sz w:val="23"/>
                              </w:rPr>
                              <w:t>Note explicative</w:t>
                            </w:r>
                            <w:r w:rsidR="002C57D1">
                              <w:rPr>
                                <w:b/>
                                <w:sz w:val="23"/>
                              </w:rPr>
                              <w:t> </w:t>
                            </w:r>
                            <w:r>
                              <w:rPr>
                                <w:b/>
                                <w:sz w:val="23"/>
                              </w:rPr>
                              <w:t>:</w:t>
                            </w:r>
                            <w:r>
                              <w:rPr>
                                <w:sz w:val="23"/>
                              </w:rPr>
                              <w:t xml:space="preserve"> des modifications sont proposées afin d</w:t>
                            </w:r>
                            <w:r w:rsidR="002C57D1">
                              <w:rPr>
                                <w:sz w:val="23"/>
                              </w:rPr>
                              <w:t>’</w:t>
                            </w:r>
                            <w:r>
                              <w:rPr>
                                <w:sz w:val="23"/>
                              </w:rPr>
                              <w:t>apporter un certain degré de certitude quant à la période précise pendant laquelle les modifications peuvent être apportées à la demande de brevet et de veiller à ce que le processus ne dure pas indéfiniment.  Cela apporterait une certitude nécessaire au déposant et à l</w:t>
                            </w:r>
                            <w:r w:rsidR="002C57D1">
                              <w:rPr>
                                <w:sz w:val="23"/>
                              </w:rPr>
                              <w:t>’</w:t>
                            </w:r>
                            <w:r>
                              <w:rPr>
                                <w:sz w:val="23"/>
                              </w:rPr>
                              <w:t>office des brevets quant au délai dans lequel une divulgation ultérieure pourrait être effectuée au cas où le déposant ne disposerait pas de l</w:t>
                            </w:r>
                            <w:r w:rsidR="002C57D1">
                              <w:rPr>
                                <w:sz w:val="23"/>
                              </w:rPr>
                              <w:t>’</w:t>
                            </w:r>
                            <w:r>
                              <w:rPr>
                                <w:sz w:val="23"/>
                              </w:rPr>
                              <w:t xml:space="preserve">information au moment du dépôt de la demande de brevet.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EEE56" id="Text Box 11" o:spid="_x0000_s1034" type="#_x0000_t202" style="position:absolute;margin-left:0;margin-top:17.15pt;width:461.4pt;height:115.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">
                <v:textbox>
                  <w:txbxContent>
                    <w:p w14:paraId="5AE57F21" w14:textId="74D24BBF" w:rsidR="007228A1" w:rsidRDefault="007228A1" w:rsidP="007228A1">
                      <w:pPr>
                        <w:spacing w:line="276" w:lineRule="auto"/>
                      </w:pPr>
                      <w:r>
                        <w:rPr>
                          <w:b/>
                          <w:sz w:val="23"/>
                        </w:rPr>
                        <w:t>Note explicative</w:t>
                      </w:r>
                      <w:r w:rsidR="002C57D1">
                        <w:rPr>
                          <w:b/>
                          <w:sz w:val="23"/>
                        </w:rPr>
                        <w:t> </w:t>
                      </w:r>
                      <w:r>
                        <w:rPr>
                          <w:b/>
                          <w:sz w:val="23"/>
                        </w:rPr>
                        <w:t>:</w:t>
                      </w:r>
                      <w:r>
                        <w:rPr>
                          <w:sz w:val="23"/>
                        </w:rPr>
                        <w:t xml:space="preserve"> des modifications sont proposées afin d</w:t>
                      </w:r>
                      <w:r w:rsidR="002C57D1">
                        <w:rPr>
                          <w:sz w:val="23"/>
                        </w:rPr>
                        <w:t>’</w:t>
                      </w:r>
                      <w:r>
                        <w:rPr>
                          <w:sz w:val="23"/>
                        </w:rPr>
                        <w:t>apporter un certain degré de certitude quant à la période précise pendant laquelle les modifications peuvent être apportées à la demande de brevet et de veiller à ce que le processus ne dure pas indéfiniment.  Cela apporterait une certitude nécessaire au déposant et à l</w:t>
                      </w:r>
                      <w:r w:rsidR="002C57D1">
                        <w:rPr>
                          <w:sz w:val="23"/>
                        </w:rPr>
                        <w:t>’</w:t>
                      </w:r>
                      <w:r>
                        <w:rPr>
                          <w:sz w:val="23"/>
                        </w:rPr>
                        <w:t>office des brevets quant au délai dans lequel une divulgation ultérieure pourrait être effectuée au cas où le déposant ne disposerait pas de l</w:t>
                      </w:r>
                      <w:r w:rsidR="002C57D1">
                        <w:rPr>
                          <w:sz w:val="23"/>
                        </w:rPr>
                        <w:t>’</w:t>
                      </w:r>
                      <w:r>
                        <w:rPr>
                          <w:sz w:val="23"/>
                        </w:rPr>
                        <w:t xml:space="preserve">information au moment du dépôt de la demande de brevet.  </w:t>
                      </w:r>
                    </w:p>
                  </w:txbxContent>
                </v:textbox>
                <w10:wrap type="square" anchorx="margin"/>
              </v:shape>
            </w:pict>
          </mc:Fallback>
        </mc:AlternateContent>
      </w:r>
    </w:p>
    <w:p w14:paraId="1AC5137F" w14:textId="77777777" w:rsidR="007228A1" w:rsidRPr="00965846" w:rsidRDefault="007228A1" w:rsidP="007228A1">
      <w:pPr>
        <w:rPr>
          <w:szCs w:val="22"/>
          <w:lang w:val="fr-FR"/>
        </w:rPr>
      </w:pPr>
    </w:p>
    <w:p w14:paraId="1589BA11" w14:textId="77777777" w:rsidR="007228A1" w:rsidRPr="00965846" w:rsidRDefault="007228A1" w:rsidP="007228A1">
      <w:pPr>
        <w:rPr>
          <w:szCs w:val="22"/>
          <w:lang w:val="fr-FR"/>
        </w:rPr>
      </w:pPr>
      <w:r w:rsidRPr="00965846">
        <w:rPr>
          <w:lang w:val="fr-FR"/>
        </w:rPr>
        <w:br w:type="page"/>
      </w:r>
    </w:p>
    <w:p w14:paraId="36002626" w14:textId="77777777" w:rsidR="00145E61" w:rsidRPr="00965846" w:rsidRDefault="007228A1" w:rsidP="007228A1">
      <w:pPr>
        <w:rPr>
          <w:b/>
          <w:lang w:val="fr-FR"/>
        </w:rPr>
      </w:pPr>
      <w:r w:rsidRPr="00965846">
        <w:rPr>
          <w:b/>
          <w:lang w:val="fr-FR"/>
        </w:rPr>
        <w:t>ARTICLE 6</w:t>
      </w:r>
    </w:p>
    <w:p w14:paraId="142D9AED" w14:textId="2DD09566" w:rsidR="007228A1" w:rsidRPr="00965846" w:rsidRDefault="007228A1" w:rsidP="007228A1">
      <w:pPr>
        <w:rPr>
          <w:b/>
          <w:szCs w:val="22"/>
          <w:lang w:val="fr-FR"/>
        </w:rPr>
      </w:pPr>
    </w:p>
    <w:p w14:paraId="0BD2B616" w14:textId="77777777" w:rsidR="00145E61" w:rsidRPr="00965846" w:rsidRDefault="007228A1" w:rsidP="007228A1">
      <w:pPr>
        <w:rPr>
          <w:b/>
          <w:lang w:val="fr-FR"/>
        </w:rPr>
      </w:pPr>
      <w:r w:rsidRPr="00965846">
        <w:rPr>
          <w:b/>
          <w:lang w:val="fr-FR"/>
        </w:rPr>
        <w:t>SANCTIONS ET MESURES CORRECTIVES</w:t>
      </w:r>
    </w:p>
    <w:p w14:paraId="0AE68E5F" w14:textId="3EC44D35" w:rsidR="007228A1" w:rsidRPr="00965846" w:rsidRDefault="007228A1" w:rsidP="007228A1">
      <w:pPr>
        <w:rPr>
          <w:szCs w:val="22"/>
          <w:lang w:val="fr-FR"/>
        </w:rPr>
      </w:pPr>
    </w:p>
    <w:p w14:paraId="718EE229" w14:textId="37797BD7" w:rsidR="00145E61" w:rsidRPr="00965846" w:rsidRDefault="007228A1" w:rsidP="007228A1">
      <w:pPr>
        <w:rPr>
          <w:lang w:val="fr-FR"/>
        </w:rPr>
      </w:pPr>
      <w:r w:rsidRPr="00965846">
        <w:rPr>
          <w:lang w:val="fr-FR"/>
        </w:rPr>
        <w:t xml:space="preserve">6.1 </w:t>
      </w:r>
      <w:r w:rsidR="0056287B">
        <w:rPr>
          <w:lang w:val="fr-FR"/>
        </w:rPr>
        <w:tab/>
      </w:r>
      <w:r w:rsidRPr="00965846">
        <w:rPr>
          <w:lang w:val="fr-FR"/>
        </w:rPr>
        <w:t xml:space="preserve">Chaque partie contractante met en place des mesures juridiques, administratives ou de politique appropriées, efficaces et proportionnées, </w:t>
      </w:r>
      <w:r w:rsidRPr="00965846">
        <w:rPr>
          <w:b/>
          <w:color w:val="FF0000"/>
          <w:lang w:val="fr-FR"/>
        </w:rPr>
        <w:t>[IN</w:t>
      </w:r>
      <w:r w:rsidR="00852466" w:rsidRPr="00965846">
        <w:rPr>
          <w:b/>
          <w:color w:val="FF0000"/>
          <w:lang w:val="fr-FR"/>
        </w:rPr>
        <w:t> </w:t>
      </w:r>
      <w:r w:rsidRPr="00965846">
        <w:rPr>
          <w:b/>
          <w:color w:val="FF0000"/>
          <w:lang w:val="fr-FR"/>
        </w:rPr>
        <w:t>:</w:t>
      </w:r>
      <w:r w:rsidRPr="00965846">
        <w:rPr>
          <w:color w:val="FF0000"/>
          <w:lang w:val="fr-FR"/>
        </w:rPr>
        <w:t xml:space="preserve"> avant et après la délivrance du brevet,</w:t>
      </w:r>
      <w:r w:rsidRPr="00965846">
        <w:rPr>
          <w:b/>
          <w:color w:val="FF0000"/>
          <w:lang w:val="fr-FR"/>
        </w:rPr>
        <w:t>]</w:t>
      </w:r>
      <w:r w:rsidRPr="00965846">
        <w:rPr>
          <w:color w:val="FF0000"/>
          <w:lang w:val="fr-FR"/>
        </w:rPr>
        <w:t xml:space="preserve"> </w:t>
      </w:r>
      <w:r w:rsidRPr="00965846">
        <w:rPr>
          <w:lang w:val="fr-FR"/>
        </w:rPr>
        <w:t>pour traiter de la non</w:t>
      </w:r>
      <w:r w:rsidR="00145E61" w:rsidRPr="00965846">
        <w:rPr>
          <w:lang w:val="fr-FR"/>
        </w:rPr>
        <w:t>-</w:t>
      </w:r>
      <w:r w:rsidRPr="00965846">
        <w:rPr>
          <w:lang w:val="fr-FR"/>
        </w:rPr>
        <w:t>communication, par un déposant, des informations exigées à l</w:t>
      </w:r>
      <w:r w:rsidR="00145E61" w:rsidRPr="00965846">
        <w:rPr>
          <w:lang w:val="fr-FR"/>
        </w:rPr>
        <w:t>’article 3</w:t>
      </w:r>
      <w:r w:rsidRPr="00965846">
        <w:rPr>
          <w:lang w:val="fr-FR"/>
        </w:rPr>
        <w:t xml:space="preserve"> du présent instrument.</w:t>
      </w:r>
    </w:p>
    <w:p w14:paraId="2E5369ED" w14:textId="2DA01693" w:rsidR="007228A1" w:rsidRPr="00965846" w:rsidRDefault="007228A1" w:rsidP="007228A1">
      <w:pPr>
        <w:rPr>
          <w:szCs w:val="22"/>
          <w:lang w:val="fr-FR"/>
        </w:rPr>
      </w:pPr>
      <w:r w:rsidRPr="00965846">
        <w:rPr>
          <w:noProof/>
          <w:lang w:val="fr-FR"/>
        </w:rPr>
        <mc:AlternateContent>
          <mc:Choice Requires="wps">
            <w:drawing>
              <wp:anchor distT="45720" distB="45720" distL="114300" distR="114300" simplePos="0" relativeHeight="251668480" behindDoc="0" locked="0" layoutInCell="1" allowOverlap="1" wp14:anchorId="193170DB" wp14:editId="18C32DFE">
                <wp:simplePos x="0" y="0"/>
                <wp:positionH relativeFrom="margin">
                  <wp:align>left</wp:align>
                </wp:positionH>
                <wp:positionV relativeFrom="paragraph">
                  <wp:posOffset>267970</wp:posOffset>
                </wp:positionV>
                <wp:extent cx="5859780" cy="609600"/>
                <wp:effectExtent l="0" t="0" r="26670"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609600"/>
                        </a:xfrm>
                        <a:prstGeom prst="rect">
                          <a:avLst/>
                        </a:prstGeom>
                        <a:solidFill>
                          <a:srgbClr val="FFFFFF"/>
                        </a:solidFill>
                        <a:ln w="9525">
                          <a:solidFill>
                            <a:srgbClr val="000000"/>
                          </a:solidFill>
                          <a:miter lim="800000"/>
                          <a:headEnd/>
                          <a:tailEnd/>
                        </a:ln>
                      </wps:spPr>
                      <wps:txbx>
                        <w:txbxContent>
                          <w:p w14:paraId="251A7146" w14:textId="158921EB" w:rsidR="007228A1" w:rsidRDefault="007228A1" w:rsidP="007228A1">
                            <w:r>
                              <w:rPr>
                                <w:b/>
                                <w:sz w:val="23"/>
                              </w:rPr>
                              <w:t>Note explicative</w:t>
                            </w:r>
                            <w:r w:rsidR="002C57D1">
                              <w:rPr>
                                <w:b/>
                                <w:sz w:val="23"/>
                              </w:rPr>
                              <w:t> </w:t>
                            </w:r>
                            <w:r>
                              <w:rPr>
                                <w:b/>
                                <w:sz w:val="23"/>
                              </w:rPr>
                              <w:t>:</w:t>
                            </w:r>
                            <w:r>
                              <w:rPr>
                                <w:sz w:val="23"/>
                              </w:rPr>
                              <w:t xml:space="preserve"> conformément à la modification proposée, les États membres sont tenus de prendre des mesures avant et après la délivrance du brevet afin de garantir que les exigences de divulgation sont mises en œuvre de manière effective.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170DB" id="Text Box 12" o:spid="_x0000_s1035" type="#_x0000_t202" style="position:absolute;margin-left:0;margin-top:21.1pt;width:461.4pt;height:48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">
                <v:textbox>
                  <w:txbxContent>
                    <w:p w14:paraId="251A7146" w14:textId="158921EB" w:rsidR="007228A1" w:rsidRDefault="007228A1" w:rsidP="007228A1">
                      <w:r>
                        <w:rPr>
                          <w:b/>
                          <w:sz w:val="23"/>
                        </w:rPr>
                        <w:t>Note explicative</w:t>
                      </w:r>
                      <w:r w:rsidR="002C57D1">
                        <w:rPr>
                          <w:b/>
                          <w:sz w:val="23"/>
                        </w:rPr>
                        <w:t> </w:t>
                      </w:r>
                      <w:r>
                        <w:rPr>
                          <w:b/>
                          <w:sz w:val="23"/>
                        </w:rPr>
                        <w:t>:</w:t>
                      </w:r>
                      <w:r>
                        <w:rPr>
                          <w:sz w:val="23"/>
                        </w:rPr>
                        <w:t xml:space="preserve"> conformément à la modification proposée, les États membres sont tenus de prendre des mesures avant et après la délivrance du brevet afin de garantir que les exigences de divulgation sont mises en œuvre de manière effective.  </w:t>
                      </w:r>
                    </w:p>
                  </w:txbxContent>
                </v:textbox>
                <w10:wrap type="square" anchorx="margin"/>
              </v:shape>
            </w:pict>
          </mc:Fallback>
        </mc:AlternateContent>
      </w:r>
    </w:p>
    <w:p w14:paraId="51136437" w14:textId="77777777" w:rsidR="007228A1" w:rsidRPr="00965846" w:rsidRDefault="007228A1" w:rsidP="007228A1">
      <w:pPr>
        <w:rPr>
          <w:szCs w:val="22"/>
          <w:lang w:val="fr-FR"/>
        </w:rPr>
      </w:pPr>
    </w:p>
    <w:p w14:paraId="6FF877E1" w14:textId="4A90AFEF" w:rsidR="007228A1" w:rsidRPr="00965846" w:rsidRDefault="007228A1" w:rsidP="007228A1">
      <w:pPr>
        <w:rPr>
          <w:szCs w:val="22"/>
          <w:lang w:val="fr-FR"/>
        </w:rPr>
      </w:pPr>
      <w:r w:rsidRPr="00965846">
        <w:rPr>
          <w:lang w:val="fr-FR"/>
        </w:rPr>
        <w:t xml:space="preserve">6.2 </w:t>
      </w:r>
      <w:r w:rsidR="0056287B">
        <w:rPr>
          <w:lang w:val="fr-FR"/>
        </w:rPr>
        <w:tab/>
      </w:r>
      <w:r w:rsidRPr="00965846">
        <w:rPr>
          <w:lang w:val="fr-FR"/>
        </w:rPr>
        <w:t>Chaque partie contractante donne aux déposants la possibilité de rectifier toute non</w:t>
      </w:r>
      <w:r w:rsidR="00145E61" w:rsidRPr="00965846">
        <w:rPr>
          <w:lang w:val="fr-FR"/>
        </w:rPr>
        <w:t>-</w:t>
      </w:r>
      <w:r w:rsidRPr="00965846">
        <w:rPr>
          <w:lang w:val="fr-FR"/>
        </w:rPr>
        <w:t>communication des informations minimales détaillées à l</w:t>
      </w:r>
      <w:r w:rsidR="00145E61" w:rsidRPr="00965846">
        <w:rPr>
          <w:lang w:val="fr-FR"/>
        </w:rPr>
        <w:t>’article 3</w:t>
      </w:r>
      <w:r w:rsidRPr="00965846">
        <w:rPr>
          <w:lang w:val="fr-FR"/>
        </w:rPr>
        <w:t xml:space="preserve"> avant de prononcer des sanctions ou de prescrire des mesures </w:t>
      </w:r>
      <w:proofErr w:type="gramStart"/>
      <w:r w:rsidRPr="00965846">
        <w:rPr>
          <w:lang w:val="fr-FR"/>
        </w:rPr>
        <w:t>correctives</w:t>
      </w:r>
      <w:r w:rsidRPr="00965846">
        <w:rPr>
          <w:b/>
          <w:color w:val="FF0000"/>
          <w:vertAlign w:val="superscript"/>
          <w:lang w:val="fr-FR"/>
        </w:rPr>
        <w:t>[</w:t>
      </w:r>
      <w:proofErr w:type="gramEnd"/>
      <w:r w:rsidRPr="00965846">
        <w:rPr>
          <w:b/>
          <w:color w:val="FF0000"/>
          <w:vertAlign w:val="superscript"/>
          <w:lang w:val="fr-FR"/>
        </w:rPr>
        <w:t>IN</w:t>
      </w:r>
      <w:r w:rsidR="00852466" w:rsidRPr="00965846">
        <w:rPr>
          <w:b/>
          <w:color w:val="FF0000"/>
          <w:vertAlign w:val="superscript"/>
          <w:lang w:val="fr-FR"/>
        </w:rPr>
        <w:t> :</w:t>
      </w:r>
      <w:r w:rsidR="002C57D1">
        <w:rPr>
          <w:b/>
          <w:color w:val="FF0000"/>
          <w:vertAlign w:val="superscript"/>
          <w:lang w:val="fr-FR"/>
        </w:rPr>
        <w:t xml:space="preserve"> </w:t>
      </w:r>
      <w:r w:rsidRPr="00965846">
        <w:rPr>
          <w:rStyle w:val="FootnoteReference"/>
          <w:color w:val="FF0000"/>
          <w:szCs w:val="22"/>
          <w:lang w:val="fr-FR"/>
        </w:rPr>
        <w:footnoteReference w:id="2"/>
      </w:r>
      <w:r w:rsidRPr="00965846">
        <w:rPr>
          <w:b/>
          <w:color w:val="FF0000"/>
          <w:vertAlign w:val="superscript"/>
          <w:lang w:val="fr-FR"/>
        </w:rPr>
        <w:t>]</w:t>
      </w:r>
      <w:r w:rsidRPr="00965846">
        <w:rPr>
          <w:lang w:val="fr-FR"/>
        </w:rPr>
        <w:t>.</w:t>
      </w:r>
    </w:p>
    <w:p w14:paraId="2A1BF424" w14:textId="77777777" w:rsidR="007228A1" w:rsidRPr="00965846" w:rsidRDefault="007228A1" w:rsidP="007228A1">
      <w:pPr>
        <w:rPr>
          <w:szCs w:val="22"/>
          <w:lang w:val="fr-FR"/>
        </w:rPr>
      </w:pPr>
      <w:r w:rsidRPr="00965846">
        <w:rPr>
          <w:noProof/>
          <w:lang w:val="fr-FR"/>
        </w:rPr>
        <mc:AlternateContent>
          <mc:Choice Requires="wps">
            <w:drawing>
              <wp:anchor distT="45720" distB="45720" distL="114300" distR="114300" simplePos="0" relativeHeight="251669504" behindDoc="0" locked="0" layoutInCell="1" allowOverlap="1" wp14:anchorId="12C8381A" wp14:editId="1687DDA9">
                <wp:simplePos x="0" y="0"/>
                <wp:positionH relativeFrom="margin">
                  <wp:align>left</wp:align>
                </wp:positionH>
                <wp:positionV relativeFrom="paragraph">
                  <wp:posOffset>283210</wp:posOffset>
                </wp:positionV>
                <wp:extent cx="5859780" cy="1470025"/>
                <wp:effectExtent l="0" t="0" r="26670" b="158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470355"/>
                        </a:xfrm>
                        <a:prstGeom prst="rect">
                          <a:avLst/>
                        </a:prstGeom>
                        <a:solidFill>
                          <a:srgbClr val="FFFFFF"/>
                        </a:solidFill>
                        <a:ln w="9525">
                          <a:solidFill>
                            <a:srgbClr val="000000"/>
                          </a:solidFill>
                          <a:miter lim="800000"/>
                          <a:headEnd/>
                          <a:tailEnd/>
                        </a:ln>
                      </wps:spPr>
                      <wps:txbx>
                        <w:txbxContent>
                          <w:p w14:paraId="5B27F0BA" w14:textId="5CCC67D7" w:rsidR="007228A1" w:rsidRDefault="007228A1" w:rsidP="007228A1">
                            <w:r>
                              <w:rPr>
                                <w:b/>
                                <w:sz w:val="23"/>
                              </w:rPr>
                              <w:t>Note explicative</w:t>
                            </w:r>
                            <w:r w:rsidR="002C57D1">
                              <w:rPr>
                                <w:b/>
                                <w:sz w:val="23"/>
                              </w:rPr>
                              <w:t> </w:t>
                            </w:r>
                            <w:r>
                              <w:rPr>
                                <w:b/>
                                <w:sz w:val="23"/>
                              </w:rPr>
                              <w:t>:</w:t>
                            </w:r>
                            <w:r>
                              <w:rPr>
                                <w:sz w:val="23"/>
                              </w:rPr>
                              <w:t xml:space="preserve"> la note de bas de page a été insérée pour préciser que le champ d</w:t>
                            </w:r>
                            <w:r w:rsidR="002C57D1">
                              <w:rPr>
                                <w:sz w:val="23"/>
                              </w:rPr>
                              <w:t>’</w:t>
                            </w:r>
                            <w:r>
                              <w:rPr>
                                <w:sz w:val="23"/>
                              </w:rPr>
                              <w:t>application de cette disposition n</w:t>
                            </w:r>
                            <w:r w:rsidR="002C57D1">
                              <w:rPr>
                                <w:sz w:val="23"/>
                              </w:rPr>
                              <w:t>’</w:t>
                            </w:r>
                            <w:r>
                              <w:rPr>
                                <w:sz w:val="23"/>
                              </w:rPr>
                              <w:t>est obligatoire que jusqu</w:t>
                            </w:r>
                            <w:r w:rsidR="002C57D1">
                              <w:rPr>
                                <w:sz w:val="23"/>
                              </w:rPr>
                              <w:t>’</w:t>
                            </w:r>
                            <w:r>
                              <w:rPr>
                                <w:sz w:val="23"/>
                              </w:rPr>
                              <w:t>à la délivrance d</w:t>
                            </w:r>
                            <w:r w:rsidR="002C57D1">
                              <w:rPr>
                                <w:sz w:val="23"/>
                              </w:rPr>
                              <w:t>’</w:t>
                            </w:r>
                            <w:r>
                              <w:rPr>
                                <w:sz w:val="23"/>
                              </w:rPr>
                              <w:t>un brevet.  Lorsqu</w:t>
                            </w:r>
                            <w:r w:rsidR="002C57D1">
                              <w:rPr>
                                <w:sz w:val="23"/>
                              </w:rPr>
                              <w:t>’</w:t>
                            </w:r>
                            <w:r>
                              <w:rPr>
                                <w:sz w:val="23"/>
                              </w:rPr>
                              <w:t>un brevet est déjà en vigueur et que des mesures correctives sont prescrites ou des sanctions prononcées après la délivrance, ni l</w:t>
                            </w:r>
                            <w:r w:rsidR="002C57D1">
                              <w:rPr>
                                <w:sz w:val="23"/>
                              </w:rPr>
                              <w:t>’</w:t>
                            </w:r>
                            <w:r>
                              <w:rPr>
                                <w:sz w:val="23"/>
                              </w:rPr>
                              <w:t xml:space="preserve">office des brevets ni une autre instance judiciaire ou administrative compétente ne devrait être tenus de prononcer des sanctions ou de prescrire des mesures correctives pour donner la possibilité de remédier à la non-divulgation ou non-communication de ces informations dans la demande déjà instruite, et aucune autre modification ne devrait être possible.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8381A" id="Text Box 13" o:spid="_x0000_s1036" type="#_x0000_t202" style="position:absolute;margin-left:0;margin-top:22.3pt;width:461.4pt;height:115.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">
                <v:textbox>
                  <w:txbxContent>
                    <w:p w14:paraId="5B27F0BA" w14:textId="5CCC67D7" w:rsidR="007228A1" w:rsidRDefault="007228A1" w:rsidP="007228A1">
                      <w:r>
                        <w:rPr>
                          <w:b/>
                          <w:sz w:val="23"/>
                        </w:rPr>
                        <w:t>Note explicative</w:t>
                      </w:r>
                      <w:r w:rsidR="002C57D1">
                        <w:rPr>
                          <w:b/>
                          <w:sz w:val="23"/>
                        </w:rPr>
                        <w:t> </w:t>
                      </w:r>
                      <w:r>
                        <w:rPr>
                          <w:b/>
                          <w:sz w:val="23"/>
                        </w:rPr>
                        <w:t>:</w:t>
                      </w:r>
                      <w:r>
                        <w:rPr>
                          <w:sz w:val="23"/>
                        </w:rPr>
                        <w:t xml:space="preserve"> la note de bas de page a été insérée pour préciser que le champ d</w:t>
                      </w:r>
                      <w:r w:rsidR="002C57D1">
                        <w:rPr>
                          <w:sz w:val="23"/>
                        </w:rPr>
                        <w:t>’</w:t>
                      </w:r>
                      <w:r>
                        <w:rPr>
                          <w:sz w:val="23"/>
                        </w:rPr>
                        <w:t>application de cette disposition n</w:t>
                      </w:r>
                      <w:r w:rsidR="002C57D1">
                        <w:rPr>
                          <w:sz w:val="23"/>
                        </w:rPr>
                        <w:t>’</w:t>
                      </w:r>
                      <w:r>
                        <w:rPr>
                          <w:sz w:val="23"/>
                        </w:rPr>
                        <w:t>est obligatoire que jusqu</w:t>
                      </w:r>
                      <w:r w:rsidR="002C57D1">
                        <w:rPr>
                          <w:sz w:val="23"/>
                        </w:rPr>
                        <w:t>’</w:t>
                      </w:r>
                      <w:r>
                        <w:rPr>
                          <w:sz w:val="23"/>
                        </w:rPr>
                        <w:t>à la délivrance d</w:t>
                      </w:r>
                      <w:r w:rsidR="002C57D1">
                        <w:rPr>
                          <w:sz w:val="23"/>
                        </w:rPr>
                        <w:t>’</w:t>
                      </w:r>
                      <w:r>
                        <w:rPr>
                          <w:sz w:val="23"/>
                        </w:rPr>
                        <w:t>un brevet.  Lorsqu</w:t>
                      </w:r>
                      <w:r w:rsidR="002C57D1">
                        <w:rPr>
                          <w:sz w:val="23"/>
                        </w:rPr>
                        <w:t>’</w:t>
                      </w:r>
                      <w:r>
                        <w:rPr>
                          <w:sz w:val="23"/>
                        </w:rPr>
                        <w:t>un brevet est déjà en vigueur et que des mesures correctives sont prescrites ou des sanctions prononcées après la délivrance, ni l</w:t>
                      </w:r>
                      <w:r w:rsidR="002C57D1">
                        <w:rPr>
                          <w:sz w:val="23"/>
                        </w:rPr>
                        <w:t>’</w:t>
                      </w:r>
                      <w:r>
                        <w:rPr>
                          <w:sz w:val="23"/>
                        </w:rPr>
                        <w:t xml:space="preserve">office des brevets ni une autre instance judiciaire ou administrative compétente ne devrait être tenus de prononcer des sanctions ou de prescrire des mesures correctives pour donner la possibilité de remédier à la non-divulgation ou non-communication de ces informations dans la demande déjà instruite, et aucune autre modification ne devrait être possible.  </w:t>
                      </w:r>
                    </w:p>
                  </w:txbxContent>
                </v:textbox>
                <w10:wrap type="square" anchorx="margin"/>
              </v:shape>
            </w:pict>
          </mc:Fallback>
        </mc:AlternateContent>
      </w:r>
    </w:p>
    <w:p w14:paraId="0D71D73B" w14:textId="77777777" w:rsidR="007228A1" w:rsidRPr="00965846" w:rsidRDefault="007228A1" w:rsidP="007228A1">
      <w:pPr>
        <w:rPr>
          <w:szCs w:val="22"/>
          <w:lang w:val="fr-FR"/>
        </w:rPr>
      </w:pPr>
    </w:p>
    <w:p w14:paraId="0BCEBC5E" w14:textId="164E6338" w:rsidR="00145E61" w:rsidRDefault="007228A1" w:rsidP="007228A1">
      <w:pPr>
        <w:rPr>
          <w:lang w:val="fr-FR"/>
        </w:rPr>
      </w:pPr>
      <w:r w:rsidRPr="00965846">
        <w:rPr>
          <w:lang w:val="fr-FR"/>
        </w:rPr>
        <w:t xml:space="preserve">6.3 </w:t>
      </w:r>
      <w:r w:rsidR="0056287B">
        <w:rPr>
          <w:lang w:val="fr-FR"/>
        </w:rPr>
        <w:tab/>
      </w:r>
      <w:r w:rsidRPr="00965846">
        <w:rPr>
          <w:lang w:val="fr-FR"/>
        </w:rPr>
        <w:t>Sous réserve de l</w:t>
      </w:r>
      <w:r w:rsidR="00145E61" w:rsidRPr="00965846">
        <w:rPr>
          <w:lang w:val="fr-FR"/>
        </w:rPr>
        <w:t>’article 6</w:t>
      </w:r>
      <w:r w:rsidRPr="00965846">
        <w:rPr>
          <w:lang w:val="fr-FR"/>
        </w:rPr>
        <w:t xml:space="preserve">.4, </w:t>
      </w:r>
      <w:r w:rsidRPr="00965846">
        <w:rPr>
          <w:b/>
          <w:color w:val="FF0000"/>
          <w:lang w:val="fr-FR"/>
        </w:rPr>
        <w:t>[IN</w:t>
      </w:r>
      <w:r w:rsidR="00852466" w:rsidRPr="00965846">
        <w:rPr>
          <w:b/>
          <w:color w:val="FF0000"/>
          <w:lang w:val="fr-FR"/>
        </w:rPr>
        <w:t> </w:t>
      </w:r>
      <w:r w:rsidRPr="00965846">
        <w:rPr>
          <w:b/>
          <w:color w:val="FF0000"/>
          <w:lang w:val="fr-FR"/>
        </w:rPr>
        <w:t>:</w:t>
      </w:r>
      <w:r w:rsidRPr="00965846">
        <w:rPr>
          <w:color w:val="FF0000"/>
          <w:lang w:val="fr-FR"/>
        </w:rPr>
        <w:t xml:space="preserve"> </w:t>
      </w:r>
      <w:r w:rsidRPr="00965846">
        <w:rPr>
          <w:strike/>
          <w:color w:val="FF0000"/>
          <w:lang w:val="fr-FR"/>
        </w:rPr>
        <w:t>les parties contractantes</w:t>
      </w:r>
      <w:r w:rsidRPr="00965846">
        <w:rPr>
          <w:color w:val="FF0000"/>
          <w:lang w:val="fr-FR"/>
        </w:rPr>
        <w:t xml:space="preserve"> une partie contractante</w:t>
      </w:r>
      <w:r w:rsidRPr="00965846">
        <w:rPr>
          <w:b/>
          <w:color w:val="FF0000"/>
          <w:lang w:val="fr-FR"/>
        </w:rPr>
        <w:t>]</w:t>
      </w:r>
      <w:r w:rsidRPr="00965846">
        <w:rPr>
          <w:color w:val="FF0000"/>
          <w:lang w:val="fr-FR"/>
        </w:rPr>
        <w:t xml:space="preserve"> </w:t>
      </w:r>
      <w:r w:rsidRPr="00965846">
        <w:rPr>
          <w:b/>
          <w:color w:val="FF0000"/>
          <w:lang w:val="fr-FR"/>
        </w:rPr>
        <w:t>[IN</w:t>
      </w:r>
      <w:r w:rsidR="00852466" w:rsidRPr="00965846">
        <w:rPr>
          <w:b/>
          <w:color w:val="FF0000"/>
          <w:lang w:val="fr-FR"/>
        </w:rPr>
        <w:t> </w:t>
      </w:r>
      <w:r w:rsidRPr="00965846">
        <w:rPr>
          <w:b/>
          <w:color w:val="FF0000"/>
          <w:lang w:val="fr-FR"/>
        </w:rPr>
        <w:t>:</w:t>
      </w:r>
      <w:r w:rsidRPr="00965846">
        <w:rPr>
          <w:color w:val="FF0000"/>
          <w:lang w:val="fr-FR"/>
        </w:rPr>
        <w:t xml:space="preserve"> </w:t>
      </w:r>
      <w:r w:rsidRPr="00965846">
        <w:rPr>
          <w:strike/>
          <w:color w:val="FF0000"/>
          <w:lang w:val="fr-FR"/>
        </w:rPr>
        <w:t xml:space="preserve">ne révoquent ni ne rendent inopposable </w:t>
      </w:r>
      <w:r w:rsidRPr="00965846">
        <w:rPr>
          <w:color w:val="FF0000"/>
          <w:lang w:val="fr-FR"/>
        </w:rPr>
        <w:t>ne peut être tenue de révoquer ni de rendre opposable</w:t>
      </w:r>
      <w:r w:rsidRPr="00965846">
        <w:rPr>
          <w:b/>
          <w:color w:val="FF0000"/>
          <w:lang w:val="fr-FR"/>
        </w:rPr>
        <w:t>]</w:t>
      </w:r>
      <w:r w:rsidRPr="00965846">
        <w:rPr>
          <w:color w:val="FF0000"/>
          <w:lang w:val="fr-FR"/>
        </w:rPr>
        <w:t xml:space="preserve"> </w:t>
      </w:r>
      <w:r w:rsidRPr="00965846">
        <w:rPr>
          <w:lang w:val="fr-FR"/>
        </w:rPr>
        <w:t>un brevet au seul motif que le déposant n</w:t>
      </w:r>
      <w:r w:rsidR="00145E61" w:rsidRPr="00965846">
        <w:rPr>
          <w:lang w:val="fr-FR"/>
        </w:rPr>
        <w:t>’</w:t>
      </w:r>
      <w:r w:rsidRPr="00965846">
        <w:rPr>
          <w:lang w:val="fr-FR"/>
        </w:rPr>
        <w:t>a pas communiqué les informations visées à l</w:t>
      </w:r>
      <w:r w:rsidR="00145E61" w:rsidRPr="00965846">
        <w:rPr>
          <w:lang w:val="fr-FR"/>
        </w:rPr>
        <w:t>’article 3</w:t>
      </w:r>
      <w:r w:rsidRPr="00965846">
        <w:rPr>
          <w:lang w:val="fr-FR"/>
        </w:rPr>
        <w:t xml:space="preserve"> du présent instrument.</w:t>
      </w:r>
    </w:p>
    <w:p w14:paraId="5488F24C" w14:textId="58410873" w:rsidR="0056287B" w:rsidRPr="00965846" w:rsidRDefault="0056287B" w:rsidP="007228A1">
      <w:pPr>
        <w:rPr>
          <w:lang w:val="fr-FR"/>
        </w:rPr>
      </w:pPr>
      <w:r w:rsidRPr="00965846">
        <w:rPr>
          <w:noProof/>
          <w:lang w:val="fr-FR"/>
        </w:rPr>
        <mc:AlternateContent>
          <mc:Choice Requires="wps">
            <w:drawing>
              <wp:anchor distT="45720" distB="45720" distL="114300" distR="114300" simplePos="0" relativeHeight="251670528" behindDoc="0" locked="0" layoutInCell="1" allowOverlap="1" wp14:anchorId="3FD1D9B7" wp14:editId="1CFD56A0">
                <wp:simplePos x="0" y="0"/>
                <wp:positionH relativeFrom="margin">
                  <wp:posOffset>0</wp:posOffset>
                </wp:positionH>
                <wp:positionV relativeFrom="paragraph">
                  <wp:posOffset>226645</wp:posOffset>
                </wp:positionV>
                <wp:extent cx="5859780" cy="593090"/>
                <wp:effectExtent l="0" t="0" r="26670" b="1651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593090"/>
                        </a:xfrm>
                        <a:prstGeom prst="rect">
                          <a:avLst/>
                        </a:prstGeom>
                        <a:solidFill>
                          <a:srgbClr val="FFFFFF"/>
                        </a:solidFill>
                        <a:ln w="9525">
                          <a:solidFill>
                            <a:srgbClr val="000000"/>
                          </a:solidFill>
                          <a:miter lim="800000"/>
                          <a:headEnd/>
                          <a:tailEnd/>
                        </a:ln>
                      </wps:spPr>
                      <wps:txbx>
                        <w:txbxContent>
                          <w:p w14:paraId="23E63E71" w14:textId="4A10F0E7" w:rsidR="007228A1" w:rsidRPr="00263757" w:rsidRDefault="007228A1" w:rsidP="007228A1">
                            <w:pPr>
                              <w:rPr>
                                <w:sz w:val="23"/>
                                <w:szCs w:val="23"/>
                              </w:rPr>
                            </w:pPr>
                            <w:r>
                              <w:rPr>
                                <w:b/>
                                <w:sz w:val="23"/>
                              </w:rPr>
                              <w:t>Note explicative</w:t>
                            </w:r>
                            <w:r w:rsidR="002C57D1">
                              <w:rPr>
                                <w:b/>
                                <w:sz w:val="23"/>
                              </w:rPr>
                              <w:t> </w:t>
                            </w:r>
                            <w:r>
                              <w:rPr>
                                <w:b/>
                                <w:sz w:val="23"/>
                              </w:rPr>
                              <w:t>:</w:t>
                            </w:r>
                            <w:r>
                              <w:rPr>
                                <w:sz w:val="23"/>
                              </w:rPr>
                              <w:t xml:space="preserve"> cette modification permettrait à une partie de conserver une marge de manœuvre pour faire en sorte qu</w:t>
                            </w:r>
                            <w:r w:rsidR="002C57D1">
                              <w:rPr>
                                <w:sz w:val="23"/>
                              </w:rPr>
                              <w:t>’</w:t>
                            </w:r>
                            <w:r>
                              <w:rPr>
                                <w:sz w:val="23"/>
                              </w:rPr>
                              <w:t>il s</w:t>
                            </w:r>
                            <w:r w:rsidR="002C57D1">
                              <w:rPr>
                                <w:sz w:val="23"/>
                              </w:rPr>
                              <w:t>’</w:t>
                            </w:r>
                            <w:r>
                              <w:rPr>
                                <w:sz w:val="23"/>
                              </w:rPr>
                              <w:t>agisse d</w:t>
                            </w:r>
                            <w:r w:rsidR="002C57D1">
                              <w:rPr>
                                <w:sz w:val="23"/>
                              </w:rPr>
                              <w:t>’</w:t>
                            </w:r>
                            <w:r>
                              <w:rPr>
                                <w:sz w:val="23"/>
                              </w:rPr>
                              <w:t xml:space="preserve">une norme minimale, conformément aux autres dispositions du présent instrument.  </w:t>
                            </w:r>
                          </w:p>
                          <w:p w14:paraId="52F633FD" w14:textId="77777777" w:rsidR="007228A1" w:rsidRDefault="007228A1" w:rsidP="007228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1D9B7" id="Text Box 14" o:spid="_x0000_s1037" type="#_x0000_t202" style="position:absolute;margin-left:0;margin-top:17.85pt;width:461.4pt;height:46.7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">
                <v:textbox>
                  <w:txbxContent>
                    <w:p w14:paraId="23E63E71" w14:textId="4A10F0E7" w:rsidR="007228A1" w:rsidRPr="00263757" w:rsidRDefault="007228A1" w:rsidP="007228A1">
                      <w:pPr>
                        <w:rPr>
                          <w:sz w:val="23"/>
                          <w:szCs w:val="23"/>
                        </w:rPr>
                      </w:pPr>
                      <w:r>
                        <w:rPr>
                          <w:b/>
                          <w:sz w:val="23"/>
                        </w:rPr>
                        <w:t>Note explicative</w:t>
                      </w:r>
                      <w:r w:rsidR="002C57D1">
                        <w:rPr>
                          <w:b/>
                          <w:sz w:val="23"/>
                        </w:rPr>
                        <w:t> </w:t>
                      </w:r>
                      <w:r>
                        <w:rPr>
                          <w:b/>
                          <w:sz w:val="23"/>
                        </w:rPr>
                        <w:t>:</w:t>
                      </w:r>
                      <w:r>
                        <w:rPr>
                          <w:sz w:val="23"/>
                        </w:rPr>
                        <w:t xml:space="preserve"> cette modification permettrait à une partie de conserver une marge de manœuvre pour faire en sorte qu</w:t>
                      </w:r>
                      <w:r w:rsidR="002C57D1">
                        <w:rPr>
                          <w:sz w:val="23"/>
                        </w:rPr>
                        <w:t>’</w:t>
                      </w:r>
                      <w:r>
                        <w:rPr>
                          <w:sz w:val="23"/>
                        </w:rPr>
                        <w:t>il s</w:t>
                      </w:r>
                      <w:r w:rsidR="002C57D1">
                        <w:rPr>
                          <w:sz w:val="23"/>
                        </w:rPr>
                        <w:t>’</w:t>
                      </w:r>
                      <w:r>
                        <w:rPr>
                          <w:sz w:val="23"/>
                        </w:rPr>
                        <w:t>agisse d</w:t>
                      </w:r>
                      <w:r w:rsidR="002C57D1">
                        <w:rPr>
                          <w:sz w:val="23"/>
                        </w:rPr>
                        <w:t>’</w:t>
                      </w:r>
                      <w:r>
                        <w:rPr>
                          <w:sz w:val="23"/>
                        </w:rPr>
                        <w:t xml:space="preserve">une norme minimale, conformément aux autres dispositions du présent instrument.  </w:t>
                      </w:r>
                    </w:p>
                    <w:p w14:paraId="52F633FD" w14:textId="77777777" w:rsidR="007228A1" w:rsidRDefault="007228A1" w:rsidP="007228A1"/>
                  </w:txbxContent>
                </v:textbox>
                <w10:wrap type="square" anchorx="margin"/>
              </v:shape>
            </w:pict>
          </mc:Fallback>
        </mc:AlternateContent>
      </w:r>
    </w:p>
    <w:p w14:paraId="1BDE6290" w14:textId="11873A28" w:rsidR="007228A1" w:rsidRPr="00965846" w:rsidRDefault="007228A1" w:rsidP="007228A1">
      <w:pPr>
        <w:rPr>
          <w:szCs w:val="22"/>
          <w:lang w:val="fr-FR"/>
        </w:rPr>
      </w:pPr>
    </w:p>
    <w:p w14:paraId="1951BB99" w14:textId="51EE0AF4" w:rsidR="00145E61" w:rsidRPr="00965846" w:rsidRDefault="007228A1" w:rsidP="004D7DD8">
      <w:pPr>
        <w:keepNext/>
        <w:keepLines/>
        <w:rPr>
          <w:lang w:val="fr-FR"/>
        </w:rPr>
      </w:pPr>
      <w:r w:rsidRPr="00965846">
        <w:rPr>
          <w:lang w:val="fr-FR"/>
        </w:rPr>
        <w:t xml:space="preserve">6.4 </w:t>
      </w:r>
      <w:r w:rsidR="0056287B">
        <w:rPr>
          <w:lang w:val="fr-FR"/>
        </w:rPr>
        <w:tab/>
      </w:r>
      <w:r w:rsidRPr="00965846">
        <w:rPr>
          <w:lang w:val="fr-FR"/>
        </w:rPr>
        <w:t xml:space="preserve">Chaque partie contractante </w:t>
      </w:r>
      <w:r w:rsidRPr="00965846">
        <w:rPr>
          <w:b/>
          <w:color w:val="FF0000"/>
          <w:lang w:val="fr-FR"/>
        </w:rPr>
        <w:t>[IN</w:t>
      </w:r>
      <w:r w:rsidR="00852466" w:rsidRPr="00965846">
        <w:rPr>
          <w:b/>
          <w:color w:val="FF0000"/>
          <w:lang w:val="fr-FR"/>
        </w:rPr>
        <w:t> </w:t>
      </w:r>
      <w:r w:rsidRPr="00965846">
        <w:rPr>
          <w:b/>
          <w:color w:val="FF0000"/>
          <w:lang w:val="fr-FR"/>
        </w:rPr>
        <w:t>:</w:t>
      </w:r>
      <w:r w:rsidRPr="00965846">
        <w:rPr>
          <w:color w:val="FF0000"/>
          <w:lang w:val="fr-FR"/>
        </w:rPr>
        <w:t xml:space="preserve"> </w:t>
      </w:r>
      <w:r w:rsidRPr="00965846">
        <w:rPr>
          <w:strike/>
          <w:color w:val="FF0000"/>
          <w:lang w:val="fr-FR"/>
        </w:rPr>
        <w:t>peut prévoir</w:t>
      </w:r>
      <w:r w:rsidRPr="00965846">
        <w:rPr>
          <w:color w:val="FF0000"/>
          <w:lang w:val="fr-FR"/>
        </w:rPr>
        <w:t xml:space="preserve"> prévoit</w:t>
      </w:r>
      <w:r w:rsidRPr="00965846">
        <w:rPr>
          <w:b/>
          <w:color w:val="FF0000"/>
          <w:lang w:val="fr-FR"/>
        </w:rPr>
        <w:t>]</w:t>
      </w:r>
      <w:r w:rsidR="00852466" w:rsidRPr="00965846">
        <w:rPr>
          <w:color w:val="FF0000"/>
          <w:lang w:val="fr-FR"/>
        </w:rPr>
        <w:t>,</w:t>
      </w:r>
      <w:r w:rsidRPr="00965846">
        <w:rPr>
          <w:lang w:val="fr-FR"/>
        </w:rPr>
        <w:t xml:space="preserve"> conformément à sa législation nationale, des sanctions ou mesures correctives après la délivrance du brevet, </w:t>
      </w:r>
      <w:r w:rsidRPr="00965846">
        <w:rPr>
          <w:b/>
          <w:color w:val="FF0000"/>
          <w:lang w:val="fr-FR"/>
        </w:rPr>
        <w:t>[IN</w:t>
      </w:r>
      <w:r w:rsidR="00852466" w:rsidRPr="00965846">
        <w:rPr>
          <w:b/>
          <w:color w:val="FF0000"/>
          <w:lang w:val="fr-FR"/>
        </w:rPr>
        <w:t> </w:t>
      </w:r>
      <w:r w:rsidRPr="00965846">
        <w:rPr>
          <w:b/>
          <w:color w:val="FF0000"/>
          <w:lang w:val="fr-FR"/>
        </w:rPr>
        <w:t xml:space="preserve">: </w:t>
      </w:r>
      <w:r w:rsidR="00145E61" w:rsidRPr="00965846">
        <w:rPr>
          <w:color w:val="FF0000"/>
          <w:lang w:val="fr-FR"/>
        </w:rPr>
        <w:t>y compris</w:t>
      </w:r>
      <w:r w:rsidRPr="00965846">
        <w:rPr>
          <w:color w:val="FF0000"/>
          <w:lang w:val="fr-FR"/>
        </w:rPr>
        <w:t xml:space="preserve"> la révocation,</w:t>
      </w:r>
      <w:r w:rsidRPr="00965846">
        <w:rPr>
          <w:b/>
          <w:color w:val="FF0000"/>
          <w:lang w:val="fr-FR"/>
        </w:rPr>
        <w:t>]</w:t>
      </w:r>
      <w:r w:rsidRPr="00965846">
        <w:rPr>
          <w:lang w:val="fr-FR"/>
        </w:rPr>
        <w:t xml:space="preserve"> en cas d</w:t>
      </w:r>
      <w:r w:rsidR="00145E61" w:rsidRPr="00965846">
        <w:rPr>
          <w:lang w:val="fr-FR"/>
        </w:rPr>
        <w:t>’</w:t>
      </w:r>
      <w:r w:rsidRPr="00965846">
        <w:rPr>
          <w:lang w:val="fr-FR"/>
        </w:rPr>
        <w:t>intention frauduleuse au regard de l</w:t>
      </w:r>
      <w:r w:rsidR="00145E61" w:rsidRPr="00965846">
        <w:rPr>
          <w:lang w:val="fr-FR"/>
        </w:rPr>
        <w:t>’</w:t>
      </w:r>
      <w:r w:rsidRPr="00965846">
        <w:rPr>
          <w:lang w:val="fr-FR"/>
        </w:rPr>
        <w:t>exigence de divulgation visée à l</w:t>
      </w:r>
      <w:r w:rsidR="00145E61" w:rsidRPr="00965846">
        <w:rPr>
          <w:lang w:val="fr-FR"/>
        </w:rPr>
        <w:t>’article 3</w:t>
      </w:r>
      <w:r w:rsidRPr="00965846">
        <w:rPr>
          <w:lang w:val="fr-FR"/>
        </w:rPr>
        <w:t xml:space="preserve"> du présent instrument.</w:t>
      </w:r>
    </w:p>
    <w:p w14:paraId="3AD8D729" w14:textId="151D1F98" w:rsidR="007228A1" w:rsidRPr="00965846" w:rsidRDefault="00BA0A24" w:rsidP="007228A1">
      <w:pPr>
        <w:rPr>
          <w:szCs w:val="22"/>
          <w:lang w:val="fr-FR"/>
        </w:rPr>
      </w:pPr>
      <w:r w:rsidRPr="00965846">
        <w:rPr>
          <w:noProof/>
          <w:lang w:val="fr-FR"/>
        </w:rPr>
        <mc:AlternateContent>
          <mc:Choice Requires="wps">
            <w:drawing>
              <wp:anchor distT="45720" distB="45720" distL="114300" distR="114300" simplePos="0" relativeHeight="251671552" behindDoc="0" locked="0" layoutInCell="1" allowOverlap="1" wp14:anchorId="64981921" wp14:editId="374BF97C">
                <wp:simplePos x="0" y="0"/>
                <wp:positionH relativeFrom="margin">
                  <wp:posOffset>-1270</wp:posOffset>
                </wp:positionH>
                <wp:positionV relativeFrom="paragraph">
                  <wp:posOffset>213360</wp:posOffset>
                </wp:positionV>
                <wp:extent cx="5859780" cy="1294765"/>
                <wp:effectExtent l="0" t="0" r="26670" b="1968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294765"/>
                        </a:xfrm>
                        <a:prstGeom prst="rect">
                          <a:avLst/>
                        </a:prstGeom>
                        <a:solidFill>
                          <a:srgbClr val="FFFFFF"/>
                        </a:solidFill>
                        <a:ln w="9525">
                          <a:solidFill>
                            <a:srgbClr val="000000"/>
                          </a:solidFill>
                          <a:miter lim="800000"/>
                          <a:headEnd/>
                          <a:tailEnd/>
                        </a:ln>
                      </wps:spPr>
                      <wps:txbx>
                        <w:txbxContent>
                          <w:p w14:paraId="78866D42" w14:textId="3ABC3F9F" w:rsidR="007228A1" w:rsidRDefault="007228A1" w:rsidP="007228A1">
                            <w:r>
                              <w:rPr>
                                <w:b/>
                                <w:sz w:val="23"/>
                              </w:rPr>
                              <w:t>Note explicative</w:t>
                            </w:r>
                            <w:r w:rsidR="002C57D1">
                              <w:rPr>
                                <w:b/>
                                <w:sz w:val="23"/>
                              </w:rPr>
                              <w:t> </w:t>
                            </w:r>
                            <w:r>
                              <w:rPr>
                                <w:b/>
                                <w:sz w:val="23"/>
                              </w:rPr>
                              <w:t>:</w:t>
                            </w:r>
                            <w:r>
                              <w:rPr>
                                <w:sz w:val="23"/>
                              </w:rPr>
                              <w:t xml:space="preserve"> </w:t>
                            </w:r>
                            <w:r w:rsidR="004D7DD8">
                              <w:rPr>
                                <w:sz w:val="23"/>
                              </w:rPr>
                              <w:t>l</w:t>
                            </w:r>
                            <w:r>
                              <w:rPr>
                                <w:sz w:val="23"/>
                              </w:rPr>
                              <w:t>es dispositions relatives aux obligations de divulgation seraient plus efficaces si des sanctions et des mesures correctives étaient prévues pour dissuader les déposants de faire une divulgation intentionnellement illégale ou de ne pas divulguer des informations.  Lorsqu</w:t>
                            </w:r>
                            <w:r w:rsidR="002C57D1">
                              <w:rPr>
                                <w:sz w:val="23"/>
                              </w:rPr>
                              <w:t>’</w:t>
                            </w:r>
                            <w:r>
                              <w:rPr>
                                <w:sz w:val="23"/>
                              </w:rPr>
                              <w:t>il a été prouvé que la non-divulgation ou la divulgation illégale procédait d</w:t>
                            </w:r>
                            <w:r w:rsidR="002C57D1">
                              <w:rPr>
                                <w:sz w:val="23"/>
                              </w:rPr>
                              <w:t>’</w:t>
                            </w:r>
                            <w:r>
                              <w:rPr>
                                <w:sz w:val="23"/>
                              </w:rPr>
                              <w:t>une intention frauduleuse, le maintien en vigueur d</w:t>
                            </w:r>
                            <w:r w:rsidR="002C57D1">
                              <w:rPr>
                                <w:sz w:val="23"/>
                              </w:rPr>
                              <w:t>’</w:t>
                            </w:r>
                            <w:r>
                              <w:rPr>
                                <w:sz w:val="23"/>
                              </w:rPr>
                              <w:t>un droit de brevet peut aller à l</w:t>
                            </w:r>
                            <w:r w:rsidR="002C57D1">
                              <w:rPr>
                                <w:sz w:val="23"/>
                              </w:rPr>
                              <w:t>’</w:t>
                            </w:r>
                            <w:r>
                              <w:rPr>
                                <w:sz w:val="23"/>
                              </w:rPr>
                              <w:t>encontre des principes d</w:t>
                            </w:r>
                            <w:r w:rsidR="002C57D1">
                              <w:rPr>
                                <w:sz w:val="23"/>
                              </w:rPr>
                              <w:t>’</w:t>
                            </w:r>
                            <w:r>
                              <w:rPr>
                                <w:sz w:val="23"/>
                              </w:rPr>
                              <w:t>équité et de garantie d</w:t>
                            </w:r>
                            <w:r w:rsidR="002C57D1">
                              <w:rPr>
                                <w:sz w:val="23"/>
                              </w:rPr>
                              <w:t>’</w:t>
                            </w:r>
                            <w:r>
                              <w:rPr>
                                <w:sz w:val="23"/>
                              </w:rPr>
                              <w:t xml:space="preserve">une procédure régulière.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81921" id="Text Box 15" o:spid="_x0000_s1038" type="#_x0000_t202" style="position:absolute;margin-left:-.1pt;margin-top:16.8pt;width:461.4pt;height:101.9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">
                <v:textbox>
                  <w:txbxContent>
                    <w:p w14:paraId="78866D42" w14:textId="3ABC3F9F" w:rsidR="007228A1" w:rsidRDefault="007228A1" w:rsidP="007228A1">
                      <w:r>
                        <w:rPr>
                          <w:b/>
                          <w:sz w:val="23"/>
                        </w:rPr>
                        <w:t>Note explicative</w:t>
                      </w:r>
                      <w:r w:rsidR="002C57D1">
                        <w:rPr>
                          <w:b/>
                          <w:sz w:val="23"/>
                        </w:rPr>
                        <w:t> </w:t>
                      </w:r>
                      <w:r>
                        <w:rPr>
                          <w:b/>
                          <w:sz w:val="23"/>
                        </w:rPr>
                        <w:t>:</w:t>
                      </w:r>
                      <w:r>
                        <w:rPr>
                          <w:sz w:val="23"/>
                        </w:rPr>
                        <w:t xml:space="preserve"> </w:t>
                      </w:r>
                      <w:r w:rsidR="004D7DD8">
                        <w:rPr>
                          <w:sz w:val="23"/>
                        </w:rPr>
                        <w:t>l</w:t>
                      </w:r>
                      <w:r>
                        <w:rPr>
                          <w:sz w:val="23"/>
                        </w:rPr>
                        <w:t>es dispositions relatives aux obligations de divulgation seraient plus efficaces si des sanctions et des mesures correctives étaient prévues pour dissuader les déposants de faire une divulgation intentionnellement illégale ou de ne pas divulguer des informations.  Lorsqu</w:t>
                      </w:r>
                      <w:r w:rsidR="002C57D1">
                        <w:rPr>
                          <w:sz w:val="23"/>
                        </w:rPr>
                        <w:t>’</w:t>
                      </w:r>
                      <w:r>
                        <w:rPr>
                          <w:sz w:val="23"/>
                        </w:rPr>
                        <w:t>il a été prouvé que la non-divulgation ou la divulgation illégale procédait d</w:t>
                      </w:r>
                      <w:r w:rsidR="002C57D1">
                        <w:rPr>
                          <w:sz w:val="23"/>
                        </w:rPr>
                        <w:t>’</w:t>
                      </w:r>
                      <w:r>
                        <w:rPr>
                          <w:sz w:val="23"/>
                        </w:rPr>
                        <w:t>une intention frauduleuse, le maintien en vigueur d</w:t>
                      </w:r>
                      <w:r w:rsidR="002C57D1">
                        <w:rPr>
                          <w:sz w:val="23"/>
                        </w:rPr>
                        <w:t>’</w:t>
                      </w:r>
                      <w:r>
                        <w:rPr>
                          <w:sz w:val="23"/>
                        </w:rPr>
                        <w:t>un droit de brevet peut aller à l</w:t>
                      </w:r>
                      <w:r w:rsidR="002C57D1">
                        <w:rPr>
                          <w:sz w:val="23"/>
                        </w:rPr>
                        <w:t>’</w:t>
                      </w:r>
                      <w:r>
                        <w:rPr>
                          <w:sz w:val="23"/>
                        </w:rPr>
                        <w:t>encontre des principes d</w:t>
                      </w:r>
                      <w:r w:rsidR="002C57D1">
                        <w:rPr>
                          <w:sz w:val="23"/>
                        </w:rPr>
                        <w:t>’</w:t>
                      </w:r>
                      <w:r>
                        <w:rPr>
                          <w:sz w:val="23"/>
                        </w:rPr>
                        <w:t>équité et de garantie d</w:t>
                      </w:r>
                      <w:r w:rsidR="002C57D1">
                        <w:rPr>
                          <w:sz w:val="23"/>
                        </w:rPr>
                        <w:t>’</w:t>
                      </w:r>
                      <w:r>
                        <w:rPr>
                          <w:sz w:val="23"/>
                        </w:rPr>
                        <w:t xml:space="preserve">une procédure régulière.  </w:t>
                      </w:r>
                    </w:p>
                  </w:txbxContent>
                </v:textbox>
                <w10:wrap type="square" anchorx="margin"/>
              </v:shape>
            </w:pict>
          </mc:Fallback>
        </mc:AlternateContent>
      </w:r>
    </w:p>
    <w:p w14:paraId="2BC3091A" w14:textId="77777777" w:rsidR="007228A1" w:rsidRPr="00965846" w:rsidRDefault="007228A1" w:rsidP="007228A1">
      <w:pPr>
        <w:rPr>
          <w:szCs w:val="22"/>
          <w:lang w:val="fr-FR"/>
        </w:rPr>
      </w:pPr>
    </w:p>
    <w:p w14:paraId="022952B2" w14:textId="57B1D4B5" w:rsidR="00145E61" w:rsidRPr="00965846" w:rsidRDefault="007228A1" w:rsidP="007228A1">
      <w:pPr>
        <w:rPr>
          <w:lang w:val="fr-FR"/>
        </w:rPr>
      </w:pPr>
      <w:r w:rsidRPr="00965846">
        <w:rPr>
          <w:lang w:val="fr-FR"/>
        </w:rPr>
        <w:t xml:space="preserve">6.5 </w:t>
      </w:r>
      <w:r w:rsidR="004D7DD8">
        <w:rPr>
          <w:lang w:val="fr-FR"/>
        </w:rPr>
        <w:tab/>
      </w:r>
      <w:r w:rsidRPr="00965846">
        <w:rPr>
          <w:lang w:val="fr-FR"/>
        </w:rPr>
        <w:t>Sans préjudice d</w:t>
      </w:r>
      <w:r w:rsidR="00145E61" w:rsidRPr="00965846">
        <w:rPr>
          <w:lang w:val="fr-FR"/>
        </w:rPr>
        <w:t>’</w:t>
      </w:r>
      <w:r w:rsidRPr="00965846">
        <w:rPr>
          <w:lang w:val="fr-FR"/>
        </w:rPr>
        <w:t>une non</w:t>
      </w:r>
      <w:r w:rsidR="00145E61" w:rsidRPr="00965846">
        <w:rPr>
          <w:lang w:val="fr-FR"/>
        </w:rPr>
        <w:t>-</w:t>
      </w:r>
      <w:r w:rsidRPr="00965846">
        <w:rPr>
          <w:lang w:val="fr-FR"/>
        </w:rPr>
        <w:t>conformité résultant d</w:t>
      </w:r>
      <w:r w:rsidR="00145E61" w:rsidRPr="00965846">
        <w:rPr>
          <w:lang w:val="fr-FR"/>
        </w:rPr>
        <w:t>’</w:t>
      </w:r>
      <w:r w:rsidRPr="00965846">
        <w:rPr>
          <w:lang w:val="fr-FR"/>
        </w:rPr>
        <w:t>une intention frauduleuse telle que visée à l</w:t>
      </w:r>
      <w:r w:rsidR="00145E61" w:rsidRPr="00965846">
        <w:rPr>
          <w:lang w:val="fr-FR"/>
        </w:rPr>
        <w:t>’alinéa 6</w:t>
      </w:r>
      <w:r w:rsidRPr="00965846">
        <w:rPr>
          <w:lang w:val="fr-FR"/>
        </w:rPr>
        <w:t xml:space="preserve">.4, les parties contractantes </w:t>
      </w:r>
      <w:r w:rsidRPr="00965846">
        <w:rPr>
          <w:b/>
          <w:color w:val="FF0000"/>
          <w:lang w:val="fr-FR"/>
        </w:rPr>
        <w:t>[IN</w:t>
      </w:r>
      <w:r w:rsidR="00852466" w:rsidRPr="00965846">
        <w:rPr>
          <w:b/>
          <w:color w:val="FF0000"/>
          <w:lang w:val="fr-FR"/>
        </w:rPr>
        <w:t> </w:t>
      </w:r>
      <w:r w:rsidRPr="00965846">
        <w:rPr>
          <w:b/>
          <w:color w:val="FF0000"/>
          <w:lang w:val="fr-FR"/>
        </w:rPr>
        <w:t>:</w:t>
      </w:r>
      <w:r w:rsidRPr="00965846">
        <w:rPr>
          <w:color w:val="FF0000"/>
          <w:lang w:val="fr-FR"/>
        </w:rPr>
        <w:t xml:space="preserve"> </w:t>
      </w:r>
      <w:r w:rsidRPr="00965846">
        <w:rPr>
          <w:strike/>
          <w:color w:val="FF0000"/>
          <w:lang w:val="fr-FR"/>
        </w:rPr>
        <w:t xml:space="preserve">mettent </w:t>
      </w:r>
      <w:r w:rsidRPr="00965846">
        <w:rPr>
          <w:color w:val="FF0000"/>
          <w:lang w:val="fr-FR"/>
        </w:rPr>
        <w:t>peuvent mettre</w:t>
      </w:r>
      <w:r w:rsidRPr="00965846">
        <w:rPr>
          <w:b/>
          <w:color w:val="FF0000"/>
          <w:lang w:val="fr-FR"/>
        </w:rPr>
        <w:t xml:space="preserve">] </w:t>
      </w:r>
      <w:r w:rsidRPr="00965846">
        <w:rPr>
          <w:lang w:val="fr-FR"/>
        </w:rPr>
        <w:t>en place des modes adéquats de règlement des litiges permettant à toutes les parties concernées de parvenir à des solutions opportunes et mutuellement satisfaisantes, conformément à la législation nationale.</w:t>
      </w:r>
    </w:p>
    <w:p w14:paraId="7A37B9C1" w14:textId="6F96AAF4" w:rsidR="007228A1" w:rsidRPr="00965846" w:rsidRDefault="007228A1" w:rsidP="007228A1">
      <w:pPr>
        <w:rPr>
          <w:szCs w:val="22"/>
          <w:lang w:val="fr-FR"/>
        </w:rPr>
      </w:pPr>
      <w:r w:rsidRPr="00965846">
        <w:rPr>
          <w:noProof/>
          <w:lang w:val="fr-FR"/>
        </w:rPr>
        <mc:AlternateContent>
          <mc:Choice Requires="wps">
            <w:drawing>
              <wp:anchor distT="45720" distB="45720" distL="114300" distR="114300" simplePos="0" relativeHeight="251672576" behindDoc="0" locked="0" layoutInCell="1" allowOverlap="1" wp14:anchorId="050FCF60" wp14:editId="4A935617">
                <wp:simplePos x="0" y="0"/>
                <wp:positionH relativeFrom="margin">
                  <wp:posOffset>1270</wp:posOffset>
                </wp:positionH>
                <wp:positionV relativeFrom="paragraph">
                  <wp:posOffset>303530</wp:posOffset>
                </wp:positionV>
                <wp:extent cx="5859780" cy="635000"/>
                <wp:effectExtent l="0" t="0" r="26670" b="1270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635000"/>
                        </a:xfrm>
                        <a:prstGeom prst="rect">
                          <a:avLst/>
                        </a:prstGeom>
                        <a:solidFill>
                          <a:srgbClr val="FFFFFF"/>
                        </a:solidFill>
                        <a:ln w="9525">
                          <a:solidFill>
                            <a:srgbClr val="000000"/>
                          </a:solidFill>
                          <a:miter lim="800000"/>
                          <a:headEnd/>
                          <a:tailEnd/>
                        </a:ln>
                      </wps:spPr>
                      <wps:txbx>
                        <w:txbxContent>
                          <w:p w14:paraId="08E57A9F" w14:textId="65ED0FF9" w:rsidR="007228A1" w:rsidRDefault="007228A1" w:rsidP="007228A1">
                            <w:r>
                              <w:rPr>
                                <w:b/>
                                <w:sz w:val="23"/>
                              </w:rPr>
                              <w:t>Note explicative</w:t>
                            </w:r>
                            <w:r w:rsidR="002C57D1">
                              <w:rPr>
                                <w:b/>
                                <w:sz w:val="23"/>
                              </w:rPr>
                              <w:t> </w:t>
                            </w:r>
                            <w:r>
                              <w:rPr>
                                <w:b/>
                                <w:sz w:val="23"/>
                              </w:rPr>
                              <w:t>:</w:t>
                            </w:r>
                            <w:r>
                              <w:rPr>
                                <w:sz w:val="23"/>
                              </w:rPr>
                              <w:t xml:space="preserve"> cette modification permettrait à une partie de conserver une marge de manœuvre pour faire en sorte qu</w:t>
                            </w:r>
                            <w:r w:rsidR="002C57D1">
                              <w:rPr>
                                <w:sz w:val="23"/>
                              </w:rPr>
                              <w:t>’</w:t>
                            </w:r>
                            <w:r>
                              <w:rPr>
                                <w:sz w:val="23"/>
                              </w:rPr>
                              <w:t>il s</w:t>
                            </w:r>
                            <w:r w:rsidR="002C57D1">
                              <w:rPr>
                                <w:sz w:val="23"/>
                              </w:rPr>
                              <w:t>’</w:t>
                            </w:r>
                            <w:r>
                              <w:rPr>
                                <w:sz w:val="23"/>
                              </w:rPr>
                              <w:t>agisse d</w:t>
                            </w:r>
                            <w:r w:rsidR="002C57D1">
                              <w:rPr>
                                <w:sz w:val="23"/>
                              </w:rPr>
                              <w:t>’</w:t>
                            </w:r>
                            <w:r>
                              <w:rPr>
                                <w:sz w:val="23"/>
                              </w:rPr>
                              <w:t xml:space="preserve">une norme minimale, conformément aux autres dispositions du présent instrument.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FCF60" id="Text Box 16" o:spid="_x0000_s1039" type="#_x0000_t202" style="position:absolute;margin-left:.1pt;margin-top:23.9pt;width:461.4pt;height:50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">
                <v:textbox>
                  <w:txbxContent>
                    <w:p w14:paraId="08E57A9F" w14:textId="65ED0FF9" w:rsidR="007228A1" w:rsidRDefault="007228A1" w:rsidP="007228A1">
                      <w:r>
                        <w:rPr>
                          <w:b/>
                          <w:sz w:val="23"/>
                        </w:rPr>
                        <w:t>Note explicative</w:t>
                      </w:r>
                      <w:r w:rsidR="002C57D1">
                        <w:rPr>
                          <w:b/>
                          <w:sz w:val="23"/>
                        </w:rPr>
                        <w:t> </w:t>
                      </w:r>
                      <w:r>
                        <w:rPr>
                          <w:b/>
                          <w:sz w:val="23"/>
                        </w:rPr>
                        <w:t>:</w:t>
                      </w:r>
                      <w:r>
                        <w:rPr>
                          <w:sz w:val="23"/>
                        </w:rPr>
                        <w:t xml:space="preserve"> cette modification permettrait à une partie de conserver une marge de manœuvre pour faire en sorte qu</w:t>
                      </w:r>
                      <w:r w:rsidR="002C57D1">
                        <w:rPr>
                          <w:sz w:val="23"/>
                        </w:rPr>
                        <w:t>’</w:t>
                      </w:r>
                      <w:r>
                        <w:rPr>
                          <w:sz w:val="23"/>
                        </w:rPr>
                        <w:t>il s</w:t>
                      </w:r>
                      <w:r w:rsidR="002C57D1">
                        <w:rPr>
                          <w:sz w:val="23"/>
                        </w:rPr>
                        <w:t>’</w:t>
                      </w:r>
                      <w:r>
                        <w:rPr>
                          <w:sz w:val="23"/>
                        </w:rPr>
                        <w:t>agisse d</w:t>
                      </w:r>
                      <w:r w:rsidR="002C57D1">
                        <w:rPr>
                          <w:sz w:val="23"/>
                        </w:rPr>
                        <w:t>’</w:t>
                      </w:r>
                      <w:r>
                        <w:rPr>
                          <w:sz w:val="23"/>
                        </w:rPr>
                        <w:t xml:space="preserve">une norme minimale, conformément aux autres dispositions du présent instrument. </w:t>
                      </w:r>
                    </w:p>
                  </w:txbxContent>
                </v:textbox>
                <w10:wrap type="square" anchorx="margin"/>
              </v:shape>
            </w:pict>
          </mc:Fallback>
        </mc:AlternateContent>
      </w:r>
    </w:p>
    <w:p w14:paraId="46DE0F55" w14:textId="77777777" w:rsidR="007228A1" w:rsidRPr="00965846" w:rsidRDefault="007228A1" w:rsidP="007228A1">
      <w:pPr>
        <w:rPr>
          <w:szCs w:val="22"/>
          <w:lang w:val="fr-FR"/>
        </w:rPr>
      </w:pPr>
    </w:p>
    <w:p w14:paraId="4FFF1136" w14:textId="77777777" w:rsidR="007228A1" w:rsidRPr="00965846" w:rsidRDefault="007228A1" w:rsidP="007228A1">
      <w:pPr>
        <w:rPr>
          <w:szCs w:val="22"/>
          <w:lang w:val="fr-FR"/>
        </w:rPr>
      </w:pPr>
      <w:r w:rsidRPr="00965846">
        <w:rPr>
          <w:lang w:val="fr-FR"/>
        </w:rPr>
        <w:br w:type="page"/>
      </w:r>
    </w:p>
    <w:p w14:paraId="350E1C8F" w14:textId="77777777" w:rsidR="00145E61" w:rsidRPr="00965846" w:rsidRDefault="007228A1" w:rsidP="007228A1">
      <w:pPr>
        <w:rPr>
          <w:b/>
          <w:lang w:val="fr-FR"/>
        </w:rPr>
      </w:pPr>
      <w:r w:rsidRPr="00965846">
        <w:rPr>
          <w:b/>
          <w:lang w:val="fr-FR"/>
        </w:rPr>
        <w:t>ARTICLE 8</w:t>
      </w:r>
    </w:p>
    <w:p w14:paraId="5B096368" w14:textId="06563A7A" w:rsidR="007228A1" w:rsidRPr="00965846" w:rsidRDefault="007228A1" w:rsidP="007228A1">
      <w:pPr>
        <w:rPr>
          <w:b/>
          <w:szCs w:val="22"/>
          <w:lang w:val="fr-FR"/>
        </w:rPr>
      </w:pPr>
    </w:p>
    <w:p w14:paraId="04E296D5" w14:textId="47FF10B1" w:rsidR="00145E61" w:rsidRPr="00965846" w:rsidRDefault="007228A1" w:rsidP="007228A1">
      <w:pPr>
        <w:rPr>
          <w:b/>
          <w:lang w:val="fr-FR"/>
        </w:rPr>
      </w:pPr>
      <w:r w:rsidRPr="00965846">
        <w:rPr>
          <w:b/>
          <w:lang w:val="fr-FR"/>
        </w:rPr>
        <w:t>RELATION AVEC D</w:t>
      </w:r>
      <w:r w:rsidR="00145E61" w:rsidRPr="00965846">
        <w:rPr>
          <w:b/>
          <w:lang w:val="fr-FR"/>
        </w:rPr>
        <w:t>’</w:t>
      </w:r>
      <w:r w:rsidRPr="00965846">
        <w:rPr>
          <w:b/>
          <w:lang w:val="fr-FR"/>
        </w:rPr>
        <w:t>AUTRES ACCORDS INTERNATIONAUX</w:t>
      </w:r>
    </w:p>
    <w:p w14:paraId="764866D0" w14:textId="796A7A4B" w:rsidR="007228A1" w:rsidRPr="00965846" w:rsidRDefault="007228A1" w:rsidP="007228A1">
      <w:pPr>
        <w:rPr>
          <w:szCs w:val="22"/>
          <w:lang w:val="fr-FR"/>
        </w:rPr>
      </w:pPr>
    </w:p>
    <w:p w14:paraId="23854356" w14:textId="238D51EB" w:rsidR="00145E61" w:rsidRPr="00965846" w:rsidRDefault="007228A1" w:rsidP="007228A1">
      <w:pPr>
        <w:rPr>
          <w:lang w:val="fr-FR"/>
        </w:rPr>
      </w:pPr>
      <w:r w:rsidRPr="00965846">
        <w:rPr>
          <w:lang w:val="fr-FR"/>
        </w:rPr>
        <w:t>Le présent instrument doit être mis en œuvre d</w:t>
      </w:r>
      <w:r w:rsidR="00145E61" w:rsidRPr="00965846">
        <w:rPr>
          <w:lang w:val="fr-FR"/>
        </w:rPr>
        <w:t>’</w:t>
      </w:r>
      <w:r w:rsidRPr="00965846">
        <w:rPr>
          <w:lang w:val="fr-FR"/>
        </w:rPr>
        <w:t xml:space="preserve">une manière complémentaire par rapport aux autres accords internationaux </w:t>
      </w:r>
      <w:r w:rsidRPr="00965846">
        <w:rPr>
          <w:b/>
          <w:color w:val="FF0000"/>
          <w:vertAlign w:val="superscript"/>
          <w:lang w:val="fr-FR"/>
        </w:rPr>
        <w:t>[IN</w:t>
      </w:r>
      <w:r w:rsidR="00852466" w:rsidRPr="00965846">
        <w:rPr>
          <w:b/>
          <w:color w:val="FF0000"/>
          <w:vertAlign w:val="superscript"/>
          <w:lang w:val="fr-FR"/>
        </w:rPr>
        <w:t> :</w:t>
      </w:r>
      <w:r w:rsidRPr="00965846">
        <w:rPr>
          <w:rStyle w:val="FootnoteReference"/>
          <w:color w:val="FF0000"/>
          <w:szCs w:val="22"/>
          <w:lang w:val="fr-FR"/>
        </w:rPr>
        <w:footnoteReference w:id="3"/>
      </w:r>
      <w:r w:rsidRPr="00965846">
        <w:rPr>
          <w:b/>
          <w:color w:val="FF0000"/>
          <w:vertAlign w:val="superscript"/>
          <w:lang w:val="fr-FR"/>
        </w:rPr>
        <w:t>]</w:t>
      </w:r>
      <w:r w:rsidRPr="00965846">
        <w:rPr>
          <w:color w:val="FF0000"/>
          <w:lang w:val="fr-FR"/>
        </w:rPr>
        <w:t xml:space="preserve"> </w:t>
      </w:r>
      <w:r w:rsidRPr="00965846">
        <w:rPr>
          <w:lang w:val="fr-FR"/>
        </w:rPr>
        <w:t>pertinents à son égard</w:t>
      </w:r>
      <w:r w:rsidRPr="00965846">
        <w:rPr>
          <w:rStyle w:val="FootnoteReference"/>
          <w:szCs w:val="22"/>
          <w:lang w:val="fr-FR"/>
        </w:rPr>
        <w:footnoteReference w:id="4"/>
      </w:r>
      <w:r w:rsidRPr="00965846">
        <w:rPr>
          <w:lang w:val="fr-FR"/>
        </w:rPr>
        <w:t>.</w:t>
      </w:r>
    </w:p>
    <w:p w14:paraId="74538ACF" w14:textId="03C123C1" w:rsidR="007228A1" w:rsidRPr="00965846" w:rsidRDefault="007228A1" w:rsidP="007228A1">
      <w:pPr>
        <w:rPr>
          <w:szCs w:val="22"/>
          <w:lang w:val="fr-FR"/>
        </w:rPr>
      </w:pPr>
    </w:p>
    <w:p w14:paraId="44010D8D" w14:textId="77777777" w:rsidR="007228A1" w:rsidRPr="00965846" w:rsidRDefault="007228A1" w:rsidP="007228A1">
      <w:pPr>
        <w:rPr>
          <w:szCs w:val="22"/>
          <w:lang w:val="fr-FR"/>
        </w:rPr>
      </w:pPr>
      <w:r w:rsidRPr="00965846">
        <w:rPr>
          <w:lang w:val="fr-FR"/>
        </w:rPr>
        <w:br w:type="page"/>
      </w:r>
    </w:p>
    <w:p w14:paraId="036BB689" w14:textId="3C729CEE" w:rsidR="00145E61" w:rsidRPr="00965846" w:rsidRDefault="00145E61" w:rsidP="007228A1">
      <w:pPr>
        <w:rPr>
          <w:b/>
          <w:lang w:val="fr-FR"/>
        </w:rPr>
      </w:pPr>
      <w:r w:rsidRPr="00965846">
        <w:rPr>
          <w:b/>
          <w:lang w:val="fr-FR"/>
        </w:rPr>
        <w:t>A</w:t>
      </w:r>
      <w:r w:rsidR="004D7DD8" w:rsidRPr="00965846">
        <w:rPr>
          <w:b/>
          <w:lang w:val="fr-FR"/>
        </w:rPr>
        <w:t>RTICLE</w:t>
      </w:r>
      <w:r w:rsidRPr="00965846">
        <w:rPr>
          <w:b/>
          <w:lang w:val="fr-FR"/>
        </w:rPr>
        <w:t> 1</w:t>
      </w:r>
      <w:r w:rsidR="007228A1" w:rsidRPr="00965846">
        <w:rPr>
          <w:b/>
          <w:lang w:val="fr-FR"/>
        </w:rPr>
        <w:t>0</w:t>
      </w:r>
    </w:p>
    <w:p w14:paraId="60CD9335" w14:textId="4A74F1C4" w:rsidR="007228A1" w:rsidRPr="00965846" w:rsidRDefault="007228A1" w:rsidP="007228A1">
      <w:pPr>
        <w:rPr>
          <w:b/>
          <w:szCs w:val="22"/>
          <w:lang w:val="fr-FR"/>
        </w:rPr>
      </w:pPr>
    </w:p>
    <w:p w14:paraId="64EE8B24" w14:textId="77777777" w:rsidR="00145E61" w:rsidRPr="00965846" w:rsidRDefault="007228A1" w:rsidP="007228A1">
      <w:pPr>
        <w:rPr>
          <w:b/>
          <w:lang w:val="fr-FR"/>
        </w:rPr>
      </w:pPr>
      <w:r w:rsidRPr="00965846">
        <w:rPr>
          <w:b/>
          <w:lang w:val="fr-FR"/>
        </w:rPr>
        <w:t>PRINCIPES GÉNÉRAUX DE MISE EN ŒUVRE</w:t>
      </w:r>
    </w:p>
    <w:p w14:paraId="7C5C0CA1" w14:textId="56466070" w:rsidR="007228A1" w:rsidRPr="00965846" w:rsidRDefault="007228A1" w:rsidP="007228A1">
      <w:pPr>
        <w:rPr>
          <w:szCs w:val="22"/>
          <w:lang w:val="fr-FR"/>
        </w:rPr>
      </w:pPr>
    </w:p>
    <w:p w14:paraId="3AD1454C" w14:textId="670A8BF4" w:rsidR="00145E61" w:rsidRPr="00965846" w:rsidRDefault="007228A1" w:rsidP="007228A1">
      <w:pPr>
        <w:rPr>
          <w:lang w:val="fr-FR"/>
        </w:rPr>
      </w:pPr>
      <w:r w:rsidRPr="00965846">
        <w:rPr>
          <w:lang w:val="fr-FR"/>
        </w:rPr>
        <w:t>L</w:t>
      </w:r>
      <w:r w:rsidR="00145E61" w:rsidRPr="00965846">
        <w:rPr>
          <w:lang w:val="fr-FR"/>
        </w:rPr>
        <w:t>’</w:t>
      </w:r>
      <w:r w:rsidRPr="00965846">
        <w:rPr>
          <w:lang w:val="fr-FR"/>
        </w:rPr>
        <w:t>Inde propose d</w:t>
      </w:r>
      <w:r w:rsidR="00145E61" w:rsidRPr="00965846">
        <w:rPr>
          <w:lang w:val="fr-FR"/>
        </w:rPr>
        <w:t>’</w:t>
      </w:r>
      <w:r w:rsidRPr="00965846">
        <w:rPr>
          <w:lang w:val="fr-FR"/>
        </w:rPr>
        <w:t xml:space="preserve">inclure un </w:t>
      </w:r>
      <w:r w:rsidR="00145E61" w:rsidRPr="00965846">
        <w:rPr>
          <w:lang w:val="fr-FR"/>
        </w:rPr>
        <w:t>article 1</w:t>
      </w:r>
      <w:r w:rsidRPr="00965846">
        <w:rPr>
          <w:lang w:val="fr-FR"/>
        </w:rPr>
        <w:t>0.2) libellé comme suit</w:t>
      </w:r>
      <w:r w:rsidR="00852466" w:rsidRPr="00965846">
        <w:rPr>
          <w:lang w:val="fr-FR"/>
        </w:rPr>
        <w:t> </w:t>
      </w:r>
      <w:r w:rsidRPr="00965846">
        <w:rPr>
          <w:lang w:val="fr-FR"/>
        </w:rPr>
        <w:t>:</w:t>
      </w:r>
    </w:p>
    <w:p w14:paraId="04E4C250" w14:textId="2E5CD7D8" w:rsidR="007228A1" w:rsidRPr="00965846" w:rsidRDefault="007228A1" w:rsidP="007228A1">
      <w:pPr>
        <w:rPr>
          <w:szCs w:val="22"/>
          <w:lang w:val="fr-FR"/>
        </w:rPr>
      </w:pPr>
    </w:p>
    <w:p w14:paraId="3431EF59" w14:textId="1AA801FC" w:rsidR="00145E61" w:rsidRPr="00965846" w:rsidRDefault="007228A1" w:rsidP="007228A1">
      <w:pPr>
        <w:rPr>
          <w:b/>
          <w:color w:val="FF0000"/>
          <w:lang w:val="fr-FR"/>
        </w:rPr>
      </w:pPr>
      <w:r w:rsidRPr="00965846">
        <w:rPr>
          <w:b/>
          <w:color w:val="FF0000"/>
          <w:lang w:val="fr-FR"/>
        </w:rPr>
        <w:t>[IN</w:t>
      </w:r>
      <w:r w:rsidR="00852466" w:rsidRPr="00965846">
        <w:rPr>
          <w:b/>
          <w:color w:val="FF0000"/>
          <w:lang w:val="fr-FR"/>
        </w:rPr>
        <w:t> </w:t>
      </w:r>
      <w:r w:rsidRPr="00965846">
        <w:rPr>
          <w:b/>
          <w:color w:val="FF0000"/>
          <w:lang w:val="fr-FR"/>
        </w:rPr>
        <w:t>:</w:t>
      </w:r>
      <w:r w:rsidRPr="00965846">
        <w:rPr>
          <w:color w:val="FF0000"/>
          <w:lang w:val="fr-FR"/>
        </w:rPr>
        <w:t xml:space="preserve"> 10.2 Les parties contractantes peuvent, sans que cela soit une obligation, prévoir des obligations plus étendues que celles qui sont requises en vertu du présent instrument, que ce soit avant ou après l</w:t>
      </w:r>
      <w:r w:rsidR="00145E61" w:rsidRPr="00965846">
        <w:rPr>
          <w:color w:val="FF0000"/>
          <w:lang w:val="fr-FR"/>
        </w:rPr>
        <w:t>’</w:t>
      </w:r>
      <w:r w:rsidRPr="00965846">
        <w:rPr>
          <w:color w:val="FF0000"/>
          <w:lang w:val="fr-FR"/>
        </w:rPr>
        <w:t>entrée en vigueur de l</w:t>
      </w:r>
      <w:r w:rsidR="00145E61" w:rsidRPr="00965846">
        <w:rPr>
          <w:color w:val="FF0000"/>
          <w:lang w:val="fr-FR"/>
        </w:rPr>
        <w:t>’</w:t>
      </w:r>
      <w:r w:rsidRPr="00965846">
        <w:rPr>
          <w:color w:val="FF0000"/>
          <w:lang w:val="fr-FR"/>
        </w:rPr>
        <w:t>instrument</w:t>
      </w:r>
      <w:r w:rsidRPr="00965846">
        <w:rPr>
          <w:b/>
          <w:color w:val="FF0000"/>
          <w:lang w:val="fr-FR"/>
        </w:rPr>
        <w:t>]</w:t>
      </w:r>
    </w:p>
    <w:p w14:paraId="17D5ED60" w14:textId="095C478F" w:rsidR="007228A1" w:rsidRPr="00965846" w:rsidRDefault="007228A1" w:rsidP="007228A1">
      <w:pPr>
        <w:rPr>
          <w:szCs w:val="22"/>
          <w:lang w:val="fr-FR"/>
        </w:rPr>
      </w:pPr>
    </w:p>
    <w:p w14:paraId="7FA0C930" w14:textId="3A60DB11" w:rsidR="00145E61" w:rsidRPr="00965846" w:rsidRDefault="007228A1" w:rsidP="007228A1">
      <w:pPr>
        <w:rPr>
          <w:lang w:val="fr-FR"/>
        </w:rPr>
      </w:pPr>
      <w:r w:rsidRPr="00965846">
        <w:rPr>
          <w:b/>
          <w:color w:val="FF0000"/>
          <w:lang w:val="fr-FR"/>
        </w:rPr>
        <w:t>[IN</w:t>
      </w:r>
      <w:r w:rsidR="00852466" w:rsidRPr="00965846">
        <w:rPr>
          <w:b/>
          <w:color w:val="FF0000"/>
          <w:lang w:val="fr-FR"/>
        </w:rPr>
        <w:t> </w:t>
      </w:r>
      <w:r w:rsidRPr="00965846">
        <w:rPr>
          <w:b/>
          <w:color w:val="FF0000"/>
          <w:lang w:val="fr-FR"/>
        </w:rPr>
        <w:t>:</w:t>
      </w:r>
      <w:r w:rsidRPr="00965846">
        <w:rPr>
          <w:color w:val="FF0000"/>
          <w:lang w:val="fr-FR"/>
        </w:rPr>
        <w:t xml:space="preserve"> </w:t>
      </w:r>
      <w:r w:rsidRPr="00965846">
        <w:rPr>
          <w:strike/>
          <w:color w:val="FF0000"/>
          <w:lang w:val="fr-FR"/>
        </w:rPr>
        <w:t xml:space="preserve">10.2 </w:t>
      </w:r>
      <w:r w:rsidRPr="00965846">
        <w:rPr>
          <w:color w:val="FF0000"/>
          <w:lang w:val="fr-FR"/>
        </w:rPr>
        <w:t>10.3</w:t>
      </w:r>
      <w:r w:rsidRPr="00965846">
        <w:rPr>
          <w:b/>
          <w:color w:val="FF0000"/>
          <w:lang w:val="fr-FR"/>
        </w:rPr>
        <w:t>]</w:t>
      </w:r>
      <w:r w:rsidRPr="00965846">
        <w:rPr>
          <w:color w:val="FF0000"/>
          <w:lang w:val="fr-FR"/>
        </w:rPr>
        <w:t xml:space="preserve"> </w:t>
      </w:r>
      <w:r w:rsidRPr="00965846">
        <w:rPr>
          <w:lang w:val="fr-FR"/>
        </w:rPr>
        <w:t>Rien ne doit empêcher les parties contractantes de déterminer la méthode appropriée pour mettre en œuvre les dispositions du présent instrument dans le cadre de leurs propres systèmes et pratiques juridiques.</w:t>
      </w:r>
    </w:p>
    <w:p w14:paraId="733C6054" w14:textId="7AB7FE39" w:rsidR="007228A1" w:rsidRPr="00965846" w:rsidRDefault="007228A1" w:rsidP="007228A1">
      <w:pPr>
        <w:rPr>
          <w:szCs w:val="22"/>
          <w:lang w:val="fr-FR"/>
        </w:rPr>
      </w:pPr>
    </w:p>
    <w:p w14:paraId="6E487BA9" w14:textId="4A1A5A08" w:rsidR="007228A1" w:rsidRPr="00965846" w:rsidRDefault="00BA0A24" w:rsidP="007228A1">
      <w:pPr>
        <w:rPr>
          <w:szCs w:val="22"/>
          <w:lang w:val="fr-FR"/>
        </w:rPr>
      </w:pPr>
      <w:r w:rsidRPr="00965846">
        <w:rPr>
          <w:noProof/>
          <w:lang w:val="fr-FR"/>
        </w:rPr>
        <mc:AlternateContent>
          <mc:Choice Requires="wps">
            <w:drawing>
              <wp:anchor distT="45720" distB="45720" distL="114300" distR="114300" simplePos="0" relativeHeight="251673600" behindDoc="0" locked="0" layoutInCell="1" allowOverlap="1" wp14:anchorId="115A7D63" wp14:editId="32C039A3">
                <wp:simplePos x="0" y="0"/>
                <wp:positionH relativeFrom="margin">
                  <wp:posOffset>-1270</wp:posOffset>
                </wp:positionH>
                <wp:positionV relativeFrom="paragraph">
                  <wp:posOffset>224155</wp:posOffset>
                </wp:positionV>
                <wp:extent cx="5859780" cy="1477645"/>
                <wp:effectExtent l="0" t="0" r="26670" b="2730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477645"/>
                        </a:xfrm>
                        <a:prstGeom prst="rect">
                          <a:avLst/>
                        </a:prstGeom>
                        <a:solidFill>
                          <a:srgbClr val="FFFFFF"/>
                        </a:solidFill>
                        <a:ln w="9525">
                          <a:solidFill>
                            <a:srgbClr val="000000"/>
                          </a:solidFill>
                          <a:miter lim="800000"/>
                          <a:headEnd/>
                          <a:tailEnd/>
                        </a:ln>
                      </wps:spPr>
                      <wps:txbx>
                        <w:txbxContent>
                          <w:p w14:paraId="566DA7F7" w14:textId="2D873E57" w:rsidR="007228A1" w:rsidRPr="00263757" w:rsidRDefault="007228A1" w:rsidP="007228A1">
                            <w:pPr>
                              <w:rPr>
                                <w:sz w:val="23"/>
                                <w:szCs w:val="23"/>
                              </w:rPr>
                            </w:pPr>
                            <w:r>
                              <w:rPr>
                                <w:b/>
                                <w:sz w:val="23"/>
                              </w:rPr>
                              <w:t>Note explicative</w:t>
                            </w:r>
                            <w:r w:rsidR="002C57D1">
                              <w:rPr>
                                <w:b/>
                                <w:sz w:val="23"/>
                              </w:rPr>
                              <w:t> </w:t>
                            </w:r>
                            <w:r>
                              <w:rPr>
                                <w:b/>
                                <w:sz w:val="23"/>
                              </w:rPr>
                              <w:t>:</w:t>
                            </w:r>
                            <w:r>
                              <w:rPr>
                                <w:sz w:val="23"/>
                              </w:rPr>
                              <w:t xml:space="preserve"> cette disposition a été insérée en tenant compte du fait que les instruments internationaux de propriété intellectuelle prévoient généralement des normes minimales assorties d’éléments de flexibilité permettant aux États membres de mettre en œuvre ces normes. </w:t>
                            </w:r>
                            <w:r w:rsidR="002C57D1">
                              <w:rPr>
                                <w:sz w:val="23"/>
                              </w:rPr>
                              <w:t xml:space="preserve"> </w:t>
                            </w:r>
                            <w:r>
                              <w:rPr>
                                <w:sz w:val="23"/>
                              </w:rPr>
                              <w:t>En outre, cela permettrait aux États membres de conserver une certaine marge de manœuvre, en particulier pour ceux qui ont déjà mis en place des régimes de divulgation, tout en veillant à ce que cette marge de manœuvre ne compromette pas les avantages découlant d’un ensemble homogène de normes internationales dans ce domaine.</w:t>
                            </w:r>
                          </w:p>
                          <w:p w14:paraId="47D1959B" w14:textId="77777777" w:rsidR="007228A1" w:rsidRDefault="007228A1" w:rsidP="007228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A7D63" id="Text Box 17" o:spid="_x0000_s1040" type="#_x0000_t202" style="position:absolute;margin-left:-.1pt;margin-top:17.65pt;width:461.4pt;height:116.3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">
                <v:textbox>
                  <w:txbxContent>
                    <w:p w14:paraId="566DA7F7" w14:textId="2D873E57" w:rsidR="007228A1" w:rsidRPr="00263757" w:rsidRDefault="007228A1" w:rsidP="007228A1">
                      <w:pPr>
                        <w:rPr>
                          <w:sz w:val="23"/>
                          <w:szCs w:val="23"/>
                        </w:rPr>
                      </w:pPr>
                      <w:r>
                        <w:rPr>
                          <w:b/>
                          <w:sz w:val="23"/>
                        </w:rPr>
                        <w:t>Note explicative</w:t>
                      </w:r>
                      <w:r w:rsidR="002C57D1">
                        <w:rPr>
                          <w:b/>
                          <w:sz w:val="23"/>
                        </w:rPr>
                        <w:t> </w:t>
                      </w:r>
                      <w:r>
                        <w:rPr>
                          <w:b/>
                          <w:sz w:val="23"/>
                        </w:rPr>
                        <w:t>:</w:t>
                      </w:r>
                      <w:r>
                        <w:rPr>
                          <w:sz w:val="23"/>
                        </w:rPr>
                        <w:t xml:space="preserve"> cette disposition a été insérée en tenant compte du fait que les instruments internationaux de propriété intellectuelle prévoient généralement des normes minimales assorties d’éléments de flexibilité permettant aux États membres de mettre en œuvre ces normes. </w:t>
                      </w:r>
                      <w:r w:rsidR="002C57D1">
                        <w:rPr>
                          <w:sz w:val="23"/>
                        </w:rPr>
                        <w:t xml:space="preserve"> </w:t>
                      </w:r>
                      <w:r>
                        <w:rPr>
                          <w:sz w:val="23"/>
                        </w:rPr>
                        <w:t>En outre, cela permettrait aux États membres de conserver une certaine marge de manœuvre, en particulier pour ceux qui ont déjà mis en place des régimes de divulgation, tout en veillant à ce que cette marge de manœuvre ne compromette pas les avantages découlant d’un ensemble homogène de normes internationales dans ce domaine.</w:t>
                      </w:r>
                    </w:p>
                    <w:p w14:paraId="47D1959B" w14:textId="77777777" w:rsidR="007228A1" w:rsidRDefault="007228A1" w:rsidP="007228A1"/>
                  </w:txbxContent>
                </v:textbox>
                <w10:wrap type="square" anchorx="margin"/>
              </v:shape>
            </w:pict>
          </mc:Fallback>
        </mc:AlternateContent>
      </w:r>
    </w:p>
    <w:p w14:paraId="228DE5DA" w14:textId="1D791718" w:rsidR="000F5E56" w:rsidRPr="00965846" w:rsidRDefault="007228A1" w:rsidP="007228A1">
      <w:pPr>
        <w:pStyle w:val="Endofdocument-Annex"/>
        <w:rPr>
          <w:szCs w:val="22"/>
          <w:lang w:val="fr-FR"/>
        </w:rPr>
      </w:pPr>
      <w:r w:rsidRPr="00965846">
        <w:rPr>
          <w:lang w:val="fr-FR"/>
        </w:rPr>
        <w:t>[Fin de l</w:t>
      </w:r>
      <w:r w:rsidR="00145E61" w:rsidRPr="00965846">
        <w:rPr>
          <w:lang w:val="fr-FR"/>
        </w:rPr>
        <w:t>’</w:t>
      </w:r>
      <w:r w:rsidRPr="00965846">
        <w:rPr>
          <w:lang w:val="fr-FR"/>
        </w:rPr>
        <w:t>annexe et du document]</w:t>
      </w:r>
    </w:p>
    <w:sectPr w:rsidR="000F5E56" w:rsidRPr="00965846" w:rsidSect="007228A1">
      <w:headerReference w:type="default" r:id="rId16"/>
      <w:head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D2229" w14:textId="77777777" w:rsidR="007228A1" w:rsidRDefault="007228A1">
      <w:r>
        <w:separator/>
      </w:r>
    </w:p>
  </w:endnote>
  <w:endnote w:type="continuationSeparator" w:id="0">
    <w:p w14:paraId="0C12F1C7" w14:textId="77777777" w:rsidR="007228A1" w:rsidRPr="009D30E6" w:rsidRDefault="007228A1" w:rsidP="00D45252">
      <w:pPr>
        <w:rPr>
          <w:sz w:val="17"/>
          <w:szCs w:val="17"/>
        </w:rPr>
      </w:pPr>
      <w:r w:rsidRPr="009D30E6">
        <w:rPr>
          <w:sz w:val="17"/>
          <w:szCs w:val="17"/>
        </w:rPr>
        <w:separator/>
      </w:r>
    </w:p>
    <w:p w14:paraId="4DD215FD" w14:textId="77777777" w:rsidR="007228A1" w:rsidRPr="009D30E6" w:rsidRDefault="007228A1" w:rsidP="00D45252">
      <w:pPr>
        <w:spacing w:after="60"/>
        <w:rPr>
          <w:sz w:val="17"/>
          <w:szCs w:val="17"/>
        </w:rPr>
      </w:pPr>
      <w:r w:rsidRPr="009D30E6">
        <w:rPr>
          <w:sz w:val="17"/>
          <w:szCs w:val="17"/>
        </w:rPr>
        <w:t>[Suite de la note de la page précédente]</w:t>
      </w:r>
    </w:p>
  </w:endnote>
  <w:endnote w:type="continuationNotice" w:id="1">
    <w:p w14:paraId="676F83D9" w14:textId="77777777" w:rsidR="007228A1" w:rsidRPr="009D30E6" w:rsidRDefault="007228A1"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4545" w14:textId="77777777" w:rsidR="007C44E1" w:rsidRDefault="007C4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86DF" w14:textId="77777777" w:rsidR="007C44E1" w:rsidRDefault="007C44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85E7" w14:textId="77777777" w:rsidR="007C44E1" w:rsidRDefault="007C4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2412C" w14:textId="77777777" w:rsidR="007228A1" w:rsidRDefault="007228A1">
      <w:r>
        <w:separator/>
      </w:r>
    </w:p>
  </w:footnote>
  <w:footnote w:type="continuationSeparator" w:id="0">
    <w:p w14:paraId="1CC42928" w14:textId="77777777" w:rsidR="007228A1" w:rsidRDefault="007228A1" w:rsidP="007461F1">
      <w:r>
        <w:separator/>
      </w:r>
    </w:p>
    <w:p w14:paraId="2C6B9DD4" w14:textId="77777777" w:rsidR="007228A1" w:rsidRPr="009D30E6" w:rsidRDefault="007228A1" w:rsidP="007461F1">
      <w:pPr>
        <w:spacing w:after="60"/>
        <w:rPr>
          <w:sz w:val="17"/>
          <w:szCs w:val="17"/>
        </w:rPr>
      </w:pPr>
      <w:r w:rsidRPr="009D30E6">
        <w:rPr>
          <w:sz w:val="17"/>
          <w:szCs w:val="17"/>
        </w:rPr>
        <w:t>[Suite de la note de la page précédente]</w:t>
      </w:r>
    </w:p>
  </w:footnote>
  <w:footnote w:type="continuationNotice" w:id="1">
    <w:p w14:paraId="0FC2B3CB" w14:textId="77777777" w:rsidR="007228A1" w:rsidRPr="009D30E6" w:rsidRDefault="007228A1" w:rsidP="007461F1">
      <w:pPr>
        <w:spacing w:before="60"/>
        <w:jc w:val="right"/>
        <w:rPr>
          <w:sz w:val="17"/>
          <w:szCs w:val="17"/>
        </w:rPr>
      </w:pPr>
      <w:r w:rsidRPr="009D30E6">
        <w:rPr>
          <w:sz w:val="17"/>
          <w:szCs w:val="17"/>
        </w:rPr>
        <w:t>[Suite de la note page suivante]</w:t>
      </w:r>
    </w:p>
  </w:footnote>
  <w:footnote w:id="2">
    <w:p w14:paraId="3A373CD4" w14:textId="4CD9B998" w:rsidR="007228A1" w:rsidRPr="005D45AC" w:rsidRDefault="007228A1" w:rsidP="007228A1">
      <w:pPr>
        <w:pStyle w:val="FootnoteText"/>
        <w:rPr>
          <w:szCs w:val="18"/>
        </w:rPr>
      </w:pPr>
      <w:r>
        <w:rPr>
          <w:rStyle w:val="FootnoteReference"/>
          <w:szCs w:val="18"/>
        </w:rPr>
        <w:footnoteRef/>
      </w:r>
      <w:r>
        <w:t xml:space="preserve"> </w:t>
      </w:r>
      <w:r w:rsidR="004D7DD8">
        <w:tab/>
      </w:r>
      <w:r>
        <w:rPr>
          <w:color w:val="FF0000"/>
        </w:rPr>
        <w:t>Sous réserve que cette obligation ne naisse qu</w:t>
      </w:r>
      <w:r w:rsidR="00656D58">
        <w:rPr>
          <w:color w:val="FF0000"/>
        </w:rPr>
        <w:t>’</w:t>
      </w:r>
      <w:r>
        <w:rPr>
          <w:color w:val="FF0000"/>
        </w:rPr>
        <w:t>avant la délivrance du brevet.</w:t>
      </w:r>
    </w:p>
  </w:footnote>
  <w:footnote w:id="3">
    <w:p w14:paraId="74256BE7" w14:textId="62E17E3E" w:rsidR="007228A1" w:rsidRPr="005D45AC" w:rsidRDefault="007228A1" w:rsidP="007228A1">
      <w:pPr>
        <w:pStyle w:val="FootnoteText"/>
      </w:pPr>
      <w:r>
        <w:rPr>
          <w:rStyle w:val="FootnoteReference"/>
        </w:rPr>
        <w:footnoteRef/>
      </w:r>
      <w:r>
        <w:t xml:space="preserve"> </w:t>
      </w:r>
      <w:r w:rsidR="004D7DD8">
        <w:tab/>
      </w:r>
      <w:r>
        <w:rPr>
          <w:b/>
          <w:color w:val="FF0000"/>
        </w:rPr>
        <w:t>[IN</w:t>
      </w:r>
      <w:r w:rsidR="00656D58">
        <w:rPr>
          <w:b/>
          <w:color w:val="FF0000"/>
        </w:rPr>
        <w:t> :</w:t>
      </w:r>
      <w:r>
        <w:rPr>
          <w:color w:val="FF0000"/>
        </w:rPr>
        <w:t xml:space="preserve"> Il s</w:t>
      </w:r>
      <w:r w:rsidR="00656D58">
        <w:rPr>
          <w:color w:val="FF0000"/>
        </w:rPr>
        <w:t>’</w:t>
      </w:r>
      <w:r>
        <w:rPr>
          <w:color w:val="FF0000"/>
        </w:rPr>
        <w:t xml:space="preserve">agit notamment de la Convention sur la diversité biologique, du Protocole de Nagoya et du Traité international sur les ressources </w:t>
      </w:r>
      <w:proofErr w:type="spellStart"/>
      <w:r>
        <w:rPr>
          <w:color w:val="FF0000"/>
        </w:rPr>
        <w:t>phytogénétiques</w:t>
      </w:r>
      <w:proofErr w:type="spellEnd"/>
      <w:r>
        <w:rPr>
          <w:color w:val="FF0000"/>
        </w:rPr>
        <w:t xml:space="preserve"> pour l</w:t>
      </w:r>
      <w:r w:rsidR="00656D58">
        <w:rPr>
          <w:color w:val="FF0000"/>
        </w:rPr>
        <w:t>’</w:t>
      </w:r>
      <w:r>
        <w:rPr>
          <w:color w:val="FF0000"/>
        </w:rPr>
        <w:t>alimentation et l</w:t>
      </w:r>
      <w:r w:rsidR="00656D58">
        <w:rPr>
          <w:color w:val="FF0000"/>
        </w:rPr>
        <w:t>’</w:t>
      </w:r>
      <w:r>
        <w:rPr>
          <w:color w:val="FF0000"/>
        </w:rPr>
        <w:t>agriculture</w:t>
      </w:r>
      <w:r>
        <w:rPr>
          <w:b/>
          <w:color w:val="FF0000"/>
        </w:rPr>
        <w:t>]</w:t>
      </w:r>
    </w:p>
  </w:footnote>
  <w:footnote w:id="4">
    <w:p w14:paraId="5AA9636B" w14:textId="7FB4F54C" w:rsidR="007228A1" w:rsidRPr="005D45AC" w:rsidRDefault="007228A1" w:rsidP="007228A1">
      <w:pPr>
        <w:pStyle w:val="FootnoteText"/>
      </w:pPr>
      <w:r>
        <w:rPr>
          <w:rStyle w:val="FootnoteReference"/>
        </w:rPr>
        <w:footnoteRef/>
      </w:r>
      <w:r>
        <w:rPr>
          <w:b/>
        </w:rPr>
        <w:t xml:space="preserve"> </w:t>
      </w:r>
      <w:r w:rsidR="004D7DD8">
        <w:rPr>
          <w:b/>
        </w:rPr>
        <w:tab/>
      </w:r>
      <w:r>
        <w:rPr>
          <w:b/>
        </w:rPr>
        <w:t>Déclaration commune relative à l</w:t>
      </w:r>
      <w:r w:rsidR="00656D58">
        <w:rPr>
          <w:b/>
        </w:rPr>
        <w:t>’article 8 :</w:t>
      </w:r>
      <w:r>
        <w:t xml:space="preserve"> Les parties contractantes demandent à l</w:t>
      </w:r>
      <w:r w:rsidR="00656D58">
        <w:t>’</w:t>
      </w:r>
      <w:r>
        <w:t>assemblée de l</w:t>
      </w:r>
      <w:r w:rsidR="00656D58">
        <w:t>’</w:t>
      </w:r>
      <w:r>
        <w:t>Union internationale de coopération en matière de brevets d</w:t>
      </w:r>
      <w:r w:rsidR="00656D58">
        <w:t>’</w:t>
      </w:r>
      <w:r>
        <w:t>examiner la nécessité de modifier le règlement d</w:t>
      </w:r>
      <w:r w:rsidR="00656D58">
        <w:t>’</w:t>
      </w:r>
      <w:r>
        <w:t>exécution du Traité de coopération en matière de brevets (PCT) ou ses instructions administratives dans la perspective de donner aux déposants de demandes internationales selon</w:t>
      </w:r>
      <w:r w:rsidR="00656D58">
        <w:t xml:space="preserve"> le PCT</w:t>
      </w:r>
      <w:r>
        <w:t xml:space="preserve"> désignant un État contractant</w:t>
      </w:r>
      <w:r w:rsidR="00656D58">
        <w:t xml:space="preserve"> du PCT</w:t>
      </w:r>
      <w:r>
        <w:t xml:space="preserve"> qui, en vertu de sa législation nationale applicable, exige la divulgation des ressources génétiques et des savoirs traditionnels connexes, de satisfaire aux exigences quant à la forme relatives à cette obligation de divulgation soit au moment du dépôt de la demande internationale, avec effet pour tous les États contractants, soit ultérieurement, à l</w:t>
      </w:r>
      <w:r w:rsidR="00656D58">
        <w:t>’</w:t>
      </w:r>
      <w:r>
        <w:t>entrée dans la phase nationale auprès de l</w:t>
      </w:r>
      <w:r w:rsidR="00656D58">
        <w:t>’</w:t>
      </w:r>
      <w:r>
        <w:t>office d</w:t>
      </w:r>
      <w:r w:rsidR="00656D58">
        <w:t>’</w:t>
      </w:r>
      <w:r>
        <w:t>un des États contractants.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D134" w14:textId="77777777" w:rsidR="007C44E1" w:rsidRDefault="007C4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5E72" w14:textId="77777777" w:rsidR="007228A1" w:rsidRDefault="007228A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C872" w14:textId="77777777" w:rsidR="007228A1" w:rsidRDefault="007228A1" w:rsidP="007F2F93">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20AD" w14:textId="77777777" w:rsidR="007228A1" w:rsidRPr="002326AB" w:rsidRDefault="007228A1" w:rsidP="00477D6B">
    <w:pPr>
      <w:jc w:val="right"/>
      <w:rPr>
        <w:caps/>
      </w:rPr>
    </w:pPr>
    <w:r>
      <w:rPr>
        <w:caps/>
      </w:rPr>
      <w:t>WIPO/GRTKF/IC/SS/GE/23/3</w:t>
    </w:r>
  </w:p>
  <w:p w14:paraId="06B3863C" w14:textId="77777777" w:rsidR="007228A1" w:rsidRDefault="007228A1" w:rsidP="00BA0A24">
    <w:pPr>
      <w:spacing w:after="480"/>
      <w:jc w:val="right"/>
    </w:pPr>
    <w:r>
      <w:t>ANNEXE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1165" w14:textId="77777777" w:rsidR="00F16975" w:rsidRPr="00B45C15" w:rsidRDefault="007228A1" w:rsidP="00477D6B">
    <w:pPr>
      <w:jc w:val="right"/>
      <w:rPr>
        <w:caps/>
      </w:rPr>
    </w:pPr>
    <w:bookmarkStart w:id="5" w:name="Code2"/>
    <w:bookmarkEnd w:id="5"/>
    <w:r>
      <w:rPr>
        <w:caps/>
      </w:rPr>
      <w:t>WIPO/GRTKF/IC/SS/GE/23/3</w:t>
    </w:r>
  </w:p>
  <w:p w14:paraId="1B1B6E22" w14:textId="088068AD" w:rsidR="00574036" w:rsidRDefault="00BA0A24" w:rsidP="007228A1">
    <w:pPr>
      <w:spacing w:after="480"/>
      <w:jc w:val="right"/>
    </w:pPr>
    <w:r>
      <w:t xml:space="preserve">Annexe, </w:t>
    </w:r>
    <w:r w:rsidR="007228A1">
      <w:t>p</w:t>
    </w:r>
    <w:r w:rsidR="00F16975">
      <w:t>age</w:t>
    </w:r>
    <w:r w:rsidR="007228A1">
      <w:t> </w:t>
    </w:r>
    <w:r w:rsidR="00F16975">
      <w:fldChar w:fldCharType="begin"/>
    </w:r>
    <w:r w:rsidR="00F16975">
      <w:instrText xml:space="preserve"> PAGE  \* MERGEFORMAT </w:instrText>
    </w:r>
    <w:r w:rsidR="00F16975">
      <w:fldChar w:fldCharType="separate"/>
    </w:r>
    <w:r w:rsidR="00B45C15">
      <w:rPr>
        <w:noProof/>
      </w:rPr>
      <w:t>2</w:t>
    </w:r>
    <w:r w:rsidR="00F16975">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78AC" w14:textId="4F10E647" w:rsidR="00BA0A24" w:rsidRDefault="00BA0A24" w:rsidP="00BA0A24">
    <w:pPr>
      <w:spacing w:after="48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42703777">
    <w:abstractNumId w:val="2"/>
  </w:num>
  <w:num w:numId="2" w16cid:durableId="451899284">
    <w:abstractNumId w:val="4"/>
  </w:num>
  <w:num w:numId="3" w16cid:durableId="1125271151">
    <w:abstractNumId w:val="0"/>
  </w:num>
  <w:num w:numId="4" w16cid:durableId="1231386844">
    <w:abstractNumId w:val="5"/>
  </w:num>
  <w:num w:numId="5" w16cid:durableId="780031092">
    <w:abstractNumId w:val="1"/>
  </w:num>
  <w:num w:numId="6" w16cid:durableId="9825432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8A1"/>
    <w:rsid w:val="00011B7D"/>
    <w:rsid w:val="00075432"/>
    <w:rsid w:val="0009458A"/>
    <w:rsid w:val="000F5E56"/>
    <w:rsid w:val="001362EE"/>
    <w:rsid w:val="00145E61"/>
    <w:rsid w:val="001832A6"/>
    <w:rsid w:val="00195C6E"/>
    <w:rsid w:val="001B266A"/>
    <w:rsid w:val="001B488E"/>
    <w:rsid w:val="001C6508"/>
    <w:rsid w:val="001D3D56"/>
    <w:rsid w:val="00240654"/>
    <w:rsid w:val="002634C4"/>
    <w:rsid w:val="002956DE"/>
    <w:rsid w:val="002C57D1"/>
    <w:rsid w:val="002E4D1A"/>
    <w:rsid w:val="002F16BC"/>
    <w:rsid w:val="002F4E68"/>
    <w:rsid w:val="00322C0B"/>
    <w:rsid w:val="00381798"/>
    <w:rsid w:val="003845C1"/>
    <w:rsid w:val="003A67A3"/>
    <w:rsid w:val="004008A2"/>
    <w:rsid w:val="004025DF"/>
    <w:rsid w:val="0040540C"/>
    <w:rsid w:val="00423E3E"/>
    <w:rsid w:val="00427AF4"/>
    <w:rsid w:val="004647DA"/>
    <w:rsid w:val="00477D6B"/>
    <w:rsid w:val="004D6471"/>
    <w:rsid w:val="004D7DD8"/>
    <w:rsid w:val="0051455D"/>
    <w:rsid w:val="00525B63"/>
    <w:rsid w:val="00525E59"/>
    <w:rsid w:val="00541348"/>
    <w:rsid w:val="005421DD"/>
    <w:rsid w:val="00554FA5"/>
    <w:rsid w:val="0056287B"/>
    <w:rsid w:val="00567A4C"/>
    <w:rsid w:val="00574036"/>
    <w:rsid w:val="00595F07"/>
    <w:rsid w:val="005E6516"/>
    <w:rsid w:val="005F4D27"/>
    <w:rsid w:val="00605827"/>
    <w:rsid w:val="00616671"/>
    <w:rsid w:val="00656D58"/>
    <w:rsid w:val="006B0DB5"/>
    <w:rsid w:val="007228A1"/>
    <w:rsid w:val="007461F1"/>
    <w:rsid w:val="00792657"/>
    <w:rsid w:val="007C44E1"/>
    <w:rsid w:val="007D6961"/>
    <w:rsid w:val="007F07CB"/>
    <w:rsid w:val="00810CEF"/>
    <w:rsid w:val="0081208D"/>
    <w:rsid w:val="0081262E"/>
    <w:rsid w:val="00852466"/>
    <w:rsid w:val="008B2CC1"/>
    <w:rsid w:val="008D41C3"/>
    <w:rsid w:val="008E7930"/>
    <w:rsid w:val="0090731E"/>
    <w:rsid w:val="00965846"/>
    <w:rsid w:val="00966A22"/>
    <w:rsid w:val="00974CD6"/>
    <w:rsid w:val="009D30E6"/>
    <w:rsid w:val="009E3F6F"/>
    <w:rsid w:val="009F499F"/>
    <w:rsid w:val="00A11D74"/>
    <w:rsid w:val="00AC0AE4"/>
    <w:rsid w:val="00AD61DB"/>
    <w:rsid w:val="00B1090C"/>
    <w:rsid w:val="00B35AF5"/>
    <w:rsid w:val="00B45C15"/>
    <w:rsid w:val="00BA0A24"/>
    <w:rsid w:val="00BB72AF"/>
    <w:rsid w:val="00BE0BE0"/>
    <w:rsid w:val="00C21CC0"/>
    <w:rsid w:val="00C664C8"/>
    <w:rsid w:val="00CA6F4E"/>
    <w:rsid w:val="00CF0460"/>
    <w:rsid w:val="00D43E0F"/>
    <w:rsid w:val="00D45252"/>
    <w:rsid w:val="00D633C2"/>
    <w:rsid w:val="00D71B4D"/>
    <w:rsid w:val="00D75C1E"/>
    <w:rsid w:val="00D916B8"/>
    <w:rsid w:val="00D93D55"/>
    <w:rsid w:val="00DB1C48"/>
    <w:rsid w:val="00DD4917"/>
    <w:rsid w:val="00DD6A16"/>
    <w:rsid w:val="00E0091A"/>
    <w:rsid w:val="00E203AA"/>
    <w:rsid w:val="00E5217A"/>
    <w:rsid w:val="00E527A5"/>
    <w:rsid w:val="00E76456"/>
    <w:rsid w:val="00EE71CB"/>
    <w:rsid w:val="00F16975"/>
    <w:rsid w:val="00F22365"/>
    <w:rsid w:val="00F66152"/>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CBC56"/>
  <w15:docId w15:val="{9DC9F0EC-6FB5-476F-BB36-92EF1797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7228A1"/>
    <w:pPr>
      <w:spacing w:before="720"/>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FooterChar">
    <w:name w:val="Footer Char"/>
    <w:basedOn w:val="DefaultParagraphFont"/>
    <w:link w:val="Footer"/>
    <w:semiHidden/>
    <w:rsid w:val="007228A1"/>
    <w:rPr>
      <w:rFonts w:ascii="Arial" w:eastAsia="SimSun" w:hAnsi="Arial" w:cs="Arial"/>
      <w:sz w:val="22"/>
      <w:lang w:eastAsia="zh-CN"/>
    </w:rPr>
  </w:style>
  <w:style w:type="character" w:customStyle="1" w:styleId="HeaderChar">
    <w:name w:val="Header Char"/>
    <w:basedOn w:val="DefaultParagraphFont"/>
    <w:link w:val="Header"/>
    <w:uiPriority w:val="99"/>
    <w:rsid w:val="007228A1"/>
    <w:rPr>
      <w:rFonts w:ascii="Arial" w:eastAsia="SimSun" w:hAnsi="Arial" w:cs="Arial"/>
      <w:sz w:val="22"/>
      <w:lang w:eastAsia="zh-CN"/>
    </w:rPr>
  </w:style>
  <w:style w:type="paragraph" w:customStyle="1" w:styleId="Default">
    <w:name w:val="Default"/>
    <w:rsid w:val="007228A1"/>
    <w:pPr>
      <w:autoSpaceDE w:val="0"/>
      <w:autoSpaceDN w:val="0"/>
      <w:adjustRightInd w:val="0"/>
    </w:pPr>
    <w:rPr>
      <w:rFonts w:ascii="Calibri" w:hAnsi="Calibri" w:cs="Calibri"/>
      <w:color w:val="000000"/>
      <w:sz w:val="24"/>
      <w:szCs w:val="24"/>
      <w:lang w:val="fr-FR"/>
    </w:rPr>
  </w:style>
  <w:style w:type="character" w:styleId="FootnoteReference">
    <w:name w:val="footnote reference"/>
    <w:basedOn w:val="DefaultParagraphFont"/>
    <w:semiHidden/>
    <w:unhideWhenUsed/>
    <w:rsid w:val="007228A1"/>
    <w:rPr>
      <w:vertAlign w:val="superscript"/>
    </w:rPr>
  </w:style>
  <w:style w:type="paragraph" w:styleId="Title">
    <w:name w:val="Title"/>
    <w:basedOn w:val="Heading1"/>
    <w:next w:val="Normal"/>
    <w:link w:val="TitleChar"/>
    <w:qFormat/>
    <w:rsid w:val="007228A1"/>
    <w:pPr>
      <w:spacing w:before="0" w:after="480"/>
    </w:pPr>
    <w:rPr>
      <w:caps w:val="0"/>
      <w:sz w:val="28"/>
    </w:rPr>
  </w:style>
  <w:style w:type="character" w:customStyle="1" w:styleId="TitleChar">
    <w:name w:val="Title Char"/>
    <w:basedOn w:val="DefaultParagraphFont"/>
    <w:link w:val="Title"/>
    <w:rsid w:val="007228A1"/>
    <w:rPr>
      <w:rFonts w:ascii="Arial" w:eastAsia="SimSun" w:hAnsi="Arial" w:cs="Arial"/>
      <w:b/>
      <w:bCs/>
      <w:kern w:val="32"/>
      <w:sz w:val="28"/>
      <w:szCs w:val="32"/>
      <w:lang w:eastAsia="zh-CN"/>
    </w:rPr>
  </w:style>
  <w:style w:type="character" w:styleId="Hyperlink">
    <w:name w:val="Hyperlink"/>
    <w:basedOn w:val="DefaultParagraphFont"/>
    <w:semiHidden/>
    <w:unhideWhenUsed/>
    <w:rsid w:val="00F22365"/>
    <w:rPr>
      <w:color w:val="0000FF" w:themeColor="hyperlink"/>
      <w:u w:val="single"/>
    </w:rPr>
  </w:style>
  <w:style w:type="paragraph" w:styleId="ListParagraph">
    <w:name w:val="List Paragraph"/>
    <w:basedOn w:val="Normal"/>
    <w:uiPriority w:val="34"/>
    <w:qFormat/>
    <w:rsid w:val="005F4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SS_GE_23%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595BF-F64F-4AF8-A34F-C0BF32868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WIPO_GRTKF_IC_SS_GE_23 (F).dotm</Template>
  <TotalTime>82</TotalTime>
  <Pages>12</Pages>
  <Words>1643</Words>
  <Characters>9371</Characters>
  <Application>Microsoft Office Word</Application>
  <DocSecurity>0</DocSecurity>
  <Lines>493</Lines>
  <Paragraphs>275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WIPO/GRTKF/IC/SS/GE/23/3</vt:lpstr>
      <vt:lpstr>Session spéciale du Comité intergouvernemental de la propriété intellectuelle re</vt:lpstr>
      <vt:lpstr>    Genève, 4 – 8 septembre 2023</vt:lpstr>
    </vt:vector>
  </TitlesOfParts>
  <Company>WIPO</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WIPO/GRTKF/IC/SS/GE/23/3</dc:title>
  <dc:creator>OLIVIÉ Karen</dc:creator>
  <cp:keywords>FOR OFFICIAL USE ONLY</cp:keywords>
  <cp:lastModifiedBy>OLIVIÉ Karen</cp:lastModifiedBy>
  <cp:revision>9</cp:revision>
  <cp:lastPrinted>2011-05-19T12:37:00Z</cp:lastPrinted>
  <dcterms:created xsi:type="dcterms:W3CDTF">2023-08-30T06:17:00Z</dcterms:created>
  <dcterms:modified xsi:type="dcterms:W3CDTF">2023-08-30T08:15:00Z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2023-08-30T08:14:31Z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f99462c1-2acd-45eb-b4c6-12dbf03089f1</vt:lpwstr>
  </property>
  <property fmtid="{D5CDD505-2E9C-101B-9397-08002B2CF9AE}" pid="13" name="MSIP_Label_20773ee6-353b-4fb9-a59d-0b94c8c67bea_ContentBits">
    <vt:lpwstr>0</vt:lpwstr>
  </property>
</Properties>
</file>