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75827" w:rsidRPr="00775827" w:rsidTr="004D4FB0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A778E" w:rsidRPr="00775827" w:rsidRDefault="009A778E" w:rsidP="004D4FB0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A778E" w:rsidRPr="00775827" w:rsidRDefault="009A778E" w:rsidP="004D4FB0">
            <w:pPr>
              <w:rPr>
                <w:lang w:val="fr-FR"/>
              </w:rPr>
            </w:pPr>
            <w:r w:rsidRPr="00775827">
              <w:rPr>
                <w:noProof/>
                <w:lang w:eastAsia="en-US"/>
              </w:rPr>
              <w:drawing>
                <wp:inline distT="0" distB="0" distL="0" distR="0" wp14:anchorId="78DEB250" wp14:editId="126B9596">
                  <wp:extent cx="1861185" cy="1320165"/>
                  <wp:effectExtent l="0" t="0" r="5715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A778E" w:rsidRPr="00775827" w:rsidRDefault="009A778E" w:rsidP="004D4FB0">
            <w:pPr>
              <w:jc w:val="right"/>
              <w:rPr>
                <w:lang w:val="fr-FR"/>
              </w:rPr>
            </w:pPr>
            <w:r w:rsidRPr="0077582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75827" w:rsidRPr="00775827" w:rsidTr="004D4FB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A778E" w:rsidRPr="00775827" w:rsidRDefault="00694A68" w:rsidP="00922E8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WIPO/GRTKF/IC/31</w:t>
            </w:r>
            <w:r w:rsidR="009A778E" w:rsidRPr="00775827">
              <w:rPr>
                <w:rFonts w:ascii="Arial Black" w:hAnsi="Arial Black"/>
                <w:caps/>
                <w:sz w:val="15"/>
                <w:lang w:val="fr-FR"/>
              </w:rPr>
              <w:t>/1 P</w:t>
            </w:r>
            <w:r w:rsidR="00E76586" w:rsidRPr="00775827">
              <w:rPr>
                <w:rFonts w:ascii="Arial Black" w:hAnsi="Arial Black"/>
                <w:caps/>
                <w:sz w:val="15"/>
                <w:lang w:val="fr-FR"/>
              </w:rPr>
              <w:t>rov</w:t>
            </w:r>
            <w:r w:rsidR="009A778E" w:rsidRPr="00775827">
              <w:rPr>
                <w:rFonts w:ascii="Arial Black" w:hAnsi="Arial Black"/>
                <w:caps/>
                <w:sz w:val="15"/>
                <w:lang w:val="fr-FR"/>
              </w:rPr>
              <w:t>.</w:t>
            </w:r>
            <w:r w:rsidR="00922E88">
              <w:rPr>
                <w:rFonts w:ascii="Arial Black" w:hAnsi="Arial Black"/>
                <w:caps/>
                <w:sz w:val="15"/>
                <w:lang w:val="fr-FR"/>
              </w:rPr>
              <w:t>3</w:t>
            </w:r>
          </w:p>
        </w:tc>
      </w:tr>
      <w:tr w:rsidR="00775827" w:rsidRPr="00775827" w:rsidTr="004D4FB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A778E" w:rsidRPr="00775827" w:rsidRDefault="009A778E" w:rsidP="004D4FB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75827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9A778E" w:rsidRPr="00775827" w:rsidTr="004D4FB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A778E" w:rsidRPr="00775827" w:rsidRDefault="009A778E" w:rsidP="00922E8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75827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922E88">
              <w:rPr>
                <w:rFonts w:ascii="Arial Black" w:hAnsi="Arial Black"/>
                <w:caps/>
                <w:sz w:val="15"/>
                <w:lang w:val="fr-FR"/>
              </w:rPr>
              <w:t>13 septembre</w:t>
            </w:r>
            <w:r w:rsidR="00D3310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D3310D" w:rsidRPr="00775827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775827">
              <w:rPr>
                <w:rFonts w:ascii="Arial Black" w:hAnsi="Arial Black"/>
                <w:caps/>
                <w:sz w:val="15"/>
                <w:lang w:val="fr-FR"/>
              </w:rPr>
              <w:t>16</w:t>
            </w:r>
          </w:p>
        </w:tc>
      </w:tr>
    </w:tbl>
    <w:p w:rsidR="006D7D66" w:rsidRDefault="006D7D66" w:rsidP="009A778E">
      <w:pPr>
        <w:rPr>
          <w:lang w:val="fr-FR"/>
        </w:rPr>
      </w:pPr>
    </w:p>
    <w:p w:rsidR="006D7D66" w:rsidRDefault="006D7D66" w:rsidP="009A778E">
      <w:pPr>
        <w:rPr>
          <w:lang w:val="fr-FR"/>
        </w:rPr>
      </w:pPr>
    </w:p>
    <w:p w:rsidR="006D7D66" w:rsidRDefault="006D7D66" w:rsidP="009A778E">
      <w:pPr>
        <w:rPr>
          <w:lang w:val="fr-FR"/>
        </w:rPr>
      </w:pPr>
    </w:p>
    <w:p w:rsidR="006D7D66" w:rsidRDefault="006D7D66" w:rsidP="009A778E">
      <w:pPr>
        <w:rPr>
          <w:lang w:val="fr-FR"/>
        </w:rPr>
      </w:pPr>
    </w:p>
    <w:p w:rsidR="006D7D66" w:rsidRDefault="006D7D66" w:rsidP="009A778E">
      <w:pPr>
        <w:rPr>
          <w:lang w:val="fr-FR"/>
        </w:rPr>
      </w:pPr>
    </w:p>
    <w:p w:rsidR="006D7D66" w:rsidRDefault="009A778E" w:rsidP="009A778E">
      <w:pPr>
        <w:rPr>
          <w:b/>
          <w:sz w:val="28"/>
          <w:szCs w:val="28"/>
          <w:lang w:val="fr-FR"/>
        </w:rPr>
      </w:pPr>
      <w:r w:rsidRPr="00775827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6D7D66" w:rsidRDefault="006D7D66" w:rsidP="009A778E">
      <w:pPr>
        <w:rPr>
          <w:lang w:val="fr-FR"/>
        </w:rPr>
      </w:pPr>
    </w:p>
    <w:p w:rsidR="006D7D66" w:rsidRDefault="006D7D66" w:rsidP="009A778E">
      <w:pPr>
        <w:rPr>
          <w:lang w:val="fr-FR"/>
        </w:rPr>
      </w:pPr>
    </w:p>
    <w:p w:rsidR="006D7D66" w:rsidRDefault="00782CD7" w:rsidP="009A778E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Trent</w:t>
      </w:r>
      <w:r w:rsidR="009A778E" w:rsidRPr="00775827">
        <w:rPr>
          <w:b/>
          <w:sz w:val="24"/>
          <w:szCs w:val="24"/>
          <w:lang w:val="fr-FR"/>
        </w:rPr>
        <w:t>e </w:t>
      </w:r>
      <w:r w:rsidR="00694A68">
        <w:rPr>
          <w:b/>
          <w:sz w:val="24"/>
          <w:szCs w:val="24"/>
          <w:lang w:val="fr-FR"/>
        </w:rPr>
        <w:t>et</w:t>
      </w:r>
      <w:r w:rsidR="00EE128A">
        <w:rPr>
          <w:b/>
          <w:sz w:val="24"/>
          <w:szCs w:val="24"/>
          <w:lang w:val="fr-FR"/>
        </w:rPr>
        <w:t> </w:t>
      </w:r>
      <w:r w:rsidR="00694A68">
        <w:rPr>
          <w:b/>
          <w:sz w:val="24"/>
          <w:szCs w:val="24"/>
          <w:lang w:val="fr-FR"/>
        </w:rPr>
        <w:t>unième</w:t>
      </w:r>
      <w:r w:rsidR="00EE128A">
        <w:rPr>
          <w:b/>
          <w:sz w:val="24"/>
          <w:szCs w:val="24"/>
          <w:lang w:val="fr-FR"/>
        </w:rPr>
        <w:t> </w:t>
      </w:r>
      <w:r w:rsidR="009A778E" w:rsidRPr="00775827">
        <w:rPr>
          <w:b/>
          <w:sz w:val="24"/>
          <w:szCs w:val="24"/>
          <w:lang w:val="fr-FR"/>
        </w:rPr>
        <w:t>session</w:t>
      </w:r>
    </w:p>
    <w:p w:rsidR="006D7D66" w:rsidRDefault="009A778E" w:rsidP="009A778E">
      <w:pPr>
        <w:rPr>
          <w:b/>
          <w:sz w:val="24"/>
          <w:szCs w:val="24"/>
          <w:lang w:val="fr-FR"/>
        </w:rPr>
      </w:pPr>
      <w:r w:rsidRPr="00775827">
        <w:rPr>
          <w:b/>
          <w:sz w:val="24"/>
          <w:szCs w:val="24"/>
          <w:lang w:val="fr-FR"/>
        </w:rPr>
        <w:t xml:space="preserve">Genève, </w:t>
      </w:r>
      <w:r w:rsidR="00694A68">
        <w:rPr>
          <w:b/>
          <w:sz w:val="24"/>
          <w:szCs w:val="24"/>
          <w:lang w:val="fr-FR"/>
        </w:rPr>
        <w:t>19</w:t>
      </w:r>
      <w:r w:rsidR="0098175A">
        <w:rPr>
          <w:b/>
          <w:color w:val="000000"/>
          <w:sz w:val="24"/>
          <w:szCs w:val="22"/>
          <w:lang w:val="fr-FR"/>
        </w:rPr>
        <w:t xml:space="preserve"> – </w:t>
      </w:r>
      <w:r w:rsidR="00694A68">
        <w:rPr>
          <w:b/>
          <w:color w:val="000000"/>
          <w:sz w:val="24"/>
          <w:szCs w:val="22"/>
          <w:lang w:val="fr-FR"/>
        </w:rPr>
        <w:t>2</w:t>
      </w:r>
      <w:r w:rsidR="00C91152">
        <w:rPr>
          <w:b/>
          <w:color w:val="000000"/>
          <w:sz w:val="24"/>
          <w:szCs w:val="22"/>
          <w:lang w:val="fr-FR"/>
        </w:rPr>
        <w:t>3 septembre </w:t>
      </w:r>
      <w:r w:rsidR="00C91152" w:rsidRPr="00775827">
        <w:rPr>
          <w:b/>
          <w:sz w:val="24"/>
          <w:szCs w:val="24"/>
          <w:lang w:val="fr-FR"/>
        </w:rPr>
        <w:t>20</w:t>
      </w:r>
      <w:r w:rsidRPr="00775827">
        <w:rPr>
          <w:b/>
          <w:sz w:val="24"/>
          <w:szCs w:val="24"/>
          <w:lang w:val="fr-FR"/>
        </w:rPr>
        <w:t>16</w:t>
      </w:r>
    </w:p>
    <w:p w:rsidR="006D7D66" w:rsidRDefault="006D7D66" w:rsidP="008B2CC1">
      <w:pPr>
        <w:rPr>
          <w:lang w:val="fr-FR"/>
        </w:rPr>
      </w:pPr>
    </w:p>
    <w:p w:rsidR="006D7D66" w:rsidRDefault="006D7D66" w:rsidP="008B2CC1">
      <w:pPr>
        <w:rPr>
          <w:lang w:val="fr-FR"/>
        </w:rPr>
      </w:pPr>
    </w:p>
    <w:p w:rsidR="006D7D66" w:rsidRDefault="006D7D66" w:rsidP="008B2CC1">
      <w:pPr>
        <w:rPr>
          <w:lang w:val="fr-FR"/>
        </w:rPr>
      </w:pPr>
    </w:p>
    <w:p w:rsidR="006D7D66" w:rsidRDefault="00775827" w:rsidP="00775827">
      <w:pPr>
        <w:rPr>
          <w:caps/>
          <w:sz w:val="24"/>
          <w:lang w:val="fr-FR"/>
        </w:rPr>
      </w:pPr>
      <w:bookmarkStart w:id="0" w:name="TitleOfDoc"/>
      <w:bookmarkEnd w:id="0"/>
      <w:r w:rsidRPr="00775827">
        <w:rPr>
          <w:caps/>
          <w:sz w:val="24"/>
          <w:lang w:val="fr-FR"/>
        </w:rPr>
        <w:t>Projet d</w:t>
      </w:r>
      <w:r w:rsidR="00922E88">
        <w:rPr>
          <w:caps/>
          <w:sz w:val="24"/>
          <w:lang w:val="fr-FR"/>
        </w:rPr>
        <w:t>’</w:t>
      </w:r>
      <w:r w:rsidRPr="00775827">
        <w:rPr>
          <w:caps/>
          <w:sz w:val="24"/>
          <w:lang w:val="fr-FR"/>
        </w:rPr>
        <w:t>ordre du jour</w:t>
      </w:r>
    </w:p>
    <w:p w:rsidR="006D7D66" w:rsidRDefault="006D7D66" w:rsidP="008B2CC1">
      <w:pPr>
        <w:rPr>
          <w:lang w:val="fr-FR"/>
        </w:rPr>
      </w:pPr>
    </w:p>
    <w:p w:rsidR="006D7D66" w:rsidRDefault="009A778E" w:rsidP="008B2CC1">
      <w:pPr>
        <w:rPr>
          <w:i/>
          <w:lang w:val="fr-FR"/>
        </w:rPr>
      </w:pPr>
      <w:bookmarkStart w:id="1" w:name="Prepared"/>
      <w:bookmarkStart w:id="2" w:name="_GoBack"/>
      <w:bookmarkEnd w:id="1"/>
      <w:proofErr w:type="gramStart"/>
      <w:r w:rsidRPr="00775827">
        <w:rPr>
          <w:i/>
          <w:lang w:val="fr-FR"/>
        </w:rPr>
        <w:t>établi</w:t>
      </w:r>
      <w:proofErr w:type="gramEnd"/>
      <w:r w:rsidRPr="00775827">
        <w:rPr>
          <w:i/>
          <w:lang w:val="fr-FR"/>
        </w:rPr>
        <w:t xml:space="preserve"> par le</w:t>
      </w:r>
      <w:r w:rsidR="00FB1F55" w:rsidRPr="00775827">
        <w:rPr>
          <w:i/>
          <w:lang w:val="fr-FR"/>
        </w:rPr>
        <w:t xml:space="preserve"> Secr</w:t>
      </w:r>
      <w:r w:rsidR="0044512E">
        <w:rPr>
          <w:i/>
          <w:lang w:val="fr-FR"/>
        </w:rPr>
        <w:t>é</w:t>
      </w:r>
      <w:r w:rsidR="00FB1F55" w:rsidRPr="00775827">
        <w:rPr>
          <w:i/>
          <w:lang w:val="fr-FR"/>
        </w:rPr>
        <w:t>tariat</w:t>
      </w:r>
    </w:p>
    <w:bookmarkEnd w:id="2"/>
    <w:p w:rsidR="006D7D66" w:rsidRDefault="006D7D66">
      <w:pPr>
        <w:rPr>
          <w:lang w:val="fr-FR"/>
        </w:rPr>
      </w:pPr>
    </w:p>
    <w:p w:rsidR="006D7D66" w:rsidRDefault="006D7D66">
      <w:pPr>
        <w:rPr>
          <w:lang w:val="fr-FR"/>
        </w:rPr>
      </w:pPr>
    </w:p>
    <w:p w:rsidR="006D7D66" w:rsidRDefault="006D7D66">
      <w:pPr>
        <w:rPr>
          <w:lang w:val="fr-FR"/>
        </w:rPr>
      </w:pPr>
    </w:p>
    <w:p w:rsidR="006D7D66" w:rsidRDefault="006D7D66" w:rsidP="000B47FC">
      <w:pPr>
        <w:rPr>
          <w:lang w:val="fr-FR"/>
        </w:rPr>
      </w:pPr>
    </w:p>
    <w:p w:rsidR="006D7D66" w:rsidRDefault="009A778E" w:rsidP="009A778E">
      <w:pPr>
        <w:pStyle w:val="ONUMFS"/>
        <w:rPr>
          <w:szCs w:val="22"/>
          <w:lang w:val="fr-FR"/>
        </w:rPr>
      </w:pPr>
      <w:r w:rsidRPr="00775827">
        <w:rPr>
          <w:lang w:val="fr-FR"/>
        </w:rPr>
        <w:t>Ouverture de la session</w:t>
      </w:r>
    </w:p>
    <w:p w:rsidR="006D7D66" w:rsidRDefault="009A778E" w:rsidP="00FA2BE5">
      <w:pPr>
        <w:pStyle w:val="ONUMFS"/>
        <w:ind w:left="567" w:hanging="567"/>
        <w:rPr>
          <w:szCs w:val="22"/>
          <w:lang w:val="fr-FR"/>
        </w:rPr>
      </w:pPr>
      <w:r w:rsidRPr="00775827">
        <w:rPr>
          <w:lang w:val="fr-FR"/>
        </w:rPr>
        <w:t>Adoption de l</w:t>
      </w:r>
      <w:r w:rsidR="00922E88">
        <w:rPr>
          <w:lang w:val="fr-FR"/>
        </w:rPr>
        <w:t>’</w:t>
      </w:r>
      <w:r w:rsidRPr="00775827">
        <w:rPr>
          <w:lang w:val="fr-FR"/>
        </w:rPr>
        <w:t>ordre du jour</w:t>
      </w:r>
      <w:r w:rsidR="00FA2BE5" w:rsidRPr="00775827">
        <w:rPr>
          <w:lang w:val="fr-FR"/>
        </w:rPr>
        <w:br/>
      </w:r>
      <w:r w:rsidRPr="00775827">
        <w:rPr>
          <w:lang w:val="fr-FR"/>
        </w:rPr>
        <w:t>Voir le présent document et les documents WIPO/GRTKF/IC/3</w:t>
      </w:r>
      <w:r w:rsidR="000E37BB">
        <w:rPr>
          <w:lang w:val="fr-FR"/>
        </w:rPr>
        <w:t>1</w:t>
      </w:r>
      <w:r w:rsidRPr="00775827">
        <w:rPr>
          <w:lang w:val="fr-FR"/>
        </w:rPr>
        <w:t>/INF/2</w:t>
      </w:r>
      <w:r w:rsidR="006D7D66">
        <w:rPr>
          <w:lang w:val="fr-FR"/>
        </w:rPr>
        <w:t> Rev.</w:t>
      </w:r>
      <w:r w:rsidR="00922E88">
        <w:rPr>
          <w:lang w:val="fr-FR"/>
        </w:rPr>
        <w:t>2</w:t>
      </w:r>
      <w:r w:rsidRPr="00775827">
        <w:rPr>
          <w:lang w:val="fr-FR"/>
        </w:rPr>
        <w:t xml:space="preserve"> et WIPO/GRTKF/IC/3</w:t>
      </w:r>
      <w:r w:rsidR="00413590">
        <w:rPr>
          <w:lang w:val="fr-FR"/>
        </w:rPr>
        <w:t>1</w:t>
      </w:r>
      <w:r w:rsidRPr="00775827">
        <w:rPr>
          <w:lang w:val="fr-FR"/>
        </w:rPr>
        <w:t>/INF/3</w:t>
      </w:r>
      <w:r w:rsidR="00922E88">
        <w:rPr>
          <w:lang w:val="fr-FR"/>
        </w:rPr>
        <w:t> </w:t>
      </w:r>
      <w:proofErr w:type="spellStart"/>
      <w:r w:rsidR="00922E88">
        <w:rPr>
          <w:lang w:val="fr-FR"/>
        </w:rPr>
        <w:t>Rev</w:t>
      </w:r>
      <w:proofErr w:type="spellEnd"/>
      <w:r w:rsidR="000B47FC" w:rsidRPr="00775827">
        <w:rPr>
          <w:szCs w:val="22"/>
          <w:lang w:val="fr-FR"/>
        </w:rPr>
        <w:t>.</w:t>
      </w:r>
    </w:p>
    <w:p w:rsidR="006D7D66" w:rsidRDefault="009A778E" w:rsidP="00FA2BE5">
      <w:pPr>
        <w:pStyle w:val="ONUMFS"/>
        <w:ind w:left="567" w:hanging="567"/>
        <w:rPr>
          <w:szCs w:val="22"/>
          <w:lang w:val="fr-FR"/>
        </w:rPr>
      </w:pPr>
      <w:r w:rsidRPr="00775827">
        <w:rPr>
          <w:lang w:val="fr-FR"/>
        </w:rPr>
        <w:t xml:space="preserve">Adoption du rapport de la </w:t>
      </w:r>
      <w:r w:rsidR="00413590">
        <w:rPr>
          <w:lang w:val="fr-FR"/>
        </w:rPr>
        <w:t>trentième</w:t>
      </w:r>
      <w:r w:rsidRPr="00775827">
        <w:rPr>
          <w:lang w:val="fr-FR"/>
        </w:rPr>
        <w:t> session</w:t>
      </w:r>
      <w:r w:rsidRPr="00775827">
        <w:rPr>
          <w:lang w:val="fr-FR"/>
        </w:rPr>
        <w:br/>
        <w:t>Voir le document WIPO/GRTKF/IC/</w:t>
      </w:r>
      <w:r w:rsidR="00413590">
        <w:rPr>
          <w:lang w:val="fr-FR"/>
        </w:rPr>
        <w:t>30</w:t>
      </w:r>
      <w:r w:rsidRPr="00775827">
        <w:rPr>
          <w:lang w:val="fr-FR"/>
        </w:rPr>
        <w:t>/</w:t>
      </w:r>
      <w:r w:rsidR="00DE4619">
        <w:rPr>
          <w:lang w:val="fr-FR"/>
        </w:rPr>
        <w:t>10</w:t>
      </w:r>
      <w:r w:rsidRPr="00775827">
        <w:rPr>
          <w:lang w:val="fr-FR"/>
        </w:rPr>
        <w:t> Prov.</w:t>
      </w:r>
      <w:r w:rsidR="004D4FB0">
        <w:rPr>
          <w:lang w:val="fr-FR"/>
        </w:rPr>
        <w:t>2</w:t>
      </w:r>
      <w:r w:rsidR="000B47FC" w:rsidRPr="00775827">
        <w:rPr>
          <w:szCs w:val="22"/>
          <w:lang w:val="fr-FR"/>
        </w:rPr>
        <w:t>.</w:t>
      </w:r>
    </w:p>
    <w:p w:rsidR="006D7D66" w:rsidRDefault="009A778E" w:rsidP="00C770E7">
      <w:pPr>
        <w:pStyle w:val="ONUMFS"/>
        <w:ind w:left="567" w:hanging="567"/>
        <w:rPr>
          <w:szCs w:val="22"/>
          <w:lang w:val="fr-FR"/>
        </w:rPr>
      </w:pPr>
      <w:r w:rsidRPr="00775827">
        <w:rPr>
          <w:lang w:val="fr-FR"/>
        </w:rPr>
        <w:t>Accréditation de certaines organisations</w:t>
      </w:r>
      <w:r w:rsidRPr="00775827">
        <w:rPr>
          <w:lang w:val="fr-FR"/>
        </w:rPr>
        <w:br/>
        <w:t>Voir le document WIPO/GRTKF/IC/3</w:t>
      </w:r>
      <w:r w:rsidR="00413590">
        <w:rPr>
          <w:lang w:val="fr-FR"/>
        </w:rPr>
        <w:t>1</w:t>
      </w:r>
      <w:r w:rsidRPr="00775827">
        <w:rPr>
          <w:lang w:val="fr-FR"/>
        </w:rPr>
        <w:t>/2</w:t>
      </w:r>
      <w:r w:rsidR="00FB1F55" w:rsidRPr="00775827">
        <w:rPr>
          <w:szCs w:val="22"/>
          <w:lang w:val="fr-FR"/>
        </w:rPr>
        <w:t>.</w:t>
      </w:r>
    </w:p>
    <w:p w:rsidR="006D7D66" w:rsidRDefault="00706201" w:rsidP="00706201">
      <w:pPr>
        <w:pStyle w:val="ONUMFS"/>
        <w:rPr>
          <w:lang w:val="fr-FR"/>
        </w:rPr>
      </w:pPr>
      <w:r w:rsidRPr="00775827">
        <w:rPr>
          <w:snapToGrid w:val="0"/>
          <w:lang w:val="fr-FR"/>
        </w:rPr>
        <w:t>Participation des communautés autochtones et locales</w:t>
      </w:r>
    </w:p>
    <w:p w:rsidR="006D7D66" w:rsidRDefault="00706201" w:rsidP="004D4FB0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spacing w:after="220"/>
        <w:ind w:left="1123" w:hanging="556"/>
        <w:outlineLvl w:val="0"/>
        <w:rPr>
          <w:lang w:val="fr-FR"/>
        </w:rPr>
      </w:pPr>
      <w:r w:rsidRPr="00775827">
        <w:rPr>
          <w:lang w:val="fr-FR"/>
        </w:rPr>
        <w:t>Actualités concernant l</w:t>
      </w:r>
      <w:r w:rsidR="00922E88">
        <w:rPr>
          <w:lang w:val="fr-FR"/>
        </w:rPr>
        <w:t>’</w:t>
      </w:r>
      <w:r w:rsidRPr="00775827">
        <w:rPr>
          <w:lang w:val="fr-FR"/>
        </w:rPr>
        <w:t>utilisation du Fonds de contributions volontaires</w:t>
      </w:r>
      <w:r w:rsidRPr="00775827">
        <w:rPr>
          <w:lang w:val="fr-FR"/>
        </w:rPr>
        <w:br/>
        <w:t>Voir les documents</w:t>
      </w:r>
      <w:r w:rsidRPr="00775827">
        <w:rPr>
          <w:snapToGrid w:val="0"/>
          <w:lang w:val="fr-FR"/>
        </w:rPr>
        <w:t xml:space="preserve"> </w:t>
      </w:r>
      <w:r w:rsidRPr="00775827">
        <w:rPr>
          <w:lang w:val="fr-FR"/>
        </w:rPr>
        <w:t>WIPO/GRTKF/IC/3</w:t>
      </w:r>
      <w:r w:rsidR="00413590">
        <w:rPr>
          <w:lang w:val="fr-FR"/>
        </w:rPr>
        <w:t>1</w:t>
      </w:r>
      <w:r w:rsidRPr="00775827">
        <w:rPr>
          <w:lang w:val="fr-FR"/>
        </w:rPr>
        <w:t>/3, WIPO/GRTKF/IC/3</w:t>
      </w:r>
      <w:r w:rsidR="00413590">
        <w:rPr>
          <w:lang w:val="fr-FR"/>
        </w:rPr>
        <w:t>1/INF/4 et WIPO/GRTKF/IC/31</w:t>
      </w:r>
      <w:r w:rsidRPr="00775827">
        <w:rPr>
          <w:lang w:val="fr-FR"/>
        </w:rPr>
        <w:t>/INF/6.</w:t>
      </w:r>
    </w:p>
    <w:p w:rsidR="006D7D66" w:rsidRDefault="00706201" w:rsidP="004D4FB0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spacing w:after="220"/>
        <w:ind w:left="1123" w:hanging="556"/>
        <w:outlineLvl w:val="0"/>
        <w:rPr>
          <w:lang w:val="fr-FR"/>
        </w:rPr>
      </w:pPr>
      <w:r w:rsidRPr="00775827">
        <w:rPr>
          <w:lang w:val="fr-FR"/>
        </w:rPr>
        <w:t>Constitution du Conseil consultatif chargé d</w:t>
      </w:r>
      <w:r w:rsidR="00922E88">
        <w:rPr>
          <w:lang w:val="fr-FR"/>
        </w:rPr>
        <w:t>’</w:t>
      </w:r>
      <w:r w:rsidR="0044512E">
        <w:rPr>
          <w:lang w:val="fr-FR"/>
        </w:rPr>
        <w:t>administrer</w:t>
      </w:r>
      <w:r w:rsidRPr="00775827">
        <w:rPr>
          <w:lang w:val="fr-FR"/>
        </w:rPr>
        <w:t xml:space="preserve"> le Fonds de contributions volontaires</w:t>
      </w:r>
      <w:r w:rsidRPr="00775827">
        <w:rPr>
          <w:lang w:val="fr-FR"/>
        </w:rPr>
        <w:br/>
        <w:t xml:space="preserve">Voir le </w:t>
      </w:r>
      <w:r w:rsidRPr="00775827">
        <w:rPr>
          <w:snapToGrid w:val="0"/>
          <w:lang w:val="fr-FR"/>
        </w:rPr>
        <w:t xml:space="preserve">document </w:t>
      </w:r>
      <w:r w:rsidR="00413590">
        <w:rPr>
          <w:lang w:val="fr-FR"/>
        </w:rPr>
        <w:t>WIPO/GRTKF/IC/31</w:t>
      </w:r>
      <w:r w:rsidRPr="00775827">
        <w:rPr>
          <w:lang w:val="fr-FR"/>
        </w:rPr>
        <w:t>/3.</w:t>
      </w:r>
    </w:p>
    <w:p w:rsidR="006D7D66" w:rsidRDefault="00706201" w:rsidP="004D4FB0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spacing w:after="220"/>
        <w:ind w:left="1123" w:hanging="556"/>
        <w:outlineLvl w:val="0"/>
        <w:rPr>
          <w:lang w:val="fr-FR"/>
        </w:rPr>
      </w:pPr>
      <w:r w:rsidRPr="00775827">
        <w:rPr>
          <w:lang w:val="fr-FR"/>
        </w:rPr>
        <w:t>Note d</w:t>
      </w:r>
      <w:r w:rsidR="00922E88">
        <w:rPr>
          <w:lang w:val="fr-FR"/>
        </w:rPr>
        <w:t>’</w:t>
      </w:r>
      <w:r w:rsidRPr="00775827">
        <w:rPr>
          <w:lang w:val="fr-FR"/>
        </w:rPr>
        <w:t>information à l</w:t>
      </w:r>
      <w:r w:rsidR="00922E88">
        <w:rPr>
          <w:lang w:val="fr-FR"/>
        </w:rPr>
        <w:t>’</w:t>
      </w:r>
      <w:r w:rsidRPr="00775827">
        <w:rPr>
          <w:lang w:val="fr-FR"/>
        </w:rPr>
        <w:t>intention du Groupe d</w:t>
      </w:r>
      <w:r w:rsidR="00922E88">
        <w:rPr>
          <w:lang w:val="fr-FR"/>
        </w:rPr>
        <w:t>’</w:t>
      </w:r>
      <w:r w:rsidRPr="00775827">
        <w:rPr>
          <w:lang w:val="fr-FR"/>
        </w:rPr>
        <w:t>experts des communautés autochtones et locales</w:t>
      </w:r>
      <w:r w:rsidRPr="00775827">
        <w:rPr>
          <w:lang w:val="fr-FR"/>
        </w:rPr>
        <w:br/>
      </w:r>
      <w:r w:rsidRPr="00775827">
        <w:rPr>
          <w:snapToGrid w:val="0"/>
          <w:lang w:val="fr-FR"/>
        </w:rPr>
        <w:t xml:space="preserve">Voir le document </w:t>
      </w:r>
      <w:r w:rsidR="00413590">
        <w:rPr>
          <w:lang w:val="fr-FR"/>
        </w:rPr>
        <w:t>WIPO/GRTKF/IC/31</w:t>
      </w:r>
      <w:r w:rsidRPr="00775827">
        <w:rPr>
          <w:lang w:val="fr-FR"/>
        </w:rPr>
        <w:t>/INF/5.</w:t>
      </w:r>
    </w:p>
    <w:p w:rsidR="006D7D66" w:rsidRDefault="00413590" w:rsidP="00706201">
      <w:pPr>
        <w:pStyle w:val="ONUMFS"/>
        <w:rPr>
          <w:lang w:val="fr-FR"/>
        </w:rPr>
      </w:pPr>
      <w:r>
        <w:rPr>
          <w:lang w:val="fr-FR"/>
        </w:rPr>
        <w:lastRenderedPageBreak/>
        <w:t>Savoirs traditionnels</w:t>
      </w:r>
    </w:p>
    <w:p w:rsidR="006D7D66" w:rsidRDefault="000E37BB" w:rsidP="00217361">
      <w:pPr>
        <w:pStyle w:val="Footer"/>
        <w:numPr>
          <w:ilvl w:val="0"/>
          <w:numId w:val="11"/>
        </w:numPr>
        <w:spacing w:after="220"/>
        <w:outlineLvl w:val="0"/>
        <w:rPr>
          <w:szCs w:val="22"/>
          <w:lang w:val="fr-FR"/>
        </w:rPr>
      </w:pPr>
      <w:r>
        <w:rPr>
          <w:szCs w:val="22"/>
          <w:lang w:val="fr-FR"/>
        </w:rPr>
        <w:t>L</w:t>
      </w:r>
      <w:r w:rsidR="00217361" w:rsidRPr="00217361">
        <w:rPr>
          <w:szCs w:val="22"/>
          <w:lang w:val="fr-FR"/>
        </w:rPr>
        <w:t>a protection des savoirs traditionnels</w:t>
      </w:r>
      <w:r w:rsidR="00413590">
        <w:rPr>
          <w:szCs w:val="22"/>
          <w:lang w:val="fr-FR"/>
        </w:rPr>
        <w:t> : projets d</w:t>
      </w:r>
      <w:r w:rsidR="00922E88">
        <w:rPr>
          <w:szCs w:val="22"/>
          <w:lang w:val="fr-FR"/>
        </w:rPr>
        <w:t>’</w:t>
      </w:r>
      <w:r w:rsidR="00413590">
        <w:rPr>
          <w:szCs w:val="22"/>
          <w:lang w:val="fr-FR"/>
        </w:rPr>
        <w:t>articles</w:t>
      </w:r>
      <w:r w:rsidR="004D4FB0">
        <w:rPr>
          <w:szCs w:val="22"/>
          <w:lang w:val="fr-FR"/>
        </w:rPr>
        <w:br/>
      </w:r>
      <w:r w:rsidR="004D4FB0" w:rsidRPr="004D4FB0">
        <w:rPr>
          <w:szCs w:val="22"/>
          <w:lang w:val="fr-FR"/>
        </w:rPr>
        <w:t>Voir le document WIPO/GRTKF/IC/3</w:t>
      </w:r>
      <w:r w:rsidR="00413590">
        <w:rPr>
          <w:szCs w:val="22"/>
          <w:lang w:val="fr-FR"/>
        </w:rPr>
        <w:t>1</w:t>
      </w:r>
      <w:r w:rsidR="004D4FB0" w:rsidRPr="004D4FB0">
        <w:rPr>
          <w:szCs w:val="22"/>
          <w:lang w:val="fr-FR"/>
        </w:rPr>
        <w:t>/</w:t>
      </w:r>
      <w:r w:rsidR="00413590">
        <w:rPr>
          <w:szCs w:val="22"/>
          <w:lang w:val="fr-FR"/>
        </w:rPr>
        <w:t>4</w:t>
      </w:r>
      <w:r w:rsidR="004D4FB0" w:rsidRPr="004D4FB0">
        <w:rPr>
          <w:szCs w:val="22"/>
          <w:lang w:val="fr-FR"/>
        </w:rPr>
        <w:t>.</w:t>
      </w:r>
    </w:p>
    <w:p w:rsidR="006D7D66" w:rsidRDefault="006D7D66" w:rsidP="006D7D66">
      <w:pPr>
        <w:pStyle w:val="Footer"/>
        <w:numPr>
          <w:ilvl w:val="0"/>
          <w:numId w:val="11"/>
        </w:numPr>
        <w:spacing w:after="220"/>
        <w:outlineLvl w:val="0"/>
        <w:rPr>
          <w:szCs w:val="22"/>
          <w:lang w:val="fr-FR"/>
        </w:rPr>
      </w:pPr>
      <w:r w:rsidRPr="006D7D66">
        <w:rPr>
          <w:szCs w:val="22"/>
          <w:lang w:val="fr-FR"/>
        </w:rPr>
        <w:t>Recommandation commune concernant les ressources génétiques et les savoirs traditionnels qui y sont associés</w:t>
      </w:r>
      <w:r>
        <w:rPr>
          <w:szCs w:val="22"/>
          <w:lang w:val="fr-FR"/>
        </w:rPr>
        <w:br/>
        <w:t xml:space="preserve">Voir le </w:t>
      </w:r>
      <w:r w:rsidRPr="006D7D66">
        <w:rPr>
          <w:szCs w:val="22"/>
          <w:lang w:val="fr-FR"/>
        </w:rPr>
        <w:t>document WIPO/GRTKF/IC/31/5.</w:t>
      </w:r>
    </w:p>
    <w:p w:rsidR="006D7D66" w:rsidRDefault="006D7D66" w:rsidP="006D7D66">
      <w:pPr>
        <w:pStyle w:val="Footer"/>
        <w:numPr>
          <w:ilvl w:val="0"/>
          <w:numId w:val="11"/>
        </w:numPr>
        <w:spacing w:after="220"/>
        <w:outlineLvl w:val="0"/>
        <w:rPr>
          <w:szCs w:val="22"/>
          <w:lang w:val="fr-FR"/>
        </w:rPr>
      </w:pPr>
      <w:r w:rsidRPr="006D7D66">
        <w:rPr>
          <w:szCs w:val="22"/>
          <w:lang w:val="fr-FR"/>
        </w:rPr>
        <w:t>Recommandation commune concernant l</w:t>
      </w:r>
      <w:r w:rsidR="00922E88">
        <w:rPr>
          <w:szCs w:val="22"/>
          <w:lang w:val="fr-FR"/>
        </w:rPr>
        <w:t>’</w:t>
      </w:r>
      <w:r w:rsidRPr="006D7D66">
        <w:rPr>
          <w:szCs w:val="22"/>
          <w:lang w:val="fr-FR"/>
        </w:rPr>
        <w:t>utilisation de bases de données pour la protection défensive des ressources génétiques et des savoirs traditionnels qui y sont associés</w:t>
      </w:r>
      <w:r>
        <w:rPr>
          <w:szCs w:val="22"/>
          <w:lang w:val="fr-FR"/>
        </w:rPr>
        <w:br/>
        <w:t xml:space="preserve">Voir le </w:t>
      </w:r>
      <w:r w:rsidRPr="006D7D66">
        <w:rPr>
          <w:szCs w:val="22"/>
          <w:lang w:val="fr-FR"/>
        </w:rPr>
        <w:t>document WIPO/GRTKF/IC/31/6.</w:t>
      </w:r>
    </w:p>
    <w:p w:rsidR="006D7D66" w:rsidRDefault="00D3310D" w:rsidP="00D3310D">
      <w:pPr>
        <w:pStyle w:val="Footer"/>
        <w:numPr>
          <w:ilvl w:val="0"/>
          <w:numId w:val="11"/>
        </w:numPr>
        <w:spacing w:after="220"/>
        <w:outlineLvl w:val="0"/>
        <w:rPr>
          <w:szCs w:val="22"/>
          <w:lang w:val="fr-FR"/>
        </w:rPr>
      </w:pPr>
      <w:r w:rsidRPr="00D3310D">
        <w:rPr>
          <w:szCs w:val="22"/>
          <w:lang w:val="fr-FR"/>
        </w:rPr>
        <w:t>Proposition de mandat pour l</w:t>
      </w:r>
      <w:r w:rsidR="00922E88">
        <w:rPr>
          <w:szCs w:val="22"/>
          <w:lang w:val="fr-FR"/>
        </w:rPr>
        <w:t>’</w:t>
      </w:r>
      <w:r w:rsidRPr="00D3310D">
        <w:rPr>
          <w:szCs w:val="22"/>
          <w:lang w:val="fr-FR"/>
        </w:rPr>
        <w:t>étude du Secrétariat de l</w:t>
      </w:r>
      <w:r w:rsidR="00922E88">
        <w:rPr>
          <w:szCs w:val="22"/>
          <w:lang w:val="fr-FR"/>
        </w:rPr>
        <w:t>’</w:t>
      </w:r>
      <w:r w:rsidRPr="00D3310D">
        <w:rPr>
          <w:szCs w:val="22"/>
          <w:lang w:val="fr-FR"/>
        </w:rPr>
        <w:t xml:space="preserve">OMPI sur les mesures visant à éviter la délivrance de brevets </w:t>
      </w:r>
      <w:r w:rsidR="007B64D0">
        <w:rPr>
          <w:szCs w:val="22"/>
          <w:lang w:val="fr-FR"/>
        </w:rPr>
        <w:t>indus</w:t>
      </w:r>
      <w:r w:rsidRPr="00D3310D">
        <w:rPr>
          <w:szCs w:val="22"/>
          <w:lang w:val="fr-FR"/>
        </w:rPr>
        <w:t xml:space="preserve"> et sur le respect des systèmes existants d</w:t>
      </w:r>
      <w:r w:rsidR="00922E88">
        <w:rPr>
          <w:szCs w:val="22"/>
          <w:lang w:val="fr-FR"/>
        </w:rPr>
        <w:t>’</w:t>
      </w:r>
      <w:r w:rsidRPr="00D3310D">
        <w:rPr>
          <w:szCs w:val="22"/>
          <w:lang w:val="fr-FR"/>
        </w:rPr>
        <w:t>accès et de partage des avantages</w:t>
      </w:r>
      <w:r w:rsidR="006D7D66">
        <w:rPr>
          <w:szCs w:val="22"/>
          <w:lang w:val="fr-FR"/>
        </w:rPr>
        <w:br/>
        <w:t xml:space="preserve">Voir le </w:t>
      </w:r>
      <w:r w:rsidR="006D7D66" w:rsidRPr="006D7D66">
        <w:rPr>
          <w:szCs w:val="22"/>
          <w:lang w:val="fr-FR"/>
        </w:rPr>
        <w:t>document WIPO/GRTKF/IC/31/7.</w:t>
      </w:r>
    </w:p>
    <w:p w:rsidR="00BB206B" w:rsidRPr="00BB206B" w:rsidRDefault="009305EA" w:rsidP="00D3310D">
      <w:pPr>
        <w:pStyle w:val="Footer"/>
        <w:numPr>
          <w:ilvl w:val="0"/>
          <w:numId w:val="11"/>
        </w:numPr>
        <w:spacing w:after="220"/>
        <w:outlineLvl w:val="0"/>
        <w:rPr>
          <w:szCs w:val="22"/>
          <w:lang w:val="fr-FR"/>
        </w:rPr>
      </w:pPr>
      <w:r>
        <w:rPr>
          <w:szCs w:val="22"/>
          <w:lang w:val="fr-FR"/>
        </w:rPr>
        <w:t>L’indication</w:t>
      </w:r>
      <w:r w:rsidR="00BB206B" w:rsidRPr="00BB206B">
        <w:rPr>
          <w:szCs w:val="22"/>
          <w:lang w:val="fr-FR"/>
        </w:rPr>
        <w:t xml:space="preserve"> de la source des ressources génétiques et des savoirs traditionnels dans la loi suisse sur les brevets et la réglementation suisse connexe en ma</w:t>
      </w:r>
      <w:r w:rsidR="00BB206B">
        <w:rPr>
          <w:szCs w:val="22"/>
          <w:lang w:val="fr-FR"/>
        </w:rPr>
        <w:t xml:space="preserve">tière de ressources génétiques </w:t>
      </w:r>
      <w:r w:rsidR="00922E88">
        <w:rPr>
          <w:szCs w:val="22"/>
          <w:lang w:val="fr-FR"/>
        </w:rPr>
        <w:t>–</w:t>
      </w:r>
      <w:r w:rsidR="00BB206B" w:rsidRPr="00BB206B">
        <w:rPr>
          <w:szCs w:val="22"/>
          <w:lang w:val="fr-FR"/>
        </w:rPr>
        <w:t xml:space="preserve"> Communication de la Suisse en réponse au document WIPO/GRTKF/IC/30/9</w:t>
      </w:r>
      <w:r w:rsidR="00BB206B">
        <w:rPr>
          <w:szCs w:val="22"/>
          <w:lang w:val="fr-FR"/>
        </w:rPr>
        <w:br/>
        <w:t>Voir le document WIPO/GRTKF/IC/31/8.</w:t>
      </w:r>
    </w:p>
    <w:p w:rsidR="006D7D66" w:rsidRDefault="00F438A5" w:rsidP="004D4FB0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spacing w:after="220"/>
        <w:ind w:left="1134" w:hanging="567"/>
        <w:outlineLvl w:val="0"/>
        <w:rPr>
          <w:szCs w:val="22"/>
          <w:lang w:val="fr-FR"/>
        </w:rPr>
      </w:pPr>
      <w:r w:rsidRPr="004D4FB0">
        <w:rPr>
          <w:lang w:val="fr-FR"/>
        </w:rPr>
        <w:t>Glossaire des principaux termes relatifs à la propriété intellectuelle, aux ressources génétiques, aux savoirs traditionnels et aux expressions culturelles traditionnelles</w:t>
      </w:r>
      <w:r w:rsidR="004D4FB0">
        <w:rPr>
          <w:lang w:val="fr-FR"/>
        </w:rPr>
        <w:br/>
      </w:r>
      <w:r w:rsidR="00FA2BE5" w:rsidRPr="004D4FB0">
        <w:rPr>
          <w:szCs w:val="22"/>
          <w:lang w:val="fr-FR"/>
        </w:rPr>
        <w:t>Voir le</w:t>
      </w:r>
      <w:r w:rsidR="00413590">
        <w:rPr>
          <w:szCs w:val="22"/>
          <w:lang w:val="fr-FR"/>
        </w:rPr>
        <w:t xml:space="preserve"> document WIPO/GRTKF/IC/31</w:t>
      </w:r>
      <w:r w:rsidR="009458A8" w:rsidRPr="004D4FB0">
        <w:rPr>
          <w:szCs w:val="22"/>
          <w:lang w:val="fr-FR"/>
        </w:rPr>
        <w:t>/INF/7</w:t>
      </w:r>
      <w:r w:rsidR="00FB1F55" w:rsidRPr="004D4FB0">
        <w:rPr>
          <w:szCs w:val="22"/>
          <w:lang w:val="fr-FR"/>
        </w:rPr>
        <w:t>.</w:t>
      </w:r>
    </w:p>
    <w:p w:rsidR="006D7D66" w:rsidRDefault="001D19A5" w:rsidP="004D4FB0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spacing w:after="220"/>
        <w:ind w:left="1134" w:hanging="567"/>
        <w:rPr>
          <w:szCs w:val="22"/>
          <w:lang w:val="fr-FR"/>
        </w:rPr>
      </w:pPr>
      <w:r w:rsidRPr="004D4FB0">
        <w:rPr>
          <w:szCs w:val="22"/>
          <w:lang w:val="fr-FR"/>
        </w:rPr>
        <w:t xml:space="preserve">Liste de références </w:t>
      </w:r>
      <w:r w:rsidR="0044512E" w:rsidRPr="004D4FB0">
        <w:rPr>
          <w:szCs w:val="22"/>
          <w:lang w:val="fr-FR"/>
        </w:rPr>
        <w:t>pour les</w:t>
      </w:r>
      <w:r w:rsidRPr="004D4FB0">
        <w:rPr>
          <w:szCs w:val="22"/>
          <w:lang w:val="fr-FR"/>
        </w:rPr>
        <w:t xml:space="preserve"> ressources </w:t>
      </w:r>
      <w:r w:rsidR="0044512E" w:rsidRPr="004D4FB0">
        <w:rPr>
          <w:szCs w:val="22"/>
          <w:lang w:val="fr-FR"/>
        </w:rPr>
        <w:t xml:space="preserve">concernant </w:t>
      </w:r>
      <w:r w:rsidRPr="004D4FB0">
        <w:rPr>
          <w:szCs w:val="22"/>
          <w:lang w:val="fr-FR"/>
        </w:rPr>
        <w:t>les savoirs traditionnels, les expressions culturelles traditionnelles et les ressources génétiques</w:t>
      </w:r>
      <w:r w:rsidR="004D4FB0">
        <w:rPr>
          <w:szCs w:val="22"/>
          <w:lang w:val="fr-FR"/>
        </w:rPr>
        <w:br/>
      </w:r>
      <w:r w:rsidR="00FA2BE5" w:rsidRPr="004D4FB0">
        <w:rPr>
          <w:szCs w:val="22"/>
          <w:lang w:val="fr-FR"/>
        </w:rPr>
        <w:t>Voir le</w:t>
      </w:r>
      <w:r w:rsidR="00955145" w:rsidRPr="004D4FB0">
        <w:rPr>
          <w:szCs w:val="22"/>
          <w:lang w:val="fr-FR"/>
        </w:rPr>
        <w:t xml:space="preserve"> document WIPO/GRTKF/IC/3</w:t>
      </w:r>
      <w:r w:rsidR="00413590">
        <w:rPr>
          <w:szCs w:val="22"/>
          <w:lang w:val="fr-FR"/>
        </w:rPr>
        <w:t>1</w:t>
      </w:r>
      <w:r w:rsidR="00955145" w:rsidRPr="004D4FB0">
        <w:rPr>
          <w:szCs w:val="22"/>
          <w:lang w:val="fr-FR"/>
        </w:rPr>
        <w:t>/INF/</w:t>
      </w:r>
      <w:r w:rsidR="00413590">
        <w:rPr>
          <w:szCs w:val="22"/>
          <w:lang w:val="fr-FR"/>
        </w:rPr>
        <w:t>8</w:t>
      </w:r>
      <w:r w:rsidR="00955145" w:rsidRPr="004D4FB0">
        <w:rPr>
          <w:szCs w:val="22"/>
          <w:lang w:val="fr-FR"/>
        </w:rPr>
        <w:t>.</w:t>
      </w:r>
    </w:p>
    <w:p w:rsidR="006D7D66" w:rsidRDefault="00F438A5" w:rsidP="004D4FB0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spacing w:after="220"/>
        <w:ind w:left="1134" w:hanging="567"/>
        <w:rPr>
          <w:szCs w:val="22"/>
          <w:lang w:val="fr-FR"/>
        </w:rPr>
      </w:pPr>
      <w:r w:rsidRPr="00775827">
        <w:rPr>
          <w:lang w:val="fr-FR"/>
        </w:rPr>
        <w:t>Étude technique des principales questions relatives à la propriété intellectuelle dans les projets d</w:t>
      </w:r>
      <w:r w:rsidR="00922E88">
        <w:rPr>
          <w:lang w:val="fr-FR"/>
        </w:rPr>
        <w:t>’</w:t>
      </w:r>
      <w:r w:rsidRPr="00775827">
        <w:rPr>
          <w:lang w:val="fr-FR"/>
        </w:rPr>
        <w:t>instruments de l</w:t>
      </w:r>
      <w:r w:rsidR="00922E88">
        <w:rPr>
          <w:lang w:val="fr-FR"/>
        </w:rPr>
        <w:t>’</w:t>
      </w:r>
      <w:r w:rsidRPr="00775827">
        <w:rPr>
          <w:lang w:val="fr-FR"/>
        </w:rPr>
        <w:t xml:space="preserve">OMPI sur les ressources génétiques, les savoirs </w:t>
      </w:r>
      <w:r w:rsidRPr="00775827">
        <w:rPr>
          <w:szCs w:val="22"/>
          <w:lang w:val="fr-FR"/>
        </w:rPr>
        <w:t>traditionnels</w:t>
      </w:r>
      <w:r w:rsidRPr="00775827">
        <w:rPr>
          <w:lang w:val="fr-FR"/>
        </w:rPr>
        <w:t xml:space="preserve"> et les expressions culturelles traditionnelles</w:t>
      </w:r>
      <w:r w:rsidR="0044512E">
        <w:rPr>
          <w:lang w:val="fr-FR"/>
        </w:rPr>
        <w:t xml:space="preserve"> réalisée par le professeur</w:t>
      </w:r>
      <w:r w:rsidRPr="00775827">
        <w:rPr>
          <w:lang w:val="fr-FR"/>
        </w:rPr>
        <w:t xml:space="preserve"> James </w:t>
      </w:r>
      <w:proofErr w:type="spellStart"/>
      <w:r w:rsidRPr="00775827">
        <w:rPr>
          <w:lang w:val="fr-FR"/>
        </w:rPr>
        <w:t>Anaya</w:t>
      </w:r>
      <w:proofErr w:type="spellEnd"/>
      <w:r w:rsidR="0044512E" w:rsidRPr="00775827">
        <w:rPr>
          <w:lang w:val="fr-FR"/>
        </w:rPr>
        <w:t xml:space="preserve"> </w:t>
      </w:r>
      <w:r w:rsidRPr="00775827">
        <w:rPr>
          <w:lang w:val="fr-FR"/>
        </w:rPr>
        <w:br/>
        <w:t>Voir le document</w:t>
      </w:r>
      <w:r w:rsidR="00920F15" w:rsidRPr="00775827">
        <w:rPr>
          <w:szCs w:val="22"/>
          <w:lang w:val="fr-FR"/>
        </w:rPr>
        <w:t xml:space="preserve"> WIPO/GRTKF/IC/3</w:t>
      </w:r>
      <w:r w:rsidR="00413590">
        <w:rPr>
          <w:szCs w:val="22"/>
          <w:lang w:val="fr-FR"/>
        </w:rPr>
        <w:t>1</w:t>
      </w:r>
      <w:r w:rsidR="00920F15" w:rsidRPr="00775827">
        <w:rPr>
          <w:szCs w:val="22"/>
          <w:lang w:val="fr-FR"/>
        </w:rPr>
        <w:t>/INF/</w:t>
      </w:r>
      <w:r w:rsidR="00413590">
        <w:rPr>
          <w:szCs w:val="22"/>
          <w:lang w:val="fr-FR"/>
        </w:rPr>
        <w:t>9</w:t>
      </w:r>
      <w:r w:rsidR="00920F15" w:rsidRPr="00775827">
        <w:rPr>
          <w:szCs w:val="22"/>
          <w:lang w:val="fr-FR"/>
        </w:rPr>
        <w:t>.</w:t>
      </w:r>
    </w:p>
    <w:p w:rsidR="006D7D66" w:rsidRDefault="00EC2BAF" w:rsidP="000E37BB">
      <w:pPr>
        <w:pStyle w:val="ONUMFS"/>
        <w:ind w:left="567" w:hanging="567"/>
        <w:rPr>
          <w:lang w:val="fr-FR"/>
        </w:rPr>
      </w:pPr>
      <w:r w:rsidRPr="00EC2BAF">
        <w:rPr>
          <w:lang w:val="fr-FR"/>
        </w:rPr>
        <w:t>Contribution du Comité intergouvernemental de la propriété intellectuelle relative aux ressources génétiques, aux savoirs traditionnels et au folklore (IGC) à la mise en œuvre des recommandations du Plan d</w:t>
      </w:r>
      <w:r w:rsidR="00922E88">
        <w:rPr>
          <w:lang w:val="fr-FR"/>
        </w:rPr>
        <w:t>’</w:t>
      </w:r>
      <w:r w:rsidRPr="00EC2BAF">
        <w:rPr>
          <w:lang w:val="fr-FR"/>
        </w:rPr>
        <w:t>action pour le développement qui le concernent</w:t>
      </w:r>
    </w:p>
    <w:p w:rsidR="006D7D66" w:rsidRDefault="00F438A5" w:rsidP="00F438A5">
      <w:pPr>
        <w:pStyle w:val="ONUMFS"/>
        <w:rPr>
          <w:lang w:val="fr-FR"/>
        </w:rPr>
      </w:pPr>
      <w:r w:rsidRPr="00775827">
        <w:rPr>
          <w:lang w:val="fr-FR"/>
        </w:rPr>
        <w:t>Questions diverses</w:t>
      </w:r>
    </w:p>
    <w:p w:rsidR="006D7D66" w:rsidRDefault="00F438A5" w:rsidP="00F438A5">
      <w:pPr>
        <w:pStyle w:val="ONUMFS"/>
        <w:rPr>
          <w:lang w:val="fr-FR"/>
        </w:rPr>
      </w:pPr>
      <w:r w:rsidRPr="00775827">
        <w:rPr>
          <w:lang w:val="fr-FR"/>
        </w:rPr>
        <w:t>Clôture de la session</w:t>
      </w:r>
    </w:p>
    <w:p w:rsidR="006D7D66" w:rsidRDefault="006D7D66" w:rsidP="00C91152">
      <w:pPr>
        <w:rPr>
          <w:lang w:val="fr-FR"/>
        </w:rPr>
      </w:pPr>
    </w:p>
    <w:p w:rsidR="006D7D66" w:rsidRDefault="006D7D66" w:rsidP="00C91152">
      <w:pPr>
        <w:rPr>
          <w:lang w:val="fr-FR"/>
        </w:rPr>
      </w:pPr>
    </w:p>
    <w:p w:rsidR="006D7D66" w:rsidRDefault="00C91152">
      <w:pPr>
        <w:pStyle w:val="Endofdocument-Annex"/>
      </w:pPr>
      <w:r>
        <w:t>[Fin du document]</w:t>
      </w:r>
    </w:p>
    <w:p w:rsidR="00C91152" w:rsidRDefault="00C91152">
      <w:pPr>
        <w:pStyle w:val="Endofdocument-Annex"/>
      </w:pPr>
    </w:p>
    <w:sectPr w:rsidR="00C91152" w:rsidSect="006D7D66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0" w:rsidRDefault="004D4FB0">
      <w:r>
        <w:separator/>
      </w:r>
    </w:p>
  </w:endnote>
  <w:endnote w:type="continuationSeparator" w:id="0">
    <w:p w:rsidR="004D4FB0" w:rsidRDefault="004D4FB0" w:rsidP="003B38C1">
      <w:r>
        <w:separator/>
      </w:r>
    </w:p>
    <w:p w:rsidR="004D4FB0" w:rsidRPr="003B38C1" w:rsidRDefault="004D4FB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D4FB0" w:rsidRPr="003B38C1" w:rsidRDefault="004D4FB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0" w:rsidRDefault="004D4FB0">
      <w:r>
        <w:separator/>
      </w:r>
    </w:p>
  </w:footnote>
  <w:footnote w:type="continuationSeparator" w:id="0">
    <w:p w:rsidR="004D4FB0" w:rsidRDefault="004D4FB0" w:rsidP="008B60B2">
      <w:r>
        <w:separator/>
      </w:r>
    </w:p>
    <w:p w:rsidR="004D4FB0" w:rsidRPr="00ED77FB" w:rsidRDefault="004D4FB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D4FB0" w:rsidRPr="00ED77FB" w:rsidRDefault="004D4FB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FB0" w:rsidRDefault="004D4FB0" w:rsidP="00477D6B">
    <w:pPr>
      <w:jc w:val="right"/>
    </w:pPr>
    <w:bookmarkStart w:id="3" w:name="Code2"/>
    <w:bookmarkEnd w:id="3"/>
    <w:r>
      <w:t>WIPO/GRTKF/IC/3</w:t>
    </w:r>
    <w:r w:rsidR="00413590">
      <w:t>1</w:t>
    </w:r>
    <w:r>
      <w:t>/1 Prov.</w:t>
    </w:r>
    <w:r w:rsidR="00922E88">
      <w:t>3</w:t>
    </w:r>
  </w:p>
  <w:p w:rsidR="004D4FB0" w:rsidRDefault="004D4FB0" w:rsidP="00477D6B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 w:rsidR="00B5139F">
      <w:rPr>
        <w:noProof/>
      </w:rPr>
      <w:t>2</w:t>
    </w:r>
    <w:r>
      <w:fldChar w:fldCharType="end"/>
    </w:r>
  </w:p>
  <w:p w:rsidR="004D4FB0" w:rsidRDefault="004D4FB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C7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D196E"/>
    <w:multiLevelType w:val="multilevel"/>
    <w:tmpl w:val="7B3AC276"/>
    <w:lvl w:ilvl="0">
      <w:start w:val="5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eastAsiaTheme="minorHAnsi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2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9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20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9844AE0"/>
    <w:multiLevelType w:val="hybridMultilevel"/>
    <w:tmpl w:val="B448DE82"/>
    <w:lvl w:ilvl="0" w:tplc="98AA17F4">
      <w:start w:val="5"/>
      <w:numFmt w:val="bullet"/>
      <w:lvlText w:val="–"/>
      <w:lvlJc w:val="left"/>
      <w:pPr>
        <w:tabs>
          <w:tab w:val="num" w:pos="1122"/>
        </w:tabs>
        <w:ind w:left="1122" w:hanging="555"/>
      </w:pPr>
      <w:rPr>
        <w:rFonts w:ascii="Arial" w:eastAsiaTheme="minorHAnsi" w:hAnsi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5"/>
  </w:num>
  <w:num w:numId="5">
    <w:abstractNumId w:val="2"/>
  </w:num>
  <w:num w:numId="6">
    <w:abstractNumId w:val="5"/>
  </w:num>
  <w:num w:numId="7">
    <w:abstractNumId w:val="16"/>
  </w:num>
  <w:num w:numId="8">
    <w:abstractNumId w:val="22"/>
  </w:num>
  <w:num w:numId="9">
    <w:abstractNumId w:val="17"/>
  </w:num>
  <w:num w:numId="10">
    <w:abstractNumId w:val="18"/>
  </w:num>
  <w:num w:numId="11">
    <w:abstractNumId w:val="21"/>
  </w:num>
  <w:num w:numId="12">
    <w:abstractNumId w:val="19"/>
  </w:num>
  <w:num w:numId="13">
    <w:abstractNumId w:val="8"/>
  </w:num>
  <w:num w:numId="14">
    <w:abstractNumId w:val="14"/>
  </w:num>
  <w:num w:numId="15">
    <w:abstractNumId w:val="11"/>
  </w:num>
  <w:num w:numId="16">
    <w:abstractNumId w:val="9"/>
  </w:num>
  <w:num w:numId="17">
    <w:abstractNumId w:val="3"/>
  </w:num>
  <w:num w:numId="18">
    <w:abstractNumId w:val="23"/>
  </w:num>
  <w:num w:numId="19">
    <w:abstractNumId w:val="20"/>
  </w:num>
  <w:num w:numId="20">
    <w:abstractNumId w:val="2"/>
  </w:num>
  <w:num w:numId="21">
    <w:abstractNumId w:val="12"/>
  </w:num>
  <w:num w:numId="22">
    <w:abstractNumId w:val="6"/>
  </w:num>
  <w:num w:numId="23">
    <w:abstractNumId w:val="24"/>
  </w:num>
  <w:num w:numId="24">
    <w:abstractNumId w:val="7"/>
  </w:num>
  <w:num w:numId="25">
    <w:abstractNumId w:val="0"/>
  </w:num>
  <w:num w:numId="26">
    <w:abstractNumId w:val="10"/>
  </w:num>
  <w:num w:numId="27">
    <w:abstractNumId w:val="5"/>
  </w:num>
  <w:num w:numId="28">
    <w:abstractNumId w:val="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FB1F55"/>
    <w:rsid w:val="000000B5"/>
    <w:rsid w:val="000146A4"/>
    <w:rsid w:val="00025171"/>
    <w:rsid w:val="0003026A"/>
    <w:rsid w:val="00043CAA"/>
    <w:rsid w:val="00045FA4"/>
    <w:rsid w:val="000564DE"/>
    <w:rsid w:val="00062BFF"/>
    <w:rsid w:val="00074E67"/>
    <w:rsid w:val="00075432"/>
    <w:rsid w:val="00083C90"/>
    <w:rsid w:val="00085296"/>
    <w:rsid w:val="000968ED"/>
    <w:rsid w:val="000B47FC"/>
    <w:rsid w:val="000C7425"/>
    <w:rsid w:val="000D1775"/>
    <w:rsid w:val="000D44C6"/>
    <w:rsid w:val="000D489D"/>
    <w:rsid w:val="000D52CA"/>
    <w:rsid w:val="000D690A"/>
    <w:rsid w:val="000E2132"/>
    <w:rsid w:val="000E32BB"/>
    <w:rsid w:val="000E37BB"/>
    <w:rsid w:val="000E72CA"/>
    <w:rsid w:val="000F1540"/>
    <w:rsid w:val="000F5E56"/>
    <w:rsid w:val="000F7217"/>
    <w:rsid w:val="001011D2"/>
    <w:rsid w:val="001031A1"/>
    <w:rsid w:val="0010357F"/>
    <w:rsid w:val="001059FC"/>
    <w:rsid w:val="00135267"/>
    <w:rsid w:val="0013626C"/>
    <w:rsid w:val="001362EE"/>
    <w:rsid w:val="00146C9D"/>
    <w:rsid w:val="001832A6"/>
    <w:rsid w:val="001A1A38"/>
    <w:rsid w:val="001C1D99"/>
    <w:rsid w:val="001C2D72"/>
    <w:rsid w:val="001D19A5"/>
    <w:rsid w:val="001D1CAC"/>
    <w:rsid w:val="001E6C4F"/>
    <w:rsid w:val="001F4005"/>
    <w:rsid w:val="001F5CAF"/>
    <w:rsid w:val="00207246"/>
    <w:rsid w:val="00214549"/>
    <w:rsid w:val="0021538D"/>
    <w:rsid w:val="00217361"/>
    <w:rsid w:val="0022396F"/>
    <w:rsid w:val="00225773"/>
    <w:rsid w:val="00241921"/>
    <w:rsid w:val="0025117A"/>
    <w:rsid w:val="002634C4"/>
    <w:rsid w:val="00270768"/>
    <w:rsid w:val="00282252"/>
    <w:rsid w:val="002928D3"/>
    <w:rsid w:val="002A1CDD"/>
    <w:rsid w:val="002B2725"/>
    <w:rsid w:val="002B64DB"/>
    <w:rsid w:val="002B7814"/>
    <w:rsid w:val="002D59C0"/>
    <w:rsid w:val="002F1FE6"/>
    <w:rsid w:val="002F3D67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45B15"/>
    <w:rsid w:val="0036035F"/>
    <w:rsid w:val="00361450"/>
    <w:rsid w:val="003673CF"/>
    <w:rsid w:val="00374900"/>
    <w:rsid w:val="003845C1"/>
    <w:rsid w:val="00387CB5"/>
    <w:rsid w:val="003A2633"/>
    <w:rsid w:val="003A3D0E"/>
    <w:rsid w:val="003A6F89"/>
    <w:rsid w:val="003B0C20"/>
    <w:rsid w:val="003B2B8B"/>
    <w:rsid w:val="003B38C1"/>
    <w:rsid w:val="003B5DA7"/>
    <w:rsid w:val="003D71D0"/>
    <w:rsid w:val="003F320C"/>
    <w:rsid w:val="00411866"/>
    <w:rsid w:val="00413590"/>
    <w:rsid w:val="00416016"/>
    <w:rsid w:val="0042230B"/>
    <w:rsid w:val="00423E3E"/>
    <w:rsid w:val="00427AF4"/>
    <w:rsid w:val="00436AA7"/>
    <w:rsid w:val="00440B71"/>
    <w:rsid w:val="0044512E"/>
    <w:rsid w:val="004526E4"/>
    <w:rsid w:val="00456334"/>
    <w:rsid w:val="0046339D"/>
    <w:rsid w:val="004647DA"/>
    <w:rsid w:val="0047373C"/>
    <w:rsid w:val="00474062"/>
    <w:rsid w:val="00477D6B"/>
    <w:rsid w:val="00496E38"/>
    <w:rsid w:val="004A79D2"/>
    <w:rsid w:val="004C2215"/>
    <w:rsid w:val="004C382A"/>
    <w:rsid w:val="004D4FB0"/>
    <w:rsid w:val="004D5D89"/>
    <w:rsid w:val="004D7C81"/>
    <w:rsid w:val="004E10C4"/>
    <w:rsid w:val="004E1709"/>
    <w:rsid w:val="004E4447"/>
    <w:rsid w:val="004F43E7"/>
    <w:rsid w:val="004F54E7"/>
    <w:rsid w:val="005019FF"/>
    <w:rsid w:val="0050560A"/>
    <w:rsid w:val="00510EE8"/>
    <w:rsid w:val="00524FAA"/>
    <w:rsid w:val="0053057A"/>
    <w:rsid w:val="00530E68"/>
    <w:rsid w:val="00553D5E"/>
    <w:rsid w:val="00560A29"/>
    <w:rsid w:val="00571FF7"/>
    <w:rsid w:val="0057535D"/>
    <w:rsid w:val="005957EB"/>
    <w:rsid w:val="005A4A15"/>
    <w:rsid w:val="005C6649"/>
    <w:rsid w:val="005D598D"/>
    <w:rsid w:val="005E1197"/>
    <w:rsid w:val="005E225C"/>
    <w:rsid w:val="00604A21"/>
    <w:rsid w:val="00605827"/>
    <w:rsid w:val="0061243C"/>
    <w:rsid w:val="00622518"/>
    <w:rsid w:val="00625A46"/>
    <w:rsid w:val="00627BA2"/>
    <w:rsid w:val="006375AD"/>
    <w:rsid w:val="00637CA1"/>
    <w:rsid w:val="00646050"/>
    <w:rsid w:val="006542BA"/>
    <w:rsid w:val="006713CA"/>
    <w:rsid w:val="00676C5C"/>
    <w:rsid w:val="00680C2F"/>
    <w:rsid w:val="00694A68"/>
    <w:rsid w:val="006A38B8"/>
    <w:rsid w:val="006B4668"/>
    <w:rsid w:val="006D6623"/>
    <w:rsid w:val="006D7A9A"/>
    <w:rsid w:val="006D7D66"/>
    <w:rsid w:val="006F04FE"/>
    <w:rsid w:val="006F22AA"/>
    <w:rsid w:val="007045E0"/>
    <w:rsid w:val="00706201"/>
    <w:rsid w:val="007157D1"/>
    <w:rsid w:val="00733723"/>
    <w:rsid w:val="00741D5F"/>
    <w:rsid w:val="00775827"/>
    <w:rsid w:val="00780036"/>
    <w:rsid w:val="00782CD7"/>
    <w:rsid w:val="007B64D0"/>
    <w:rsid w:val="007B7260"/>
    <w:rsid w:val="007D1613"/>
    <w:rsid w:val="007E6AFA"/>
    <w:rsid w:val="007F3BC3"/>
    <w:rsid w:val="008030F2"/>
    <w:rsid w:val="00815930"/>
    <w:rsid w:val="008171F8"/>
    <w:rsid w:val="0081774F"/>
    <w:rsid w:val="00821366"/>
    <w:rsid w:val="00824AC1"/>
    <w:rsid w:val="00826009"/>
    <w:rsid w:val="008421CD"/>
    <w:rsid w:val="00850556"/>
    <w:rsid w:val="008566D9"/>
    <w:rsid w:val="00863989"/>
    <w:rsid w:val="00881728"/>
    <w:rsid w:val="008949DE"/>
    <w:rsid w:val="008A01A4"/>
    <w:rsid w:val="008B2CC1"/>
    <w:rsid w:val="008B60B2"/>
    <w:rsid w:val="008C57E4"/>
    <w:rsid w:val="008E29F2"/>
    <w:rsid w:val="008E7572"/>
    <w:rsid w:val="0090646F"/>
    <w:rsid w:val="0090731E"/>
    <w:rsid w:val="00916EE2"/>
    <w:rsid w:val="00920F15"/>
    <w:rsid w:val="00922372"/>
    <w:rsid w:val="00922E88"/>
    <w:rsid w:val="009305EA"/>
    <w:rsid w:val="009318CE"/>
    <w:rsid w:val="00934B09"/>
    <w:rsid w:val="009435B5"/>
    <w:rsid w:val="009441BC"/>
    <w:rsid w:val="009458A8"/>
    <w:rsid w:val="00955145"/>
    <w:rsid w:val="00966A22"/>
    <w:rsid w:val="0096722F"/>
    <w:rsid w:val="00980843"/>
    <w:rsid w:val="0098175A"/>
    <w:rsid w:val="00982043"/>
    <w:rsid w:val="009931F8"/>
    <w:rsid w:val="00993649"/>
    <w:rsid w:val="00997FCD"/>
    <w:rsid w:val="009A58DA"/>
    <w:rsid w:val="009A778E"/>
    <w:rsid w:val="009B2D78"/>
    <w:rsid w:val="009B4812"/>
    <w:rsid w:val="009C1E64"/>
    <w:rsid w:val="009C75E5"/>
    <w:rsid w:val="009D07C4"/>
    <w:rsid w:val="009D6ADF"/>
    <w:rsid w:val="009E2791"/>
    <w:rsid w:val="009E3F6F"/>
    <w:rsid w:val="009F499F"/>
    <w:rsid w:val="00A124BD"/>
    <w:rsid w:val="00A17561"/>
    <w:rsid w:val="00A42DAF"/>
    <w:rsid w:val="00A45BD8"/>
    <w:rsid w:val="00A5761C"/>
    <w:rsid w:val="00A6159E"/>
    <w:rsid w:val="00A75B9A"/>
    <w:rsid w:val="00A84C18"/>
    <w:rsid w:val="00A869B7"/>
    <w:rsid w:val="00A91862"/>
    <w:rsid w:val="00A967BF"/>
    <w:rsid w:val="00A97630"/>
    <w:rsid w:val="00AA7021"/>
    <w:rsid w:val="00AC205C"/>
    <w:rsid w:val="00AE1585"/>
    <w:rsid w:val="00AF0A6B"/>
    <w:rsid w:val="00AF4665"/>
    <w:rsid w:val="00B05A69"/>
    <w:rsid w:val="00B213F2"/>
    <w:rsid w:val="00B30DC2"/>
    <w:rsid w:val="00B5139F"/>
    <w:rsid w:val="00B5344C"/>
    <w:rsid w:val="00B9734B"/>
    <w:rsid w:val="00BB206B"/>
    <w:rsid w:val="00BC08BF"/>
    <w:rsid w:val="00BD1067"/>
    <w:rsid w:val="00BE1342"/>
    <w:rsid w:val="00BE2F3A"/>
    <w:rsid w:val="00C11900"/>
    <w:rsid w:val="00C11BFE"/>
    <w:rsid w:val="00C1383A"/>
    <w:rsid w:val="00C14B49"/>
    <w:rsid w:val="00C16F2E"/>
    <w:rsid w:val="00C24890"/>
    <w:rsid w:val="00C276B3"/>
    <w:rsid w:val="00C64D57"/>
    <w:rsid w:val="00C770E7"/>
    <w:rsid w:val="00C91152"/>
    <w:rsid w:val="00CA78B0"/>
    <w:rsid w:val="00CB3022"/>
    <w:rsid w:val="00CB6F18"/>
    <w:rsid w:val="00CB79CA"/>
    <w:rsid w:val="00CC170C"/>
    <w:rsid w:val="00CC542A"/>
    <w:rsid w:val="00CC635A"/>
    <w:rsid w:val="00CD4ACB"/>
    <w:rsid w:val="00CF4996"/>
    <w:rsid w:val="00CF4C92"/>
    <w:rsid w:val="00D01586"/>
    <w:rsid w:val="00D12488"/>
    <w:rsid w:val="00D3310D"/>
    <w:rsid w:val="00D3631E"/>
    <w:rsid w:val="00D40AA2"/>
    <w:rsid w:val="00D45252"/>
    <w:rsid w:val="00D71B4D"/>
    <w:rsid w:val="00D72678"/>
    <w:rsid w:val="00D85A65"/>
    <w:rsid w:val="00D868C7"/>
    <w:rsid w:val="00D93D55"/>
    <w:rsid w:val="00DE4619"/>
    <w:rsid w:val="00DF77BC"/>
    <w:rsid w:val="00E04EE9"/>
    <w:rsid w:val="00E13C0F"/>
    <w:rsid w:val="00E262C6"/>
    <w:rsid w:val="00E335FE"/>
    <w:rsid w:val="00E37C06"/>
    <w:rsid w:val="00E428EF"/>
    <w:rsid w:val="00E63C78"/>
    <w:rsid w:val="00E76586"/>
    <w:rsid w:val="00E92472"/>
    <w:rsid w:val="00EB414C"/>
    <w:rsid w:val="00EC10EA"/>
    <w:rsid w:val="00EC189A"/>
    <w:rsid w:val="00EC2BAF"/>
    <w:rsid w:val="00EC40A4"/>
    <w:rsid w:val="00EC4E49"/>
    <w:rsid w:val="00EC5F29"/>
    <w:rsid w:val="00ED77FB"/>
    <w:rsid w:val="00EE128A"/>
    <w:rsid w:val="00EE45FA"/>
    <w:rsid w:val="00F065CA"/>
    <w:rsid w:val="00F148D4"/>
    <w:rsid w:val="00F15270"/>
    <w:rsid w:val="00F16468"/>
    <w:rsid w:val="00F26EC2"/>
    <w:rsid w:val="00F438A5"/>
    <w:rsid w:val="00F66152"/>
    <w:rsid w:val="00F87E89"/>
    <w:rsid w:val="00F914CB"/>
    <w:rsid w:val="00FA2BE5"/>
    <w:rsid w:val="00FB1F55"/>
    <w:rsid w:val="00FD50A0"/>
    <w:rsid w:val="00FD6BB3"/>
    <w:rsid w:val="00FD7454"/>
    <w:rsid w:val="00FE118B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  <w:style w:type="character" w:styleId="Hyperlink">
    <w:name w:val="Hyperlink"/>
    <w:basedOn w:val="DefaultParagraphFont"/>
    <w:rsid w:val="00E76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  <w:style w:type="character" w:styleId="Hyperlink">
    <w:name w:val="Hyperlink"/>
    <w:basedOn w:val="DefaultParagraphFont"/>
    <w:rsid w:val="00E7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4256-9646-4926-BE01-12BFF2CD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2689</Characters>
  <Application>Microsoft Office Word</Application>
  <DocSecurity>0</DocSecurity>
  <Lines>49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SC/sc</cp:keywords>
  <cp:lastModifiedBy>MORENO PALESTINI Maria Del Pilar</cp:lastModifiedBy>
  <cp:revision>3</cp:revision>
  <cp:lastPrinted>2016-09-28T11:43:00Z</cp:lastPrinted>
  <dcterms:created xsi:type="dcterms:W3CDTF">2016-09-28T11:43:00Z</dcterms:created>
  <dcterms:modified xsi:type="dcterms:W3CDTF">2016-09-28T11:44:00Z</dcterms:modified>
</cp:coreProperties>
</file>