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123893" w:rsidRDefault="00217165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</w:t>
      </w:r>
    </w:p>
    <w:p w:rsidR="006E4F5F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03661F47" wp14:editId="7FCA8D9A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7378AD" w:rsidRDefault="00AC7E01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bookmarkStart w:id="1" w:name="Code"/>
      <w:bookmarkEnd w:id="1"/>
      <w:r>
        <w:rPr>
          <w:rFonts w:ascii="Arial Black" w:hAnsi="Arial Black"/>
          <w:b/>
          <w:caps/>
          <w:sz w:val="15"/>
          <w:lang w:val="fr-CH"/>
        </w:rPr>
        <w:t>wipo/exp/gr/ge/18/2</w:t>
      </w:r>
    </w:p>
    <w:p w:rsidR="009A2CD2" w:rsidRDefault="006E4F5F" w:rsidP="006E4F5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 w:rsidR="009A2CD2">
        <w:rPr>
          <w:rFonts w:ascii="Arial Black" w:hAnsi="Arial Black"/>
          <w:b/>
          <w:caps/>
          <w:sz w:val="15"/>
          <w:lang w:val="fr-CH"/>
        </w:rPr>
        <w:t> :</w:t>
      </w:r>
      <w:r w:rsidR="0056124A">
        <w:rPr>
          <w:rFonts w:ascii="Arial Black" w:hAnsi="Arial Black"/>
          <w:b/>
          <w:caps/>
          <w:sz w:val="15"/>
          <w:lang w:val="fr-CH"/>
        </w:rPr>
        <w:t xml:space="preserve"> </w:t>
      </w:r>
      <w:r w:rsidR="00AC7E01">
        <w:rPr>
          <w:rFonts w:ascii="Arial Black" w:hAnsi="Arial Black"/>
          <w:b/>
          <w:caps/>
          <w:sz w:val="15"/>
          <w:lang w:val="fr-CH"/>
        </w:rPr>
        <w:t>ANGLAIS</w:t>
      </w:r>
    </w:p>
    <w:p w:rsidR="009A2CD2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 w:rsidR="009A2CD2">
        <w:rPr>
          <w:rFonts w:ascii="Arial Black" w:hAnsi="Arial Black"/>
          <w:b/>
          <w:caps/>
          <w:sz w:val="15"/>
          <w:lang w:val="fr-CH"/>
        </w:rPr>
        <w:t> :</w:t>
      </w:r>
      <w:r w:rsidR="0056124A">
        <w:rPr>
          <w:rFonts w:ascii="Arial Black" w:hAnsi="Arial Black"/>
          <w:b/>
          <w:caps/>
          <w:sz w:val="15"/>
          <w:lang w:val="fr-CH"/>
        </w:rPr>
        <w:t xml:space="preserve"> </w:t>
      </w:r>
      <w:r w:rsidR="00AC7E01">
        <w:rPr>
          <w:rFonts w:ascii="Arial Black" w:hAnsi="Arial Black"/>
          <w:b/>
          <w:caps/>
          <w:sz w:val="15"/>
          <w:lang w:val="fr-CH"/>
        </w:rPr>
        <w:t>14 JUIN 2018</w:t>
      </w:r>
    </w:p>
    <w:p w:rsidR="008B2CC1" w:rsidRPr="00217165" w:rsidRDefault="00D32C84" w:rsidP="00C467BE">
      <w:pPr>
        <w:pStyle w:val="Heading1"/>
        <w:rPr>
          <w:lang w:val="fr-CH"/>
        </w:rPr>
      </w:pPr>
      <w:r>
        <w:rPr>
          <w:lang w:val="fr-CH"/>
        </w:rPr>
        <w:t>Groupe spécial d’experts sur les ressources génétiques</w:t>
      </w:r>
    </w:p>
    <w:p w:rsidR="008B2CC1" w:rsidRPr="00217165" w:rsidRDefault="002A633A" w:rsidP="007378AD">
      <w:pPr>
        <w:spacing w:after="720"/>
        <w:rPr>
          <w:b/>
          <w:sz w:val="24"/>
          <w:lang w:val="fr-CH"/>
        </w:rPr>
      </w:pPr>
      <w:r w:rsidRPr="002A1C08">
        <w:rPr>
          <w:b/>
          <w:sz w:val="24"/>
          <w:lang w:val="fr-CH"/>
        </w:rPr>
        <w:t>Genè</w:t>
      </w:r>
      <w:r w:rsidR="00217165" w:rsidRPr="002A1C08">
        <w:rPr>
          <w:b/>
          <w:sz w:val="24"/>
          <w:lang w:val="fr-CH"/>
        </w:rPr>
        <w:t>ve</w:t>
      </w:r>
      <w:r w:rsidR="00AC7E01">
        <w:rPr>
          <w:b/>
          <w:sz w:val="24"/>
          <w:lang w:val="fr-CH"/>
        </w:rPr>
        <w:t>, 2</w:t>
      </w:r>
      <w:r w:rsidR="009A2CD2">
        <w:rPr>
          <w:b/>
          <w:sz w:val="24"/>
          <w:lang w:val="fr-CH"/>
        </w:rPr>
        <w:t>4 juin </w:t>
      </w:r>
      <w:r w:rsidR="009A2CD2" w:rsidRPr="002A1C08">
        <w:rPr>
          <w:b/>
          <w:sz w:val="24"/>
          <w:lang w:val="fr-CH"/>
        </w:rPr>
        <w:t>20</w:t>
      </w:r>
      <w:r w:rsidR="00DF023A" w:rsidRPr="002A1C08">
        <w:rPr>
          <w:b/>
          <w:sz w:val="24"/>
          <w:lang w:val="fr-CH"/>
        </w:rPr>
        <w:t>18</w:t>
      </w:r>
    </w:p>
    <w:p w:rsidR="00AC7E01" w:rsidRPr="00AF606A" w:rsidRDefault="00AC7E01" w:rsidP="000F50FE">
      <w:pPr>
        <w:spacing w:after="360"/>
        <w:rPr>
          <w:caps/>
          <w:sz w:val="24"/>
          <w:lang w:val="fr-CH"/>
        </w:rPr>
      </w:pPr>
      <w:bookmarkStart w:id="2" w:name="TitleOfDoc"/>
      <w:bookmarkEnd w:id="2"/>
      <w:r w:rsidRPr="00AF606A">
        <w:rPr>
          <w:caps/>
          <w:sz w:val="24"/>
          <w:lang w:val="fr-CH"/>
        </w:rPr>
        <w:t>Note d</w:t>
      </w:r>
      <w:r w:rsidR="009A2CD2">
        <w:rPr>
          <w:caps/>
          <w:sz w:val="24"/>
          <w:lang w:val="fr-CH"/>
        </w:rPr>
        <w:t>’</w:t>
      </w:r>
      <w:r w:rsidRPr="00AF606A">
        <w:rPr>
          <w:caps/>
          <w:sz w:val="24"/>
          <w:lang w:val="fr-CH"/>
        </w:rPr>
        <w:t>information de fond</w:t>
      </w:r>
    </w:p>
    <w:p w:rsidR="00AC7E01" w:rsidRPr="00AF606A" w:rsidRDefault="00AC7E01" w:rsidP="00AC7E01">
      <w:pPr>
        <w:rPr>
          <w:i/>
          <w:lang w:val="fr-CH"/>
        </w:rPr>
      </w:pPr>
      <w:proofErr w:type="gramStart"/>
      <w:r w:rsidRPr="00AF606A">
        <w:rPr>
          <w:i/>
          <w:lang w:val="fr-CH"/>
        </w:rPr>
        <w:t>établie</w:t>
      </w:r>
      <w:proofErr w:type="gramEnd"/>
      <w:r w:rsidRPr="00AF606A">
        <w:rPr>
          <w:i/>
          <w:lang w:val="fr-CH"/>
        </w:rPr>
        <w:t xml:space="preserve"> par le Bureau international de l</w:t>
      </w:r>
      <w:r w:rsidR="009A2CD2">
        <w:rPr>
          <w:i/>
          <w:lang w:val="fr-CH"/>
        </w:rPr>
        <w:t>’</w:t>
      </w:r>
      <w:r w:rsidRPr="00AF606A">
        <w:rPr>
          <w:i/>
          <w:lang w:val="fr-CH"/>
        </w:rPr>
        <w:t>OMPI</w:t>
      </w:r>
    </w:p>
    <w:p w:rsidR="00AC7E01" w:rsidRPr="00AF606A" w:rsidRDefault="00AC7E01" w:rsidP="00AC7E01">
      <w:pPr>
        <w:rPr>
          <w:lang w:val="fr-CH"/>
        </w:rPr>
      </w:pPr>
      <w:r w:rsidRPr="00AF606A">
        <w:rPr>
          <w:lang w:val="fr-CH"/>
        </w:rPr>
        <w:br w:type="page"/>
      </w:r>
    </w:p>
    <w:p w:rsidR="009A2CD2" w:rsidRDefault="00AC7E01" w:rsidP="003F0B18">
      <w:pPr>
        <w:pStyle w:val="ONUMFS"/>
        <w:rPr>
          <w:lang w:val="fr-CH"/>
        </w:rPr>
      </w:pPr>
      <w:r w:rsidRPr="00AF606A">
        <w:rPr>
          <w:lang w:val="fr-CH"/>
        </w:rPr>
        <w:lastRenderedPageBreak/>
        <w:t>Comme l</w:t>
      </w:r>
      <w:r w:rsidR="009A2CD2">
        <w:rPr>
          <w:lang w:val="fr-CH"/>
        </w:rPr>
        <w:t>’</w:t>
      </w:r>
      <w:r w:rsidRPr="00AF606A">
        <w:rPr>
          <w:lang w:val="fr-CH"/>
        </w:rPr>
        <w:t>indiquent le mandat du Comité intergouvernemental de la propriété intellectuelle relative aux ressources génétiques, aux savoirs traditionnels et au folklore (“IGC”) et les décisions de la trente</w:t>
      </w:r>
      <w:r w:rsidR="00147812">
        <w:rPr>
          <w:lang w:val="fr-CH"/>
        </w:rPr>
        <w:noBreakHyphen/>
      </w:r>
      <w:r w:rsidRPr="00AF606A">
        <w:rPr>
          <w:lang w:val="fr-CH"/>
        </w:rPr>
        <w:t>cinqu</w:t>
      </w:r>
      <w:r w:rsidR="009A2CD2">
        <w:rPr>
          <w:lang w:val="fr-CH"/>
        </w:rPr>
        <w:t>ième session</w:t>
      </w:r>
      <w:r w:rsidRPr="00AF606A">
        <w:rPr>
          <w:lang w:val="fr-CH"/>
        </w:rPr>
        <w:t xml:space="preserve"> </w:t>
      </w:r>
      <w:r>
        <w:rPr>
          <w:lang w:val="fr-CH"/>
        </w:rPr>
        <w:t>de l</w:t>
      </w:r>
      <w:r w:rsidR="009A2CD2">
        <w:rPr>
          <w:lang w:val="fr-CH"/>
        </w:rPr>
        <w:t>’</w:t>
      </w:r>
      <w:r>
        <w:rPr>
          <w:lang w:val="fr-CH"/>
        </w:rPr>
        <w:t>IGC</w:t>
      </w:r>
      <w:r w:rsidRPr="00AF606A">
        <w:rPr>
          <w:lang w:val="fr-CH"/>
        </w:rPr>
        <w:t>, qui s</w:t>
      </w:r>
      <w:r w:rsidR="009A2CD2">
        <w:rPr>
          <w:lang w:val="fr-CH"/>
        </w:rPr>
        <w:t>’</w:t>
      </w:r>
      <w:r w:rsidRPr="00AF606A">
        <w:rPr>
          <w:lang w:val="fr-CH"/>
        </w:rPr>
        <w:t>est tenue du 19 au 2</w:t>
      </w:r>
      <w:r w:rsidR="009A2CD2" w:rsidRPr="00AF606A">
        <w:rPr>
          <w:lang w:val="fr-CH"/>
        </w:rPr>
        <w:t>3</w:t>
      </w:r>
      <w:r w:rsidR="009A2CD2">
        <w:rPr>
          <w:lang w:val="fr-CH"/>
        </w:rPr>
        <w:t> </w:t>
      </w:r>
      <w:r w:rsidR="009A2CD2" w:rsidRPr="00AF606A">
        <w:rPr>
          <w:lang w:val="fr-CH"/>
        </w:rPr>
        <w:t>mars</w:t>
      </w:r>
      <w:r w:rsidR="009A2CD2">
        <w:rPr>
          <w:lang w:val="fr-CH"/>
        </w:rPr>
        <w:t> </w:t>
      </w:r>
      <w:r w:rsidR="009A2CD2" w:rsidRPr="00AF606A">
        <w:rPr>
          <w:lang w:val="fr-CH"/>
        </w:rPr>
        <w:t>20</w:t>
      </w:r>
      <w:r w:rsidRPr="00AF606A">
        <w:rPr>
          <w:lang w:val="fr-CH"/>
        </w:rPr>
        <w:t>18, l</w:t>
      </w:r>
      <w:r w:rsidR="009A2CD2">
        <w:rPr>
          <w:lang w:val="fr-CH"/>
        </w:rPr>
        <w:t>’</w:t>
      </w:r>
      <w:r w:rsidRPr="00AF606A">
        <w:rPr>
          <w:lang w:val="fr-CH"/>
        </w:rPr>
        <w:t>objectif général du Groupe spécial d</w:t>
      </w:r>
      <w:r w:rsidR="009A2CD2">
        <w:rPr>
          <w:lang w:val="fr-CH"/>
        </w:rPr>
        <w:t>’</w:t>
      </w:r>
      <w:r w:rsidRPr="00AF606A">
        <w:rPr>
          <w:lang w:val="fr-CH"/>
        </w:rPr>
        <w:t>experts sur les ressources génétiques est de traiter des questions précises d</w:t>
      </w:r>
      <w:r w:rsidR="009A2CD2">
        <w:rPr>
          <w:lang w:val="fr-CH"/>
        </w:rPr>
        <w:t>’</w:t>
      </w:r>
      <w:r w:rsidRPr="00AF606A">
        <w:rPr>
          <w:lang w:val="fr-CH"/>
        </w:rPr>
        <w:t>ordre juridique, politique ou techniq</w:t>
      </w:r>
      <w:r w:rsidR="00AA0370" w:rsidRPr="00AF606A">
        <w:rPr>
          <w:lang w:val="fr-CH"/>
        </w:rPr>
        <w:t>ue</w:t>
      </w:r>
      <w:r w:rsidR="00AA0370">
        <w:rPr>
          <w:lang w:val="fr-CH"/>
        </w:rPr>
        <w:t xml:space="preserve">.  </w:t>
      </w:r>
      <w:r w:rsidR="00AA0370" w:rsidRPr="00AF606A">
        <w:rPr>
          <w:lang w:val="fr-CH"/>
        </w:rPr>
        <w:t>Le</w:t>
      </w:r>
      <w:r w:rsidRPr="00AF606A">
        <w:rPr>
          <w:lang w:val="fr-CH"/>
        </w:rPr>
        <w:t>s résultats de ces travaux feront l</w:t>
      </w:r>
      <w:r w:rsidR="009A2CD2">
        <w:rPr>
          <w:lang w:val="fr-CH"/>
        </w:rPr>
        <w:t>’</w:t>
      </w:r>
      <w:r w:rsidRPr="00AF606A">
        <w:rPr>
          <w:lang w:val="fr-CH"/>
        </w:rPr>
        <w:t>objet d</w:t>
      </w:r>
      <w:r w:rsidR="009A2CD2">
        <w:rPr>
          <w:lang w:val="fr-CH"/>
        </w:rPr>
        <w:t>’</w:t>
      </w:r>
      <w:r w:rsidRPr="00AF606A">
        <w:rPr>
          <w:lang w:val="fr-CH"/>
        </w:rPr>
        <w:t>un rapport et seront examinés par l</w:t>
      </w:r>
      <w:r w:rsidR="009A2CD2">
        <w:rPr>
          <w:lang w:val="fr-CH"/>
        </w:rPr>
        <w:t>’</w:t>
      </w:r>
      <w:r w:rsidRPr="00AF606A">
        <w:rPr>
          <w:lang w:val="fr-CH"/>
        </w:rPr>
        <w:t>IGC.</w:t>
      </w:r>
    </w:p>
    <w:p w:rsidR="00AC7E01" w:rsidRPr="00AF606A" w:rsidRDefault="00AC7E01" w:rsidP="003F0B18">
      <w:pPr>
        <w:pStyle w:val="ONUMFS"/>
        <w:rPr>
          <w:lang w:val="fr-CH"/>
        </w:rPr>
      </w:pPr>
      <w:r w:rsidRPr="00AF606A">
        <w:rPr>
          <w:lang w:val="fr-CH"/>
        </w:rPr>
        <w:t>Conformément aux décisions prises à la trente</w:t>
      </w:r>
      <w:r w:rsidR="00147812">
        <w:rPr>
          <w:lang w:val="fr-CH"/>
        </w:rPr>
        <w:noBreakHyphen/>
      </w:r>
      <w:r w:rsidRPr="00AF606A">
        <w:rPr>
          <w:lang w:val="fr-CH"/>
        </w:rPr>
        <w:t>cinqu</w:t>
      </w:r>
      <w:r w:rsidR="009A2CD2">
        <w:rPr>
          <w:lang w:val="fr-CH"/>
        </w:rPr>
        <w:t>ième session</w:t>
      </w:r>
      <w:r w:rsidRPr="00AF606A">
        <w:rPr>
          <w:lang w:val="fr-CH"/>
        </w:rPr>
        <w:t xml:space="preserve"> de l</w:t>
      </w:r>
      <w:r w:rsidR="009A2CD2">
        <w:rPr>
          <w:lang w:val="fr-CH"/>
        </w:rPr>
        <w:t>’</w:t>
      </w:r>
      <w:r w:rsidRPr="00AF606A">
        <w:rPr>
          <w:lang w:val="fr-CH"/>
        </w:rPr>
        <w:t>IGC, les États</w:t>
      </w:r>
      <w:r w:rsidR="00822525">
        <w:rPr>
          <w:lang w:val="fr-CH"/>
        </w:rPr>
        <w:t> </w:t>
      </w:r>
      <w:r w:rsidRPr="00AF606A">
        <w:rPr>
          <w:lang w:val="fr-CH"/>
        </w:rPr>
        <w:t>membres, par l</w:t>
      </w:r>
      <w:r w:rsidR="009A2CD2">
        <w:rPr>
          <w:lang w:val="fr-CH"/>
        </w:rPr>
        <w:t>’</w:t>
      </w:r>
      <w:r w:rsidRPr="00AF606A">
        <w:rPr>
          <w:lang w:val="fr-CH"/>
        </w:rPr>
        <w:t>intermédiaire des coordonnateurs régionaux, ont été invités à suggérer des questions précises à soumettre à l</w:t>
      </w:r>
      <w:r w:rsidR="009A2CD2">
        <w:rPr>
          <w:lang w:val="fr-CH"/>
        </w:rPr>
        <w:t>’</w:t>
      </w:r>
      <w:r w:rsidRPr="00AF606A">
        <w:rPr>
          <w:lang w:val="fr-CH"/>
        </w:rPr>
        <w:t>examen du groupe spécial d</w:t>
      </w:r>
      <w:r w:rsidR="009A2CD2">
        <w:rPr>
          <w:lang w:val="fr-CH"/>
        </w:rPr>
        <w:t>’</w:t>
      </w:r>
      <w:r w:rsidRPr="00AF606A">
        <w:rPr>
          <w:lang w:val="fr-CH"/>
        </w:rPr>
        <w:t>exper</w:t>
      </w:r>
      <w:r w:rsidR="00AA0370" w:rsidRPr="00AF606A">
        <w:rPr>
          <w:lang w:val="fr-CH"/>
        </w:rPr>
        <w:t>ts</w:t>
      </w:r>
      <w:r w:rsidR="00AA0370">
        <w:rPr>
          <w:lang w:val="fr-CH"/>
        </w:rPr>
        <w:t xml:space="preserve">.  </w:t>
      </w:r>
      <w:r w:rsidR="00AA0370" w:rsidRPr="00AF606A">
        <w:rPr>
          <w:lang w:val="fr-CH"/>
        </w:rPr>
        <w:t>Le</w:t>
      </w:r>
      <w:r w:rsidRPr="00AF606A">
        <w:rPr>
          <w:lang w:val="fr-CH"/>
        </w:rPr>
        <w:t xml:space="preserve"> président et les vice</w:t>
      </w:r>
      <w:r w:rsidR="00147812">
        <w:rPr>
          <w:lang w:val="fr-CH"/>
        </w:rPr>
        <w:noBreakHyphen/>
      </w:r>
      <w:r w:rsidRPr="00AF606A">
        <w:rPr>
          <w:lang w:val="fr-CH"/>
        </w:rPr>
        <w:t>présidents de l</w:t>
      </w:r>
      <w:r w:rsidR="009A2CD2">
        <w:rPr>
          <w:lang w:val="fr-CH"/>
        </w:rPr>
        <w:t>’</w:t>
      </w:r>
      <w:r w:rsidRPr="00AF606A">
        <w:rPr>
          <w:lang w:val="fr-CH"/>
        </w:rPr>
        <w:t>IGC ont établi la liste de questions précises à partir des suggestions formulées par les États membres et l</w:t>
      </w:r>
      <w:r w:rsidR="009A2CD2">
        <w:rPr>
          <w:lang w:val="fr-CH"/>
        </w:rPr>
        <w:t>’</w:t>
      </w:r>
      <w:r w:rsidRPr="00AF606A">
        <w:rPr>
          <w:lang w:val="fr-CH"/>
        </w:rPr>
        <w:t>ont transmise aux coordonnateurs régionaux pour commentair</w:t>
      </w:r>
      <w:r w:rsidR="00AA0370" w:rsidRPr="00AF606A">
        <w:rPr>
          <w:lang w:val="fr-CH"/>
        </w:rPr>
        <w:t>es</w:t>
      </w:r>
      <w:r w:rsidR="00AA0370">
        <w:rPr>
          <w:lang w:val="fr-CH"/>
        </w:rPr>
        <w:t xml:space="preserve">.  </w:t>
      </w:r>
      <w:r w:rsidR="00AA0370" w:rsidRPr="00AF606A">
        <w:rPr>
          <w:lang w:val="fr-CH"/>
        </w:rPr>
        <w:t>Le</w:t>
      </w:r>
      <w:r w:rsidRPr="00AF606A">
        <w:rPr>
          <w:lang w:val="fr-CH"/>
        </w:rPr>
        <w:t xml:space="preserve"> groupe spécial d</w:t>
      </w:r>
      <w:r w:rsidR="009A2CD2">
        <w:rPr>
          <w:lang w:val="fr-CH"/>
        </w:rPr>
        <w:t>’</w:t>
      </w:r>
      <w:r w:rsidRPr="00AF606A">
        <w:rPr>
          <w:lang w:val="fr-CH"/>
        </w:rPr>
        <w:t>experts traitera par conséquent les questions suivantes</w:t>
      </w:r>
      <w:r w:rsidR="00B840AC">
        <w:rPr>
          <w:lang w:val="fr-CH"/>
        </w:rPr>
        <w:t> </w:t>
      </w:r>
      <w:r w:rsidRPr="00AF606A">
        <w:rPr>
          <w:lang w:val="fr-CH"/>
        </w:rPr>
        <w:t>:</w:t>
      </w:r>
    </w:p>
    <w:p w:rsidR="00AC7E01" w:rsidRPr="00AF606A" w:rsidRDefault="00AC7E01" w:rsidP="003F0B18">
      <w:pPr>
        <w:numPr>
          <w:ilvl w:val="0"/>
          <w:numId w:val="8"/>
        </w:numPr>
        <w:ind w:left="1134" w:hanging="567"/>
        <w:rPr>
          <w:lang w:val="fr-CH"/>
        </w:rPr>
      </w:pPr>
      <w:r w:rsidRPr="00AF606A">
        <w:rPr>
          <w:u w:val="single"/>
          <w:lang w:val="fr-CH"/>
        </w:rPr>
        <w:t>Objet</w:t>
      </w:r>
      <w:r w:rsidRPr="00AF606A">
        <w:rPr>
          <w:lang w:val="fr-CH"/>
        </w:rPr>
        <w:t xml:space="preserve">, </w:t>
      </w:r>
      <w:r w:rsidR="009A2CD2">
        <w:rPr>
          <w:lang w:val="fr-CH"/>
        </w:rPr>
        <w:t>y compris</w:t>
      </w:r>
      <w:r w:rsidRPr="00AF606A">
        <w:rPr>
          <w:lang w:val="fr-CH"/>
        </w:rPr>
        <w:t xml:space="preserve"> champ d</w:t>
      </w:r>
      <w:r w:rsidR="009A2CD2">
        <w:rPr>
          <w:lang w:val="fr-CH"/>
        </w:rPr>
        <w:t>’</w:t>
      </w:r>
      <w:r w:rsidRPr="00AF606A">
        <w:rPr>
          <w:lang w:val="fr-CH"/>
        </w:rPr>
        <w:t xml:space="preserve">application (propriété intellectuelle ou brevets) et utilisation des termes – </w:t>
      </w:r>
      <w:r w:rsidRPr="00AF606A">
        <w:rPr>
          <w:iCs/>
          <w:szCs w:val="22"/>
          <w:lang w:val="fr-CH"/>
        </w:rPr>
        <w:t>ressources génétiques</w:t>
      </w:r>
      <w:r w:rsidRPr="00AF606A">
        <w:rPr>
          <w:lang w:val="fr-CH"/>
        </w:rPr>
        <w:t xml:space="preserve">, </w:t>
      </w:r>
      <w:r w:rsidRPr="00AF606A">
        <w:rPr>
          <w:iCs/>
          <w:szCs w:val="22"/>
          <w:lang w:val="fr-CH"/>
        </w:rPr>
        <w:t>savoirs traditionnels associés à des ressources génétiques</w:t>
      </w:r>
      <w:r w:rsidRPr="00AF606A">
        <w:rPr>
          <w:lang w:val="fr-CH"/>
        </w:rPr>
        <w:t>, dérivés;</w:t>
      </w:r>
    </w:p>
    <w:p w:rsidR="00AC7E01" w:rsidRPr="00AF606A" w:rsidRDefault="00AC7E01" w:rsidP="003F0B18">
      <w:pPr>
        <w:numPr>
          <w:ilvl w:val="0"/>
          <w:numId w:val="8"/>
        </w:numPr>
        <w:ind w:left="1134" w:hanging="567"/>
        <w:rPr>
          <w:lang w:val="fr-CH"/>
        </w:rPr>
      </w:pPr>
      <w:r w:rsidRPr="00AF606A">
        <w:rPr>
          <w:u w:val="single"/>
          <w:lang w:val="fr-CH"/>
        </w:rPr>
        <w:t>Divulgation</w:t>
      </w:r>
      <w:r w:rsidR="00B840AC">
        <w:rPr>
          <w:lang w:val="fr-CH"/>
        </w:rPr>
        <w:t> </w:t>
      </w:r>
      <w:r w:rsidRPr="00AF606A">
        <w:rPr>
          <w:lang w:val="fr-CH"/>
        </w:rPr>
        <w:t>:</w:t>
      </w:r>
    </w:p>
    <w:p w:rsidR="00AC7E01" w:rsidRPr="00AF606A" w:rsidRDefault="00AC7E01" w:rsidP="003F0B18">
      <w:pPr>
        <w:pStyle w:val="ListParagraph"/>
        <w:numPr>
          <w:ilvl w:val="0"/>
          <w:numId w:val="9"/>
        </w:numPr>
        <w:ind w:left="1701" w:hanging="567"/>
        <w:rPr>
          <w:lang w:val="fr-CH"/>
        </w:rPr>
      </w:pPr>
      <w:r w:rsidRPr="00AF606A">
        <w:rPr>
          <w:iCs/>
          <w:szCs w:val="22"/>
          <w:lang w:val="fr-CH"/>
        </w:rPr>
        <w:t xml:space="preserve">Élément déclencheur </w:t>
      </w:r>
      <w:r w:rsidRPr="00AF606A">
        <w:rPr>
          <w:lang w:val="fr-CH"/>
        </w:rPr>
        <w:t xml:space="preserve">et utilisation des termes – </w:t>
      </w:r>
      <w:r w:rsidRPr="00AF606A">
        <w:rPr>
          <w:iCs/>
          <w:szCs w:val="22"/>
          <w:lang w:val="fr-CH"/>
        </w:rPr>
        <w:t>directement fondée sur</w:t>
      </w:r>
      <w:r w:rsidRPr="00AF606A">
        <w:rPr>
          <w:lang w:val="fr-CH"/>
        </w:rPr>
        <w:t>, utilisation.</w:t>
      </w:r>
    </w:p>
    <w:p w:rsidR="00AC7E01" w:rsidRPr="00AF606A" w:rsidRDefault="00AC7E01" w:rsidP="003F0B18">
      <w:pPr>
        <w:pStyle w:val="ListParagraph"/>
        <w:numPr>
          <w:ilvl w:val="0"/>
          <w:numId w:val="9"/>
        </w:numPr>
        <w:ind w:left="1701" w:hanging="567"/>
        <w:rPr>
          <w:lang w:val="fr-CH"/>
        </w:rPr>
      </w:pPr>
      <w:r w:rsidRPr="00AF606A">
        <w:rPr>
          <w:lang w:val="fr-CH"/>
        </w:rPr>
        <w:t>Teneur et utilisation des termes – source, pays fournisseur, pays d</w:t>
      </w:r>
      <w:r w:rsidR="009A2CD2">
        <w:rPr>
          <w:lang w:val="fr-CH"/>
        </w:rPr>
        <w:t>’</w:t>
      </w:r>
      <w:r w:rsidRPr="00AF606A">
        <w:rPr>
          <w:lang w:val="fr-CH"/>
        </w:rPr>
        <w:t>origine.</w:t>
      </w:r>
    </w:p>
    <w:p w:rsidR="00AC7E01" w:rsidRPr="00AF606A" w:rsidRDefault="00AC7E01" w:rsidP="003F0B18">
      <w:pPr>
        <w:pStyle w:val="ListParagraph"/>
        <w:numPr>
          <w:ilvl w:val="0"/>
          <w:numId w:val="9"/>
        </w:numPr>
        <w:ind w:left="1701" w:hanging="567"/>
        <w:rPr>
          <w:lang w:val="fr-CH"/>
        </w:rPr>
      </w:pPr>
      <w:r w:rsidRPr="00AF606A">
        <w:rPr>
          <w:iCs/>
          <w:szCs w:val="22"/>
          <w:lang w:val="fr-CH"/>
        </w:rPr>
        <w:t>Conséquences du non</w:t>
      </w:r>
      <w:r w:rsidR="00147812">
        <w:rPr>
          <w:iCs/>
          <w:szCs w:val="22"/>
          <w:lang w:val="fr-CH"/>
        </w:rPr>
        <w:noBreakHyphen/>
      </w:r>
      <w:r w:rsidRPr="00AF606A">
        <w:rPr>
          <w:iCs/>
          <w:szCs w:val="22"/>
          <w:lang w:val="fr-CH"/>
        </w:rPr>
        <w:t>respect de l</w:t>
      </w:r>
      <w:r w:rsidR="009A2CD2">
        <w:rPr>
          <w:iCs/>
          <w:szCs w:val="22"/>
          <w:lang w:val="fr-CH"/>
        </w:rPr>
        <w:t>’</w:t>
      </w:r>
      <w:r w:rsidRPr="00AF606A">
        <w:rPr>
          <w:iCs/>
          <w:szCs w:val="22"/>
          <w:lang w:val="fr-CH"/>
        </w:rPr>
        <w:t>exigence de divulgatio</w:t>
      </w:r>
      <w:r w:rsidRPr="00AF606A">
        <w:rPr>
          <w:lang w:val="fr-CH"/>
        </w:rPr>
        <w:t>n – sanctions/moyens de recours;</w:t>
      </w:r>
    </w:p>
    <w:p w:rsidR="00AC7E01" w:rsidRPr="00AF606A" w:rsidRDefault="00AC7E01" w:rsidP="003F0B18">
      <w:pPr>
        <w:numPr>
          <w:ilvl w:val="0"/>
          <w:numId w:val="7"/>
        </w:numPr>
        <w:ind w:left="1134" w:hanging="567"/>
        <w:rPr>
          <w:lang w:val="fr-CH"/>
        </w:rPr>
      </w:pPr>
      <w:r w:rsidRPr="00AF606A">
        <w:rPr>
          <w:iCs/>
          <w:szCs w:val="22"/>
          <w:u w:val="single"/>
          <w:lang w:val="fr-CH"/>
        </w:rPr>
        <w:t>Bases de données</w:t>
      </w:r>
      <w:r w:rsidR="00B840AC">
        <w:rPr>
          <w:lang w:val="fr-CH"/>
        </w:rPr>
        <w:t> </w:t>
      </w:r>
      <w:r w:rsidRPr="00AF606A">
        <w:rPr>
          <w:lang w:val="fr-CH"/>
        </w:rPr>
        <w:t xml:space="preserve">: questions techniques telles que les sauvegardes et questions pratiques concernant la création et le fonctionnement des </w:t>
      </w:r>
      <w:r w:rsidRPr="00AF606A">
        <w:rPr>
          <w:iCs/>
          <w:szCs w:val="22"/>
          <w:lang w:val="fr-CH"/>
        </w:rPr>
        <w:t>bases de données</w:t>
      </w:r>
      <w:r w:rsidRPr="00AF606A">
        <w:rPr>
          <w:lang w:val="fr-CH"/>
        </w:rPr>
        <w:t>;</w:t>
      </w:r>
    </w:p>
    <w:p w:rsidR="009A2CD2" w:rsidRDefault="00AC7E01" w:rsidP="003F0B18">
      <w:pPr>
        <w:numPr>
          <w:ilvl w:val="0"/>
          <w:numId w:val="7"/>
        </w:numPr>
        <w:spacing w:after="220"/>
        <w:ind w:left="1134" w:hanging="567"/>
        <w:rPr>
          <w:lang w:val="fr-CH"/>
        </w:rPr>
      </w:pPr>
      <w:r w:rsidRPr="00AF606A">
        <w:rPr>
          <w:u w:val="single"/>
          <w:lang w:val="fr-CH"/>
        </w:rPr>
        <w:t>Mécanismes de diligence requise</w:t>
      </w:r>
      <w:r w:rsidR="00B840AC">
        <w:rPr>
          <w:lang w:val="fr-CH"/>
        </w:rPr>
        <w:t> </w:t>
      </w:r>
      <w:r>
        <w:rPr>
          <w:lang w:val="fr-CH"/>
        </w:rPr>
        <w:t xml:space="preserve">: </w:t>
      </w:r>
      <w:r w:rsidRPr="00AF606A">
        <w:rPr>
          <w:lang w:val="fr-CH"/>
        </w:rPr>
        <w:t>questions techniques relatives à la mise en place et au fonctionnement de plusieurs mécanismes de ce type.</w:t>
      </w:r>
    </w:p>
    <w:p w:rsidR="009A2CD2" w:rsidRDefault="00AC7E01" w:rsidP="003F0B18">
      <w:pPr>
        <w:pStyle w:val="ONUMFS"/>
        <w:rPr>
          <w:lang w:val="fr-CH"/>
        </w:rPr>
      </w:pPr>
      <w:r w:rsidRPr="00AF606A">
        <w:rPr>
          <w:lang w:val="fr-CH"/>
        </w:rPr>
        <w:t>La présente note d</w:t>
      </w:r>
      <w:r w:rsidR="009A2CD2">
        <w:rPr>
          <w:lang w:val="fr-CH"/>
        </w:rPr>
        <w:t>’</w:t>
      </w:r>
      <w:r w:rsidRPr="00AF606A">
        <w:rPr>
          <w:lang w:val="fr-CH"/>
        </w:rPr>
        <w:t>information de fond fournit des informations générales sur la liste des questions et propose au groupe spécial d</w:t>
      </w:r>
      <w:r w:rsidR="009A2CD2">
        <w:rPr>
          <w:lang w:val="fr-CH"/>
        </w:rPr>
        <w:t>’</w:t>
      </w:r>
      <w:r w:rsidRPr="00AF606A">
        <w:rPr>
          <w:lang w:val="fr-CH"/>
        </w:rPr>
        <w:t>experts quelques points à examiner.</w:t>
      </w:r>
    </w:p>
    <w:p w:rsidR="00AC7E01" w:rsidRPr="00AF606A" w:rsidRDefault="00AC7E01" w:rsidP="003F0B18">
      <w:pPr>
        <w:pStyle w:val="Titre3"/>
      </w:pPr>
      <w:r w:rsidRPr="00AF606A">
        <w:t>Objet</w:t>
      </w:r>
    </w:p>
    <w:p w:rsidR="009A2CD2" w:rsidRDefault="00AC7E01" w:rsidP="003F0B18">
      <w:pPr>
        <w:pStyle w:val="ONUMFS"/>
        <w:rPr>
          <w:bCs/>
          <w:lang w:val="fr-CH"/>
        </w:rPr>
      </w:pPr>
      <w:r w:rsidRPr="00AF606A">
        <w:rPr>
          <w:lang w:val="fr-CH"/>
        </w:rPr>
        <w:t>La définition de l</w:t>
      </w:r>
      <w:r w:rsidR="009A2CD2">
        <w:rPr>
          <w:lang w:val="fr-CH"/>
        </w:rPr>
        <w:t>’</w:t>
      </w:r>
      <w:r w:rsidRPr="00AF606A">
        <w:rPr>
          <w:lang w:val="fr-CH"/>
        </w:rPr>
        <w:t>objet de l</w:t>
      </w:r>
      <w:r w:rsidR="009A2CD2">
        <w:rPr>
          <w:lang w:val="fr-CH"/>
        </w:rPr>
        <w:t>’</w:t>
      </w:r>
      <w:r w:rsidRPr="00AF606A">
        <w:rPr>
          <w:lang w:val="fr-CH"/>
        </w:rPr>
        <w:t>instrument négocié par l</w:t>
      </w:r>
      <w:r w:rsidR="009A2CD2">
        <w:rPr>
          <w:lang w:val="fr-CH"/>
        </w:rPr>
        <w:t>’</w:t>
      </w:r>
      <w:r w:rsidRPr="00AF606A">
        <w:rPr>
          <w:lang w:val="fr-CH"/>
        </w:rPr>
        <w:t>IGC est une question importan</w:t>
      </w:r>
      <w:r w:rsidR="00AA0370" w:rsidRPr="00AF606A">
        <w:rPr>
          <w:lang w:val="fr-CH"/>
        </w:rPr>
        <w:t>te</w:t>
      </w:r>
      <w:r w:rsidR="00AA0370">
        <w:rPr>
          <w:lang w:val="fr-CH"/>
        </w:rPr>
        <w:t xml:space="preserve">.  </w:t>
      </w:r>
      <w:r w:rsidR="00AA0370" w:rsidRPr="00AF606A">
        <w:rPr>
          <w:lang w:val="fr-CH"/>
        </w:rPr>
        <w:t>Le</w:t>
      </w:r>
      <w:r w:rsidRPr="00AF606A">
        <w:rPr>
          <w:lang w:val="fr-CH"/>
        </w:rPr>
        <w:t>s</w:t>
      </w:r>
      <w:r w:rsidR="00822525">
        <w:rPr>
          <w:lang w:val="fr-CH"/>
        </w:rPr>
        <w:t> </w:t>
      </w:r>
      <w:r w:rsidRPr="00AF606A">
        <w:rPr>
          <w:lang w:val="fr-CH"/>
        </w:rPr>
        <w:t>deux</w:t>
      </w:r>
      <w:r w:rsidR="00B840AC">
        <w:rPr>
          <w:lang w:val="fr-CH"/>
        </w:rPr>
        <w:t> </w:t>
      </w:r>
      <w:r w:rsidRPr="00AF606A">
        <w:rPr>
          <w:lang w:val="fr-CH"/>
        </w:rPr>
        <w:t>points que le groupe spécial d</w:t>
      </w:r>
      <w:r w:rsidR="009A2CD2">
        <w:rPr>
          <w:lang w:val="fr-CH"/>
        </w:rPr>
        <w:t>’</w:t>
      </w:r>
      <w:r w:rsidRPr="00AF606A">
        <w:rPr>
          <w:lang w:val="fr-CH"/>
        </w:rPr>
        <w:t>experts est invité à examiner sont les suivants</w:t>
      </w:r>
      <w:r w:rsidR="00B840AC">
        <w:rPr>
          <w:lang w:val="fr-CH"/>
        </w:rPr>
        <w:t> </w:t>
      </w:r>
      <w:r w:rsidRPr="00AF606A">
        <w:rPr>
          <w:lang w:val="fr-CH"/>
        </w:rPr>
        <w:t>:</w:t>
      </w:r>
      <w:r w:rsidRPr="00AF606A">
        <w:rPr>
          <w:lang w:val="fr-CH"/>
        </w:rPr>
        <w:br/>
      </w:r>
      <w:r w:rsidRPr="00AF606A">
        <w:rPr>
          <w:bCs/>
          <w:lang w:val="fr-CH"/>
        </w:rPr>
        <w:t>S</w:t>
      </w:r>
      <w:r w:rsidR="009A2CD2">
        <w:rPr>
          <w:bCs/>
          <w:lang w:val="fr-CH"/>
        </w:rPr>
        <w:t>’</w:t>
      </w:r>
      <w:r w:rsidRPr="00AF606A">
        <w:rPr>
          <w:bCs/>
          <w:lang w:val="fr-CH"/>
        </w:rPr>
        <w:t>il existe un consensus sur le fait que l</w:t>
      </w:r>
      <w:r w:rsidR="009A2CD2">
        <w:rPr>
          <w:bCs/>
          <w:lang w:val="fr-CH"/>
        </w:rPr>
        <w:t>’</w:t>
      </w:r>
      <w:r w:rsidRPr="00AF606A">
        <w:rPr>
          <w:lang w:val="fr-CH"/>
        </w:rPr>
        <w:t>instrument doit s</w:t>
      </w:r>
      <w:r w:rsidR="009A2CD2">
        <w:rPr>
          <w:lang w:val="fr-CH"/>
        </w:rPr>
        <w:t>’</w:t>
      </w:r>
      <w:r w:rsidRPr="00AF606A">
        <w:rPr>
          <w:lang w:val="fr-CH"/>
        </w:rPr>
        <w:t>appliquer aux ressources génétiques, la question est de savoir s</w:t>
      </w:r>
      <w:r w:rsidR="009A2CD2">
        <w:rPr>
          <w:lang w:val="fr-CH"/>
        </w:rPr>
        <w:t>’</w:t>
      </w:r>
      <w:r w:rsidRPr="00AF606A">
        <w:rPr>
          <w:lang w:val="fr-CH"/>
        </w:rPr>
        <w:t>il doit aussi s</w:t>
      </w:r>
      <w:r w:rsidR="009A2CD2">
        <w:rPr>
          <w:lang w:val="fr-CH"/>
        </w:rPr>
        <w:t>’</w:t>
      </w:r>
      <w:r w:rsidRPr="00AF606A">
        <w:rPr>
          <w:lang w:val="fr-CH"/>
        </w:rPr>
        <w:t>appliquer aux savoirs traditionnels associés à des ressources génétiques</w:t>
      </w:r>
      <w:r w:rsidRPr="00AF606A">
        <w:rPr>
          <w:bCs/>
          <w:lang w:val="fr-CH"/>
        </w:rPr>
        <w:t>, étant donné qu</w:t>
      </w:r>
      <w:r w:rsidR="009A2CD2">
        <w:rPr>
          <w:bCs/>
          <w:lang w:val="fr-CH"/>
        </w:rPr>
        <w:t>’</w:t>
      </w:r>
      <w:r w:rsidRPr="00AF606A">
        <w:rPr>
          <w:bCs/>
          <w:lang w:val="fr-CH"/>
        </w:rPr>
        <w:t xml:space="preserve">un </w:t>
      </w:r>
      <w:r w:rsidRPr="00AF606A">
        <w:rPr>
          <w:lang w:val="fr-CH"/>
        </w:rPr>
        <w:t>savoir traditionnel n</w:t>
      </w:r>
      <w:r w:rsidR="009A2CD2">
        <w:rPr>
          <w:lang w:val="fr-CH"/>
        </w:rPr>
        <w:t>’</w:t>
      </w:r>
      <w:r w:rsidRPr="00AF606A">
        <w:rPr>
          <w:lang w:val="fr-CH"/>
        </w:rPr>
        <w:t>est pas toujours associé à une ressource génétiq</w:t>
      </w:r>
      <w:r w:rsidR="00AA0370" w:rsidRPr="00AF606A">
        <w:rPr>
          <w:lang w:val="fr-CH"/>
        </w:rPr>
        <w:t>ue</w:t>
      </w:r>
      <w:r w:rsidR="00AA0370">
        <w:rPr>
          <w:lang w:val="fr-CH"/>
        </w:rPr>
        <w:t xml:space="preserve">.  </w:t>
      </w:r>
      <w:r w:rsidR="00AA0370" w:rsidRPr="00AF606A">
        <w:rPr>
          <w:bCs/>
          <w:lang w:val="fr-CH"/>
        </w:rPr>
        <w:t>En</w:t>
      </w:r>
      <w:r w:rsidRPr="00AF606A">
        <w:rPr>
          <w:bCs/>
          <w:lang w:val="fr-CH"/>
        </w:rPr>
        <w:t xml:space="preserve"> outre, la question des </w:t>
      </w:r>
      <w:r w:rsidRPr="00AF606A">
        <w:rPr>
          <w:lang w:val="fr-CH"/>
        </w:rPr>
        <w:t>savoirs traditionnels est traitée dans un projet de texte de l</w:t>
      </w:r>
      <w:r w:rsidR="009A2CD2">
        <w:rPr>
          <w:lang w:val="fr-CH"/>
        </w:rPr>
        <w:t>’</w:t>
      </w:r>
      <w:r w:rsidRPr="00AF606A">
        <w:rPr>
          <w:lang w:val="fr-CH"/>
        </w:rPr>
        <w:t>IGC distinct</w:t>
      </w:r>
      <w:r w:rsidRPr="00AF606A">
        <w:rPr>
          <w:bCs/>
          <w:lang w:val="fr-CH"/>
        </w:rPr>
        <w:t xml:space="preserve"> qui prévoit notamment une exigence de divulgation proposée.</w:t>
      </w:r>
    </w:p>
    <w:p w:rsidR="00AC7E01" w:rsidRPr="00AF606A" w:rsidRDefault="00AC7E01" w:rsidP="00BF22F9">
      <w:pPr>
        <w:pStyle w:val="ListParagraph"/>
        <w:numPr>
          <w:ilvl w:val="0"/>
          <w:numId w:val="10"/>
        </w:numPr>
        <w:ind w:left="1134" w:hanging="567"/>
        <w:rPr>
          <w:lang w:val="fr-CH"/>
        </w:rPr>
      </w:pPr>
      <w:r w:rsidRPr="00AF606A">
        <w:rPr>
          <w:iCs/>
          <w:szCs w:val="22"/>
          <w:lang w:val="fr-CH"/>
        </w:rPr>
        <w:t>L</w:t>
      </w:r>
      <w:r w:rsidR="009A2CD2">
        <w:rPr>
          <w:iCs/>
          <w:szCs w:val="22"/>
          <w:lang w:val="fr-CH"/>
        </w:rPr>
        <w:t>’</w:t>
      </w:r>
      <w:r w:rsidRPr="00AF606A">
        <w:rPr>
          <w:iCs/>
          <w:szCs w:val="22"/>
          <w:lang w:val="fr-CH"/>
        </w:rPr>
        <w:t>instrument doit</w:t>
      </w:r>
      <w:r w:rsidR="00147812">
        <w:rPr>
          <w:iCs/>
          <w:szCs w:val="22"/>
          <w:lang w:val="fr-CH"/>
        </w:rPr>
        <w:noBreakHyphen/>
      </w:r>
      <w:r w:rsidRPr="00AF606A">
        <w:rPr>
          <w:iCs/>
          <w:szCs w:val="22"/>
          <w:lang w:val="fr-CH"/>
        </w:rPr>
        <w:t>il s</w:t>
      </w:r>
      <w:r w:rsidR="009A2CD2">
        <w:rPr>
          <w:iCs/>
          <w:szCs w:val="22"/>
          <w:lang w:val="fr-CH"/>
        </w:rPr>
        <w:t>’</w:t>
      </w:r>
      <w:r w:rsidRPr="00AF606A">
        <w:rPr>
          <w:iCs/>
          <w:szCs w:val="22"/>
          <w:lang w:val="fr-CH"/>
        </w:rPr>
        <w:t>appliquer à tout droit de propriété intellectuelle ou uniquement aux droits de brevet</w:t>
      </w:r>
      <w:r w:rsidRPr="00AF606A">
        <w:rPr>
          <w:bCs/>
          <w:lang w:val="fr-CH"/>
        </w:rPr>
        <w:t>?</w:t>
      </w:r>
    </w:p>
    <w:p w:rsidR="00AC7E01" w:rsidRPr="00AF606A" w:rsidRDefault="00AC7E01" w:rsidP="003F0B18">
      <w:pPr>
        <w:pStyle w:val="ONUMFS"/>
        <w:rPr>
          <w:lang w:val="fr-CH"/>
        </w:rPr>
      </w:pPr>
      <w:r w:rsidRPr="00AF606A">
        <w:rPr>
          <w:lang w:val="fr-CH"/>
        </w:rPr>
        <w:t>Pour ce qui est de cette question, le groupe spécial d</w:t>
      </w:r>
      <w:r w:rsidR="009A2CD2">
        <w:rPr>
          <w:lang w:val="fr-CH"/>
        </w:rPr>
        <w:t>’</w:t>
      </w:r>
      <w:r w:rsidRPr="00AF606A">
        <w:rPr>
          <w:lang w:val="fr-CH"/>
        </w:rPr>
        <w:t>experts doit examiner l</w:t>
      </w:r>
      <w:r w:rsidR="009A2CD2">
        <w:rPr>
          <w:lang w:val="fr-CH"/>
        </w:rPr>
        <w:t>’</w:t>
      </w:r>
      <w:r w:rsidRPr="00AF606A">
        <w:rPr>
          <w:lang w:val="fr-CH"/>
        </w:rPr>
        <w:t>utilisation de termes comme “ressources génétiques”</w:t>
      </w:r>
      <w:r w:rsidRPr="00AF606A">
        <w:rPr>
          <w:szCs w:val="22"/>
          <w:lang w:val="fr-CH"/>
        </w:rPr>
        <w:t xml:space="preserve"> (</w:t>
      </w:r>
      <w:r w:rsidR="009A2CD2">
        <w:rPr>
          <w:szCs w:val="22"/>
          <w:lang w:val="fr-CH"/>
        </w:rPr>
        <w:t>y compris</w:t>
      </w:r>
      <w:r w:rsidRPr="00AF606A">
        <w:rPr>
          <w:szCs w:val="22"/>
          <w:lang w:val="fr-CH"/>
        </w:rPr>
        <w:t xml:space="preserve"> la question de savoir si les “dérivés” doivent figurer dans la définition des ressources génétiques) et les </w:t>
      </w:r>
      <w:r w:rsidRPr="00AF606A">
        <w:rPr>
          <w:lang w:val="fr-CH"/>
        </w:rPr>
        <w:t>savoirs traditionnels associés à des ressources génétiques</w:t>
      </w:r>
      <w:r w:rsidRPr="00AF606A">
        <w:rPr>
          <w:szCs w:val="22"/>
          <w:lang w:val="fr-CH"/>
        </w:rPr>
        <w:t>.</w:t>
      </w:r>
    </w:p>
    <w:p w:rsidR="00AC7E01" w:rsidRPr="003F0B18" w:rsidRDefault="00AC7E01" w:rsidP="003F0B18">
      <w:pPr>
        <w:pStyle w:val="Titre3"/>
      </w:pPr>
      <w:r w:rsidRPr="00AF606A">
        <w:t>Divulgation</w:t>
      </w:r>
    </w:p>
    <w:p w:rsidR="00AC7E01" w:rsidRPr="00AF606A" w:rsidRDefault="00AC7E01" w:rsidP="003F0B18">
      <w:pPr>
        <w:pStyle w:val="ONUMFS"/>
        <w:rPr>
          <w:szCs w:val="22"/>
          <w:lang w:val="fr-CH"/>
        </w:rPr>
      </w:pPr>
      <w:r w:rsidRPr="00AF606A">
        <w:rPr>
          <w:lang w:val="fr-CH"/>
        </w:rPr>
        <w:t>Les exigences de divulgation sont des dispositions qui obligent les déposants de demandes de brevet/de titres de propriété intellectuelle à indiquer dans leur demande plusieurs éléments d</w:t>
      </w:r>
      <w:r w:rsidR="009A2CD2">
        <w:rPr>
          <w:lang w:val="fr-CH"/>
        </w:rPr>
        <w:t>’</w:t>
      </w:r>
      <w:r w:rsidRPr="00AF606A">
        <w:rPr>
          <w:lang w:val="fr-CH"/>
        </w:rPr>
        <w:t>information supplémentaires, comme la source ou l</w:t>
      </w:r>
      <w:r w:rsidR="009A2CD2">
        <w:rPr>
          <w:lang w:val="fr-CH"/>
        </w:rPr>
        <w:t>’</w:t>
      </w:r>
      <w:r w:rsidRPr="00AF606A">
        <w:rPr>
          <w:lang w:val="fr-CH"/>
        </w:rPr>
        <w:t>origine des ressources génétiques, ainsi que la preuve du consentement préalable en connaissance de cause et d</w:t>
      </w:r>
      <w:r w:rsidR="009A2CD2">
        <w:rPr>
          <w:lang w:val="fr-CH"/>
        </w:rPr>
        <w:t>’</w:t>
      </w:r>
      <w:r w:rsidRPr="00AF606A">
        <w:rPr>
          <w:lang w:val="fr-CH"/>
        </w:rPr>
        <w:t>un accord relatif au partage des avantag</w:t>
      </w:r>
      <w:r w:rsidR="00AA0370" w:rsidRPr="00AF606A">
        <w:rPr>
          <w:lang w:val="fr-CH"/>
        </w:rPr>
        <w:t>es</w:t>
      </w:r>
      <w:r w:rsidR="00AA0370">
        <w:rPr>
          <w:lang w:val="fr-CH"/>
        </w:rPr>
        <w:t xml:space="preserve">.  </w:t>
      </w:r>
      <w:r w:rsidR="00AA0370" w:rsidRPr="00AF606A">
        <w:rPr>
          <w:lang w:val="fr-CH"/>
        </w:rPr>
        <w:t>Si</w:t>
      </w:r>
      <w:r w:rsidRPr="00AF606A">
        <w:rPr>
          <w:lang w:val="fr-CH"/>
        </w:rPr>
        <w:t xml:space="preserve"> l</w:t>
      </w:r>
      <w:r w:rsidR="009A2CD2">
        <w:rPr>
          <w:lang w:val="fr-CH"/>
        </w:rPr>
        <w:t>’</w:t>
      </w:r>
      <w:r w:rsidRPr="00AF606A">
        <w:rPr>
          <w:lang w:val="fr-CH"/>
        </w:rPr>
        <w:t xml:space="preserve">IGC doit déterminer, sur le principe, </w:t>
      </w:r>
      <w:r w:rsidRPr="00AF606A">
        <w:rPr>
          <w:szCs w:val="22"/>
          <w:lang w:val="fr-CH"/>
        </w:rPr>
        <w:t xml:space="preserve">si une </w:t>
      </w:r>
      <w:r w:rsidRPr="00AF606A">
        <w:rPr>
          <w:szCs w:val="22"/>
          <w:lang w:val="fr-CH"/>
        </w:rPr>
        <w:lastRenderedPageBreak/>
        <w:t>exigence de divulgation est nécessaire ou non au niveau international, le groupe spécial d</w:t>
      </w:r>
      <w:r w:rsidR="009A2CD2">
        <w:rPr>
          <w:szCs w:val="22"/>
          <w:lang w:val="fr-CH"/>
        </w:rPr>
        <w:t>’</w:t>
      </w:r>
      <w:r w:rsidRPr="00AF606A">
        <w:rPr>
          <w:szCs w:val="22"/>
          <w:lang w:val="fr-CH"/>
        </w:rPr>
        <w:t>experts est invité à examiner certaines questions subsidiaires liées aux exigences de divulgation.</w:t>
      </w:r>
    </w:p>
    <w:p w:rsidR="00AC7E01" w:rsidRPr="00AF606A" w:rsidRDefault="00AC7E01" w:rsidP="003F0B18">
      <w:pPr>
        <w:pStyle w:val="Heading4"/>
        <w:rPr>
          <w:lang w:val="fr-CH"/>
        </w:rPr>
      </w:pPr>
      <w:r w:rsidRPr="00AF606A">
        <w:rPr>
          <w:lang w:val="fr-CH"/>
        </w:rPr>
        <w:t>Élément déclencheur</w:t>
      </w:r>
    </w:p>
    <w:p w:rsidR="009A2CD2" w:rsidRDefault="00AC7E01" w:rsidP="003F0B18">
      <w:pPr>
        <w:pStyle w:val="ONUMFS"/>
        <w:rPr>
          <w:lang w:val="fr-CH"/>
        </w:rPr>
      </w:pPr>
      <w:r w:rsidRPr="00AF606A">
        <w:rPr>
          <w:lang w:val="fr-CH"/>
        </w:rPr>
        <w:t>Le groupe spécial d</w:t>
      </w:r>
      <w:r w:rsidR="009A2CD2">
        <w:rPr>
          <w:lang w:val="fr-CH"/>
        </w:rPr>
        <w:t>’</w:t>
      </w:r>
      <w:r w:rsidRPr="00AF606A">
        <w:rPr>
          <w:lang w:val="fr-CH"/>
        </w:rPr>
        <w:t>experts est invité à examiner ce que doit être la relation ou le “lien” entre l</w:t>
      </w:r>
      <w:r w:rsidR="009A2CD2">
        <w:rPr>
          <w:lang w:val="fr-CH"/>
        </w:rPr>
        <w:t>’</w:t>
      </w:r>
      <w:r w:rsidRPr="00AF606A">
        <w:rPr>
          <w:lang w:val="fr-CH"/>
        </w:rPr>
        <w:t>objet de la divulgation (par exemple des ressources génétiques) et l</w:t>
      </w:r>
      <w:r w:rsidR="009A2CD2">
        <w:rPr>
          <w:lang w:val="fr-CH"/>
        </w:rPr>
        <w:t>’</w:t>
      </w:r>
      <w:r w:rsidRPr="00AF606A">
        <w:rPr>
          <w:lang w:val="fr-CH"/>
        </w:rPr>
        <w:t>invention revendiquée pour déclencher l</w:t>
      </w:r>
      <w:r w:rsidR="009A2CD2">
        <w:rPr>
          <w:lang w:val="fr-CH"/>
        </w:rPr>
        <w:t>’</w:t>
      </w:r>
      <w:r w:rsidRPr="00AF606A">
        <w:rPr>
          <w:lang w:val="fr-CH"/>
        </w:rPr>
        <w:t xml:space="preserve">obligation de divulgation dans les demandes de brevet/de titre de propriété intellectuelle; </w:t>
      </w:r>
      <w:r w:rsidR="00B840AC">
        <w:rPr>
          <w:lang w:val="fr-CH"/>
        </w:rPr>
        <w:t xml:space="preserve"> </w:t>
      </w:r>
      <w:r w:rsidRPr="00AF606A">
        <w:rPr>
          <w:lang w:val="fr-CH"/>
        </w:rPr>
        <w:t xml:space="preserve">par exemple “utilisation de”, </w:t>
      </w:r>
      <w:r w:rsidR="009A2CD2">
        <w:rPr>
          <w:lang w:val="fr-CH"/>
        </w:rPr>
        <w:t>“</w:t>
      </w:r>
      <w:r w:rsidRPr="00AF606A">
        <w:rPr>
          <w:lang w:val="fr-CH"/>
        </w:rPr>
        <w:t>directement fondée sur” ou tout autre terme.</w:t>
      </w:r>
    </w:p>
    <w:p w:rsidR="00AC7E01" w:rsidRPr="00AF606A" w:rsidRDefault="00AC7E01" w:rsidP="003F0B18">
      <w:pPr>
        <w:pStyle w:val="ONUMFS"/>
        <w:rPr>
          <w:lang w:val="fr-CH"/>
        </w:rPr>
      </w:pPr>
      <w:r w:rsidRPr="00AF606A">
        <w:rPr>
          <w:lang w:val="fr-CH"/>
        </w:rPr>
        <w:t>Les définitions des mots “utilisation de”, “directement fondée sur” ou de tout autre terme en tant qu</w:t>
      </w:r>
      <w:r w:rsidR="009A2CD2">
        <w:rPr>
          <w:lang w:val="fr-CH"/>
        </w:rPr>
        <w:t>’</w:t>
      </w:r>
      <w:r w:rsidRPr="00AF606A">
        <w:rPr>
          <w:lang w:val="fr-CH"/>
        </w:rPr>
        <w:t>élément déclencheur constituent les autres points à examiner.</w:t>
      </w:r>
    </w:p>
    <w:p w:rsidR="00AC7E01" w:rsidRPr="00AF606A" w:rsidRDefault="00AC7E01" w:rsidP="003F0B18">
      <w:pPr>
        <w:pStyle w:val="Heading4"/>
        <w:rPr>
          <w:lang w:val="fr-CH"/>
        </w:rPr>
      </w:pPr>
      <w:r w:rsidRPr="00AF606A">
        <w:rPr>
          <w:lang w:val="fr-CH"/>
        </w:rPr>
        <w:t>Teneur</w:t>
      </w:r>
    </w:p>
    <w:p w:rsidR="00AC7E01" w:rsidRPr="00AF606A" w:rsidRDefault="00AC7E01" w:rsidP="003F0B18">
      <w:pPr>
        <w:pStyle w:val="ONUMFS"/>
        <w:rPr>
          <w:lang w:val="fr-CH"/>
        </w:rPr>
      </w:pPr>
      <w:r w:rsidRPr="00AF606A">
        <w:rPr>
          <w:lang w:val="fr-CH"/>
        </w:rPr>
        <w:t>En ce qui concerne la teneur, le groupe spécial d</w:t>
      </w:r>
      <w:r w:rsidR="009A2CD2">
        <w:rPr>
          <w:lang w:val="fr-CH"/>
        </w:rPr>
        <w:t>’</w:t>
      </w:r>
      <w:r w:rsidRPr="00AF606A">
        <w:rPr>
          <w:lang w:val="fr-CH"/>
        </w:rPr>
        <w:t>experts est invité à examiner ce qui devrait être divulgué dans la demande de brevet/de titre de propriété intellectuel</w:t>
      </w:r>
      <w:r w:rsidR="00AA0370" w:rsidRPr="00AF606A">
        <w:rPr>
          <w:lang w:val="fr-CH"/>
        </w:rPr>
        <w:t>le</w:t>
      </w:r>
      <w:r w:rsidR="00AA0370">
        <w:rPr>
          <w:lang w:val="fr-CH"/>
        </w:rPr>
        <w:t xml:space="preserve">.  </w:t>
      </w:r>
      <w:r w:rsidR="00AA0370" w:rsidRPr="00AF606A">
        <w:rPr>
          <w:lang w:val="fr-CH"/>
        </w:rPr>
        <w:t>Pa</w:t>
      </w:r>
      <w:r w:rsidRPr="00AF606A">
        <w:rPr>
          <w:lang w:val="fr-CH"/>
        </w:rPr>
        <w:t>r</w:t>
      </w:r>
      <w:r w:rsidR="00822525">
        <w:rPr>
          <w:lang w:val="fr-CH"/>
        </w:rPr>
        <w:t> </w:t>
      </w:r>
      <w:r w:rsidRPr="00AF606A">
        <w:rPr>
          <w:lang w:val="fr-CH"/>
        </w:rPr>
        <w:t>exemple, faut</w:t>
      </w:r>
      <w:r w:rsidR="00147812">
        <w:rPr>
          <w:lang w:val="fr-CH"/>
        </w:rPr>
        <w:noBreakHyphen/>
      </w:r>
      <w:r w:rsidRPr="00AF606A">
        <w:rPr>
          <w:lang w:val="fr-CH"/>
        </w:rPr>
        <w:t>il fournir la source des ressources génétiques, leur origine, la preuve du consentement préalable en connaissance de cause ou la preuve du partage des avantages en vertu de conditions convenues d</w:t>
      </w:r>
      <w:r w:rsidR="009A2CD2">
        <w:rPr>
          <w:lang w:val="fr-CH"/>
        </w:rPr>
        <w:t>’</w:t>
      </w:r>
      <w:r w:rsidRPr="00AF606A">
        <w:rPr>
          <w:lang w:val="fr-CH"/>
        </w:rPr>
        <w:t>un commun accord?</w:t>
      </w:r>
    </w:p>
    <w:p w:rsidR="00AC7E01" w:rsidRPr="00AF606A" w:rsidRDefault="00AC7E01" w:rsidP="003F0B18">
      <w:pPr>
        <w:pStyle w:val="ONUMFS"/>
        <w:rPr>
          <w:szCs w:val="22"/>
          <w:lang w:val="fr-CH"/>
        </w:rPr>
      </w:pPr>
      <w:r w:rsidRPr="00AF606A">
        <w:rPr>
          <w:lang w:val="fr-CH"/>
        </w:rPr>
        <w:t xml:space="preserve">Pour ce qui est de cette question, </w:t>
      </w:r>
      <w:r w:rsidRPr="00AF606A">
        <w:rPr>
          <w:bCs/>
          <w:szCs w:val="22"/>
          <w:lang w:val="fr-CH"/>
        </w:rPr>
        <w:t>le groupe spécial d</w:t>
      </w:r>
      <w:r w:rsidR="009A2CD2">
        <w:rPr>
          <w:bCs/>
          <w:szCs w:val="22"/>
          <w:lang w:val="fr-CH"/>
        </w:rPr>
        <w:t>’</w:t>
      </w:r>
      <w:r w:rsidRPr="00AF606A">
        <w:rPr>
          <w:bCs/>
          <w:szCs w:val="22"/>
          <w:lang w:val="fr-CH"/>
        </w:rPr>
        <w:t xml:space="preserve">experts est invité à </w:t>
      </w:r>
      <w:r w:rsidRPr="00AF606A">
        <w:rPr>
          <w:lang w:val="fr-CH"/>
        </w:rPr>
        <w:t>fournir des conseils et des analyses sur l</w:t>
      </w:r>
      <w:r w:rsidR="009A2CD2">
        <w:rPr>
          <w:lang w:val="fr-CH"/>
        </w:rPr>
        <w:t>’</w:t>
      </w:r>
      <w:r w:rsidRPr="00AF606A">
        <w:rPr>
          <w:lang w:val="fr-CH"/>
        </w:rPr>
        <w:t>utilisation de termes comme “source”, “pays fournisseur” et “pays d</w:t>
      </w:r>
      <w:r w:rsidR="009A2CD2">
        <w:rPr>
          <w:lang w:val="fr-CH"/>
        </w:rPr>
        <w:t>’</w:t>
      </w:r>
      <w:r w:rsidRPr="00AF606A">
        <w:rPr>
          <w:lang w:val="fr-CH"/>
        </w:rPr>
        <w:t>origine”</w:t>
      </w:r>
      <w:r w:rsidRPr="00AF606A">
        <w:rPr>
          <w:szCs w:val="22"/>
          <w:lang w:val="fr-CH"/>
        </w:rPr>
        <w:t>.</w:t>
      </w:r>
    </w:p>
    <w:p w:rsidR="00AC7E01" w:rsidRPr="00AF606A" w:rsidRDefault="00AC7E01" w:rsidP="003F0B18">
      <w:pPr>
        <w:pStyle w:val="Heading4"/>
        <w:rPr>
          <w:lang w:val="fr-CH"/>
        </w:rPr>
      </w:pPr>
      <w:r w:rsidRPr="00AF606A">
        <w:rPr>
          <w:lang w:val="fr-CH"/>
        </w:rPr>
        <w:t>Conséquence du non</w:t>
      </w:r>
      <w:r w:rsidR="00147812">
        <w:rPr>
          <w:lang w:val="fr-CH"/>
        </w:rPr>
        <w:noBreakHyphen/>
      </w:r>
      <w:r w:rsidRPr="00AF606A">
        <w:rPr>
          <w:lang w:val="fr-CH"/>
        </w:rPr>
        <w:t>respect</w:t>
      </w:r>
      <w:r w:rsidRPr="00AF606A">
        <w:rPr>
          <w:lang w:val="fr-FR"/>
        </w:rPr>
        <w:t xml:space="preserve"> de l</w:t>
      </w:r>
      <w:r w:rsidR="009A2CD2">
        <w:rPr>
          <w:lang w:val="fr-FR"/>
        </w:rPr>
        <w:t>’</w:t>
      </w:r>
      <w:r w:rsidRPr="00AF606A">
        <w:rPr>
          <w:lang w:val="fr-FR"/>
        </w:rPr>
        <w:t>exigence de divulgation</w:t>
      </w:r>
    </w:p>
    <w:p w:rsidR="009A2CD2" w:rsidRDefault="00AC7E01" w:rsidP="003F0B18">
      <w:pPr>
        <w:pStyle w:val="ONUMFS"/>
        <w:rPr>
          <w:lang w:val="fr-CH"/>
        </w:rPr>
      </w:pPr>
      <w:r w:rsidRPr="00AF606A">
        <w:rPr>
          <w:lang w:val="fr-CH"/>
        </w:rPr>
        <w:t>Une question importante concernant les exigences de divulgation est de déterminer la façon dont les situations de non</w:t>
      </w:r>
      <w:r w:rsidR="00147812">
        <w:rPr>
          <w:lang w:val="fr-CH"/>
        </w:rPr>
        <w:noBreakHyphen/>
      </w:r>
      <w:r w:rsidRPr="00AF606A">
        <w:rPr>
          <w:lang w:val="fr-CH"/>
        </w:rPr>
        <w:t>respect doivent être traité</w:t>
      </w:r>
      <w:r w:rsidR="00AA0370" w:rsidRPr="00AF606A">
        <w:rPr>
          <w:lang w:val="fr-CH"/>
        </w:rPr>
        <w:t>es</w:t>
      </w:r>
      <w:r w:rsidR="00AA0370">
        <w:rPr>
          <w:lang w:val="fr-CH"/>
        </w:rPr>
        <w:t xml:space="preserve">.  </w:t>
      </w:r>
      <w:r w:rsidR="00AA0370" w:rsidRPr="00AF606A">
        <w:rPr>
          <w:lang w:val="fr-CH"/>
        </w:rPr>
        <w:t>Le</w:t>
      </w:r>
      <w:r w:rsidRPr="00AF606A">
        <w:rPr>
          <w:lang w:val="fr-CH"/>
        </w:rPr>
        <w:t>s deux</w:t>
      </w:r>
      <w:r w:rsidR="00B840AC">
        <w:rPr>
          <w:lang w:val="fr-CH"/>
        </w:rPr>
        <w:t> </w:t>
      </w:r>
      <w:r w:rsidRPr="00AF606A">
        <w:rPr>
          <w:lang w:val="fr-CH"/>
        </w:rPr>
        <w:t>points que le groupe spécial d</w:t>
      </w:r>
      <w:r w:rsidR="009A2CD2">
        <w:rPr>
          <w:lang w:val="fr-CH"/>
        </w:rPr>
        <w:t>’</w:t>
      </w:r>
      <w:r w:rsidRPr="00AF606A">
        <w:rPr>
          <w:lang w:val="fr-CH"/>
        </w:rPr>
        <w:t>experts est invité à examiner sont les suivants</w:t>
      </w:r>
      <w:r w:rsidR="00B840AC">
        <w:rPr>
          <w:lang w:val="fr-CH"/>
        </w:rPr>
        <w:t> </w:t>
      </w:r>
      <w:r w:rsidRPr="00AF606A">
        <w:rPr>
          <w:lang w:val="fr-CH"/>
        </w:rPr>
        <w:t>:</w:t>
      </w:r>
      <w:r w:rsidRPr="00AF606A">
        <w:rPr>
          <w:lang w:val="fr-CH"/>
        </w:rPr>
        <w:br/>
        <w:t>Quelles mesures juridiques et administratives doivent</w:t>
      </w:r>
      <w:r w:rsidR="00147812">
        <w:rPr>
          <w:lang w:val="fr-CH"/>
        </w:rPr>
        <w:noBreakHyphen/>
      </w:r>
      <w:r>
        <w:rPr>
          <w:lang w:val="fr-CH"/>
        </w:rPr>
        <w:t>elles</w:t>
      </w:r>
      <w:r w:rsidRPr="00AF606A">
        <w:rPr>
          <w:lang w:val="fr-CH"/>
        </w:rPr>
        <w:t xml:space="preserve"> être prises pour traiter les situations de non</w:t>
      </w:r>
      <w:r w:rsidR="00147812">
        <w:rPr>
          <w:lang w:val="fr-CH"/>
        </w:rPr>
        <w:noBreakHyphen/>
      </w:r>
      <w:r w:rsidRPr="00AF606A">
        <w:rPr>
          <w:lang w:val="fr-CH"/>
        </w:rPr>
        <w:t>respect?</w:t>
      </w:r>
    </w:p>
    <w:p w:rsidR="009A2CD2" w:rsidRDefault="00AC7E01" w:rsidP="00AC7E01">
      <w:pPr>
        <w:pStyle w:val="ListParagraph"/>
        <w:numPr>
          <w:ilvl w:val="0"/>
          <w:numId w:val="11"/>
        </w:numPr>
        <w:rPr>
          <w:szCs w:val="22"/>
          <w:lang w:val="fr-CH"/>
        </w:rPr>
      </w:pPr>
      <w:r w:rsidRPr="00AF606A">
        <w:rPr>
          <w:lang w:val="fr-CH"/>
        </w:rPr>
        <w:t>Faut</w:t>
      </w:r>
      <w:r w:rsidR="00147812">
        <w:rPr>
          <w:lang w:val="fr-CH"/>
        </w:rPr>
        <w:noBreakHyphen/>
      </w:r>
      <w:r w:rsidRPr="00AF606A">
        <w:rPr>
          <w:lang w:val="fr-CH"/>
        </w:rPr>
        <w:t>il permettre que ces mesures aient une incidence sur la validité d</w:t>
      </w:r>
      <w:r w:rsidR="009A2CD2">
        <w:rPr>
          <w:lang w:val="fr-CH"/>
        </w:rPr>
        <w:t>’</w:t>
      </w:r>
      <w:r w:rsidRPr="00AF606A">
        <w:rPr>
          <w:lang w:val="fr-CH"/>
        </w:rPr>
        <w:t xml:space="preserve">un brevet délivré?  </w:t>
      </w:r>
      <w:r w:rsidRPr="00AF606A">
        <w:rPr>
          <w:szCs w:val="22"/>
          <w:lang w:val="fr-CH"/>
        </w:rPr>
        <w:t>Dans l</w:t>
      </w:r>
      <w:r w:rsidR="009A2CD2">
        <w:rPr>
          <w:szCs w:val="22"/>
          <w:lang w:val="fr-CH"/>
        </w:rPr>
        <w:t>’</w:t>
      </w:r>
      <w:r w:rsidRPr="00AF606A">
        <w:rPr>
          <w:szCs w:val="22"/>
          <w:lang w:val="fr-CH"/>
        </w:rPr>
        <w:t>affirmative, quelle(s) serai(en)t la ou les condition(s) admissible(s) entraînant la révocation du brevet?  À part la révocation, quelles sont les autres possibilités?</w:t>
      </w:r>
    </w:p>
    <w:p w:rsidR="00AC7E01" w:rsidRPr="003F0B18" w:rsidRDefault="00AC7E01" w:rsidP="003F0B18">
      <w:pPr>
        <w:pStyle w:val="Titre3"/>
      </w:pPr>
      <w:r w:rsidRPr="00AF606A">
        <w:t>Bases de données</w:t>
      </w:r>
    </w:p>
    <w:p w:rsidR="009A2CD2" w:rsidRDefault="00AC7E01" w:rsidP="003F0B18">
      <w:pPr>
        <w:pStyle w:val="ONUMFS"/>
        <w:rPr>
          <w:lang w:val="fr-CH"/>
        </w:rPr>
      </w:pPr>
      <w:r w:rsidRPr="00AF606A">
        <w:rPr>
          <w:lang w:val="fr-CH"/>
        </w:rPr>
        <w:t>Les bases de données et autres systèmes d</w:t>
      </w:r>
      <w:r w:rsidR="009A2CD2">
        <w:rPr>
          <w:lang w:val="fr-CH"/>
        </w:rPr>
        <w:t>’</w:t>
      </w:r>
      <w:r w:rsidRPr="00AF606A">
        <w:rPr>
          <w:lang w:val="fr-CH"/>
        </w:rPr>
        <w:t>information relatifs aux ressources génétiques sont souvent considérés comme fondamentaux pour aider les examinateurs de brevets à déterminer l</w:t>
      </w:r>
      <w:r w:rsidR="009A2CD2">
        <w:rPr>
          <w:lang w:val="fr-CH"/>
        </w:rPr>
        <w:t>’</w:t>
      </w:r>
      <w:r w:rsidRPr="00AF606A">
        <w:rPr>
          <w:lang w:val="fr-CH"/>
        </w:rPr>
        <w:t>état de la technique pertinent et à éviter que des brevets soient délivrés par erreur.</w:t>
      </w:r>
    </w:p>
    <w:p w:rsidR="00AC7E01" w:rsidRPr="00AF606A" w:rsidRDefault="00AC7E01" w:rsidP="003F0B18">
      <w:pPr>
        <w:pStyle w:val="ONUMFS"/>
        <w:rPr>
          <w:bCs/>
          <w:szCs w:val="22"/>
          <w:lang w:val="fr-CH"/>
        </w:rPr>
      </w:pPr>
      <w:r w:rsidRPr="00AF606A">
        <w:rPr>
          <w:bCs/>
          <w:szCs w:val="22"/>
          <w:lang w:val="fr-CH"/>
        </w:rPr>
        <w:t>Le groupe spécial d</w:t>
      </w:r>
      <w:r w:rsidR="009A2CD2">
        <w:rPr>
          <w:bCs/>
          <w:szCs w:val="22"/>
          <w:lang w:val="fr-CH"/>
        </w:rPr>
        <w:t>’</w:t>
      </w:r>
      <w:r w:rsidRPr="00AF606A">
        <w:rPr>
          <w:bCs/>
          <w:szCs w:val="22"/>
          <w:lang w:val="fr-CH"/>
        </w:rPr>
        <w:t>experts est invité à fournir des conseils et des analyses sur la question de savoir si des sauvegardes sont nécessaires en rapport avec les bases de données d</w:t>
      </w:r>
      <w:r w:rsidR="009A2CD2">
        <w:rPr>
          <w:bCs/>
          <w:szCs w:val="22"/>
          <w:lang w:val="fr-CH"/>
        </w:rPr>
        <w:t>’</w:t>
      </w:r>
      <w:r w:rsidRPr="00AF606A">
        <w:rPr>
          <w:bCs/>
          <w:szCs w:val="22"/>
          <w:lang w:val="fr-CH"/>
        </w:rPr>
        <w:t>information sur les ressources génétiques et, dans l</w:t>
      </w:r>
      <w:r w:rsidR="009A2CD2">
        <w:rPr>
          <w:bCs/>
          <w:szCs w:val="22"/>
          <w:lang w:val="fr-CH"/>
        </w:rPr>
        <w:t>’</w:t>
      </w:r>
      <w:r w:rsidRPr="00AF606A">
        <w:rPr>
          <w:bCs/>
          <w:szCs w:val="22"/>
          <w:lang w:val="fr-CH"/>
        </w:rPr>
        <w:t>affirmative, d</w:t>
      </w:r>
      <w:r w:rsidR="009A2CD2">
        <w:rPr>
          <w:bCs/>
          <w:szCs w:val="22"/>
          <w:lang w:val="fr-CH"/>
        </w:rPr>
        <w:t>’</w:t>
      </w:r>
      <w:r w:rsidRPr="00AF606A">
        <w:rPr>
          <w:bCs/>
          <w:szCs w:val="22"/>
          <w:lang w:val="fr-CH"/>
        </w:rPr>
        <w:t>indiquer quelles seraient ces sauvegard</w:t>
      </w:r>
      <w:r w:rsidR="00AA0370" w:rsidRPr="00AF606A">
        <w:rPr>
          <w:bCs/>
          <w:szCs w:val="22"/>
          <w:lang w:val="fr-CH"/>
        </w:rPr>
        <w:t>es</w:t>
      </w:r>
      <w:r w:rsidR="00AA0370">
        <w:rPr>
          <w:bCs/>
          <w:szCs w:val="22"/>
          <w:lang w:val="fr-CH"/>
        </w:rPr>
        <w:t xml:space="preserve">.  </w:t>
      </w:r>
      <w:r w:rsidR="00AA0370" w:rsidRPr="00AF606A">
        <w:rPr>
          <w:bCs/>
          <w:szCs w:val="22"/>
          <w:lang w:val="fr-CH"/>
        </w:rPr>
        <w:t>Si</w:t>
      </w:r>
      <w:r w:rsidRPr="00AF606A">
        <w:rPr>
          <w:bCs/>
          <w:szCs w:val="22"/>
          <w:lang w:val="fr-CH"/>
        </w:rPr>
        <w:t xml:space="preserve"> </w:t>
      </w:r>
      <w:r w:rsidRPr="00AF606A">
        <w:rPr>
          <w:bCs/>
          <w:lang w:val="fr-CH"/>
        </w:rPr>
        <w:t>l</w:t>
      </w:r>
      <w:r w:rsidR="009A2CD2">
        <w:rPr>
          <w:bCs/>
          <w:lang w:val="fr-CH"/>
        </w:rPr>
        <w:t>’</w:t>
      </w:r>
      <w:r w:rsidRPr="00AF606A">
        <w:rPr>
          <w:lang w:val="fr-CH"/>
        </w:rPr>
        <w:t>instrument doit aussi s</w:t>
      </w:r>
      <w:r w:rsidR="009A2CD2">
        <w:rPr>
          <w:lang w:val="fr-CH"/>
        </w:rPr>
        <w:t>’</w:t>
      </w:r>
      <w:r w:rsidRPr="00AF606A">
        <w:rPr>
          <w:lang w:val="fr-CH"/>
        </w:rPr>
        <w:t>appliquer aux savoirs traditionnels associés à des ressources génétiques, quel type de sauvegardes additionnelles pourrait être nécessaire pour les savoirs traditionnels qui sont largement partagés ou accessibles au public</w:t>
      </w:r>
      <w:r w:rsidRPr="00AF606A">
        <w:rPr>
          <w:szCs w:val="22"/>
          <w:lang w:val="fr-CH"/>
        </w:rPr>
        <w:t>?</w:t>
      </w:r>
    </w:p>
    <w:p w:rsidR="009A2CD2" w:rsidRDefault="00AC7E01" w:rsidP="00E06BF3">
      <w:pPr>
        <w:pStyle w:val="ONUMFS"/>
        <w:keepNext/>
        <w:keepLines/>
        <w:rPr>
          <w:bCs/>
          <w:szCs w:val="22"/>
          <w:lang w:val="fr-CH"/>
        </w:rPr>
      </w:pPr>
      <w:r w:rsidRPr="00AF606A">
        <w:rPr>
          <w:bCs/>
          <w:szCs w:val="22"/>
          <w:lang w:val="fr-CH"/>
        </w:rPr>
        <w:lastRenderedPageBreak/>
        <w:t>Le groupe spécial d</w:t>
      </w:r>
      <w:r w:rsidR="009A2CD2">
        <w:rPr>
          <w:bCs/>
          <w:szCs w:val="22"/>
          <w:lang w:val="fr-CH"/>
        </w:rPr>
        <w:t>’</w:t>
      </w:r>
      <w:r w:rsidRPr="00AF606A">
        <w:rPr>
          <w:bCs/>
          <w:szCs w:val="22"/>
          <w:lang w:val="fr-CH"/>
        </w:rPr>
        <w:t>experts est par ailleurs invité à examiner les questions pratiques qui devraient être traitées au moment de l</w:t>
      </w:r>
      <w:r w:rsidR="009A2CD2">
        <w:rPr>
          <w:bCs/>
          <w:szCs w:val="22"/>
          <w:lang w:val="fr-CH"/>
        </w:rPr>
        <w:t>’</w:t>
      </w:r>
      <w:r w:rsidRPr="00AF606A">
        <w:rPr>
          <w:bCs/>
          <w:szCs w:val="22"/>
          <w:lang w:val="fr-CH"/>
        </w:rPr>
        <w:t>examen de la création et du fonctionnement de ces bases de données, en particulier</w:t>
      </w:r>
      <w:r w:rsidR="00B840AC">
        <w:rPr>
          <w:bCs/>
          <w:szCs w:val="22"/>
          <w:lang w:val="fr-CH"/>
        </w:rPr>
        <w:t> </w:t>
      </w:r>
      <w:r w:rsidRPr="00AF606A">
        <w:rPr>
          <w:bCs/>
          <w:szCs w:val="22"/>
          <w:lang w:val="fr-CH"/>
        </w:rPr>
        <w:t>:</w:t>
      </w:r>
    </w:p>
    <w:p w:rsidR="009A2CD2" w:rsidRDefault="00AC7E01" w:rsidP="00E06BF3">
      <w:pPr>
        <w:pStyle w:val="ListParagraph"/>
        <w:keepNext/>
        <w:keepLines/>
        <w:numPr>
          <w:ilvl w:val="0"/>
          <w:numId w:val="12"/>
        </w:numPr>
        <w:ind w:left="1134" w:hanging="567"/>
        <w:rPr>
          <w:bCs/>
          <w:szCs w:val="22"/>
          <w:lang w:val="fr-CH"/>
        </w:rPr>
      </w:pPr>
      <w:r w:rsidRPr="00AF606A">
        <w:rPr>
          <w:bCs/>
          <w:szCs w:val="22"/>
          <w:lang w:val="fr-CH"/>
        </w:rPr>
        <w:t>La question de savoir qui serait chargé de compiler les informations et de tenir à jour la base de données</w:t>
      </w:r>
      <w:r>
        <w:rPr>
          <w:bCs/>
          <w:szCs w:val="22"/>
          <w:lang w:val="fr-CH"/>
        </w:rPr>
        <w:t>,</w:t>
      </w:r>
    </w:p>
    <w:p w:rsidR="009A2CD2" w:rsidRDefault="00AC7E01" w:rsidP="00BF22F9">
      <w:pPr>
        <w:pStyle w:val="ListParagraph"/>
        <w:numPr>
          <w:ilvl w:val="0"/>
          <w:numId w:val="12"/>
        </w:numPr>
        <w:ind w:left="1134" w:hanging="567"/>
        <w:rPr>
          <w:bCs/>
          <w:szCs w:val="22"/>
          <w:lang w:val="fr-CH"/>
        </w:rPr>
      </w:pPr>
      <w:r w:rsidRPr="00AF606A">
        <w:rPr>
          <w:bCs/>
          <w:szCs w:val="22"/>
          <w:lang w:val="fr-CH"/>
        </w:rPr>
        <w:t>la structure et le contenu de la base de données,</w:t>
      </w:r>
    </w:p>
    <w:p w:rsidR="009A2CD2" w:rsidRDefault="00AC7E01" w:rsidP="00BF22F9">
      <w:pPr>
        <w:pStyle w:val="ListParagraph"/>
        <w:numPr>
          <w:ilvl w:val="0"/>
          <w:numId w:val="12"/>
        </w:numPr>
        <w:ind w:left="1134" w:hanging="567"/>
        <w:rPr>
          <w:bCs/>
          <w:szCs w:val="22"/>
          <w:lang w:val="fr-CH"/>
        </w:rPr>
      </w:pPr>
      <w:r w:rsidRPr="00AF606A">
        <w:rPr>
          <w:bCs/>
          <w:szCs w:val="22"/>
          <w:lang w:val="fr-CH"/>
        </w:rPr>
        <w:t>la forme sous laquelle ce contenu serait exprimé,</w:t>
      </w:r>
    </w:p>
    <w:p w:rsidR="009A2CD2" w:rsidRDefault="00AC7E01" w:rsidP="00BF22F9">
      <w:pPr>
        <w:pStyle w:val="ListParagraph"/>
        <w:numPr>
          <w:ilvl w:val="0"/>
          <w:numId w:val="12"/>
        </w:numPr>
        <w:ind w:left="1134" w:hanging="567"/>
        <w:rPr>
          <w:bCs/>
          <w:szCs w:val="22"/>
          <w:lang w:val="fr-CH"/>
        </w:rPr>
      </w:pPr>
      <w:r w:rsidRPr="00AF606A">
        <w:rPr>
          <w:bCs/>
          <w:szCs w:val="22"/>
          <w:lang w:val="fr-CH"/>
        </w:rPr>
        <w:t>l</w:t>
      </w:r>
      <w:r w:rsidR="009A2CD2">
        <w:rPr>
          <w:bCs/>
          <w:szCs w:val="22"/>
          <w:lang w:val="fr-CH"/>
        </w:rPr>
        <w:t>’</w:t>
      </w:r>
      <w:r w:rsidRPr="00AF606A">
        <w:rPr>
          <w:bCs/>
          <w:szCs w:val="22"/>
          <w:lang w:val="fr-CH"/>
        </w:rPr>
        <w:t>interopérabilité de la base aux niveaux national et international avec d</w:t>
      </w:r>
      <w:r w:rsidR="009A2CD2">
        <w:rPr>
          <w:bCs/>
          <w:szCs w:val="22"/>
          <w:lang w:val="fr-CH"/>
        </w:rPr>
        <w:t>’</w:t>
      </w:r>
      <w:r w:rsidRPr="00AF606A">
        <w:rPr>
          <w:bCs/>
          <w:szCs w:val="22"/>
          <w:lang w:val="fr-CH"/>
        </w:rPr>
        <w:t>autres bases de données,</w:t>
      </w:r>
    </w:p>
    <w:p w:rsidR="009A2CD2" w:rsidRDefault="00AC7E01" w:rsidP="00BF22F9">
      <w:pPr>
        <w:pStyle w:val="ListParagraph"/>
        <w:numPr>
          <w:ilvl w:val="0"/>
          <w:numId w:val="12"/>
        </w:numPr>
        <w:ind w:left="1134" w:hanging="567"/>
        <w:rPr>
          <w:bCs/>
          <w:szCs w:val="22"/>
          <w:lang w:val="fr-CH"/>
        </w:rPr>
      </w:pPr>
      <w:r w:rsidRPr="00AF606A">
        <w:rPr>
          <w:bCs/>
          <w:szCs w:val="22"/>
          <w:lang w:val="fr-CH"/>
        </w:rPr>
        <w:t>la définition de la catégorie de personnes autorisées à accéder au contenu de la base de données;  et</w:t>
      </w:r>
    </w:p>
    <w:p w:rsidR="00AC7E01" w:rsidRPr="000F50FE" w:rsidRDefault="00AC7E01" w:rsidP="00BF22F9">
      <w:pPr>
        <w:pStyle w:val="ListParagraph"/>
        <w:numPr>
          <w:ilvl w:val="0"/>
          <w:numId w:val="12"/>
        </w:numPr>
        <w:ind w:left="1134" w:hanging="567"/>
        <w:rPr>
          <w:lang w:val="fr-CH"/>
        </w:rPr>
      </w:pPr>
      <w:r w:rsidRPr="00AF606A">
        <w:rPr>
          <w:lang w:val="fr-CH"/>
        </w:rPr>
        <w:t>le type de protection accordée aux informations figurant dans la base de données et la gestion des droits attachés à cette base</w:t>
      </w:r>
      <w:r w:rsidRPr="00AF606A">
        <w:rPr>
          <w:bCs/>
          <w:szCs w:val="22"/>
          <w:lang w:val="fr-CH"/>
        </w:rPr>
        <w:t>.</w:t>
      </w:r>
    </w:p>
    <w:p w:rsidR="00AC7E01" w:rsidRPr="003F0B18" w:rsidRDefault="00AC7E01" w:rsidP="003F0B18">
      <w:pPr>
        <w:pStyle w:val="Titre3"/>
      </w:pPr>
      <w:r w:rsidRPr="00AF606A">
        <w:t>Mécanismes de diligence requise</w:t>
      </w:r>
    </w:p>
    <w:p w:rsidR="009A2CD2" w:rsidRDefault="00AC7E01" w:rsidP="003F0B18">
      <w:pPr>
        <w:pStyle w:val="ONUMFS"/>
        <w:rPr>
          <w:szCs w:val="22"/>
          <w:lang w:val="fr-CH"/>
        </w:rPr>
      </w:pPr>
      <w:r w:rsidRPr="00AF606A">
        <w:rPr>
          <w:lang w:val="fr-CH"/>
        </w:rPr>
        <w:t>Certains participants à l</w:t>
      </w:r>
      <w:r w:rsidR="009A2CD2">
        <w:rPr>
          <w:lang w:val="fr-CH"/>
        </w:rPr>
        <w:t>’</w:t>
      </w:r>
      <w:r w:rsidRPr="00AF606A">
        <w:rPr>
          <w:lang w:val="fr-CH"/>
        </w:rPr>
        <w:t>IGC estiment que les mécanismes de diligence requise, comme les bases de données, les codes de conduite volontaires et les lignes directrices sont nécessaires à titre de mesures défensives/complémentaires servant à évaluer et vérifier l</w:t>
      </w:r>
      <w:r w:rsidR="009A2CD2">
        <w:rPr>
          <w:lang w:val="fr-CH"/>
        </w:rPr>
        <w:t>’</w:t>
      </w:r>
      <w:r w:rsidRPr="00AF606A">
        <w:rPr>
          <w:lang w:val="fr-CH"/>
        </w:rPr>
        <w:t>accès aux ressources génétiques conformément aux systèmes nationaux et régionaux d</w:t>
      </w:r>
      <w:r w:rsidR="009A2CD2">
        <w:rPr>
          <w:lang w:val="fr-CH"/>
        </w:rPr>
        <w:t>’</w:t>
      </w:r>
      <w:r w:rsidRPr="00AF606A">
        <w:rPr>
          <w:lang w:val="fr-CH"/>
        </w:rPr>
        <w:t>accès et de partage des avantages qui sont applicables</w:t>
      </w:r>
      <w:r w:rsidRPr="00AF606A">
        <w:rPr>
          <w:szCs w:val="22"/>
          <w:lang w:val="fr-CH"/>
        </w:rPr>
        <w:t>.</w:t>
      </w:r>
    </w:p>
    <w:p w:rsidR="009A2CD2" w:rsidRDefault="00AC7E01" w:rsidP="003F0B18">
      <w:pPr>
        <w:pStyle w:val="ONUMFS"/>
        <w:rPr>
          <w:lang w:val="fr-CH"/>
        </w:rPr>
      </w:pPr>
      <w:r w:rsidRPr="00AF606A">
        <w:rPr>
          <w:lang w:val="fr-CH"/>
        </w:rPr>
        <w:t>Le groupe spécial d</w:t>
      </w:r>
      <w:r w:rsidR="009A2CD2">
        <w:rPr>
          <w:lang w:val="fr-CH"/>
        </w:rPr>
        <w:t>’</w:t>
      </w:r>
      <w:r w:rsidRPr="00AF606A">
        <w:rPr>
          <w:lang w:val="fr-CH"/>
        </w:rPr>
        <w:t>experts est invité à examiner les types de mécanismes qui pourraient être nécessaires ainsi que les questions techniques se rapportant à la mise en place et au fonctionnement de ces mécanismes.</w:t>
      </w:r>
    </w:p>
    <w:p w:rsidR="00AC7E01" w:rsidRPr="003F0B18" w:rsidRDefault="00AC7E01" w:rsidP="003F0B18">
      <w:pPr>
        <w:pStyle w:val="Titre3"/>
      </w:pPr>
      <w:r w:rsidRPr="00AF606A">
        <w:t>Questions diverses</w:t>
      </w:r>
    </w:p>
    <w:p w:rsidR="009A2CD2" w:rsidRDefault="00AC7E01" w:rsidP="003F0B18">
      <w:pPr>
        <w:pStyle w:val="ONUMFS"/>
        <w:rPr>
          <w:lang w:val="fr-CH"/>
        </w:rPr>
      </w:pPr>
      <w:r w:rsidRPr="00AF606A">
        <w:rPr>
          <w:lang w:val="fr-CH"/>
        </w:rPr>
        <w:t>Le groupe spécial d</w:t>
      </w:r>
      <w:r w:rsidR="009A2CD2">
        <w:rPr>
          <w:lang w:val="fr-CH"/>
        </w:rPr>
        <w:t>’</w:t>
      </w:r>
      <w:r w:rsidRPr="00AF606A">
        <w:rPr>
          <w:lang w:val="fr-CH"/>
        </w:rPr>
        <w:t>experts est invité à mentionner toute autre question d</w:t>
      </w:r>
      <w:r w:rsidR="009A2CD2">
        <w:rPr>
          <w:lang w:val="fr-CH"/>
        </w:rPr>
        <w:t>’</w:t>
      </w:r>
      <w:r w:rsidRPr="00AF606A">
        <w:rPr>
          <w:lang w:val="fr-CH"/>
        </w:rPr>
        <w:t>ordre juridique, politique ou technique que l</w:t>
      </w:r>
      <w:r w:rsidR="009A2CD2">
        <w:rPr>
          <w:lang w:val="fr-CH"/>
        </w:rPr>
        <w:t>’</w:t>
      </w:r>
      <w:r w:rsidRPr="00AF606A">
        <w:rPr>
          <w:lang w:val="fr-CH"/>
        </w:rPr>
        <w:t xml:space="preserve">IGC pourrait avoir à traiter, et à fournir </w:t>
      </w:r>
      <w:r>
        <w:rPr>
          <w:lang w:val="fr-CH"/>
        </w:rPr>
        <w:t>à celui</w:t>
      </w:r>
      <w:r w:rsidR="00147812">
        <w:rPr>
          <w:lang w:val="fr-CH"/>
        </w:rPr>
        <w:noBreakHyphen/>
      </w:r>
      <w:r>
        <w:rPr>
          <w:lang w:val="fr-CH"/>
        </w:rPr>
        <w:t>ci</w:t>
      </w:r>
      <w:r w:rsidRPr="00AF606A">
        <w:rPr>
          <w:lang w:val="fr-CH"/>
        </w:rPr>
        <w:t xml:space="preserve"> tout autre conseil ou toute autre analyse ou recommandation qu</w:t>
      </w:r>
      <w:r w:rsidR="009A2CD2">
        <w:rPr>
          <w:lang w:val="fr-CH"/>
        </w:rPr>
        <w:t>’</w:t>
      </w:r>
      <w:r w:rsidRPr="00AF606A">
        <w:rPr>
          <w:lang w:val="fr-CH"/>
        </w:rPr>
        <w:t>il souhaiterait formuler.</w:t>
      </w:r>
    </w:p>
    <w:p w:rsidR="00AC7E01" w:rsidRPr="00AF606A" w:rsidRDefault="00AC7E01" w:rsidP="00207979">
      <w:pPr>
        <w:spacing w:before="600"/>
        <w:ind w:left="5534"/>
        <w:rPr>
          <w:lang w:val="fr-CH"/>
        </w:rPr>
      </w:pPr>
      <w:r w:rsidRPr="00AF606A">
        <w:rPr>
          <w:lang w:val="fr-CH"/>
        </w:rPr>
        <w:t>[Fin du document]</w:t>
      </w:r>
    </w:p>
    <w:sectPr w:rsidR="00AC7E01" w:rsidRPr="00AF606A" w:rsidSect="00D32C84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01" w:rsidRDefault="00AC7E01">
      <w:r>
        <w:separator/>
      </w:r>
    </w:p>
  </w:endnote>
  <w:endnote w:type="continuationSeparator" w:id="0">
    <w:p w:rsidR="00AC7E01" w:rsidRDefault="00AC7E01" w:rsidP="003B38C1">
      <w:r>
        <w:separator/>
      </w:r>
    </w:p>
    <w:p w:rsidR="00AC7E01" w:rsidRPr="003B38C1" w:rsidRDefault="00AC7E0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C7E01" w:rsidRPr="003B38C1" w:rsidRDefault="00AC7E0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01" w:rsidRDefault="00AC7E01">
      <w:r>
        <w:separator/>
      </w:r>
    </w:p>
  </w:footnote>
  <w:footnote w:type="continuationSeparator" w:id="0">
    <w:p w:rsidR="00AC7E01" w:rsidRDefault="00AC7E01" w:rsidP="008B60B2">
      <w:r>
        <w:separator/>
      </w:r>
    </w:p>
    <w:p w:rsidR="00AC7E01" w:rsidRPr="00ED77FB" w:rsidRDefault="00AC7E0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C7E01" w:rsidRPr="00ED77FB" w:rsidRDefault="00AC7E0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AD" w:rsidRDefault="007378AD" w:rsidP="00477D6B">
    <w:pPr>
      <w:jc w:val="right"/>
    </w:pPr>
    <w:bookmarkStart w:id="3" w:name="Code2"/>
    <w:bookmarkEnd w:id="3"/>
  </w:p>
  <w:p w:rsidR="00EC4E49" w:rsidRDefault="00EC4E49" w:rsidP="00477D6B">
    <w:pPr>
      <w:jc w:val="right"/>
    </w:pPr>
    <w:proofErr w:type="gramStart"/>
    <w:r>
      <w:t>page</w:t>
    </w:r>
    <w:proofErr w:type="gramEnd"/>
    <w:r w:rsidR="00AA037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025849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681EF0"/>
    <w:multiLevelType w:val="hybridMultilevel"/>
    <w:tmpl w:val="279E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EB323D"/>
    <w:multiLevelType w:val="hybridMultilevel"/>
    <w:tmpl w:val="1362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92A06"/>
    <w:multiLevelType w:val="hybridMultilevel"/>
    <w:tmpl w:val="D7C0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01"/>
    <w:rsid w:val="00025849"/>
    <w:rsid w:val="00043CAA"/>
    <w:rsid w:val="00075432"/>
    <w:rsid w:val="000765C4"/>
    <w:rsid w:val="0009457E"/>
    <w:rsid w:val="000968ED"/>
    <w:rsid w:val="000C117A"/>
    <w:rsid w:val="000E4AF7"/>
    <w:rsid w:val="000F50FE"/>
    <w:rsid w:val="000F5E56"/>
    <w:rsid w:val="001362EE"/>
    <w:rsid w:val="00147812"/>
    <w:rsid w:val="00156693"/>
    <w:rsid w:val="001647D5"/>
    <w:rsid w:val="001832A6"/>
    <w:rsid w:val="00207979"/>
    <w:rsid w:val="0021217E"/>
    <w:rsid w:val="00217165"/>
    <w:rsid w:val="002634C4"/>
    <w:rsid w:val="002928D3"/>
    <w:rsid w:val="002A1C08"/>
    <w:rsid w:val="002A633A"/>
    <w:rsid w:val="002E02B8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7B0"/>
    <w:rsid w:val="003F0B18"/>
    <w:rsid w:val="00423E3E"/>
    <w:rsid w:val="00423F76"/>
    <w:rsid w:val="00427AF4"/>
    <w:rsid w:val="004647DA"/>
    <w:rsid w:val="00474062"/>
    <w:rsid w:val="00477D6B"/>
    <w:rsid w:val="005019FF"/>
    <w:rsid w:val="0053057A"/>
    <w:rsid w:val="00560A29"/>
    <w:rsid w:val="0056124A"/>
    <w:rsid w:val="005C6649"/>
    <w:rsid w:val="00605827"/>
    <w:rsid w:val="00646050"/>
    <w:rsid w:val="006713CA"/>
    <w:rsid w:val="00676C5C"/>
    <w:rsid w:val="006E4F5F"/>
    <w:rsid w:val="007378AD"/>
    <w:rsid w:val="00775136"/>
    <w:rsid w:val="007A76D8"/>
    <w:rsid w:val="007D1613"/>
    <w:rsid w:val="007E4C0E"/>
    <w:rsid w:val="00822525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A2CD2"/>
    <w:rsid w:val="009C127D"/>
    <w:rsid w:val="009E2791"/>
    <w:rsid w:val="009E3F6F"/>
    <w:rsid w:val="009F499F"/>
    <w:rsid w:val="00A37342"/>
    <w:rsid w:val="00A42DAF"/>
    <w:rsid w:val="00A45BD8"/>
    <w:rsid w:val="00A869B7"/>
    <w:rsid w:val="00AA0370"/>
    <w:rsid w:val="00AA2DD4"/>
    <w:rsid w:val="00AC205C"/>
    <w:rsid w:val="00AC7E01"/>
    <w:rsid w:val="00AD6FE9"/>
    <w:rsid w:val="00AF0A6B"/>
    <w:rsid w:val="00B05A69"/>
    <w:rsid w:val="00B840AC"/>
    <w:rsid w:val="00B9734B"/>
    <w:rsid w:val="00BA30E2"/>
    <w:rsid w:val="00BF22F9"/>
    <w:rsid w:val="00C11BFE"/>
    <w:rsid w:val="00C45057"/>
    <w:rsid w:val="00C467BE"/>
    <w:rsid w:val="00C5068F"/>
    <w:rsid w:val="00C86D74"/>
    <w:rsid w:val="00C94BAF"/>
    <w:rsid w:val="00CD04F1"/>
    <w:rsid w:val="00CD7F59"/>
    <w:rsid w:val="00D32C84"/>
    <w:rsid w:val="00D44A0B"/>
    <w:rsid w:val="00D45252"/>
    <w:rsid w:val="00D66E37"/>
    <w:rsid w:val="00D71B4D"/>
    <w:rsid w:val="00D93D55"/>
    <w:rsid w:val="00DF023A"/>
    <w:rsid w:val="00DF383E"/>
    <w:rsid w:val="00E06BF3"/>
    <w:rsid w:val="00E15015"/>
    <w:rsid w:val="00E335FE"/>
    <w:rsid w:val="00E85557"/>
    <w:rsid w:val="00EA7D6E"/>
    <w:rsid w:val="00EC4E49"/>
    <w:rsid w:val="00ED77FB"/>
    <w:rsid w:val="00EE45FA"/>
    <w:rsid w:val="00F36AB7"/>
    <w:rsid w:val="00F41250"/>
    <w:rsid w:val="00F66152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C467BE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F41250"/>
    <w:pPr>
      <w:keepNext/>
      <w:spacing w:before="240" w:after="180"/>
      <w:ind w:left="567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AC7E01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AA0370"/>
    <w:rPr>
      <w:color w:val="0000FF" w:themeColor="hyperlink"/>
      <w:u w:val="single"/>
    </w:rPr>
  </w:style>
  <w:style w:type="paragraph" w:customStyle="1" w:styleId="Titre3">
    <w:name w:val="Titre 3"/>
    <w:basedOn w:val="Heading3"/>
    <w:qFormat/>
    <w:rsid w:val="00E06BF3"/>
    <w:pPr>
      <w:spacing w:after="180"/>
    </w:pPr>
    <w:rPr>
      <w:b/>
      <w:caps w:val="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C467BE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F41250"/>
    <w:pPr>
      <w:keepNext/>
      <w:spacing w:before="240" w:after="180"/>
      <w:ind w:left="567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AC7E01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AA0370"/>
    <w:rPr>
      <w:color w:val="0000FF" w:themeColor="hyperlink"/>
      <w:u w:val="single"/>
    </w:rPr>
  </w:style>
  <w:style w:type="paragraph" w:customStyle="1" w:styleId="Titre3">
    <w:name w:val="Titre 3"/>
    <w:basedOn w:val="Heading3"/>
    <w:qFormat/>
    <w:rsid w:val="00E06BF3"/>
    <w:pPr>
      <w:spacing w:after="180"/>
    </w:pPr>
    <w:rPr>
      <w:b/>
      <w:caps w:val="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4E02-5587-4FB2-A4B9-E0926BFF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(F)</Template>
  <TotalTime>38</TotalTime>
  <Pages>4</Pages>
  <Words>1233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Cinquante huitième série de réunions</dc:subject>
  <dc:creator>ROURE Cécile</dc:creator>
  <cp:lastModifiedBy>MORENO PALESTINI Maria Del Pilar</cp:lastModifiedBy>
  <cp:revision>22</cp:revision>
  <cp:lastPrinted>2018-06-21T08:21:00Z</cp:lastPrinted>
  <dcterms:created xsi:type="dcterms:W3CDTF">2018-06-20T10:14:00Z</dcterms:created>
  <dcterms:modified xsi:type="dcterms:W3CDTF">2018-06-21T08:21:00Z</dcterms:modified>
  <cp:category>Assemblées des États membres de l’OMPI</cp:category>
</cp:coreProperties>
</file>